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A0" w:rsidRDefault="006210A0" w:rsidP="00000A2E">
      <w:pPr>
        <w:jc w:val="right"/>
        <w:rPr>
          <w:b/>
          <w:i/>
        </w:rPr>
      </w:pPr>
    </w:p>
    <w:p w:rsidR="00000A2E" w:rsidRDefault="00000A2E" w:rsidP="00280B7B">
      <w:pPr>
        <w:rPr>
          <w:b/>
        </w:rPr>
      </w:pPr>
    </w:p>
    <w:p w:rsidR="00000A2E" w:rsidRDefault="00000A2E" w:rsidP="004F18A1">
      <w:pPr>
        <w:jc w:val="center"/>
        <w:rPr>
          <w:b/>
        </w:rPr>
      </w:pPr>
    </w:p>
    <w:p w:rsidR="004F18A1" w:rsidRDefault="004F18A1" w:rsidP="004F18A1">
      <w:pPr>
        <w:jc w:val="center"/>
        <w:rPr>
          <w:b/>
        </w:rPr>
      </w:pPr>
      <w:r w:rsidRPr="006F57EC">
        <w:rPr>
          <w:b/>
        </w:rPr>
        <w:t>GUVERNUL ROMÂNIEI</w:t>
      </w:r>
    </w:p>
    <w:p w:rsidR="004F18A1" w:rsidRPr="006F57EC" w:rsidRDefault="004F18A1" w:rsidP="004F18A1">
      <w:pPr>
        <w:jc w:val="center"/>
        <w:rPr>
          <w:b/>
        </w:rPr>
      </w:pPr>
    </w:p>
    <w:p w:rsidR="004F18A1" w:rsidRPr="006F57EC" w:rsidRDefault="004F18A1" w:rsidP="004F18A1">
      <w:pPr>
        <w:pStyle w:val="NoSpacing"/>
        <w:tabs>
          <w:tab w:val="left" w:pos="5820"/>
        </w:tabs>
        <w:jc w:val="center"/>
      </w:pPr>
      <w:r w:rsidRPr="008E0579">
        <w:rPr>
          <w:b/>
          <w:i/>
        </w:rPr>
        <w:t xml:space="preserve">Hotărâre pentru modificarea </w:t>
      </w:r>
      <w:r w:rsidR="00CD044F">
        <w:rPr>
          <w:b/>
          <w:i/>
        </w:rPr>
        <w:t xml:space="preserve">art. 4 din </w:t>
      </w:r>
      <w:r w:rsidRPr="00645982">
        <w:rPr>
          <w:b/>
          <w:i/>
        </w:rPr>
        <w:t>Hotărâr</w:t>
      </w:r>
      <w:r w:rsidR="00CD044F">
        <w:rPr>
          <w:b/>
          <w:i/>
        </w:rPr>
        <w:t>ea</w:t>
      </w:r>
      <w:r w:rsidRPr="00645982">
        <w:rPr>
          <w:b/>
          <w:i/>
        </w:rPr>
        <w:t xml:space="preserve"> </w:t>
      </w:r>
      <w:r w:rsidR="00A7397B">
        <w:rPr>
          <w:b/>
          <w:i/>
        </w:rPr>
        <w:t xml:space="preserve">Guvernului </w:t>
      </w:r>
      <w:r w:rsidRPr="00645982">
        <w:rPr>
          <w:b/>
          <w:i/>
        </w:rPr>
        <w:t>nr. 517/2014 privind intensitatea maximă a ajutorului de stat regional în perioada 2014-2020 pentru investiţii iniţiale</w:t>
      </w:r>
      <w:r w:rsidRPr="006F57EC">
        <w:tab/>
      </w:r>
    </w:p>
    <w:p w:rsidR="004F18A1" w:rsidRDefault="004F18A1" w:rsidP="004F18A1">
      <w:pPr>
        <w:pStyle w:val="NoSpacing"/>
      </w:pPr>
    </w:p>
    <w:p w:rsidR="004F18A1" w:rsidRDefault="004F18A1" w:rsidP="004F18A1">
      <w:pPr>
        <w:pStyle w:val="NoSpacing"/>
      </w:pPr>
    </w:p>
    <w:p w:rsidR="004F18A1" w:rsidRPr="006F57EC" w:rsidRDefault="004F18A1" w:rsidP="004F18A1">
      <w:pPr>
        <w:pStyle w:val="NoSpacing"/>
        <w:rPr>
          <w:i/>
        </w:rPr>
      </w:pPr>
    </w:p>
    <w:p w:rsidR="004F18A1" w:rsidRPr="006F57EC" w:rsidRDefault="004F18A1" w:rsidP="004F18A1">
      <w:pPr>
        <w:pStyle w:val="NoSpacing"/>
        <w:rPr>
          <w:b/>
        </w:rPr>
      </w:pPr>
    </w:p>
    <w:p w:rsidR="00000A2E" w:rsidRPr="00FB73E2" w:rsidRDefault="004F18A1" w:rsidP="00007A92">
      <w:pPr>
        <w:widowControl/>
        <w:shd w:val="clear" w:color="auto" w:fill="FFFFFF"/>
        <w:suppressAutoHyphens w:val="0"/>
        <w:spacing w:after="0"/>
      </w:pPr>
      <w:r w:rsidRPr="00000A2E">
        <w:t>În temeiul art.</w:t>
      </w:r>
      <w:r w:rsidR="00645982" w:rsidRPr="00000A2E">
        <w:t xml:space="preserve"> </w:t>
      </w:r>
      <w:r w:rsidRPr="00000A2E">
        <w:t>108 din Constituția României, republicată,</w:t>
      </w:r>
      <w:r w:rsidR="00000A2E" w:rsidRPr="00000A2E">
        <w:t xml:space="preserve"> </w:t>
      </w:r>
      <w:r w:rsidR="00000A2E" w:rsidRPr="00000A2E">
        <w:rPr>
          <w:color w:val="333333"/>
          <w:shd w:val="clear" w:color="auto" w:fill="FFFFFF"/>
        </w:rPr>
        <w:t xml:space="preserve">şi având în vedere prevederile </w:t>
      </w:r>
      <w:hyperlink r:id="rId4" w:anchor="/dokument/79113384?cm=DOCUMENT" w:tgtFrame="_blank" w:history="1">
        <w:r w:rsidR="00000A2E" w:rsidRPr="00000A2E">
          <w:t>Tratatul</w:t>
        </w:r>
        <w:r w:rsidR="00000A2E">
          <w:t>ui</w:t>
        </w:r>
        <w:r w:rsidR="00000A2E" w:rsidRPr="00000A2E">
          <w:t xml:space="preserve"> privind funcţionarea Uniunii Europene</w:t>
        </w:r>
      </w:hyperlink>
      <w:r w:rsidR="00000A2E" w:rsidRPr="00000A2E">
        <w:t xml:space="preserve">, în special articolul 108, </w:t>
      </w:r>
      <w:r w:rsidR="00000A2E">
        <w:t xml:space="preserve">precum și prevederile </w:t>
      </w:r>
      <w:r w:rsidR="00000A2E" w:rsidRPr="00000A2E">
        <w:t>Regulamentul</w:t>
      </w:r>
      <w:r w:rsidR="00000A2E">
        <w:t>ui</w:t>
      </w:r>
      <w:r w:rsidR="00000A2E" w:rsidRPr="00000A2E">
        <w:t xml:space="preserve"> (UE) </w:t>
      </w:r>
      <w:hyperlink r:id="rId5" w:anchor="/dokument/79152095?cm=DOCUMENT" w:tgtFrame="_blank" w:history="1">
        <w:r w:rsidR="00000A2E" w:rsidRPr="00000A2E">
          <w:t>2015/1588</w:t>
        </w:r>
      </w:hyperlink>
      <w:r w:rsidR="00000A2E" w:rsidRPr="00000A2E">
        <w:t xml:space="preserve"> al Consiliului din 13 iulie 2015 privind aplicarea articolelor 107 şi 108 din </w:t>
      </w:r>
      <w:hyperlink r:id="rId6" w:anchor="/dokument/79113384?cm=DOCUMENT" w:tgtFrame="_blank" w:history="1">
        <w:r w:rsidR="00000A2E" w:rsidRPr="00000A2E">
          <w:t>Tratatul privind funcţionarea Uniunii Europene</w:t>
        </w:r>
      </w:hyperlink>
      <w:r w:rsidR="00000A2E" w:rsidRPr="00000A2E">
        <w:t xml:space="preserve"> anumitor categorii de ajutoare de stat</w:t>
      </w:r>
      <w:r w:rsidR="00000A2E" w:rsidRPr="00000A2E">
        <w:rPr>
          <w:color w:val="333333"/>
        </w:rPr>
        <w:t xml:space="preserve"> orizontale,</w:t>
      </w:r>
      <w:r w:rsidR="005C74C4">
        <w:rPr>
          <w:color w:val="333333"/>
        </w:rPr>
        <w:t xml:space="preserve"> ale </w:t>
      </w:r>
      <w:r w:rsidR="005C74C4" w:rsidRPr="005C74C4">
        <w:rPr>
          <w:color w:val="333333"/>
        </w:rPr>
        <w:t>Comunicării Comisiei nr. C 224/8.7.2020 privind prelungirea aplicării și modificările Orientărilor privind ajutoarele de stat regionale pentru perioada 2014-2020, ale Orientărilor privind ajutoarele de stat pentru promovarea investițiilor de finanțare de risc, ale Orientărilor privind ajutoarele de stat pentru protecția mediului și energie pentru perioada 2014-2020, ale Orientărilor privind ajutoarele de stat pentru salvarea și restructurarea întreprinderilor nefinanciare aflate în dificultate, ale Comunicării Comisiei privind criteriile pentru analiza compatibilității cu piața internă a ajutorului de stat destinat să promoveze realizarea unor proiecte importante de interes european comun, ale Comunicării Comisiei privind cadrul pentru ajutoarele de stat pentru cercetare, dezvoltare și inovare și ale Comunicării Comisiei către statele membre privind aplicarea articolelor 107 și 108 din Tratatul privind funcționarea Uniunii Europene în cazul asigurării credi</w:t>
      </w:r>
      <w:r w:rsidR="005C74C4">
        <w:rPr>
          <w:color w:val="333333"/>
        </w:rPr>
        <w:t>telor la export pe termen scurt,</w:t>
      </w:r>
      <w:r w:rsidR="00000A2E" w:rsidRPr="00000A2E">
        <w:rPr>
          <w:color w:val="333333"/>
        </w:rPr>
        <w:t xml:space="preserve"> </w:t>
      </w:r>
      <w:r w:rsidR="00000A2E" w:rsidRPr="00000A2E">
        <w:rPr>
          <w:color w:val="333333"/>
          <w:shd w:val="clear" w:color="auto" w:fill="FFFFFF"/>
        </w:rPr>
        <w:t xml:space="preserve">precum şi ale Deciziei Comisiei Europene </w:t>
      </w:r>
      <w:r w:rsidR="00FB73E2">
        <w:rPr>
          <w:color w:val="333333"/>
          <w:shd w:val="clear" w:color="auto" w:fill="FFFFFF"/>
        </w:rPr>
        <w:t xml:space="preserve">nr. </w:t>
      </w:r>
      <w:r w:rsidR="00280B7B">
        <w:rPr>
          <w:color w:val="333333"/>
          <w:shd w:val="clear" w:color="auto" w:fill="FFFFFF"/>
        </w:rPr>
        <w:t xml:space="preserve">C (2020) 6627 </w:t>
      </w:r>
      <w:r w:rsidR="00F73968">
        <w:rPr>
          <w:color w:val="333333"/>
          <w:shd w:val="clear" w:color="auto" w:fill="FFFFFF"/>
        </w:rPr>
        <w:t xml:space="preserve">final </w:t>
      </w:r>
      <w:r w:rsidR="00280B7B">
        <w:rPr>
          <w:color w:val="333333"/>
          <w:shd w:val="clear" w:color="auto" w:fill="FFFFFF"/>
        </w:rPr>
        <w:t xml:space="preserve">din 05.10.2020 </w:t>
      </w:r>
      <w:r w:rsidR="00FB73E2" w:rsidRPr="00FB73E2">
        <w:t>de prelungire a hărții regionale 2014-2</w:t>
      </w:r>
      <w:r w:rsidR="00FB73E2">
        <w:t>0</w:t>
      </w:r>
      <w:r w:rsidR="00FB73E2" w:rsidRPr="00FB73E2">
        <w:t>20 pentru România</w:t>
      </w:r>
      <w:r w:rsidR="00000A2E" w:rsidRPr="00FB73E2">
        <w:rPr>
          <w:color w:val="333333"/>
          <w:shd w:val="clear" w:color="auto" w:fill="FFFFFF"/>
        </w:rPr>
        <w:t>,</w:t>
      </w:r>
    </w:p>
    <w:p w:rsidR="004F18A1" w:rsidRPr="00470875" w:rsidRDefault="004F18A1" w:rsidP="004F18A1">
      <w:pPr>
        <w:pStyle w:val="NoSpacing"/>
      </w:pPr>
    </w:p>
    <w:p w:rsidR="004F18A1" w:rsidRPr="00470875" w:rsidRDefault="004F18A1" w:rsidP="004F18A1">
      <w:pPr>
        <w:pStyle w:val="NoSpacing"/>
      </w:pPr>
    </w:p>
    <w:p w:rsidR="004F18A1" w:rsidRPr="00470875" w:rsidRDefault="004F18A1" w:rsidP="004F18A1">
      <w:pPr>
        <w:pStyle w:val="NoSpacing"/>
      </w:pPr>
      <w:r w:rsidRPr="00470875">
        <w:t>Guvernul României adoptă prezenta hotărâre.</w:t>
      </w:r>
    </w:p>
    <w:p w:rsidR="004F18A1" w:rsidRPr="00470875" w:rsidRDefault="004F18A1" w:rsidP="004F18A1">
      <w:pPr>
        <w:spacing w:after="0"/>
        <w:rPr>
          <w:bCs/>
        </w:rPr>
      </w:pPr>
    </w:p>
    <w:p w:rsidR="00645982" w:rsidRPr="00645982" w:rsidRDefault="00645982" w:rsidP="00645982">
      <w:pPr>
        <w:rPr>
          <w:b/>
          <w:bCs/>
        </w:rPr>
      </w:pPr>
    </w:p>
    <w:p w:rsidR="00645982" w:rsidRPr="00645982" w:rsidRDefault="00645982" w:rsidP="00645982">
      <w:pPr>
        <w:rPr>
          <w:b/>
          <w:bCs/>
        </w:rPr>
      </w:pPr>
      <w:r w:rsidRPr="00645982">
        <w:rPr>
          <w:b/>
          <w:bCs/>
        </w:rPr>
        <w:t>Articol unic</w:t>
      </w:r>
    </w:p>
    <w:p w:rsidR="00645982" w:rsidRPr="00F438CC" w:rsidRDefault="00470875" w:rsidP="00645982">
      <w:pPr>
        <w:rPr>
          <w:bCs/>
        </w:rPr>
      </w:pPr>
      <w:r w:rsidRPr="00F438CC">
        <w:rPr>
          <w:bCs/>
        </w:rPr>
        <w:t>A</w:t>
      </w:r>
      <w:r w:rsidR="00645982" w:rsidRPr="00F438CC">
        <w:rPr>
          <w:bCs/>
        </w:rPr>
        <w:t xml:space="preserve">rticolul </w:t>
      </w:r>
      <w:r w:rsidRPr="00F438CC">
        <w:rPr>
          <w:bCs/>
        </w:rPr>
        <w:t>4</w:t>
      </w:r>
      <w:r w:rsidR="00645982" w:rsidRPr="00F438CC">
        <w:rPr>
          <w:bCs/>
        </w:rPr>
        <w:t xml:space="preserve"> din Hotărârea Guvernului nr. 517/2014 privind intensitatea maximă a ajutorului de stat regional în perioada 2014-2020 pentru investiţii iniţiale, publicată în Monitorul Oficial al României, Partea I, nr. </w:t>
      </w:r>
      <w:r w:rsidR="00872068">
        <w:rPr>
          <w:bCs/>
        </w:rPr>
        <w:t>479 din 28 iunie 2014</w:t>
      </w:r>
      <w:bookmarkStart w:id="0" w:name="_GoBack"/>
      <w:bookmarkEnd w:id="0"/>
      <w:r w:rsidR="00645982" w:rsidRPr="00F438CC">
        <w:rPr>
          <w:bCs/>
        </w:rPr>
        <w:t>, se modifică şi va avea următorul cuprins:</w:t>
      </w:r>
    </w:p>
    <w:p w:rsidR="004F18A1" w:rsidRDefault="00470875" w:rsidP="00645982">
      <w:pPr>
        <w:rPr>
          <w:bCs/>
        </w:rPr>
      </w:pPr>
      <w:r>
        <w:rPr>
          <w:bCs/>
        </w:rPr>
        <w:t>Art. 4 „</w:t>
      </w:r>
      <w:r w:rsidRPr="00470875">
        <w:rPr>
          <w:bCs/>
        </w:rPr>
        <w:t>Prezenta hotărâre se aplică până la data de 31 decembrie 202</w:t>
      </w:r>
      <w:r>
        <w:rPr>
          <w:bCs/>
        </w:rPr>
        <w:t>1</w:t>
      </w:r>
      <w:r w:rsidRPr="00470875">
        <w:rPr>
          <w:bCs/>
        </w:rPr>
        <w:t>.</w:t>
      </w:r>
      <w:r w:rsidR="00645982" w:rsidRPr="00645982">
        <w:rPr>
          <w:bCs/>
        </w:rPr>
        <w:t>”</w:t>
      </w:r>
    </w:p>
    <w:p w:rsidR="00645982" w:rsidRDefault="00645982" w:rsidP="00645982"/>
    <w:p w:rsidR="00000A2E" w:rsidRPr="00645982" w:rsidRDefault="00000A2E" w:rsidP="00645982"/>
    <w:p w:rsidR="004F18A1" w:rsidRPr="00DC1197" w:rsidRDefault="004F18A1" w:rsidP="004F18A1">
      <w:pPr>
        <w:widowControl/>
        <w:shd w:val="clear" w:color="auto" w:fill="FFFFFF"/>
        <w:suppressAutoHyphens w:val="0"/>
        <w:spacing w:before="120" w:after="150" w:line="360" w:lineRule="atLeast"/>
        <w:jc w:val="center"/>
        <w:rPr>
          <w:rFonts w:ascii="Open Sans" w:eastAsia="Times New Roman" w:hAnsi="Open Sans"/>
          <w:color w:val="333333"/>
          <w:lang w:val="en-US" w:eastAsia="en-US"/>
        </w:rPr>
      </w:pPr>
      <w:r w:rsidRPr="00DC1197">
        <w:rPr>
          <w:rFonts w:ascii="Open Sans" w:eastAsia="Times New Roman" w:hAnsi="Open Sans"/>
          <w:color w:val="333333"/>
          <w:lang w:val="en-US" w:eastAsia="en-US"/>
        </w:rPr>
        <w:t>PRIM-MINISTRU</w:t>
      </w:r>
    </w:p>
    <w:p w:rsidR="004F18A1" w:rsidRPr="00DC1197" w:rsidRDefault="004F18A1" w:rsidP="004F18A1">
      <w:pPr>
        <w:widowControl/>
        <w:shd w:val="clear" w:color="auto" w:fill="FFFFFF"/>
        <w:suppressAutoHyphens w:val="0"/>
        <w:spacing w:before="120" w:after="150" w:line="360" w:lineRule="atLeast"/>
        <w:jc w:val="center"/>
        <w:rPr>
          <w:rFonts w:ascii="Open Sans" w:eastAsia="Times New Roman" w:hAnsi="Open Sans"/>
          <w:color w:val="333333"/>
          <w:lang w:val="en-US" w:eastAsia="en-US"/>
        </w:rPr>
      </w:pPr>
      <w:r w:rsidRPr="00DC1197">
        <w:rPr>
          <w:rFonts w:ascii="Open Sans" w:eastAsia="Times New Roman" w:hAnsi="Open Sans"/>
          <w:b/>
          <w:bCs/>
          <w:color w:val="333333"/>
          <w:lang w:val="en-US" w:eastAsia="en-US"/>
        </w:rPr>
        <w:t>LUDOVIC ORBAN</w:t>
      </w:r>
    </w:p>
    <w:sectPr w:rsidR="004F18A1" w:rsidRPr="00DC1197" w:rsidSect="009D7227">
      <w:pgSz w:w="11906" w:h="16838"/>
      <w:pgMar w:top="1276" w:right="849"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A1"/>
    <w:rsid w:val="00000A2E"/>
    <w:rsid w:val="00007A92"/>
    <w:rsid w:val="000E10B4"/>
    <w:rsid w:val="00165CFD"/>
    <w:rsid w:val="001A41F9"/>
    <w:rsid w:val="001C241C"/>
    <w:rsid w:val="002235E2"/>
    <w:rsid w:val="00280B7B"/>
    <w:rsid w:val="00470875"/>
    <w:rsid w:val="00493F4D"/>
    <w:rsid w:val="004A364A"/>
    <w:rsid w:val="004E1154"/>
    <w:rsid w:val="004F18A1"/>
    <w:rsid w:val="005C74C4"/>
    <w:rsid w:val="006210A0"/>
    <w:rsid w:val="00637596"/>
    <w:rsid w:val="00645982"/>
    <w:rsid w:val="006501D4"/>
    <w:rsid w:val="0069295F"/>
    <w:rsid w:val="00813529"/>
    <w:rsid w:val="00872068"/>
    <w:rsid w:val="0088135C"/>
    <w:rsid w:val="008B3F4F"/>
    <w:rsid w:val="00A147C8"/>
    <w:rsid w:val="00A41A95"/>
    <w:rsid w:val="00A7397B"/>
    <w:rsid w:val="00B3197D"/>
    <w:rsid w:val="00C40E2A"/>
    <w:rsid w:val="00C76522"/>
    <w:rsid w:val="00CD044F"/>
    <w:rsid w:val="00D90ABC"/>
    <w:rsid w:val="00DD2F03"/>
    <w:rsid w:val="00E2364A"/>
    <w:rsid w:val="00E43B5F"/>
    <w:rsid w:val="00E82C65"/>
    <w:rsid w:val="00EB0A83"/>
    <w:rsid w:val="00F03C58"/>
    <w:rsid w:val="00F438CC"/>
    <w:rsid w:val="00F63917"/>
    <w:rsid w:val="00F73968"/>
    <w:rsid w:val="00FB73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21D"/>
  <w15:chartTrackingRefBased/>
  <w15:docId w15:val="{B420D576-E68A-4686-9F2A-C410AC4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A1"/>
    <w:pPr>
      <w:widowControl w:val="0"/>
      <w:suppressAutoHyphens/>
      <w:spacing w:after="120" w:line="240" w:lineRule="auto"/>
      <w:jc w:val="both"/>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18A1"/>
    <w:pPr>
      <w:widowControl w:val="0"/>
      <w:suppressAutoHyphens/>
      <w:spacing w:after="0" w:line="240" w:lineRule="auto"/>
      <w:jc w:val="both"/>
    </w:pPr>
    <w:rPr>
      <w:rFonts w:ascii="Times New Roman" w:eastAsia="Calibri" w:hAnsi="Times New Roman" w:cs="Times New Roman"/>
      <w:sz w:val="24"/>
      <w:szCs w:val="24"/>
      <w:lang w:eastAsia="ar-SA"/>
    </w:rPr>
  </w:style>
  <w:style w:type="character" w:customStyle="1" w:styleId="NoSpacingChar">
    <w:name w:val="No Spacing Char"/>
    <w:link w:val="NoSpacing"/>
    <w:uiPriority w:val="1"/>
    <w:locked/>
    <w:rsid w:val="004F18A1"/>
    <w:rPr>
      <w:rFonts w:ascii="Times New Roman" w:eastAsia="Calibri" w:hAnsi="Times New Roman" w:cs="Times New Roman"/>
      <w:sz w:val="24"/>
      <w:szCs w:val="24"/>
      <w:lang w:eastAsia="ar-SA"/>
    </w:rPr>
  </w:style>
  <w:style w:type="character" w:styleId="Hyperlink">
    <w:name w:val="Hyperlink"/>
    <w:basedOn w:val="DefaultParagraphFont"/>
    <w:uiPriority w:val="99"/>
    <w:semiHidden/>
    <w:unhideWhenUsed/>
    <w:rsid w:val="004F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6087">
      <w:bodyDiv w:val="1"/>
      <w:marLeft w:val="0"/>
      <w:marRight w:val="0"/>
      <w:marTop w:val="0"/>
      <w:marBottom w:val="0"/>
      <w:divBdr>
        <w:top w:val="none" w:sz="0" w:space="0" w:color="auto"/>
        <w:left w:val="none" w:sz="0" w:space="0" w:color="auto"/>
        <w:bottom w:val="none" w:sz="0" w:space="0" w:color="auto"/>
        <w:right w:val="none" w:sz="0" w:space="0" w:color="auto"/>
      </w:divBdr>
      <w:divsChild>
        <w:div w:id="2131588014">
          <w:marLeft w:val="0"/>
          <w:marRight w:val="0"/>
          <w:marTop w:val="90"/>
          <w:marBottom w:val="0"/>
          <w:divBdr>
            <w:top w:val="none" w:sz="0" w:space="0" w:color="auto"/>
            <w:left w:val="none" w:sz="0" w:space="0" w:color="auto"/>
            <w:bottom w:val="none" w:sz="0" w:space="0" w:color="auto"/>
            <w:right w:val="none" w:sz="0" w:space="0" w:color="auto"/>
          </w:divBdr>
          <w:divsChild>
            <w:div w:id="1569346692">
              <w:marLeft w:val="0"/>
              <w:marRight w:val="0"/>
              <w:marTop w:val="0"/>
              <w:marBottom w:val="420"/>
              <w:divBdr>
                <w:top w:val="none" w:sz="0" w:space="0" w:color="auto"/>
                <w:left w:val="none" w:sz="0" w:space="0" w:color="auto"/>
                <w:bottom w:val="none" w:sz="0" w:space="0" w:color="auto"/>
                <w:right w:val="none" w:sz="0" w:space="0" w:color="auto"/>
              </w:divBdr>
              <w:divsChild>
                <w:div w:id="503906757">
                  <w:marLeft w:val="0"/>
                  <w:marRight w:val="0"/>
                  <w:marTop w:val="0"/>
                  <w:marBottom w:val="0"/>
                  <w:divBdr>
                    <w:top w:val="none" w:sz="0" w:space="0" w:color="auto"/>
                    <w:left w:val="none" w:sz="0" w:space="0" w:color="auto"/>
                    <w:bottom w:val="none" w:sz="0" w:space="0" w:color="auto"/>
                    <w:right w:val="none" w:sz="0" w:space="0" w:color="auto"/>
                  </w:divBdr>
                  <w:divsChild>
                    <w:div w:id="498348610">
                      <w:marLeft w:val="0"/>
                      <w:marRight w:val="0"/>
                      <w:marTop w:val="0"/>
                      <w:marBottom w:val="0"/>
                      <w:divBdr>
                        <w:top w:val="none" w:sz="0" w:space="0" w:color="auto"/>
                        <w:left w:val="none" w:sz="0" w:space="0" w:color="auto"/>
                        <w:bottom w:val="none" w:sz="0" w:space="0" w:color="auto"/>
                        <w:right w:val="none" w:sz="0" w:space="0" w:color="auto"/>
                      </w:divBdr>
                      <w:divsChild>
                        <w:div w:id="650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2940">
      <w:bodyDiv w:val="1"/>
      <w:marLeft w:val="0"/>
      <w:marRight w:val="0"/>
      <w:marTop w:val="0"/>
      <w:marBottom w:val="0"/>
      <w:divBdr>
        <w:top w:val="none" w:sz="0" w:space="0" w:color="auto"/>
        <w:left w:val="none" w:sz="0" w:space="0" w:color="auto"/>
        <w:bottom w:val="none" w:sz="0" w:space="0" w:color="auto"/>
        <w:right w:val="none" w:sz="0" w:space="0" w:color="auto"/>
      </w:divBdr>
      <w:divsChild>
        <w:div w:id="1364398938">
          <w:marLeft w:val="0"/>
          <w:marRight w:val="0"/>
          <w:marTop w:val="72"/>
          <w:marBottom w:val="240"/>
          <w:divBdr>
            <w:top w:val="none" w:sz="0" w:space="0" w:color="auto"/>
            <w:left w:val="none" w:sz="0" w:space="0" w:color="auto"/>
            <w:bottom w:val="none" w:sz="0" w:space="0" w:color="auto"/>
            <w:right w:val="none" w:sz="0" w:space="0" w:color="auto"/>
          </w:divBdr>
        </w:div>
        <w:div w:id="1624800973">
          <w:marLeft w:val="0"/>
          <w:marRight w:val="0"/>
          <w:marTop w:val="72"/>
          <w:marBottom w:val="240"/>
          <w:divBdr>
            <w:top w:val="none" w:sz="0" w:space="0" w:color="auto"/>
            <w:left w:val="none" w:sz="0" w:space="0" w:color="auto"/>
            <w:bottom w:val="none" w:sz="0" w:space="0" w:color="auto"/>
            <w:right w:val="none" w:sz="0" w:space="0" w:color="auto"/>
          </w:divBdr>
        </w:div>
      </w:divsChild>
    </w:div>
    <w:div w:id="982543210">
      <w:bodyDiv w:val="1"/>
      <w:marLeft w:val="0"/>
      <w:marRight w:val="0"/>
      <w:marTop w:val="0"/>
      <w:marBottom w:val="0"/>
      <w:divBdr>
        <w:top w:val="none" w:sz="0" w:space="0" w:color="auto"/>
        <w:left w:val="none" w:sz="0" w:space="0" w:color="auto"/>
        <w:bottom w:val="none" w:sz="0" w:space="0" w:color="auto"/>
        <w:right w:val="none" w:sz="0" w:space="0" w:color="auto"/>
      </w:divBdr>
      <w:divsChild>
        <w:div w:id="1125082975">
          <w:marLeft w:val="0"/>
          <w:marRight w:val="0"/>
          <w:marTop w:val="72"/>
          <w:marBottom w:val="0"/>
          <w:divBdr>
            <w:top w:val="none" w:sz="0" w:space="0" w:color="auto"/>
            <w:left w:val="none" w:sz="0" w:space="0" w:color="auto"/>
            <w:bottom w:val="none" w:sz="0" w:space="0" w:color="auto"/>
            <w:right w:val="none" w:sz="0" w:space="0" w:color="auto"/>
          </w:divBdr>
        </w:div>
        <w:div w:id="130662317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act.ro/" TargetMode="External"/><Relationship Id="rId5" Type="http://schemas.openxmlformats.org/officeDocument/2006/relationships/hyperlink" Target="https://sintact.ro/" TargetMode="External"/><Relationship Id="rId4"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Horatiu Pasca</dc:creator>
  <cp:keywords/>
  <dc:description/>
  <cp:lastModifiedBy>GEORGIANA-ADINA IONITA</cp:lastModifiedBy>
  <cp:revision>7</cp:revision>
  <dcterms:created xsi:type="dcterms:W3CDTF">2020-10-05T10:32:00Z</dcterms:created>
  <dcterms:modified xsi:type="dcterms:W3CDTF">2020-10-12T06:32:00Z</dcterms:modified>
</cp:coreProperties>
</file>