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4" w:rsidRPr="00F14666" w:rsidRDefault="003F4E84"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F14666">
        <w:rPr>
          <w:rFonts w:ascii="Tahoma" w:hAnsi="Tahoma" w:cs="Tahoma"/>
          <w:b/>
          <w:caps/>
          <w:color w:val="0070C0"/>
          <w:sz w:val="24"/>
          <w:szCs w:val="24"/>
        </w:rPr>
        <w:t>execuția bugetului general consolidat</w:t>
      </w:r>
    </w:p>
    <w:p w:rsidR="004B7A33" w:rsidRPr="00F14666" w:rsidRDefault="00DA35E4" w:rsidP="003F4E84">
      <w:pPr>
        <w:spacing w:after="120" w:line="240" w:lineRule="auto"/>
        <w:jc w:val="right"/>
        <w:rPr>
          <w:rFonts w:ascii="Tahoma" w:hAnsi="Tahoma" w:cs="Tahoma"/>
          <w:b/>
          <w:color w:val="0070C0"/>
          <w:sz w:val="24"/>
          <w:szCs w:val="24"/>
        </w:rPr>
      </w:pPr>
      <w:r w:rsidRPr="00F14666">
        <w:rPr>
          <w:rFonts w:ascii="Tahoma" w:hAnsi="Tahoma" w:cs="Tahoma"/>
          <w:b/>
          <w:color w:val="0070C0"/>
          <w:sz w:val="24"/>
          <w:szCs w:val="24"/>
        </w:rPr>
        <w:t>P</w:t>
      </w:r>
      <w:r w:rsidR="00CA4A92" w:rsidRPr="00F14666">
        <w:rPr>
          <w:rFonts w:ascii="Tahoma" w:hAnsi="Tahoma" w:cs="Tahoma"/>
          <w:b/>
          <w:color w:val="0070C0"/>
          <w:sz w:val="24"/>
          <w:szCs w:val="24"/>
        </w:rPr>
        <w:t>entru</w:t>
      </w:r>
      <w:r w:rsidRPr="00F14666">
        <w:rPr>
          <w:rFonts w:ascii="Tahoma" w:hAnsi="Tahoma" w:cs="Tahoma"/>
          <w:b/>
          <w:color w:val="0070C0"/>
          <w:sz w:val="24"/>
          <w:szCs w:val="24"/>
        </w:rPr>
        <w:t xml:space="preserve"> </w:t>
      </w:r>
      <w:r w:rsidR="001D03AF" w:rsidRPr="00F14666">
        <w:rPr>
          <w:rFonts w:ascii="Tahoma" w:hAnsi="Tahoma" w:cs="Tahoma"/>
          <w:b/>
          <w:color w:val="0070C0"/>
          <w:sz w:val="24"/>
          <w:szCs w:val="24"/>
        </w:rPr>
        <w:t xml:space="preserve">anul </w:t>
      </w:r>
      <w:r w:rsidR="004B7A33" w:rsidRPr="00F14666">
        <w:rPr>
          <w:rFonts w:ascii="Tahoma" w:hAnsi="Tahoma" w:cs="Tahoma"/>
          <w:b/>
          <w:color w:val="0070C0"/>
          <w:sz w:val="24"/>
          <w:szCs w:val="24"/>
        </w:rPr>
        <w:t>2019</w:t>
      </w:r>
      <w:r w:rsidR="00526E8B" w:rsidRPr="00F14666">
        <w:rPr>
          <w:rFonts w:ascii="Tahoma" w:hAnsi="Tahoma" w:cs="Tahoma"/>
          <w:b/>
          <w:color w:val="0070C0"/>
          <w:sz w:val="24"/>
          <w:szCs w:val="24"/>
        </w:rPr>
        <w:br/>
      </w:r>
    </w:p>
    <w:p w:rsidR="003F4E84" w:rsidRPr="00F14666" w:rsidRDefault="003F4E84" w:rsidP="003F4E84">
      <w:pPr>
        <w:spacing w:after="120" w:line="240" w:lineRule="auto"/>
        <w:jc w:val="right"/>
        <w:rPr>
          <w:rFonts w:ascii="Tahoma" w:hAnsi="Tahoma" w:cs="Tahoma"/>
          <w:b/>
          <w:color w:val="0070C0"/>
          <w:sz w:val="24"/>
          <w:szCs w:val="24"/>
        </w:rPr>
      </w:pPr>
    </w:p>
    <w:p w:rsidR="00CA4A92" w:rsidRPr="00F14666" w:rsidRDefault="000F1E3F" w:rsidP="002B3CC9">
      <w:pPr>
        <w:shd w:val="clear" w:color="auto" w:fill="DEEAF6" w:themeFill="accent1" w:themeFillTint="33"/>
        <w:spacing w:after="120" w:line="360" w:lineRule="auto"/>
        <w:jc w:val="both"/>
        <w:rPr>
          <w:rFonts w:ascii="Tahoma" w:hAnsi="Tahoma" w:cs="Tahoma"/>
          <w:sz w:val="24"/>
          <w:szCs w:val="24"/>
        </w:rPr>
      </w:pPr>
      <w:r w:rsidRPr="00F14666">
        <w:rPr>
          <w:rFonts w:ascii="Tahoma" w:hAnsi="Tahoma" w:cs="Tahoma"/>
          <w:sz w:val="24"/>
          <w:szCs w:val="24"/>
        </w:rPr>
        <w:t xml:space="preserve">Pe baza datelor operative, execuția bugetului general consolidat pe anul 2019 s-a încheiat cu un </w:t>
      </w:r>
      <w:r w:rsidRPr="00F14666">
        <w:rPr>
          <w:rFonts w:ascii="Tahoma" w:hAnsi="Tahoma" w:cs="Tahoma"/>
          <w:b/>
          <w:sz w:val="24"/>
          <w:szCs w:val="24"/>
        </w:rPr>
        <w:t>deficit de 48,</w:t>
      </w:r>
      <w:r w:rsidR="001D6927" w:rsidRPr="00F14666">
        <w:rPr>
          <w:rFonts w:ascii="Tahoma" w:hAnsi="Tahoma" w:cs="Tahoma"/>
          <w:b/>
          <w:sz w:val="24"/>
          <w:szCs w:val="24"/>
        </w:rPr>
        <w:t>3</w:t>
      </w:r>
      <w:r w:rsidRPr="00F14666">
        <w:rPr>
          <w:rFonts w:ascii="Tahoma" w:hAnsi="Tahoma" w:cs="Tahoma"/>
          <w:b/>
          <w:sz w:val="24"/>
          <w:szCs w:val="24"/>
        </w:rPr>
        <w:t xml:space="preserve"> miliarde lei (4,6% din PIB)</w:t>
      </w:r>
      <w:r w:rsidRPr="00F14666">
        <w:rPr>
          <w:rFonts w:ascii="Tahoma" w:hAnsi="Tahoma" w:cs="Tahoma"/>
          <w:sz w:val="24"/>
          <w:szCs w:val="24"/>
        </w:rPr>
        <w:t xml:space="preserve"> (Anexa nr. 1 și Anexa nr. 2).</w:t>
      </w:r>
      <w:r w:rsidR="00744E04" w:rsidRPr="00F14666">
        <w:rPr>
          <w:rFonts w:ascii="Tahoma" w:hAnsi="Tahoma" w:cs="Tahoma"/>
          <w:sz w:val="24"/>
          <w:szCs w:val="24"/>
        </w:rPr>
        <w:t xml:space="preserve"> Execuția bugetului general consolidat pe anul 2019 indică o majorare </w:t>
      </w:r>
      <w:r w:rsidR="00740BCB" w:rsidRPr="00F14666">
        <w:rPr>
          <w:rFonts w:ascii="Tahoma" w:hAnsi="Tahoma" w:cs="Tahoma"/>
          <w:sz w:val="24"/>
          <w:szCs w:val="24"/>
        </w:rPr>
        <w:t>amplă</w:t>
      </w:r>
      <w:r w:rsidR="00744E04" w:rsidRPr="00F14666">
        <w:rPr>
          <w:rFonts w:ascii="Tahoma" w:hAnsi="Tahoma" w:cs="Tahoma"/>
          <w:sz w:val="24"/>
          <w:szCs w:val="24"/>
        </w:rPr>
        <w:t xml:space="preserve"> a deficitului bugetar cu 1,8 puncte procentuale in PIB față de nivelul de 2,8% din PIB înregistrat în anul 2018. </w:t>
      </w:r>
    </w:p>
    <w:p w:rsidR="002B3CC9" w:rsidRPr="00F14666" w:rsidRDefault="002B3CC9" w:rsidP="00CA79E1">
      <w:pPr>
        <w:spacing w:after="120" w:line="360" w:lineRule="auto"/>
        <w:jc w:val="center"/>
        <w:rPr>
          <w:rFonts w:ascii="Tahoma" w:hAnsi="Tahoma" w:cs="Tahoma"/>
          <w:sz w:val="24"/>
          <w:szCs w:val="24"/>
        </w:rPr>
      </w:pPr>
    </w:p>
    <w:p w:rsidR="00CE721E" w:rsidRPr="00F14666" w:rsidRDefault="007536F7" w:rsidP="0073781B">
      <w:pPr>
        <w:spacing w:after="0" w:line="240" w:lineRule="auto"/>
        <w:jc w:val="center"/>
        <w:rPr>
          <w:rFonts w:ascii="Tahoma" w:hAnsi="Tahoma" w:cs="Tahoma"/>
          <w:sz w:val="24"/>
          <w:szCs w:val="24"/>
        </w:rPr>
      </w:pPr>
      <w:r w:rsidRPr="00F14666">
        <w:rPr>
          <w:rFonts w:ascii="Tahoma" w:hAnsi="Tahoma" w:cs="Tahoma"/>
          <w:noProof/>
          <w:sz w:val="24"/>
          <w:szCs w:val="24"/>
          <w:lang w:val="en-US"/>
        </w:rPr>
        <w:drawing>
          <wp:inline distT="0" distB="0" distL="0" distR="0" wp14:anchorId="03AD4E60">
            <wp:extent cx="5978796" cy="3225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3864" cy="3250116"/>
                    </a:xfrm>
                    <a:prstGeom prst="rect">
                      <a:avLst/>
                    </a:prstGeom>
                    <a:noFill/>
                  </pic:spPr>
                </pic:pic>
              </a:graphicData>
            </a:graphic>
          </wp:inline>
        </w:drawing>
      </w:r>
    </w:p>
    <w:p w:rsidR="0073781B" w:rsidRPr="00F14666" w:rsidRDefault="0073781B" w:rsidP="0073781B">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calcule proprii</w:t>
      </w:r>
    </w:p>
    <w:p w:rsidR="002B3CC9" w:rsidRPr="00F14666" w:rsidRDefault="002B3CC9" w:rsidP="002B3CC9">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Fig.1 Deficitul bugetar</w:t>
      </w:r>
    </w:p>
    <w:p w:rsidR="002B3CC9" w:rsidRPr="00F14666" w:rsidRDefault="002B3CC9" w:rsidP="002B3CC9">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w:t>
      </w:r>
      <w:r w:rsidR="006E734C" w:rsidRPr="00F14666">
        <w:rPr>
          <w:rFonts w:ascii="Tahoma" w:hAnsi="Tahoma" w:cs="Tahoma"/>
          <w:color w:val="767171" w:themeColor="background2" w:themeShade="80"/>
          <w:sz w:val="24"/>
          <w:szCs w:val="24"/>
        </w:rPr>
        <w:t>Ponderea în</w:t>
      </w:r>
      <w:r w:rsidRPr="00F14666">
        <w:rPr>
          <w:rFonts w:ascii="Tahoma" w:hAnsi="Tahoma" w:cs="Tahoma"/>
          <w:color w:val="767171" w:themeColor="background2" w:themeShade="80"/>
          <w:sz w:val="24"/>
          <w:szCs w:val="24"/>
        </w:rPr>
        <w:t xml:space="preserve"> PIB s-a modificat ca </w:t>
      </w:r>
      <w:r w:rsidR="00C87154" w:rsidRPr="00F14666">
        <w:rPr>
          <w:rFonts w:ascii="Tahoma" w:hAnsi="Tahoma" w:cs="Tahoma"/>
          <w:color w:val="767171" w:themeColor="background2" w:themeShade="80"/>
          <w:sz w:val="24"/>
          <w:szCs w:val="24"/>
        </w:rPr>
        <w:t>urmare a revizuirii PIB di</w:t>
      </w:r>
      <w:r w:rsidR="000F62DB" w:rsidRPr="00F14666">
        <w:rPr>
          <w:rFonts w:ascii="Tahoma" w:hAnsi="Tahoma" w:cs="Tahoma"/>
          <w:color w:val="767171" w:themeColor="background2" w:themeShade="80"/>
          <w:sz w:val="24"/>
          <w:szCs w:val="24"/>
        </w:rPr>
        <w:t xml:space="preserve">n 2018 și a </w:t>
      </w:r>
      <w:r w:rsidRPr="00F14666">
        <w:rPr>
          <w:rFonts w:ascii="Tahoma" w:hAnsi="Tahoma" w:cs="Tahoma"/>
          <w:color w:val="767171" w:themeColor="background2" w:themeShade="80"/>
          <w:sz w:val="24"/>
          <w:szCs w:val="24"/>
        </w:rPr>
        <w:t>PIB estimat pentru anul 2019</w:t>
      </w:r>
    </w:p>
    <w:p w:rsidR="00F972DC" w:rsidRPr="00F14666"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14666">
        <w:rPr>
          <w:rFonts w:ascii="Tahoma" w:hAnsi="Tahoma" w:cs="Tahoma"/>
          <w:b/>
          <w:caps/>
          <w:color w:val="0070C0"/>
          <w:sz w:val="24"/>
          <w:szCs w:val="24"/>
        </w:rPr>
        <w:t>veniturile bugetului general consolidat</w:t>
      </w:r>
    </w:p>
    <w:p w:rsidR="000F1E3F" w:rsidRPr="00F14666" w:rsidRDefault="000F1E3F" w:rsidP="000F1E3F">
      <w:pPr>
        <w:spacing w:after="120" w:line="240" w:lineRule="auto"/>
        <w:rPr>
          <w:rFonts w:ascii="Tahoma" w:hAnsi="Tahoma" w:cs="Tahoma"/>
          <w:b/>
          <w:color w:val="0070C0"/>
          <w:sz w:val="24"/>
          <w:szCs w:val="24"/>
        </w:rPr>
      </w:pPr>
    </w:p>
    <w:p w:rsidR="00CF1ED7" w:rsidRPr="00F14666" w:rsidRDefault="00CF1ED7" w:rsidP="00CF1ED7">
      <w:pPr>
        <w:shd w:val="clear" w:color="auto" w:fill="D9D9D9" w:themeFill="background1" w:themeFillShade="D9"/>
        <w:spacing w:after="120" w:line="360" w:lineRule="auto"/>
        <w:jc w:val="both"/>
        <w:rPr>
          <w:rFonts w:ascii="Tahoma" w:hAnsi="Tahoma" w:cs="Tahoma"/>
          <w:sz w:val="24"/>
          <w:szCs w:val="24"/>
        </w:rPr>
      </w:pPr>
      <w:r w:rsidRPr="00F14666">
        <w:rPr>
          <w:rFonts w:ascii="Tahoma" w:hAnsi="Tahoma" w:cs="Tahoma"/>
          <w:sz w:val="24"/>
          <w:szCs w:val="24"/>
        </w:rPr>
        <w:t>Veniturile bugetului general consolidat au însumat 321,1</w:t>
      </w:r>
      <w:r w:rsidR="00BE5D00" w:rsidRPr="00F14666">
        <w:rPr>
          <w:rFonts w:ascii="Tahoma" w:hAnsi="Tahoma" w:cs="Tahoma"/>
          <w:sz w:val="24"/>
          <w:szCs w:val="24"/>
        </w:rPr>
        <w:t>3</w:t>
      </w:r>
      <w:r w:rsidRPr="00F14666">
        <w:rPr>
          <w:rFonts w:ascii="Tahoma" w:hAnsi="Tahoma" w:cs="Tahoma"/>
          <w:sz w:val="24"/>
          <w:szCs w:val="24"/>
        </w:rPr>
        <w:t xml:space="preserve"> mld lei, în creștere nominală cu 8,8%  față de nivelul înregistrat în anul 2018. </w:t>
      </w:r>
      <w:r w:rsidR="005922C0" w:rsidRPr="00F14666">
        <w:rPr>
          <w:rFonts w:ascii="Tahoma" w:hAnsi="Tahoma" w:cs="Tahoma"/>
          <w:sz w:val="24"/>
          <w:szCs w:val="24"/>
        </w:rPr>
        <w:t xml:space="preserve">În raport cu </w:t>
      </w:r>
      <w:r w:rsidR="00107875" w:rsidRPr="00F14666">
        <w:rPr>
          <w:rFonts w:ascii="Tahoma" w:hAnsi="Tahoma" w:cs="Tahoma"/>
          <w:sz w:val="24"/>
          <w:szCs w:val="24"/>
        </w:rPr>
        <w:t>programul inițial</w:t>
      </w:r>
      <w:r w:rsidR="005922C0" w:rsidRPr="00F14666">
        <w:rPr>
          <w:rFonts w:ascii="Tahoma" w:hAnsi="Tahoma" w:cs="Tahoma"/>
          <w:sz w:val="24"/>
          <w:szCs w:val="24"/>
        </w:rPr>
        <w:t xml:space="preserve"> </w:t>
      </w:r>
      <w:r w:rsidR="006C76FA" w:rsidRPr="00F14666">
        <w:rPr>
          <w:rFonts w:ascii="Tahoma" w:hAnsi="Tahoma" w:cs="Tahoma"/>
          <w:sz w:val="24"/>
          <w:szCs w:val="24"/>
        </w:rPr>
        <w:t xml:space="preserve">al veniturilor </w:t>
      </w:r>
      <w:r w:rsidR="00896686" w:rsidRPr="00F14666">
        <w:rPr>
          <w:rFonts w:ascii="Tahoma" w:hAnsi="Tahoma" w:cs="Tahoma"/>
          <w:sz w:val="24"/>
          <w:szCs w:val="24"/>
        </w:rPr>
        <w:t>bugetare</w:t>
      </w:r>
      <w:r w:rsidR="006C76FA" w:rsidRPr="00F14666">
        <w:rPr>
          <w:rFonts w:ascii="Tahoma" w:hAnsi="Tahoma" w:cs="Tahoma"/>
          <w:sz w:val="24"/>
          <w:szCs w:val="24"/>
        </w:rPr>
        <w:t xml:space="preserve"> </w:t>
      </w:r>
      <w:r w:rsidR="00107875" w:rsidRPr="00F14666">
        <w:rPr>
          <w:rFonts w:ascii="Tahoma" w:hAnsi="Tahoma" w:cs="Tahoma"/>
          <w:sz w:val="24"/>
          <w:szCs w:val="24"/>
        </w:rPr>
        <w:t>potrivit</w:t>
      </w:r>
      <w:r w:rsidR="00896686" w:rsidRPr="00F14666">
        <w:rPr>
          <w:rFonts w:ascii="Tahoma" w:hAnsi="Tahoma" w:cs="Tahoma"/>
          <w:sz w:val="24"/>
          <w:szCs w:val="24"/>
        </w:rPr>
        <w:t xml:space="preserve"> </w:t>
      </w:r>
      <w:r w:rsidR="00F14666" w:rsidRPr="00F14666">
        <w:rPr>
          <w:rFonts w:ascii="Tahoma" w:hAnsi="Tahoma" w:cs="Tahoma"/>
          <w:sz w:val="24"/>
          <w:szCs w:val="24"/>
        </w:rPr>
        <w:t>legilor</w:t>
      </w:r>
      <w:r w:rsidR="005922C0" w:rsidRPr="00F14666">
        <w:rPr>
          <w:rFonts w:ascii="Tahoma" w:hAnsi="Tahoma" w:cs="Tahoma"/>
          <w:sz w:val="24"/>
          <w:szCs w:val="24"/>
        </w:rPr>
        <w:t xml:space="preserve"> bugetare anuale </w:t>
      </w:r>
      <w:r w:rsidR="00107875" w:rsidRPr="00F14666">
        <w:rPr>
          <w:rFonts w:ascii="Tahoma" w:hAnsi="Tahoma" w:cs="Tahoma"/>
          <w:sz w:val="24"/>
          <w:szCs w:val="24"/>
        </w:rPr>
        <w:t xml:space="preserve">aprobate </w:t>
      </w:r>
      <w:r w:rsidR="005922C0" w:rsidRPr="00F14666">
        <w:rPr>
          <w:rFonts w:ascii="Tahoma" w:hAnsi="Tahoma" w:cs="Tahoma"/>
          <w:sz w:val="24"/>
          <w:szCs w:val="24"/>
        </w:rPr>
        <w:t>pentru anul 2019, s</w:t>
      </w:r>
      <w:r w:rsidR="00D109D6" w:rsidRPr="00F14666">
        <w:rPr>
          <w:rFonts w:ascii="Tahoma" w:hAnsi="Tahoma" w:cs="Tahoma"/>
          <w:sz w:val="24"/>
          <w:szCs w:val="24"/>
        </w:rPr>
        <w:t>-au</w:t>
      </w:r>
      <w:r w:rsidR="005922C0" w:rsidRPr="00F14666">
        <w:rPr>
          <w:rFonts w:ascii="Tahoma" w:hAnsi="Tahoma" w:cs="Tahoma"/>
          <w:sz w:val="24"/>
          <w:szCs w:val="24"/>
        </w:rPr>
        <w:t xml:space="preserve"> </w:t>
      </w:r>
      <w:r w:rsidR="006C76FA" w:rsidRPr="00F14666">
        <w:rPr>
          <w:rFonts w:ascii="Tahoma" w:hAnsi="Tahoma" w:cs="Tahoma"/>
          <w:sz w:val="24"/>
          <w:szCs w:val="24"/>
        </w:rPr>
        <w:t>înregistr</w:t>
      </w:r>
      <w:r w:rsidR="00D109D6" w:rsidRPr="00F14666">
        <w:rPr>
          <w:rFonts w:ascii="Tahoma" w:hAnsi="Tahoma" w:cs="Tahoma"/>
          <w:sz w:val="24"/>
          <w:szCs w:val="24"/>
        </w:rPr>
        <w:t xml:space="preserve">at încasări </w:t>
      </w:r>
      <w:r w:rsidR="00D109D6" w:rsidRPr="00F14666">
        <w:rPr>
          <w:rFonts w:ascii="Tahoma" w:hAnsi="Tahoma" w:cs="Tahoma"/>
          <w:sz w:val="24"/>
          <w:szCs w:val="24"/>
        </w:rPr>
        <w:lastRenderedPageBreak/>
        <w:t>mai reduse cu 21,5 mld lei</w:t>
      </w:r>
      <w:r w:rsidR="006C76FA" w:rsidRPr="00F14666">
        <w:rPr>
          <w:rFonts w:ascii="Tahoma" w:hAnsi="Tahoma" w:cs="Tahoma"/>
          <w:sz w:val="24"/>
          <w:szCs w:val="24"/>
        </w:rPr>
        <w:t xml:space="preserve"> </w:t>
      </w:r>
      <w:r w:rsidR="00D109D6" w:rsidRPr="00F14666">
        <w:rPr>
          <w:rFonts w:ascii="Tahoma" w:hAnsi="Tahoma" w:cs="Tahoma"/>
          <w:sz w:val="24"/>
          <w:szCs w:val="24"/>
        </w:rPr>
        <w:t>(</w:t>
      </w:r>
      <w:r w:rsidR="006C76FA" w:rsidRPr="00F14666">
        <w:rPr>
          <w:rFonts w:ascii="Tahoma" w:hAnsi="Tahoma" w:cs="Tahoma"/>
          <w:sz w:val="24"/>
          <w:szCs w:val="24"/>
        </w:rPr>
        <w:t>grad de realizare de 93,7%</w:t>
      </w:r>
      <w:r w:rsidR="00D109D6" w:rsidRPr="00F14666">
        <w:rPr>
          <w:rFonts w:ascii="Tahoma" w:hAnsi="Tahoma" w:cs="Tahoma"/>
          <w:sz w:val="24"/>
          <w:szCs w:val="24"/>
        </w:rPr>
        <w:t>)</w:t>
      </w:r>
      <w:r w:rsidR="00943365" w:rsidRPr="00F14666">
        <w:rPr>
          <w:rFonts w:ascii="Tahoma" w:hAnsi="Tahoma" w:cs="Tahoma"/>
          <w:sz w:val="24"/>
          <w:szCs w:val="24"/>
        </w:rPr>
        <w:t>, din care 8,4</w:t>
      </w:r>
      <w:r w:rsidR="000A25FA" w:rsidRPr="00F14666">
        <w:rPr>
          <w:rFonts w:ascii="Tahoma" w:hAnsi="Tahoma" w:cs="Tahoma"/>
          <w:sz w:val="24"/>
          <w:szCs w:val="24"/>
        </w:rPr>
        <w:t xml:space="preserve"> mld</w:t>
      </w:r>
      <w:r w:rsidR="00943365" w:rsidRPr="00F14666">
        <w:rPr>
          <w:rFonts w:ascii="Tahoma" w:hAnsi="Tahoma" w:cs="Tahoma"/>
          <w:sz w:val="24"/>
          <w:szCs w:val="24"/>
        </w:rPr>
        <w:t xml:space="preserve"> lei</w:t>
      </w:r>
      <w:r w:rsidR="000A25FA" w:rsidRPr="00F14666">
        <w:rPr>
          <w:rFonts w:ascii="Tahoma" w:hAnsi="Tahoma" w:cs="Tahoma"/>
          <w:sz w:val="24"/>
          <w:szCs w:val="24"/>
        </w:rPr>
        <w:t xml:space="preserve"> corespund sumelor primite de la UE, 6,1 mld lei veniturilor fiscale, </w:t>
      </w:r>
      <w:r w:rsidR="0048518E" w:rsidRPr="00F14666">
        <w:rPr>
          <w:rFonts w:ascii="Tahoma" w:hAnsi="Tahoma" w:cs="Tahoma"/>
          <w:sz w:val="24"/>
          <w:szCs w:val="24"/>
        </w:rPr>
        <w:t>5,8</w:t>
      </w:r>
      <w:r w:rsidR="000A25FA" w:rsidRPr="00F14666">
        <w:rPr>
          <w:rFonts w:ascii="Tahoma" w:hAnsi="Tahoma" w:cs="Tahoma"/>
          <w:sz w:val="24"/>
          <w:szCs w:val="24"/>
        </w:rPr>
        <w:t xml:space="preserve"> mld lei încasărilor din </w:t>
      </w:r>
      <w:r w:rsidR="00EF2503" w:rsidRPr="00F14666">
        <w:rPr>
          <w:rFonts w:ascii="Tahoma" w:hAnsi="Tahoma" w:cs="Tahoma"/>
          <w:sz w:val="24"/>
          <w:szCs w:val="24"/>
        </w:rPr>
        <w:t>contribuții</w:t>
      </w:r>
      <w:r w:rsidR="000A25FA" w:rsidRPr="00F14666">
        <w:rPr>
          <w:rFonts w:ascii="Tahoma" w:hAnsi="Tahoma" w:cs="Tahoma"/>
          <w:sz w:val="24"/>
          <w:szCs w:val="24"/>
        </w:rPr>
        <w:t xml:space="preserve"> sociale</w:t>
      </w:r>
      <w:r w:rsidR="00943365" w:rsidRPr="00F14666">
        <w:rPr>
          <w:rFonts w:ascii="Tahoma" w:hAnsi="Tahoma" w:cs="Tahoma"/>
          <w:sz w:val="24"/>
          <w:szCs w:val="24"/>
        </w:rPr>
        <w:t>,</w:t>
      </w:r>
      <w:r w:rsidR="000A25FA" w:rsidRPr="00F14666">
        <w:rPr>
          <w:rFonts w:ascii="Tahoma" w:hAnsi="Tahoma" w:cs="Tahoma"/>
          <w:sz w:val="24"/>
          <w:szCs w:val="24"/>
        </w:rPr>
        <w:t xml:space="preserve"> iar 1,2 mld lei veniturilor nefiscale.</w:t>
      </w:r>
    </w:p>
    <w:p w:rsidR="008154B0" w:rsidRPr="00F14666" w:rsidRDefault="00744E04" w:rsidP="00CF1ED7">
      <w:pPr>
        <w:shd w:val="clear" w:color="auto" w:fill="D9D9D9" w:themeFill="background1" w:themeFillShade="D9"/>
        <w:spacing w:after="120" w:line="360" w:lineRule="auto"/>
        <w:jc w:val="both"/>
        <w:rPr>
          <w:rFonts w:ascii="Tahoma" w:hAnsi="Tahoma" w:cs="Tahoma"/>
          <w:sz w:val="24"/>
          <w:szCs w:val="24"/>
        </w:rPr>
      </w:pPr>
      <w:r w:rsidRPr="00F14666">
        <w:rPr>
          <w:rFonts w:ascii="Tahoma" w:hAnsi="Tahoma" w:cs="Tahoma"/>
          <w:sz w:val="24"/>
          <w:szCs w:val="24"/>
        </w:rPr>
        <w:t xml:space="preserve">Totuși, exprimate ca pondere în PIB, veniturile bugetare au înregistrat o reducere marginală (0,1 puncte procentuale) de la 31,0% din PIB 2018 la 30,9% din PIB în 2019. În structura încasărilor, se constată că reducerea cu 0,1 puncte procentuale din PIB a fost determinată în principal de </w:t>
      </w:r>
      <w:r w:rsidR="00A46A47" w:rsidRPr="00F14666">
        <w:rPr>
          <w:rFonts w:ascii="Tahoma" w:hAnsi="Tahoma" w:cs="Tahoma"/>
          <w:sz w:val="24"/>
          <w:szCs w:val="24"/>
        </w:rPr>
        <w:t xml:space="preserve">reducerea veniturilor nefiscale (0,3 puncte procentuale) și a sumelor de la Uniunea Europeană în contul plăților efectuate (0,4 puncte procentuale) în timp ce </w:t>
      </w:r>
      <w:r w:rsidR="008154B0" w:rsidRPr="00F14666">
        <w:rPr>
          <w:rFonts w:ascii="Tahoma" w:hAnsi="Tahoma" w:cs="Tahoma"/>
          <w:sz w:val="24"/>
          <w:szCs w:val="24"/>
        </w:rPr>
        <w:t>veniturile fiscale s-au menținut la 15% din PIB în anul 2019</w:t>
      </w:r>
      <w:r w:rsidR="001E6762" w:rsidRPr="00F14666">
        <w:rPr>
          <w:rFonts w:ascii="Tahoma" w:hAnsi="Tahoma" w:cs="Tahoma"/>
          <w:sz w:val="24"/>
          <w:szCs w:val="24"/>
        </w:rPr>
        <w:t>,</w:t>
      </w:r>
      <w:r w:rsidR="00A46A47" w:rsidRPr="00F14666">
        <w:rPr>
          <w:rFonts w:ascii="Tahoma" w:hAnsi="Tahoma" w:cs="Tahoma"/>
          <w:sz w:val="24"/>
          <w:szCs w:val="24"/>
        </w:rPr>
        <w:t xml:space="preserve"> iar</w:t>
      </w:r>
      <w:r w:rsidR="008154B0" w:rsidRPr="00F14666">
        <w:rPr>
          <w:rFonts w:ascii="Tahoma" w:hAnsi="Tahoma" w:cs="Tahoma"/>
          <w:sz w:val="24"/>
          <w:szCs w:val="24"/>
        </w:rPr>
        <w:t xml:space="preserve"> venituril</w:t>
      </w:r>
      <w:r w:rsidR="00A46A47" w:rsidRPr="00F14666">
        <w:rPr>
          <w:rFonts w:ascii="Tahoma" w:hAnsi="Tahoma" w:cs="Tahoma"/>
          <w:sz w:val="24"/>
          <w:szCs w:val="24"/>
        </w:rPr>
        <w:t>e</w:t>
      </w:r>
      <w:r w:rsidR="008154B0" w:rsidRPr="00F14666">
        <w:rPr>
          <w:rFonts w:ascii="Tahoma" w:hAnsi="Tahoma" w:cs="Tahoma"/>
          <w:sz w:val="24"/>
          <w:szCs w:val="24"/>
        </w:rPr>
        <w:t xml:space="preserve"> din contribuții sociale </w:t>
      </w:r>
      <w:r w:rsidR="00A46A47" w:rsidRPr="00F14666">
        <w:rPr>
          <w:rFonts w:ascii="Tahoma" w:hAnsi="Tahoma" w:cs="Tahoma"/>
          <w:sz w:val="24"/>
          <w:szCs w:val="24"/>
        </w:rPr>
        <w:t>au crescut cu</w:t>
      </w:r>
      <w:r w:rsidR="008154B0" w:rsidRPr="00F14666">
        <w:rPr>
          <w:rFonts w:ascii="Tahoma" w:hAnsi="Tahoma" w:cs="Tahoma"/>
          <w:sz w:val="24"/>
          <w:szCs w:val="24"/>
        </w:rPr>
        <w:t xml:space="preserve"> 0,4 puncte procentuale din PIB.</w:t>
      </w:r>
      <w:r w:rsidR="000A4203" w:rsidRPr="00F14666">
        <w:rPr>
          <w:rStyle w:val="FootnoteReference"/>
          <w:rFonts w:ascii="Tahoma" w:hAnsi="Tahoma" w:cs="Tahoma"/>
          <w:sz w:val="24"/>
          <w:szCs w:val="24"/>
        </w:rPr>
        <w:footnoteReference w:id="1"/>
      </w:r>
    </w:p>
    <w:p w:rsidR="0048518E" w:rsidRPr="00F14666" w:rsidRDefault="0048518E" w:rsidP="00CF1ED7">
      <w:pPr>
        <w:spacing w:after="120" w:line="360" w:lineRule="auto"/>
        <w:jc w:val="both"/>
        <w:rPr>
          <w:rFonts w:ascii="Tahoma" w:hAnsi="Tahoma" w:cs="Tahoma"/>
          <w:sz w:val="24"/>
          <w:szCs w:val="24"/>
        </w:rPr>
      </w:pPr>
    </w:p>
    <w:p w:rsidR="001707DC" w:rsidRPr="00F14666" w:rsidRDefault="001707DC" w:rsidP="00CF1ED7">
      <w:pPr>
        <w:spacing w:after="120" w:line="360" w:lineRule="auto"/>
        <w:jc w:val="both"/>
        <w:rPr>
          <w:rFonts w:ascii="Tahoma" w:hAnsi="Tahoma" w:cs="Tahoma"/>
          <w:sz w:val="24"/>
          <w:szCs w:val="24"/>
        </w:rPr>
      </w:pPr>
      <w:r w:rsidRPr="00F14666">
        <w:rPr>
          <w:rFonts w:ascii="Tahoma" w:hAnsi="Tahoma" w:cs="Tahoma"/>
          <w:sz w:val="24"/>
          <w:szCs w:val="24"/>
        </w:rPr>
        <w:t xml:space="preserve">Veniturile din </w:t>
      </w:r>
      <w:r w:rsidRPr="00F14666">
        <w:rPr>
          <w:rFonts w:ascii="Tahoma" w:hAnsi="Tahoma" w:cs="Tahoma"/>
          <w:b/>
          <w:i/>
          <w:sz w:val="24"/>
          <w:szCs w:val="24"/>
        </w:rPr>
        <w:t>impozitul pe profit</w:t>
      </w:r>
      <w:r w:rsidRPr="00F14666">
        <w:rPr>
          <w:rFonts w:ascii="Tahoma" w:hAnsi="Tahoma" w:cs="Tahoma"/>
          <w:sz w:val="24"/>
          <w:szCs w:val="24"/>
        </w:rPr>
        <w:t xml:space="preserve"> au înregistrat </w:t>
      </w:r>
      <w:r w:rsidR="00C624BA" w:rsidRPr="00F14666">
        <w:rPr>
          <w:rFonts w:ascii="Tahoma" w:hAnsi="Tahoma" w:cs="Tahoma"/>
          <w:sz w:val="24"/>
          <w:szCs w:val="24"/>
        </w:rPr>
        <w:t>17</w:t>
      </w:r>
      <w:r w:rsidRPr="00F14666">
        <w:rPr>
          <w:rFonts w:ascii="Tahoma" w:hAnsi="Tahoma" w:cs="Tahoma"/>
          <w:sz w:val="24"/>
          <w:szCs w:val="24"/>
        </w:rPr>
        <w:t>,</w:t>
      </w:r>
      <w:r w:rsidR="00C624BA" w:rsidRPr="00F14666">
        <w:rPr>
          <w:rFonts w:ascii="Tahoma" w:hAnsi="Tahoma" w:cs="Tahoma"/>
          <w:sz w:val="24"/>
          <w:szCs w:val="24"/>
        </w:rPr>
        <w:t>7</w:t>
      </w:r>
      <w:r w:rsidR="001A2254" w:rsidRPr="00F14666">
        <w:rPr>
          <w:rFonts w:ascii="Tahoma" w:hAnsi="Tahoma" w:cs="Tahoma"/>
          <w:sz w:val="24"/>
          <w:szCs w:val="24"/>
        </w:rPr>
        <w:t>2</w:t>
      </w:r>
      <w:r w:rsidRPr="00F14666">
        <w:rPr>
          <w:rFonts w:ascii="Tahoma" w:hAnsi="Tahoma" w:cs="Tahoma"/>
          <w:sz w:val="24"/>
          <w:szCs w:val="24"/>
        </w:rPr>
        <w:t xml:space="preserve"> mld lei în anul 2019 </w:t>
      </w:r>
      <w:proofErr w:type="spellStart"/>
      <w:r w:rsidRPr="00F14666">
        <w:rPr>
          <w:rFonts w:ascii="Tahoma" w:hAnsi="Tahoma" w:cs="Tahoma"/>
          <w:sz w:val="24"/>
          <w:szCs w:val="24"/>
        </w:rPr>
        <w:t>şi</w:t>
      </w:r>
      <w:proofErr w:type="spellEnd"/>
      <w:r w:rsidRPr="00F14666">
        <w:rPr>
          <w:rFonts w:ascii="Tahoma" w:hAnsi="Tahoma" w:cs="Tahoma"/>
          <w:sz w:val="24"/>
          <w:szCs w:val="24"/>
        </w:rPr>
        <w:t xml:space="preserve"> prezintă o creștere nominală de </w:t>
      </w:r>
      <w:r w:rsidR="00C624BA" w:rsidRPr="00F14666">
        <w:rPr>
          <w:rFonts w:ascii="Tahoma" w:hAnsi="Tahoma" w:cs="Tahoma"/>
          <w:sz w:val="24"/>
          <w:szCs w:val="24"/>
        </w:rPr>
        <w:t>13</w:t>
      </w:r>
      <w:r w:rsidRPr="00F14666">
        <w:rPr>
          <w:rFonts w:ascii="Tahoma" w:hAnsi="Tahoma" w:cs="Tahoma"/>
          <w:sz w:val="24"/>
          <w:szCs w:val="24"/>
        </w:rPr>
        <w:t>,</w:t>
      </w:r>
      <w:r w:rsidR="00C624BA" w:rsidRPr="00F14666">
        <w:rPr>
          <w:rFonts w:ascii="Tahoma" w:hAnsi="Tahoma" w:cs="Tahoma"/>
          <w:sz w:val="24"/>
          <w:szCs w:val="24"/>
        </w:rPr>
        <w:t>2</w:t>
      </w:r>
      <w:r w:rsidRPr="00F14666">
        <w:rPr>
          <w:rFonts w:ascii="Tahoma" w:hAnsi="Tahoma" w:cs="Tahoma"/>
          <w:sz w:val="24"/>
          <w:szCs w:val="24"/>
        </w:rPr>
        <w:t>% față de anul 2018</w:t>
      </w:r>
      <w:r w:rsidR="00896686" w:rsidRPr="00F14666">
        <w:rPr>
          <w:rFonts w:ascii="Tahoma" w:hAnsi="Tahoma" w:cs="Tahoma"/>
          <w:sz w:val="24"/>
          <w:szCs w:val="24"/>
        </w:rPr>
        <w:t>,</w:t>
      </w:r>
      <w:r w:rsidRPr="00F14666">
        <w:rPr>
          <w:rFonts w:ascii="Tahoma" w:hAnsi="Tahoma" w:cs="Tahoma"/>
          <w:sz w:val="24"/>
          <w:szCs w:val="24"/>
        </w:rPr>
        <w:t xml:space="preserve"> </w:t>
      </w:r>
      <w:r w:rsidR="00C624BA" w:rsidRPr="00F14666">
        <w:rPr>
          <w:rFonts w:ascii="Tahoma" w:hAnsi="Tahoma" w:cs="Tahoma"/>
          <w:sz w:val="24"/>
          <w:szCs w:val="24"/>
        </w:rPr>
        <w:t>în principal</w:t>
      </w:r>
      <w:r w:rsidR="00896686" w:rsidRPr="00F14666">
        <w:rPr>
          <w:rFonts w:ascii="Tahoma" w:hAnsi="Tahoma" w:cs="Tahoma"/>
          <w:sz w:val="24"/>
          <w:szCs w:val="24"/>
        </w:rPr>
        <w:t>,</w:t>
      </w:r>
      <w:r w:rsidR="00C624BA" w:rsidRPr="00F14666">
        <w:rPr>
          <w:rFonts w:ascii="Tahoma" w:hAnsi="Tahoma" w:cs="Tahoma"/>
          <w:sz w:val="24"/>
          <w:szCs w:val="24"/>
        </w:rPr>
        <w:t xml:space="preserve"> ca urmare a avansului </w:t>
      </w:r>
      <w:r w:rsidR="00F07738" w:rsidRPr="00F14666">
        <w:rPr>
          <w:rFonts w:ascii="Tahoma" w:hAnsi="Tahoma" w:cs="Tahoma"/>
          <w:sz w:val="24"/>
          <w:szCs w:val="24"/>
        </w:rPr>
        <w:t xml:space="preserve">cu 70% a </w:t>
      </w:r>
      <w:r w:rsidR="00C624BA" w:rsidRPr="00F14666">
        <w:rPr>
          <w:rFonts w:ascii="Tahoma" w:hAnsi="Tahoma" w:cs="Tahoma"/>
          <w:sz w:val="24"/>
          <w:szCs w:val="24"/>
        </w:rPr>
        <w:t xml:space="preserve">încasărilor din impozitul de profit </w:t>
      </w:r>
      <w:r w:rsidR="00F07738" w:rsidRPr="00F14666">
        <w:rPr>
          <w:rFonts w:ascii="Tahoma" w:hAnsi="Tahoma" w:cs="Tahoma"/>
          <w:sz w:val="24"/>
          <w:szCs w:val="24"/>
        </w:rPr>
        <w:t xml:space="preserve">datorat de băncile </w:t>
      </w:r>
      <w:r w:rsidR="00C624BA" w:rsidRPr="00F14666">
        <w:rPr>
          <w:rFonts w:ascii="Tahoma" w:hAnsi="Tahoma" w:cs="Tahoma"/>
          <w:sz w:val="24"/>
          <w:szCs w:val="24"/>
        </w:rPr>
        <w:t xml:space="preserve">comerciale. </w:t>
      </w:r>
      <w:r w:rsidR="00256949" w:rsidRPr="00F14666">
        <w:rPr>
          <w:rFonts w:ascii="Tahoma" w:hAnsi="Tahoma" w:cs="Tahoma"/>
          <w:sz w:val="24"/>
          <w:szCs w:val="24"/>
        </w:rPr>
        <w:t xml:space="preserve">Veniturile din impozitul pe profit au crescut în luna decembrie cu un ritm anual de 28,4%, </w:t>
      </w:r>
      <w:r w:rsidR="000916B5" w:rsidRPr="00F14666">
        <w:rPr>
          <w:rFonts w:ascii="Tahoma" w:hAnsi="Tahoma" w:cs="Tahoma"/>
          <w:sz w:val="24"/>
          <w:szCs w:val="24"/>
        </w:rPr>
        <w:t>superior</w:t>
      </w:r>
      <w:r w:rsidR="00256949" w:rsidRPr="00F14666">
        <w:rPr>
          <w:rFonts w:ascii="Tahoma" w:hAnsi="Tahoma" w:cs="Tahoma"/>
          <w:sz w:val="24"/>
          <w:szCs w:val="24"/>
        </w:rPr>
        <w:t xml:space="preserve"> </w:t>
      </w:r>
      <w:r w:rsidR="000916B5" w:rsidRPr="00F14666">
        <w:rPr>
          <w:rFonts w:ascii="Tahoma" w:hAnsi="Tahoma" w:cs="Tahoma"/>
          <w:sz w:val="24"/>
          <w:szCs w:val="24"/>
        </w:rPr>
        <w:t>ritmului</w:t>
      </w:r>
      <w:r w:rsidR="00256949" w:rsidRPr="00F14666">
        <w:rPr>
          <w:rFonts w:ascii="Tahoma" w:hAnsi="Tahoma" w:cs="Tahoma"/>
          <w:sz w:val="24"/>
          <w:szCs w:val="24"/>
        </w:rPr>
        <w:t xml:space="preserve"> înregist</w:t>
      </w:r>
      <w:r w:rsidR="000916B5" w:rsidRPr="00F14666">
        <w:rPr>
          <w:rFonts w:ascii="Tahoma" w:hAnsi="Tahoma" w:cs="Tahoma"/>
          <w:sz w:val="24"/>
          <w:szCs w:val="24"/>
        </w:rPr>
        <w:t>rat</w:t>
      </w:r>
      <w:r w:rsidR="00256949" w:rsidRPr="00F14666">
        <w:rPr>
          <w:rFonts w:ascii="Tahoma" w:hAnsi="Tahoma" w:cs="Tahoma"/>
          <w:sz w:val="24"/>
          <w:szCs w:val="24"/>
        </w:rPr>
        <w:t xml:space="preserve"> în </w:t>
      </w:r>
      <w:r w:rsidR="000916B5" w:rsidRPr="00F14666">
        <w:rPr>
          <w:rFonts w:ascii="Tahoma" w:hAnsi="Tahoma" w:cs="Tahoma"/>
          <w:sz w:val="24"/>
          <w:szCs w:val="24"/>
        </w:rPr>
        <w:t>primele 11 luni ale anului</w:t>
      </w:r>
      <w:r w:rsidR="00256949" w:rsidRPr="00F14666">
        <w:rPr>
          <w:rFonts w:ascii="Tahoma" w:hAnsi="Tahoma" w:cs="Tahoma"/>
          <w:sz w:val="24"/>
          <w:szCs w:val="24"/>
        </w:rPr>
        <w:t xml:space="preserve">. </w:t>
      </w:r>
      <w:r w:rsidR="006A012D" w:rsidRPr="00F14666">
        <w:rPr>
          <w:rFonts w:ascii="Tahoma" w:hAnsi="Tahoma" w:cs="Tahoma"/>
          <w:sz w:val="24"/>
          <w:szCs w:val="24"/>
        </w:rPr>
        <w:t xml:space="preserve">De asemenea, această </w:t>
      </w:r>
      <w:r w:rsidR="001E6762" w:rsidRPr="00F14666">
        <w:rPr>
          <w:rFonts w:ascii="Tahoma" w:hAnsi="Tahoma" w:cs="Tahoma"/>
          <w:sz w:val="24"/>
          <w:szCs w:val="24"/>
        </w:rPr>
        <w:t>evoluție</w:t>
      </w:r>
      <w:r w:rsidR="006A012D" w:rsidRPr="00F14666">
        <w:rPr>
          <w:rFonts w:ascii="Tahoma" w:hAnsi="Tahoma" w:cs="Tahoma"/>
          <w:sz w:val="24"/>
          <w:szCs w:val="24"/>
        </w:rPr>
        <w:t xml:space="preserve"> a contribuit la înregistrarea unor încasări anuale cu 0,5</w:t>
      </w:r>
      <w:r w:rsidR="001A2254" w:rsidRPr="00F14666">
        <w:rPr>
          <w:rFonts w:ascii="Tahoma" w:hAnsi="Tahoma" w:cs="Tahoma"/>
          <w:sz w:val="24"/>
          <w:szCs w:val="24"/>
        </w:rPr>
        <w:t>3</w:t>
      </w:r>
      <w:r w:rsidR="006A012D" w:rsidRPr="00F14666">
        <w:rPr>
          <w:rFonts w:ascii="Tahoma" w:hAnsi="Tahoma" w:cs="Tahoma"/>
          <w:sz w:val="24"/>
          <w:szCs w:val="24"/>
        </w:rPr>
        <w:t xml:space="preserve"> mld lei mai mari în </w:t>
      </w:r>
      <w:r w:rsidR="001E6762" w:rsidRPr="00F14666">
        <w:rPr>
          <w:rFonts w:ascii="Tahoma" w:hAnsi="Tahoma" w:cs="Tahoma"/>
          <w:sz w:val="24"/>
          <w:szCs w:val="24"/>
        </w:rPr>
        <w:t>comparație</w:t>
      </w:r>
      <w:r w:rsidR="006A012D" w:rsidRPr="00F14666">
        <w:rPr>
          <w:rFonts w:ascii="Tahoma" w:hAnsi="Tahoma" w:cs="Tahoma"/>
          <w:sz w:val="24"/>
          <w:szCs w:val="24"/>
        </w:rPr>
        <w:t xml:space="preserve"> cu programul </w:t>
      </w:r>
      <w:r w:rsidR="001E6762" w:rsidRPr="00F14666">
        <w:rPr>
          <w:rFonts w:ascii="Tahoma" w:hAnsi="Tahoma" w:cs="Tahoma"/>
          <w:sz w:val="24"/>
          <w:szCs w:val="24"/>
        </w:rPr>
        <w:t>inițial</w:t>
      </w:r>
      <w:r w:rsidR="006A012D" w:rsidRPr="00F14666">
        <w:rPr>
          <w:rFonts w:ascii="Tahoma" w:hAnsi="Tahoma" w:cs="Tahoma"/>
          <w:sz w:val="24"/>
          <w:szCs w:val="24"/>
        </w:rPr>
        <w:t xml:space="preserve"> (grad de realizare de 103,1%).</w:t>
      </w: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Încasările din </w:t>
      </w:r>
      <w:r w:rsidRPr="00F14666">
        <w:rPr>
          <w:rFonts w:ascii="Tahoma" w:hAnsi="Tahoma" w:cs="Tahoma"/>
          <w:b/>
          <w:i/>
          <w:sz w:val="24"/>
          <w:szCs w:val="24"/>
        </w:rPr>
        <w:t>impozitul pe venit</w:t>
      </w:r>
      <w:r w:rsidRPr="00F14666">
        <w:rPr>
          <w:rFonts w:ascii="Tahoma" w:hAnsi="Tahoma" w:cs="Tahoma"/>
          <w:sz w:val="24"/>
          <w:szCs w:val="24"/>
        </w:rPr>
        <w:t xml:space="preserve"> au </w:t>
      </w:r>
      <w:r w:rsidR="00153418" w:rsidRPr="00F14666">
        <w:rPr>
          <w:rFonts w:ascii="Tahoma" w:hAnsi="Tahoma" w:cs="Tahoma"/>
          <w:sz w:val="24"/>
          <w:szCs w:val="24"/>
        </w:rPr>
        <w:t>înregistrat 23,2</w:t>
      </w:r>
      <w:r w:rsidR="001A2254" w:rsidRPr="00F14666">
        <w:rPr>
          <w:rFonts w:ascii="Tahoma" w:hAnsi="Tahoma" w:cs="Tahoma"/>
          <w:sz w:val="24"/>
          <w:szCs w:val="24"/>
        </w:rPr>
        <w:t>0</w:t>
      </w:r>
      <w:r w:rsidR="00153418" w:rsidRPr="00F14666">
        <w:rPr>
          <w:rFonts w:ascii="Tahoma" w:hAnsi="Tahoma" w:cs="Tahoma"/>
          <w:sz w:val="24"/>
          <w:szCs w:val="24"/>
        </w:rPr>
        <w:t xml:space="preserve"> mld lei </w:t>
      </w:r>
      <w:r w:rsidRPr="00F14666">
        <w:rPr>
          <w:rFonts w:ascii="Tahoma" w:hAnsi="Tahoma" w:cs="Tahoma"/>
          <w:sz w:val="24"/>
          <w:szCs w:val="24"/>
        </w:rPr>
        <w:t>în an</w:t>
      </w:r>
      <w:r w:rsidR="005656AD" w:rsidRPr="00F14666">
        <w:rPr>
          <w:rFonts w:ascii="Tahoma" w:hAnsi="Tahoma" w:cs="Tahoma"/>
          <w:sz w:val="24"/>
          <w:szCs w:val="24"/>
        </w:rPr>
        <w:t xml:space="preserve">ul 2019 </w:t>
      </w:r>
      <w:proofErr w:type="spellStart"/>
      <w:r w:rsidR="00153418" w:rsidRPr="00F14666">
        <w:rPr>
          <w:rFonts w:ascii="Tahoma" w:hAnsi="Tahoma" w:cs="Tahoma"/>
          <w:sz w:val="24"/>
          <w:szCs w:val="24"/>
        </w:rPr>
        <w:t>şi</w:t>
      </w:r>
      <w:proofErr w:type="spellEnd"/>
      <w:r w:rsidR="00153418" w:rsidRPr="00F14666">
        <w:rPr>
          <w:rFonts w:ascii="Tahoma" w:hAnsi="Tahoma" w:cs="Tahoma"/>
          <w:sz w:val="24"/>
          <w:szCs w:val="24"/>
        </w:rPr>
        <w:t xml:space="preserve"> prezintă </w:t>
      </w:r>
      <w:r w:rsidR="005656AD" w:rsidRPr="00F14666">
        <w:rPr>
          <w:rFonts w:ascii="Tahoma" w:hAnsi="Tahoma" w:cs="Tahoma"/>
          <w:sz w:val="24"/>
          <w:szCs w:val="24"/>
        </w:rPr>
        <w:t xml:space="preserve">o creștere </w:t>
      </w:r>
      <w:r w:rsidR="00153418" w:rsidRPr="00F14666">
        <w:rPr>
          <w:rFonts w:ascii="Tahoma" w:hAnsi="Tahoma" w:cs="Tahoma"/>
          <w:sz w:val="24"/>
          <w:szCs w:val="24"/>
        </w:rPr>
        <w:t xml:space="preserve">nominală </w:t>
      </w:r>
      <w:r w:rsidR="005656AD" w:rsidRPr="00F14666">
        <w:rPr>
          <w:rFonts w:ascii="Tahoma" w:hAnsi="Tahoma" w:cs="Tahoma"/>
          <w:sz w:val="24"/>
          <w:szCs w:val="24"/>
        </w:rPr>
        <w:t>de 2,3% față</w:t>
      </w:r>
      <w:r w:rsidR="00153418" w:rsidRPr="00F14666">
        <w:rPr>
          <w:rFonts w:ascii="Tahoma" w:hAnsi="Tahoma" w:cs="Tahoma"/>
          <w:sz w:val="24"/>
          <w:szCs w:val="24"/>
        </w:rPr>
        <w:t xml:space="preserve"> de anul 2018 (</w:t>
      </w:r>
      <w:r w:rsidRPr="00F14666">
        <w:rPr>
          <w:rFonts w:ascii="Tahoma" w:hAnsi="Tahoma" w:cs="Tahoma"/>
          <w:sz w:val="24"/>
          <w:szCs w:val="24"/>
        </w:rPr>
        <w:t>î</w:t>
      </w:r>
      <w:r w:rsidR="00153418" w:rsidRPr="00F14666">
        <w:rPr>
          <w:rFonts w:ascii="Tahoma" w:hAnsi="Tahoma" w:cs="Tahoma"/>
          <w:sz w:val="24"/>
          <w:szCs w:val="24"/>
        </w:rPr>
        <w:t>nsă o scădere a ponderii</w:t>
      </w:r>
      <w:r w:rsidRPr="00F14666">
        <w:rPr>
          <w:rFonts w:ascii="Tahoma" w:hAnsi="Tahoma" w:cs="Tahoma"/>
          <w:sz w:val="24"/>
          <w:szCs w:val="24"/>
        </w:rPr>
        <w:t xml:space="preserve"> în </w:t>
      </w:r>
      <w:r w:rsidR="00153418" w:rsidRPr="00F14666">
        <w:rPr>
          <w:rFonts w:ascii="Tahoma" w:hAnsi="Tahoma" w:cs="Tahoma"/>
          <w:sz w:val="24"/>
          <w:szCs w:val="24"/>
        </w:rPr>
        <w:t>PIB</w:t>
      </w:r>
      <w:r w:rsidR="00C56676" w:rsidRPr="00F14666">
        <w:rPr>
          <w:rFonts w:ascii="Tahoma" w:hAnsi="Tahoma" w:cs="Tahoma"/>
          <w:sz w:val="24"/>
          <w:szCs w:val="24"/>
        </w:rPr>
        <w:t xml:space="preserve"> de la 2,4% în 2018 la 2,2%</w:t>
      </w:r>
      <w:r w:rsidRPr="00F14666">
        <w:rPr>
          <w:rFonts w:ascii="Tahoma" w:hAnsi="Tahoma" w:cs="Tahoma"/>
          <w:sz w:val="24"/>
          <w:szCs w:val="24"/>
        </w:rPr>
        <w:t xml:space="preserve"> în anul 2019)</w:t>
      </w:r>
      <w:r w:rsidR="00153418" w:rsidRPr="00F14666">
        <w:rPr>
          <w:rFonts w:ascii="Tahoma" w:hAnsi="Tahoma" w:cs="Tahoma"/>
          <w:sz w:val="24"/>
          <w:szCs w:val="24"/>
        </w:rPr>
        <w:t xml:space="preserve">. </w:t>
      </w:r>
      <w:r w:rsidR="004E13C1" w:rsidRPr="00F14666">
        <w:rPr>
          <w:rFonts w:ascii="Tahoma" w:hAnsi="Tahoma" w:cs="Tahoma"/>
          <w:sz w:val="24"/>
          <w:szCs w:val="24"/>
        </w:rPr>
        <w:t>Această dinamică anuală a reflectat</w:t>
      </w:r>
      <w:r w:rsidR="001E6762" w:rsidRPr="00F14666">
        <w:rPr>
          <w:rFonts w:ascii="Tahoma" w:hAnsi="Tahoma" w:cs="Tahoma"/>
          <w:sz w:val="24"/>
          <w:szCs w:val="24"/>
        </w:rPr>
        <w:t>,</w:t>
      </w:r>
      <w:r w:rsidR="004E13C1" w:rsidRPr="00F14666">
        <w:rPr>
          <w:rFonts w:ascii="Tahoma" w:hAnsi="Tahoma" w:cs="Tahoma"/>
          <w:sz w:val="24"/>
          <w:szCs w:val="24"/>
        </w:rPr>
        <w:t xml:space="preserve"> în principal</w:t>
      </w:r>
      <w:r w:rsidR="001E6762" w:rsidRPr="00F14666">
        <w:rPr>
          <w:rFonts w:ascii="Tahoma" w:hAnsi="Tahoma" w:cs="Tahoma"/>
          <w:sz w:val="24"/>
          <w:szCs w:val="24"/>
        </w:rPr>
        <w:t>,</w:t>
      </w:r>
      <w:r w:rsidR="004E13C1" w:rsidRPr="00F14666">
        <w:rPr>
          <w:rFonts w:ascii="Tahoma" w:hAnsi="Tahoma" w:cs="Tahoma"/>
          <w:sz w:val="24"/>
          <w:szCs w:val="24"/>
        </w:rPr>
        <w:t xml:space="preserve"> efectul de bază al încasărilor din luna ianuarie 2019 față de ianuarie 2018 </w:t>
      </w:r>
      <w:r w:rsidR="000F10A9" w:rsidRPr="00F14666">
        <w:rPr>
          <w:rFonts w:ascii="Tahoma" w:hAnsi="Tahoma" w:cs="Tahoma"/>
          <w:sz w:val="24"/>
          <w:szCs w:val="24"/>
        </w:rPr>
        <w:t xml:space="preserve">(impact de 1,2 mld lei) </w:t>
      </w:r>
      <w:r w:rsidR="004E13C1" w:rsidRPr="00F14666">
        <w:rPr>
          <w:rFonts w:ascii="Tahoma" w:hAnsi="Tahoma" w:cs="Tahoma"/>
          <w:sz w:val="24"/>
          <w:szCs w:val="24"/>
        </w:rPr>
        <w:t xml:space="preserve">prin transferului contribuțiilor sociale din sarcina angajatorului în sarcina angajatului și reducerea cotei de impozitare de la 16% la 10% (OUG nr. 79/2017). </w:t>
      </w:r>
      <w:r w:rsidR="00153418" w:rsidRPr="00F14666">
        <w:rPr>
          <w:rFonts w:ascii="Tahoma" w:hAnsi="Tahoma" w:cs="Tahoma"/>
          <w:sz w:val="24"/>
          <w:szCs w:val="24"/>
        </w:rPr>
        <w:t>Comparativ cu programul</w:t>
      </w:r>
      <w:r w:rsidRPr="00F14666">
        <w:rPr>
          <w:rFonts w:ascii="Tahoma" w:hAnsi="Tahoma" w:cs="Tahoma"/>
          <w:sz w:val="24"/>
          <w:szCs w:val="24"/>
        </w:rPr>
        <w:t xml:space="preserve"> </w:t>
      </w:r>
      <w:r w:rsidR="001E6762" w:rsidRPr="00F14666">
        <w:rPr>
          <w:rFonts w:ascii="Tahoma" w:hAnsi="Tahoma" w:cs="Tahoma"/>
          <w:sz w:val="24"/>
          <w:szCs w:val="24"/>
        </w:rPr>
        <w:t>inițial</w:t>
      </w:r>
      <w:r w:rsidR="00153418" w:rsidRPr="00F14666">
        <w:rPr>
          <w:rFonts w:ascii="Tahoma" w:hAnsi="Tahoma" w:cs="Tahoma"/>
          <w:sz w:val="24"/>
          <w:szCs w:val="24"/>
        </w:rPr>
        <w:t xml:space="preserve">, încasările au fost mai reduse cu 0,46 mld lei corespunzător unui </w:t>
      </w:r>
      <w:r w:rsidRPr="00F14666">
        <w:rPr>
          <w:rFonts w:ascii="Tahoma" w:hAnsi="Tahoma" w:cs="Tahoma"/>
          <w:sz w:val="24"/>
          <w:szCs w:val="24"/>
        </w:rPr>
        <w:t xml:space="preserve">grad de realizare de </w:t>
      </w:r>
      <w:r w:rsidR="00153418" w:rsidRPr="00F14666">
        <w:rPr>
          <w:rFonts w:ascii="Tahoma" w:hAnsi="Tahoma" w:cs="Tahoma"/>
          <w:sz w:val="24"/>
          <w:szCs w:val="24"/>
        </w:rPr>
        <w:t>98</w:t>
      </w:r>
      <w:r w:rsidRPr="00F14666">
        <w:rPr>
          <w:rFonts w:ascii="Tahoma" w:hAnsi="Tahoma" w:cs="Tahoma"/>
          <w:sz w:val="24"/>
          <w:szCs w:val="24"/>
        </w:rPr>
        <w:t xml:space="preserve">%. În structura impozitului venit, încasările din impozitul pe venitul din salarii dețin </w:t>
      </w:r>
      <w:r w:rsidR="00153418" w:rsidRPr="00F14666">
        <w:rPr>
          <w:rFonts w:ascii="Tahoma" w:hAnsi="Tahoma" w:cs="Tahoma"/>
          <w:sz w:val="24"/>
          <w:szCs w:val="24"/>
        </w:rPr>
        <w:t>o pondere</w:t>
      </w:r>
      <w:r w:rsidRPr="00F14666">
        <w:rPr>
          <w:rFonts w:ascii="Tahoma" w:hAnsi="Tahoma" w:cs="Tahoma"/>
          <w:sz w:val="24"/>
          <w:szCs w:val="24"/>
        </w:rPr>
        <w:t xml:space="preserve"> </w:t>
      </w:r>
      <w:r w:rsidR="00153418" w:rsidRPr="00F14666">
        <w:rPr>
          <w:rFonts w:ascii="Tahoma" w:hAnsi="Tahoma" w:cs="Tahoma"/>
          <w:sz w:val="24"/>
          <w:szCs w:val="24"/>
        </w:rPr>
        <w:t>de</w:t>
      </w:r>
      <w:r w:rsidRPr="00F14666">
        <w:rPr>
          <w:rFonts w:ascii="Tahoma" w:hAnsi="Tahoma" w:cs="Tahoma"/>
          <w:sz w:val="24"/>
          <w:szCs w:val="24"/>
        </w:rPr>
        <w:t xml:space="preserve"> 80% din total. Dinamica anuală a încasărilor din impozitul pe venit </w:t>
      </w:r>
      <w:r w:rsidR="00C90455" w:rsidRPr="00F14666">
        <w:rPr>
          <w:rFonts w:ascii="Tahoma" w:hAnsi="Tahoma" w:cs="Tahoma"/>
          <w:sz w:val="24"/>
          <w:szCs w:val="24"/>
        </w:rPr>
        <w:t xml:space="preserve">din salarii </w:t>
      </w:r>
      <w:r w:rsidRPr="00F14666">
        <w:rPr>
          <w:rFonts w:ascii="Tahoma" w:hAnsi="Tahoma" w:cs="Tahoma"/>
          <w:sz w:val="24"/>
          <w:szCs w:val="24"/>
        </w:rPr>
        <w:t xml:space="preserve">reflectă în </w:t>
      </w:r>
      <w:r w:rsidRPr="00F14666">
        <w:rPr>
          <w:rFonts w:ascii="Tahoma" w:hAnsi="Tahoma" w:cs="Tahoma"/>
          <w:sz w:val="24"/>
          <w:szCs w:val="24"/>
        </w:rPr>
        <w:lastRenderedPageBreak/>
        <w:t xml:space="preserve">principal dinamica fondului de salarii din economie (câștigul salarial mediu brut a </w:t>
      </w:r>
      <w:r w:rsidR="00DE5601" w:rsidRPr="00F14666">
        <w:rPr>
          <w:rFonts w:ascii="Tahoma" w:hAnsi="Tahoma" w:cs="Tahoma"/>
          <w:sz w:val="24"/>
          <w:szCs w:val="24"/>
        </w:rPr>
        <w:t>înregistrat o majorare de 14,7%</w:t>
      </w:r>
      <w:r w:rsidRPr="00F14666">
        <w:rPr>
          <w:rFonts w:ascii="Tahoma" w:hAnsi="Tahoma" w:cs="Tahoma"/>
          <w:sz w:val="24"/>
          <w:szCs w:val="24"/>
        </w:rPr>
        <w:t xml:space="preserve"> iar numărul mediu de salariați de 1% în perioada </w:t>
      </w:r>
      <w:r w:rsidR="00DE5601" w:rsidRPr="00F14666">
        <w:rPr>
          <w:rFonts w:ascii="Tahoma" w:hAnsi="Tahoma" w:cs="Tahoma"/>
          <w:sz w:val="24"/>
          <w:szCs w:val="24"/>
        </w:rPr>
        <w:t xml:space="preserve">de </w:t>
      </w:r>
      <w:r w:rsidR="001E6762" w:rsidRPr="00F14666">
        <w:rPr>
          <w:rFonts w:ascii="Tahoma" w:hAnsi="Tahoma" w:cs="Tahoma"/>
          <w:sz w:val="24"/>
          <w:szCs w:val="24"/>
        </w:rPr>
        <w:t>referință</w:t>
      </w:r>
      <w:r w:rsidRPr="00F14666">
        <w:rPr>
          <w:rFonts w:ascii="Tahoma" w:hAnsi="Tahoma" w:cs="Tahoma"/>
          <w:sz w:val="24"/>
          <w:szCs w:val="24"/>
        </w:rPr>
        <w:t xml:space="preserve">) și </w:t>
      </w:r>
      <w:r w:rsidR="00DE5601" w:rsidRPr="00F14666">
        <w:rPr>
          <w:rFonts w:ascii="Tahoma" w:hAnsi="Tahoma" w:cs="Tahoma"/>
          <w:sz w:val="24"/>
          <w:szCs w:val="24"/>
        </w:rPr>
        <w:t xml:space="preserve">impactul negativ anual de 1,1 mld lei generat de </w:t>
      </w:r>
      <w:r w:rsidRPr="00F14666">
        <w:rPr>
          <w:rFonts w:ascii="Tahoma" w:hAnsi="Tahoma" w:cs="Tahoma"/>
          <w:sz w:val="24"/>
          <w:szCs w:val="24"/>
        </w:rPr>
        <w:t>scutirea de la plata impozitului pe venit a salariaților din domeniul constr</w:t>
      </w:r>
      <w:r w:rsidR="00DE5601" w:rsidRPr="00F14666">
        <w:rPr>
          <w:rFonts w:ascii="Tahoma" w:hAnsi="Tahoma" w:cs="Tahoma"/>
          <w:sz w:val="24"/>
          <w:szCs w:val="24"/>
        </w:rPr>
        <w:t xml:space="preserve">ucțiilor </w:t>
      </w:r>
      <w:proofErr w:type="spellStart"/>
      <w:r w:rsidR="00DE5601" w:rsidRPr="00F14666">
        <w:rPr>
          <w:rFonts w:ascii="Tahoma" w:hAnsi="Tahoma" w:cs="Tahoma"/>
          <w:sz w:val="24"/>
          <w:szCs w:val="24"/>
        </w:rPr>
        <w:t>şi</w:t>
      </w:r>
      <w:proofErr w:type="spellEnd"/>
      <w:r w:rsidR="00DE5601" w:rsidRPr="00F14666">
        <w:rPr>
          <w:rFonts w:ascii="Tahoma" w:hAnsi="Tahoma" w:cs="Tahoma"/>
          <w:sz w:val="24"/>
          <w:szCs w:val="24"/>
        </w:rPr>
        <w:t xml:space="preserve"> a unor sectoare industriale (potrivit OUG 114/2018</w:t>
      </w:r>
      <w:r w:rsidRPr="00F14666">
        <w:rPr>
          <w:rFonts w:ascii="Tahoma" w:hAnsi="Tahoma" w:cs="Tahoma"/>
          <w:sz w:val="24"/>
          <w:szCs w:val="24"/>
        </w:rPr>
        <w:t>).</w:t>
      </w:r>
    </w:p>
    <w:p w:rsidR="00CF1ED7" w:rsidRPr="00F14666" w:rsidRDefault="000F10A9" w:rsidP="00CF1ED7">
      <w:pPr>
        <w:spacing w:after="120" w:line="360" w:lineRule="auto"/>
        <w:jc w:val="both"/>
        <w:rPr>
          <w:rFonts w:ascii="Tahoma" w:hAnsi="Tahoma" w:cs="Tahoma"/>
          <w:sz w:val="24"/>
          <w:szCs w:val="24"/>
        </w:rPr>
      </w:pPr>
      <w:r w:rsidRPr="00F14666">
        <w:rPr>
          <w:rFonts w:ascii="Tahoma" w:hAnsi="Tahoma" w:cs="Tahoma"/>
          <w:sz w:val="24"/>
          <w:szCs w:val="24"/>
        </w:rPr>
        <w:t xml:space="preserve">De asemenea, </w:t>
      </w:r>
      <w:r w:rsidR="001E6762" w:rsidRPr="00F14666">
        <w:rPr>
          <w:rFonts w:ascii="Tahoma" w:hAnsi="Tahoma" w:cs="Tahoma"/>
          <w:sz w:val="24"/>
          <w:szCs w:val="24"/>
        </w:rPr>
        <w:t>evoluția</w:t>
      </w:r>
      <w:r w:rsidR="00807885" w:rsidRPr="00F14666">
        <w:rPr>
          <w:rFonts w:ascii="Tahoma" w:hAnsi="Tahoma" w:cs="Tahoma"/>
          <w:sz w:val="24"/>
          <w:szCs w:val="24"/>
        </w:rPr>
        <w:t xml:space="preserve"> </w:t>
      </w:r>
      <w:r w:rsidR="007A0DDC" w:rsidRPr="00F14666">
        <w:rPr>
          <w:rFonts w:ascii="Tahoma" w:hAnsi="Tahoma" w:cs="Tahoma"/>
          <w:sz w:val="24"/>
          <w:szCs w:val="24"/>
        </w:rPr>
        <w:t>încasărilor din această sursă</w:t>
      </w:r>
      <w:r w:rsidR="00807885" w:rsidRPr="00F14666">
        <w:rPr>
          <w:rFonts w:ascii="Tahoma" w:hAnsi="Tahoma" w:cs="Tahoma"/>
          <w:sz w:val="24"/>
          <w:szCs w:val="24"/>
        </w:rPr>
        <w:t xml:space="preserve"> </w:t>
      </w:r>
      <w:r w:rsidR="007A0DDC" w:rsidRPr="00F14666">
        <w:rPr>
          <w:rFonts w:ascii="Tahoma" w:hAnsi="Tahoma" w:cs="Tahoma"/>
          <w:sz w:val="24"/>
          <w:szCs w:val="24"/>
        </w:rPr>
        <w:t xml:space="preserve">în luna decembrie </w:t>
      </w:r>
      <w:r w:rsidR="00886DFA" w:rsidRPr="00F14666">
        <w:rPr>
          <w:rFonts w:ascii="Tahoma" w:hAnsi="Tahoma" w:cs="Tahoma"/>
          <w:sz w:val="24"/>
          <w:szCs w:val="24"/>
        </w:rPr>
        <w:t xml:space="preserve">2019 </w:t>
      </w:r>
      <w:r w:rsidR="00807885" w:rsidRPr="00F14666">
        <w:rPr>
          <w:rFonts w:ascii="Tahoma" w:hAnsi="Tahoma" w:cs="Tahoma"/>
          <w:sz w:val="24"/>
          <w:szCs w:val="24"/>
        </w:rPr>
        <w:t xml:space="preserve">a fost afectată </w:t>
      </w:r>
      <w:r w:rsidR="007A0DDC" w:rsidRPr="00F14666">
        <w:rPr>
          <w:rFonts w:ascii="Tahoma" w:hAnsi="Tahoma" w:cs="Tahoma"/>
          <w:sz w:val="24"/>
          <w:szCs w:val="24"/>
        </w:rPr>
        <w:t xml:space="preserve">negativ de </w:t>
      </w:r>
      <w:r w:rsidR="00886DFA" w:rsidRPr="00F14666">
        <w:rPr>
          <w:rFonts w:ascii="Tahoma" w:hAnsi="Tahoma" w:cs="Tahoma"/>
          <w:sz w:val="24"/>
          <w:szCs w:val="24"/>
        </w:rPr>
        <w:t xml:space="preserve">efectul de bază al încasărilor aferente Declarației unice efectuate de către persoane fizice independente </w:t>
      </w:r>
      <w:proofErr w:type="spellStart"/>
      <w:r w:rsidR="00886DFA" w:rsidRPr="00F14666">
        <w:rPr>
          <w:rFonts w:ascii="Tahoma" w:hAnsi="Tahoma" w:cs="Tahoma"/>
          <w:sz w:val="24"/>
          <w:szCs w:val="24"/>
        </w:rPr>
        <w:t>şi</w:t>
      </w:r>
      <w:proofErr w:type="spellEnd"/>
      <w:r w:rsidR="00886DFA" w:rsidRPr="00F14666">
        <w:rPr>
          <w:rFonts w:ascii="Tahoma" w:hAnsi="Tahoma" w:cs="Tahoma"/>
          <w:sz w:val="24"/>
          <w:szCs w:val="24"/>
        </w:rPr>
        <w:t xml:space="preserve"> </w:t>
      </w:r>
      <w:r w:rsidR="007A0DDC" w:rsidRPr="00F14666">
        <w:rPr>
          <w:rFonts w:ascii="Tahoma" w:hAnsi="Tahoma" w:cs="Tahoma"/>
          <w:sz w:val="24"/>
          <w:szCs w:val="24"/>
        </w:rPr>
        <w:t>regulariz</w:t>
      </w:r>
      <w:r w:rsidR="00886DFA" w:rsidRPr="00F14666">
        <w:rPr>
          <w:rFonts w:ascii="Tahoma" w:hAnsi="Tahoma" w:cs="Tahoma"/>
          <w:sz w:val="24"/>
          <w:szCs w:val="24"/>
        </w:rPr>
        <w:t>ările</w:t>
      </w:r>
      <w:r w:rsidR="007A0DDC" w:rsidRPr="00F14666">
        <w:rPr>
          <w:rFonts w:ascii="Tahoma" w:hAnsi="Tahoma" w:cs="Tahoma"/>
          <w:sz w:val="24"/>
          <w:szCs w:val="24"/>
        </w:rPr>
        <w:t xml:space="preserve"> în</w:t>
      </w:r>
      <w:r w:rsidR="00886DFA" w:rsidRPr="00F14666">
        <w:rPr>
          <w:rFonts w:ascii="Tahoma" w:hAnsi="Tahoma" w:cs="Tahoma"/>
          <w:sz w:val="24"/>
          <w:szCs w:val="24"/>
        </w:rPr>
        <w:t>registrate în</w:t>
      </w:r>
      <w:r w:rsidR="007A0DDC" w:rsidRPr="00F14666">
        <w:rPr>
          <w:rFonts w:ascii="Tahoma" w:hAnsi="Tahoma" w:cs="Tahoma"/>
          <w:sz w:val="24"/>
          <w:szCs w:val="24"/>
        </w:rPr>
        <w:t xml:space="preserve"> </w:t>
      </w:r>
      <w:r w:rsidR="00886DFA" w:rsidRPr="00F14666">
        <w:rPr>
          <w:rFonts w:ascii="Tahoma" w:hAnsi="Tahoma" w:cs="Tahoma"/>
          <w:sz w:val="24"/>
          <w:szCs w:val="24"/>
        </w:rPr>
        <w:t>luna decembrie 2018</w:t>
      </w:r>
      <w:r w:rsidR="00807885" w:rsidRPr="00F14666">
        <w:rPr>
          <w:rFonts w:ascii="Tahoma" w:hAnsi="Tahoma" w:cs="Tahoma"/>
          <w:sz w:val="24"/>
          <w:szCs w:val="24"/>
        </w:rPr>
        <w:t xml:space="preserve">. </w:t>
      </w:r>
    </w:p>
    <w:p w:rsidR="00CF1ED7" w:rsidRPr="00F14666" w:rsidRDefault="00B92EB8" w:rsidP="0073781B">
      <w:pPr>
        <w:spacing w:after="0" w:line="240" w:lineRule="auto"/>
        <w:contextualSpacing/>
        <w:jc w:val="center"/>
        <w:rPr>
          <w:rFonts w:ascii="Tahoma" w:hAnsi="Tahoma" w:cs="Tahoma"/>
          <w:sz w:val="24"/>
          <w:szCs w:val="24"/>
        </w:rPr>
      </w:pPr>
      <w:r w:rsidRPr="00F14666">
        <w:rPr>
          <w:rFonts w:ascii="Tahoma" w:hAnsi="Tahoma" w:cs="Tahoma"/>
          <w:noProof/>
          <w:sz w:val="24"/>
          <w:szCs w:val="24"/>
          <w:lang w:val="en-US"/>
        </w:rPr>
        <w:drawing>
          <wp:inline distT="0" distB="0" distL="0" distR="0" wp14:anchorId="1A7688A7">
            <wp:extent cx="6343650" cy="30135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652" cy="3027322"/>
                    </a:xfrm>
                    <a:prstGeom prst="rect">
                      <a:avLst/>
                    </a:prstGeom>
                    <a:noFill/>
                  </pic:spPr>
                </pic:pic>
              </a:graphicData>
            </a:graphic>
          </wp:inline>
        </w:drawing>
      </w:r>
    </w:p>
    <w:p w:rsidR="0073781B" w:rsidRPr="00F14666" w:rsidRDefault="0073781B" w:rsidP="0073781B">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INS, calcule proprii</w:t>
      </w:r>
    </w:p>
    <w:p w:rsidR="00CF1ED7" w:rsidRPr="00F14666" w:rsidRDefault="00CF1ED7" w:rsidP="00CF1ED7">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BA152F" w:rsidRPr="00F14666">
        <w:rPr>
          <w:rFonts w:ascii="Tahoma" w:hAnsi="Tahoma" w:cs="Tahoma"/>
          <w:b/>
          <w:color w:val="767171" w:themeColor="background2" w:themeShade="80"/>
          <w:sz w:val="24"/>
          <w:szCs w:val="24"/>
        </w:rPr>
        <w:t>2</w:t>
      </w:r>
      <w:r w:rsidR="00D60BC0" w:rsidRPr="00F14666">
        <w:rPr>
          <w:rFonts w:ascii="Tahoma" w:hAnsi="Tahoma" w:cs="Tahoma"/>
          <w:b/>
          <w:color w:val="767171" w:themeColor="background2" w:themeShade="80"/>
          <w:sz w:val="24"/>
          <w:szCs w:val="24"/>
        </w:rPr>
        <w:t xml:space="preserve"> </w:t>
      </w:r>
      <w:r w:rsidRPr="00F14666">
        <w:rPr>
          <w:rFonts w:ascii="Tahoma" w:hAnsi="Tahoma" w:cs="Tahoma"/>
          <w:b/>
          <w:color w:val="767171" w:themeColor="background2" w:themeShade="80"/>
          <w:sz w:val="24"/>
          <w:szCs w:val="24"/>
        </w:rPr>
        <w:t xml:space="preserve">Impozitul pe venit </w:t>
      </w:r>
    </w:p>
    <w:p w:rsidR="00CE721E" w:rsidRPr="00F14666" w:rsidRDefault="00CE721E" w:rsidP="00CF1ED7">
      <w:pPr>
        <w:pStyle w:val="ListParagraph"/>
        <w:spacing w:line="360" w:lineRule="auto"/>
        <w:jc w:val="center"/>
        <w:rPr>
          <w:rFonts w:ascii="Tahoma" w:hAnsi="Tahoma" w:cs="Tahoma"/>
          <w:sz w:val="24"/>
          <w:szCs w:val="24"/>
        </w:rPr>
      </w:pP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Încasările din </w:t>
      </w:r>
      <w:r w:rsidRPr="00F14666">
        <w:rPr>
          <w:rFonts w:ascii="Tahoma" w:hAnsi="Tahoma" w:cs="Tahoma"/>
          <w:b/>
          <w:i/>
          <w:sz w:val="24"/>
          <w:szCs w:val="24"/>
        </w:rPr>
        <w:t>contribuții sociale</w:t>
      </w:r>
      <w:r w:rsidRPr="00F14666">
        <w:rPr>
          <w:rFonts w:ascii="Tahoma" w:hAnsi="Tahoma" w:cs="Tahoma"/>
          <w:sz w:val="24"/>
          <w:szCs w:val="24"/>
        </w:rPr>
        <w:t xml:space="preserve"> au înregistrat </w:t>
      </w:r>
      <w:r w:rsidR="00667C1C" w:rsidRPr="00F14666">
        <w:rPr>
          <w:rFonts w:ascii="Tahoma" w:hAnsi="Tahoma" w:cs="Tahoma"/>
          <w:sz w:val="24"/>
          <w:szCs w:val="24"/>
        </w:rPr>
        <w:t>111,</w:t>
      </w:r>
      <w:r w:rsidR="001A2254" w:rsidRPr="00F14666">
        <w:rPr>
          <w:rFonts w:ascii="Tahoma" w:hAnsi="Tahoma" w:cs="Tahoma"/>
          <w:sz w:val="24"/>
          <w:szCs w:val="24"/>
        </w:rPr>
        <w:t>47</w:t>
      </w:r>
      <w:r w:rsidR="00667C1C" w:rsidRPr="00F14666">
        <w:rPr>
          <w:rFonts w:ascii="Tahoma" w:hAnsi="Tahoma" w:cs="Tahoma"/>
          <w:sz w:val="24"/>
          <w:szCs w:val="24"/>
        </w:rPr>
        <w:t xml:space="preserve"> mld lei </w:t>
      </w:r>
      <w:r w:rsidRPr="00F14666">
        <w:rPr>
          <w:rFonts w:ascii="Tahoma" w:hAnsi="Tahoma" w:cs="Tahoma"/>
          <w:sz w:val="24"/>
          <w:szCs w:val="24"/>
        </w:rPr>
        <w:t xml:space="preserve">în anul 2019 </w:t>
      </w:r>
      <w:proofErr w:type="spellStart"/>
      <w:r w:rsidR="00667C1C" w:rsidRPr="00F14666">
        <w:rPr>
          <w:rFonts w:ascii="Tahoma" w:hAnsi="Tahoma" w:cs="Tahoma"/>
          <w:sz w:val="24"/>
          <w:szCs w:val="24"/>
        </w:rPr>
        <w:t>şi</w:t>
      </w:r>
      <w:proofErr w:type="spellEnd"/>
      <w:r w:rsidR="00667C1C" w:rsidRPr="00F14666">
        <w:rPr>
          <w:rFonts w:ascii="Tahoma" w:hAnsi="Tahoma" w:cs="Tahoma"/>
          <w:sz w:val="24"/>
          <w:szCs w:val="24"/>
        </w:rPr>
        <w:t xml:space="preserve"> prezintă </w:t>
      </w:r>
      <w:r w:rsidRPr="00F14666">
        <w:rPr>
          <w:rFonts w:ascii="Tahoma" w:hAnsi="Tahoma" w:cs="Tahoma"/>
          <w:sz w:val="24"/>
          <w:szCs w:val="24"/>
        </w:rPr>
        <w:t>o creștere de 13</w:t>
      </w:r>
      <w:r w:rsidR="00667C1C" w:rsidRPr="00F14666">
        <w:rPr>
          <w:rFonts w:ascii="Tahoma" w:hAnsi="Tahoma" w:cs="Tahoma"/>
          <w:sz w:val="24"/>
          <w:szCs w:val="24"/>
        </w:rPr>
        <w:t>,6% față</w:t>
      </w:r>
      <w:r w:rsidRPr="00F14666">
        <w:rPr>
          <w:rFonts w:ascii="Tahoma" w:hAnsi="Tahoma" w:cs="Tahoma"/>
          <w:sz w:val="24"/>
          <w:szCs w:val="24"/>
        </w:rPr>
        <w:t xml:space="preserve"> de anul 2018  (10,3% în PIB  în anul 2018 la 10,7% în anul 2019). </w:t>
      </w:r>
      <w:r w:rsidR="005F3004" w:rsidRPr="00F14666">
        <w:rPr>
          <w:rFonts w:ascii="Tahoma" w:hAnsi="Tahoma" w:cs="Tahoma"/>
          <w:sz w:val="24"/>
          <w:szCs w:val="24"/>
        </w:rPr>
        <w:t xml:space="preserve">Comparativ cu programul </w:t>
      </w:r>
      <w:r w:rsidR="001E6762" w:rsidRPr="00F14666">
        <w:rPr>
          <w:rFonts w:ascii="Tahoma" w:hAnsi="Tahoma" w:cs="Tahoma"/>
          <w:sz w:val="24"/>
          <w:szCs w:val="24"/>
        </w:rPr>
        <w:t>inițial</w:t>
      </w:r>
      <w:r w:rsidR="005F3004" w:rsidRPr="00F14666">
        <w:rPr>
          <w:rFonts w:ascii="Tahoma" w:hAnsi="Tahoma" w:cs="Tahoma"/>
          <w:sz w:val="24"/>
          <w:szCs w:val="24"/>
        </w:rPr>
        <w:t xml:space="preserve">, veniturile din această sursă au fost mai reduse cu 5,77 mld lei corespunzător unui grad de realizare de 95,1%. </w:t>
      </w:r>
      <w:r w:rsidRPr="00F14666">
        <w:rPr>
          <w:rFonts w:ascii="Tahoma" w:hAnsi="Tahoma" w:cs="Tahoma"/>
          <w:sz w:val="24"/>
          <w:szCs w:val="24"/>
        </w:rPr>
        <w:t>Similar cu evoluția veniturilor din impozitul pe venit, evoluția în</w:t>
      </w:r>
      <w:r w:rsidR="00EC3F79" w:rsidRPr="00F14666">
        <w:rPr>
          <w:rFonts w:ascii="Tahoma" w:hAnsi="Tahoma" w:cs="Tahoma"/>
          <w:sz w:val="24"/>
          <w:szCs w:val="24"/>
        </w:rPr>
        <w:t>casărilor reflectă preponderent</w:t>
      </w:r>
      <w:r w:rsidRPr="00F14666">
        <w:rPr>
          <w:rFonts w:ascii="Tahoma" w:hAnsi="Tahoma" w:cs="Tahoma"/>
          <w:sz w:val="24"/>
          <w:szCs w:val="24"/>
        </w:rPr>
        <w:t xml:space="preserve"> </w:t>
      </w:r>
      <w:r w:rsidR="00EC3F79" w:rsidRPr="00F14666">
        <w:rPr>
          <w:rFonts w:ascii="Tahoma" w:hAnsi="Tahoma" w:cs="Tahoma"/>
          <w:sz w:val="24"/>
          <w:szCs w:val="24"/>
        </w:rPr>
        <w:t>avansul</w:t>
      </w:r>
      <w:r w:rsidRPr="00F14666">
        <w:rPr>
          <w:rFonts w:ascii="Tahoma" w:hAnsi="Tahoma" w:cs="Tahoma"/>
          <w:sz w:val="24"/>
          <w:szCs w:val="24"/>
        </w:rPr>
        <w:t xml:space="preserve"> fondului de salarii din economie (16% în perioada dec</w:t>
      </w:r>
      <w:r w:rsidR="005F3004" w:rsidRPr="00F14666">
        <w:rPr>
          <w:rFonts w:ascii="Tahoma" w:hAnsi="Tahoma" w:cs="Tahoma"/>
          <w:sz w:val="24"/>
          <w:szCs w:val="24"/>
        </w:rPr>
        <w:t>embrie</w:t>
      </w:r>
      <w:r w:rsidRPr="00F14666">
        <w:rPr>
          <w:rFonts w:ascii="Tahoma" w:hAnsi="Tahoma" w:cs="Tahoma"/>
          <w:sz w:val="24"/>
          <w:szCs w:val="24"/>
        </w:rPr>
        <w:t xml:space="preserve"> 2018</w:t>
      </w:r>
      <w:r w:rsidR="005F3004" w:rsidRPr="00F14666">
        <w:rPr>
          <w:rFonts w:ascii="Tahoma" w:hAnsi="Tahoma" w:cs="Tahoma"/>
          <w:sz w:val="24"/>
          <w:szCs w:val="24"/>
        </w:rPr>
        <w:t xml:space="preserve"> – </w:t>
      </w:r>
      <w:r w:rsidRPr="00F14666">
        <w:rPr>
          <w:rFonts w:ascii="Tahoma" w:hAnsi="Tahoma" w:cs="Tahoma"/>
          <w:sz w:val="24"/>
          <w:szCs w:val="24"/>
        </w:rPr>
        <w:t>no</w:t>
      </w:r>
      <w:r w:rsidR="005F3004" w:rsidRPr="00F14666">
        <w:rPr>
          <w:rFonts w:ascii="Tahoma" w:hAnsi="Tahoma" w:cs="Tahoma"/>
          <w:sz w:val="24"/>
          <w:szCs w:val="24"/>
        </w:rPr>
        <w:t>iembrie</w:t>
      </w:r>
      <w:r w:rsidRPr="00F14666">
        <w:rPr>
          <w:rFonts w:ascii="Tahoma" w:hAnsi="Tahoma" w:cs="Tahoma"/>
          <w:sz w:val="24"/>
          <w:szCs w:val="24"/>
        </w:rPr>
        <w:t xml:space="preserve"> 2019) și o tendință ușoară de încetinire a dinamicii salariale în trimestrul IV. În plus, dinamica acestor venituri a fost afectată în anul 2019 de scutirea salariaților din domeniul construcțiilor </w:t>
      </w:r>
      <w:proofErr w:type="spellStart"/>
      <w:r w:rsidR="005F3004" w:rsidRPr="00F14666">
        <w:rPr>
          <w:rFonts w:ascii="Tahoma" w:hAnsi="Tahoma" w:cs="Tahoma"/>
          <w:sz w:val="24"/>
          <w:szCs w:val="24"/>
        </w:rPr>
        <w:t>şi</w:t>
      </w:r>
      <w:proofErr w:type="spellEnd"/>
      <w:r w:rsidR="005F3004" w:rsidRPr="00F14666">
        <w:rPr>
          <w:rFonts w:ascii="Tahoma" w:hAnsi="Tahoma" w:cs="Tahoma"/>
          <w:sz w:val="24"/>
          <w:szCs w:val="24"/>
        </w:rPr>
        <w:t xml:space="preserve"> unele sectoare industriale </w:t>
      </w:r>
      <w:r w:rsidRPr="00F14666">
        <w:rPr>
          <w:rFonts w:ascii="Tahoma" w:hAnsi="Tahoma" w:cs="Tahoma"/>
          <w:sz w:val="24"/>
          <w:szCs w:val="24"/>
        </w:rPr>
        <w:t xml:space="preserve">de la plata </w:t>
      </w:r>
      <w:r w:rsidRPr="00F14666">
        <w:rPr>
          <w:rFonts w:ascii="Tahoma" w:hAnsi="Tahoma" w:cs="Tahoma"/>
          <w:sz w:val="24"/>
          <w:szCs w:val="24"/>
        </w:rPr>
        <w:lastRenderedPageBreak/>
        <w:t>contribuției de asigurări sociale de sănătate și de reducere a contribuției asiguratorii în muncă datorate (</w:t>
      </w:r>
      <w:r w:rsidR="00934745" w:rsidRPr="00F14666">
        <w:rPr>
          <w:rFonts w:ascii="Tahoma" w:hAnsi="Tahoma" w:cs="Tahoma"/>
          <w:sz w:val="24"/>
          <w:szCs w:val="24"/>
        </w:rPr>
        <w:t xml:space="preserve">potrivit </w:t>
      </w:r>
      <w:r w:rsidRPr="00F14666">
        <w:rPr>
          <w:rFonts w:ascii="Tahoma" w:hAnsi="Tahoma" w:cs="Tahoma"/>
          <w:sz w:val="24"/>
          <w:szCs w:val="24"/>
        </w:rPr>
        <w:t xml:space="preserve">OUG nr 114/2018, </w:t>
      </w:r>
      <w:r w:rsidR="00934745" w:rsidRPr="00F14666">
        <w:rPr>
          <w:rFonts w:ascii="Tahoma" w:hAnsi="Tahoma" w:cs="Tahoma"/>
          <w:sz w:val="24"/>
          <w:szCs w:val="24"/>
        </w:rPr>
        <w:t xml:space="preserve">cu un </w:t>
      </w:r>
      <w:r w:rsidRPr="00F14666">
        <w:rPr>
          <w:rFonts w:ascii="Tahoma" w:hAnsi="Tahoma" w:cs="Tahoma"/>
          <w:sz w:val="24"/>
          <w:szCs w:val="24"/>
        </w:rPr>
        <w:t>impact negativ asupra încasărilor de 1,6 mld lei) și într-o mai mică măsură de evoluția transferurilor către pilonul II de pensii la (8,5 mld lei în anul 2019). De asemenea, transferul contribuțiilor sociale din sarcina angajatorului în sarcina angajatului potrivit OUG nr. 79/2017 a determinat o majorare semnificativă a încasărilor în luna ianuarie 2019 față de ianuarie 2018.</w:t>
      </w:r>
      <w:r w:rsidR="00041D0D" w:rsidRPr="00F14666">
        <w:rPr>
          <w:rFonts w:ascii="Tahoma" w:hAnsi="Tahoma" w:cs="Tahoma"/>
          <w:sz w:val="24"/>
          <w:szCs w:val="24"/>
        </w:rPr>
        <w:t xml:space="preserve"> Dinamica lunară a veniturilor din </w:t>
      </w:r>
      <w:r w:rsidR="00F170F2" w:rsidRPr="00F14666">
        <w:rPr>
          <w:rFonts w:ascii="Tahoma" w:hAnsi="Tahoma" w:cs="Tahoma"/>
          <w:sz w:val="24"/>
          <w:szCs w:val="24"/>
        </w:rPr>
        <w:t>contribuții</w:t>
      </w:r>
      <w:r w:rsidR="00041D0D" w:rsidRPr="00F14666">
        <w:rPr>
          <w:rFonts w:ascii="Tahoma" w:hAnsi="Tahoma" w:cs="Tahoma"/>
          <w:sz w:val="24"/>
          <w:szCs w:val="24"/>
        </w:rPr>
        <w:t xml:space="preserve"> sociale a </w:t>
      </w:r>
      <w:r w:rsidR="002E7628" w:rsidRPr="00F14666">
        <w:rPr>
          <w:rFonts w:ascii="Tahoma" w:hAnsi="Tahoma" w:cs="Tahoma"/>
          <w:sz w:val="24"/>
          <w:szCs w:val="24"/>
        </w:rPr>
        <w:t>încetinit</w:t>
      </w:r>
      <w:r w:rsidR="00041D0D" w:rsidRPr="00F14666">
        <w:rPr>
          <w:rFonts w:ascii="Tahoma" w:hAnsi="Tahoma" w:cs="Tahoma"/>
          <w:sz w:val="24"/>
          <w:szCs w:val="24"/>
        </w:rPr>
        <w:t xml:space="preserve"> constant până la un minim înregistrat în luna octombrie </w:t>
      </w:r>
      <w:proofErr w:type="spellStart"/>
      <w:r w:rsidR="00041D0D" w:rsidRPr="00F14666">
        <w:rPr>
          <w:rFonts w:ascii="Tahoma" w:hAnsi="Tahoma" w:cs="Tahoma"/>
          <w:sz w:val="24"/>
          <w:szCs w:val="24"/>
        </w:rPr>
        <w:t>şi</w:t>
      </w:r>
      <w:proofErr w:type="spellEnd"/>
      <w:r w:rsidR="00041D0D" w:rsidRPr="00F14666">
        <w:rPr>
          <w:rFonts w:ascii="Tahoma" w:hAnsi="Tahoma" w:cs="Tahoma"/>
          <w:sz w:val="24"/>
          <w:szCs w:val="24"/>
        </w:rPr>
        <w:t xml:space="preserve"> s-a stabilizat în perioada noiembrie-decembrie </w:t>
      </w:r>
      <w:r w:rsidR="002E7628" w:rsidRPr="00F14666">
        <w:rPr>
          <w:rFonts w:ascii="Tahoma" w:hAnsi="Tahoma" w:cs="Tahoma"/>
          <w:sz w:val="24"/>
          <w:szCs w:val="24"/>
        </w:rPr>
        <w:t>la o medie de 10,1% an/an.</w:t>
      </w:r>
    </w:p>
    <w:p w:rsidR="00CF1ED7" w:rsidRPr="00F14666" w:rsidRDefault="00B92EB8" w:rsidP="0073781B">
      <w:pPr>
        <w:spacing w:after="0" w:line="240" w:lineRule="auto"/>
        <w:jc w:val="center"/>
        <w:rPr>
          <w:rFonts w:ascii="Tahoma" w:hAnsi="Tahoma" w:cs="Tahoma"/>
          <w:sz w:val="24"/>
          <w:szCs w:val="24"/>
        </w:rPr>
      </w:pPr>
      <w:r w:rsidRPr="00F14666">
        <w:rPr>
          <w:rFonts w:ascii="Tahoma" w:hAnsi="Tahoma" w:cs="Tahoma"/>
          <w:noProof/>
          <w:sz w:val="24"/>
          <w:szCs w:val="24"/>
          <w:lang w:val="en-US"/>
        </w:rPr>
        <w:drawing>
          <wp:inline distT="0" distB="0" distL="0" distR="0" wp14:anchorId="5606645B">
            <wp:extent cx="6348095" cy="32202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286" cy="3236609"/>
                    </a:xfrm>
                    <a:prstGeom prst="rect">
                      <a:avLst/>
                    </a:prstGeom>
                    <a:noFill/>
                  </pic:spPr>
                </pic:pic>
              </a:graphicData>
            </a:graphic>
          </wp:inline>
        </w:drawing>
      </w:r>
    </w:p>
    <w:p w:rsidR="0073781B" w:rsidRPr="00F14666" w:rsidRDefault="0073781B" w:rsidP="0073781B">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INS, calcule proprii</w:t>
      </w:r>
    </w:p>
    <w:p w:rsidR="00CF1ED7" w:rsidRPr="00F14666" w:rsidRDefault="00CF1ED7" w:rsidP="00CF1ED7">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BA152F" w:rsidRPr="00F14666">
        <w:rPr>
          <w:rFonts w:ascii="Tahoma" w:hAnsi="Tahoma" w:cs="Tahoma"/>
          <w:b/>
          <w:color w:val="767171" w:themeColor="background2" w:themeShade="80"/>
          <w:sz w:val="24"/>
          <w:szCs w:val="24"/>
        </w:rPr>
        <w:t>3</w:t>
      </w:r>
      <w:r w:rsidR="00D60BC0" w:rsidRPr="00F14666">
        <w:rPr>
          <w:rFonts w:ascii="Tahoma" w:hAnsi="Tahoma" w:cs="Tahoma"/>
          <w:b/>
          <w:color w:val="767171" w:themeColor="background2" w:themeShade="80"/>
          <w:sz w:val="24"/>
          <w:szCs w:val="24"/>
        </w:rPr>
        <w:t xml:space="preserve"> </w:t>
      </w:r>
      <w:r w:rsidRPr="00F14666">
        <w:rPr>
          <w:rFonts w:ascii="Tahoma" w:hAnsi="Tahoma" w:cs="Tahoma"/>
          <w:b/>
          <w:color w:val="767171" w:themeColor="background2" w:themeShade="80"/>
          <w:sz w:val="24"/>
          <w:szCs w:val="24"/>
        </w:rPr>
        <w:t>Contribuții de asigurări</w:t>
      </w:r>
    </w:p>
    <w:p w:rsidR="00C1718B" w:rsidRPr="00F14666" w:rsidRDefault="00C1718B" w:rsidP="00CF1ED7">
      <w:pPr>
        <w:pStyle w:val="ListParagraph"/>
        <w:spacing w:line="360" w:lineRule="auto"/>
        <w:jc w:val="center"/>
        <w:rPr>
          <w:rFonts w:ascii="Tahoma" w:hAnsi="Tahoma" w:cs="Tahoma"/>
          <w:b/>
          <w:color w:val="767171" w:themeColor="background2" w:themeShade="80"/>
          <w:sz w:val="24"/>
          <w:szCs w:val="24"/>
        </w:rPr>
      </w:pPr>
    </w:p>
    <w:p w:rsidR="009833EE"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Veniturile din </w:t>
      </w:r>
      <w:r w:rsidRPr="00F14666">
        <w:rPr>
          <w:rFonts w:ascii="Tahoma" w:hAnsi="Tahoma" w:cs="Tahoma"/>
          <w:b/>
          <w:i/>
          <w:sz w:val="24"/>
          <w:szCs w:val="24"/>
        </w:rPr>
        <w:t>accize</w:t>
      </w:r>
      <w:r w:rsidRPr="00F14666">
        <w:rPr>
          <w:rFonts w:ascii="Tahoma" w:hAnsi="Tahoma" w:cs="Tahoma"/>
          <w:sz w:val="24"/>
          <w:szCs w:val="24"/>
        </w:rPr>
        <w:t xml:space="preserve"> au fost in suma de 31,</w:t>
      </w:r>
      <w:r w:rsidR="001A2254" w:rsidRPr="00F14666">
        <w:rPr>
          <w:rFonts w:ascii="Tahoma" w:hAnsi="Tahoma" w:cs="Tahoma"/>
          <w:sz w:val="24"/>
          <w:szCs w:val="24"/>
        </w:rPr>
        <w:t>4</w:t>
      </w:r>
      <w:r w:rsidR="00CA79E1" w:rsidRPr="00F14666">
        <w:rPr>
          <w:rFonts w:ascii="Tahoma" w:hAnsi="Tahoma" w:cs="Tahoma"/>
          <w:sz w:val="24"/>
          <w:szCs w:val="24"/>
        </w:rPr>
        <w:t>6</w:t>
      </w:r>
      <w:r w:rsidRPr="00F14666">
        <w:rPr>
          <w:rFonts w:ascii="Tahoma" w:hAnsi="Tahoma" w:cs="Tahoma"/>
          <w:sz w:val="24"/>
          <w:szCs w:val="24"/>
        </w:rPr>
        <w:t xml:space="preserve"> mld lei </w:t>
      </w:r>
      <w:r w:rsidR="00F170F2" w:rsidRPr="00F14666">
        <w:rPr>
          <w:rFonts w:ascii="Tahoma" w:hAnsi="Tahoma" w:cs="Tahoma"/>
          <w:sz w:val="24"/>
          <w:szCs w:val="24"/>
        </w:rPr>
        <w:t>î</w:t>
      </w:r>
      <w:r w:rsidRPr="00F14666">
        <w:rPr>
          <w:rFonts w:ascii="Tahoma" w:hAnsi="Tahoma" w:cs="Tahoma"/>
          <w:sz w:val="24"/>
          <w:szCs w:val="24"/>
        </w:rPr>
        <w:t>n anul 2019, prezentând o creștere de 10,3% față de încasările înregistrate în a</w:t>
      </w:r>
      <w:r w:rsidR="00CD578B" w:rsidRPr="00F14666">
        <w:rPr>
          <w:rFonts w:ascii="Tahoma" w:hAnsi="Tahoma" w:cs="Tahoma"/>
          <w:sz w:val="24"/>
          <w:szCs w:val="24"/>
        </w:rPr>
        <w:t xml:space="preserve">nul 2018. </w:t>
      </w:r>
      <w:r w:rsidR="00E75196" w:rsidRPr="00F14666">
        <w:rPr>
          <w:rFonts w:ascii="Tahoma" w:hAnsi="Tahoma" w:cs="Tahoma"/>
          <w:sz w:val="24"/>
          <w:szCs w:val="24"/>
        </w:rPr>
        <w:t xml:space="preserve">În raport cu programul </w:t>
      </w:r>
      <w:r w:rsidR="00F170F2" w:rsidRPr="00F14666">
        <w:rPr>
          <w:rFonts w:ascii="Tahoma" w:hAnsi="Tahoma" w:cs="Tahoma"/>
          <w:sz w:val="24"/>
          <w:szCs w:val="24"/>
        </w:rPr>
        <w:t>inițial</w:t>
      </w:r>
      <w:r w:rsidR="00E75196" w:rsidRPr="00F14666">
        <w:rPr>
          <w:rFonts w:ascii="Tahoma" w:hAnsi="Tahoma" w:cs="Tahoma"/>
          <w:sz w:val="24"/>
          <w:szCs w:val="24"/>
        </w:rPr>
        <w:t>, încasările au fost mai mari cu 0,</w:t>
      </w:r>
      <w:r w:rsidR="001A2254" w:rsidRPr="00F14666">
        <w:rPr>
          <w:rFonts w:ascii="Tahoma" w:hAnsi="Tahoma" w:cs="Tahoma"/>
          <w:sz w:val="24"/>
          <w:szCs w:val="24"/>
        </w:rPr>
        <w:t>39</w:t>
      </w:r>
      <w:r w:rsidR="00E75196" w:rsidRPr="00F14666">
        <w:rPr>
          <w:rFonts w:ascii="Tahoma" w:hAnsi="Tahoma" w:cs="Tahoma"/>
          <w:sz w:val="24"/>
          <w:szCs w:val="24"/>
        </w:rPr>
        <w:t xml:space="preserve"> mld lei </w:t>
      </w:r>
      <w:r w:rsidR="00AC33D2" w:rsidRPr="00F14666">
        <w:rPr>
          <w:rFonts w:ascii="Tahoma" w:hAnsi="Tahoma" w:cs="Tahoma"/>
          <w:sz w:val="24"/>
          <w:szCs w:val="24"/>
        </w:rPr>
        <w:t>(</w:t>
      </w:r>
      <w:r w:rsidR="00E75196" w:rsidRPr="00F14666">
        <w:rPr>
          <w:rFonts w:ascii="Tahoma" w:hAnsi="Tahoma" w:cs="Tahoma"/>
          <w:sz w:val="24"/>
          <w:szCs w:val="24"/>
        </w:rPr>
        <w:t>grad de realizare de 101,3%</w:t>
      </w:r>
      <w:r w:rsidR="00AC33D2" w:rsidRPr="00F14666">
        <w:rPr>
          <w:rFonts w:ascii="Tahoma" w:hAnsi="Tahoma" w:cs="Tahoma"/>
          <w:sz w:val="24"/>
          <w:szCs w:val="24"/>
        </w:rPr>
        <w:t xml:space="preserve">), reflectând în principal </w:t>
      </w:r>
      <w:r w:rsidR="00F170F2" w:rsidRPr="00F14666">
        <w:rPr>
          <w:rFonts w:ascii="Tahoma" w:hAnsi="Tahoma" w:cs="Tahoma"/>
          <w:sz w:val="24"/>
          <w:szCs w:val="24"/>
        </w:rPr>
        <w:t>creșterea</w:t>
      </w:r>
      <w:r w:rsidR="00AC33D2" w:rsidRPr="00F14666">
        <w:rPr>
          <w:rFonts w:ascii="Tahoma" w:hAnsi="Tahoma" w:cs="Tahoma"/>
          <w:sz w:val="24"/>
          <w:szCs w:val="24"/>
        </w:rPr>
        <w:t xml:space="preserve"> cu 16% </w:t>
      </w:r>
      <w:r w:rsidR="00721CAF" w:rsidRPr="00F14666">
        <w:rPr>
          <w:rFonts w:ascii="Tahoma" w:hAnsi="Tahoma" w:cs="Tahoma"/>
          <w:sz w:val="24"/>
          <w:szCs w:val="24"/>
        </w:rPr>
        <w:t xml:space="preserve">an/an </w:t>
      </w:r>
      <w:r w:rsidR="00AC33D2" w:rsidRPr="00F14666">
        <w:rPr>
          <w:rFonts w:ascii="Tahoma" w:hAnsi="Tahoma" w:cs="Tahoma"/>
          <w:sz w:val="24"/>
          <w:szCs w:val="24"/>
        </w:rPr>
        <w:t xml:space="preserve">a veniturilor din luna decembrie 2019. </w:t>
      </w:r>
      <w:r w:rsidR="00E75196" w:rsidRPr="00F14666">
        <w:rPr>
          <w:rFonts w:ascii="Tahoma" w:hAnsi="Tahoma" w:cs="Tahoma"/>
          <w:sz w:val="24"/>
          <w:szCs w:val="24"/>
        </w:rPr>
        <w:t>De asemenea, î</w:t>
      </w:r>
      <w:r w:rsidR="00CD578B" w:rsidRPr="00F14666">
        <w:rPr>
          <w:rFonts w:ascii="Tahoma" w:hAnsi="Tahoma" w:cs="Tahoma"/>
          <w:sz w:val="24"/>
          <w:szCs w:val="24"/>
        </w:rPr>
        <w:t>ncasările din accize s-au</w:t>
      </w:r>
      <w:r w:rsidRPr="00F14666">
        <w:rPr>
          <w:rFonts w:ascii="Tahoma" w:hAnsi="Tahoma" w:cs="Tahoma"/>
          <w:sz w:val="24"/>
          <w:szCs w:val="24"/>
        </w:rPr>
        <w:t xml:space="preserve"> mențin</w:t>
      </w:r>
      <w:r w:rsidR="00CD578B" w:rsidRPr="00F14666">
        <w:rPr>
          <w:rFonts w:ascii="Tahoma" w:hAnsi="Tahoma" w:cs="Tahoma"/>
          <w:sz w:val="24"/>
          <w:szCs w:val="24"/>
        </w:rPr>
        <w:t>ut</w:t>
      </w:r>
      <w:r w:rsidRPr="00F14666">
        <w:rPr>
          <w:rFonts w:ascii="Tahoma" w:hAnsi="Tahoma" w:cs="Tahoma"/>
          <w:sz w:val="24"/>
          <w:szCs w:val="24"/>
        </w:rPr>
        <w:t xml:space="preserve"> ca pondere în PIB la 3,0% în anul 2019</w:t>
      </w:r>
      <w:r w:rsidR="00F170F2" w:rsidRPr="00F14666">
        <w:rPr>
          <w:rFonts w:ascii="Tahoma" w:hAnsi="Tahoma" w:cs="Tahoma"/>
          <w:sz w:val="24"/>
          <w:szCs w:val="24"/>
        </w:rPr>
        <w:t>,</w:t>
      </w:r>
      <w:r w:rsidRPr="00F14666">
        <w:rPr>
          <w:rFonts w:ascii="Tahoma" w:hAnsi="Tahoma" w:cs="Tahoma"/>
          <w:sz w:val="24"/>
          <w:szCs w:val="24"/>
        </w:rPr>
        <w:t xml:space="preserve"> iar accizele pentru produsele en</w:t>
      </w:r>
      <w:r w:rsidR="001B70D2" w:rsidRPr="00F14666">
        <w:rPr>
          <w:rFonts w:ascii="Tahoma" w:hAnsi="Tahoma" w:cs="Tahoma"/>
          <w:sz w:val="24"/>
          <w:szCs w:val="24"/>
        </w:rPr>
        <w:t>ergetice și tutun reprezintă 96,</w:t>
      </w:r>
      <w:r w:rsidRPr="00F14666">
        <w:rPr>
          <w:rFonts w:ascii="Tahoma" w:hAnsi="Tahoma" w:cs="Tahoma"/>
          <w:sz w:val="24"/>
          <w:szCs w:val="24"/>
        </w:rPr>
        <w:t xml:space="preserve">5% din total. </w:t>
      </w: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lastRenderedPageBreak/>
        <w:t>Comparat</w:t>
      </w:r>
      <w:r w:rsidR="00CD578B" w:rsidRPr="00F14666">
        <w:rPr>
          <w:rFonts w:ascii="Tahoma" w:hAnsi="Tahoma" w:cs="Tahoma"/>
          <w:sz w:val="24"/>
          <w:szCs w:val="24"/>
        </w:rPr>
        <w:t>iv cu încasările din anul 2018,</w:t>
      </w:r>
      <w:r w:rsidRPr="00F14666">
        <w:rPr>
          <w:rFonts w:ascii="Tahoma" w:hAnsi="Tahoma" w:cs="Tahoma"/>
          <w:sz w:val="24"/>
          <w:szCs w:val="24"/>
        </w:rPr>
        <w:t xml:space="preserve"> veniturile din accize pentru produse energetice au crescut cu 6,4%, în condițiile unui nivel majorat al accizei pentru carburanți în anul 2019 cu 3,1% și a unui consum în creștere cu 7%. </w:t>
      </w:r>
      <w:r w:rsidR="00241CAA" w:rsidRPr="00F14666">
        <w:rPr>
          <w:rFonts w:ascii="Tahoma" w:hAnsi="Tahoma" w:cs="Tahoma"/>
          <w:sz w:val="24"/>
          <w:szCs w:val="24"/>
        </w:rPr>
        <w:t>Veniturile din a</w:t>
      </w:r>
      <w:r w:rsidRPr="00F14666">
        <w:rPr>
          <w:rFonts w:ascii="Tahoma" w:hAnsi="Tahoma" w:cs="Tahoma"/>
          <w:sz w:val="24"/>
          <w:szCs w:val="24"/>
        </w:rPr>
        <w:t xml:space="preserve">ccizele pentru produsele </w:t>
      </w:r>
      <w:r w:rsidR="00241CAA" w:rsidRPr="00F14666">
        <w:rPr>
          <w:rFonts w:ascii="Tahoma" w:hAnsi="Tahoma" w:cs="Tahoma"/>
          <w:sz w:val="24"/>
          <w:szCs w:val="24"/>
        </w:rPr>
        <w:t xml:space="preserve">din tutun au </w:t>
      </w:r>
      <w:r w:rsidRPr="00F14666">
        <w:rPr>
          <w:rFonts w:ascii="Tahoma" w:hAnsi="Tahoma" w:cs="Tahoma"/>
          <w:sz w:val="24"/>
          <w:szCs w:val="24"/>
        </w:rPr>
        <w:t>înregistr</w:t>
      </w:r>
      <w:r w:rsidR="00241CAA" w:rsidRPr="00F14666">
        <w:rPr>
          <w:rFonts w:ascii="Tahoma" w:hAnsi="Tahoma" w:cs="Tahoma"/>
          <w:sz w:val="24"/>
          <w:szCs w:val="24"/>
        </w:rPr>
        <w:t>at</w:t>
      </w:r>
      <w:r w:rsidRPr="00F14666">
        <w:rPr>
          <w:rFonts w:ascii="Tahoma" w:hAnsi="Tahoma" w:cs="Tahoma"/>
          <w:sz w:val="24"/>
          <w:szCs w:val="24"/>
        </w:rPr>
        <w:t xml:space="preserve"> o creștere de 17,7%</w:t>
      </w:r>
      <w:r w:rsidR="00241CAA" w:rsidRPr="00F14666">
        <w:rPr>
          <w:rFonts w:ascii="Tahoma" w:hAnsi="Tahoma" w:cs="Tahoma"/>
          <w:sz w:val="24"/>
          <w:szCs w:val="24"/>
        </w:rPr>
        <w:t xml:space="preserve"> comparativ cu anul 2018</w:t>
      </w:r>
      <w:r w:rsidRPr="00F14666">
        <w:rPr>
          <w:rFonts w:ascii="Tahoma" w:hAnsi="Tahoma" w:cs="Tahoma"/>
          <w:sz w:val="24"/>
          <w:szCs w:val="24"/>
        </w:rPr>
        <w:t>, reflectând în principal majorarea nivelului accizei la țigarete cu 8%.</w:t>
      </w:r>
      <w:r w:rsidRPr="00F14666">
        <w:rPr>
          <w:rFonts w:ascii="Tahoma" w:hAnsi="Tahoma" w:cs="Tahoma"/>
          <w:sz w:val="24"/>
          <w:szCs w:val="24"/>
        </w:rPr>
        <w:tab/>
      </w:r>
    </w:p>
    <w:p w:rsidR="00CF1ED7" w:rsidRPr="00F14666" w:rsidRDefault="00F155D7" w:rsidP="0073781B">
      <w:pPr>
        <w:spacing w:after="0" w:line="240" w:lineRule="auto"/>
        <w:jc w:val="center"/>
        <w:rPr>
          <w:rFonts w:ascii="Tahoma" w:hAnsi="Tahoma" w:cs="Tahoma"/>
          <w:sz w:val="24"/>
          <w:szCs w:val="24"/>
        </w:rPr>
      </w:pPr>
      <w:r w:rsidRPr="00F14666">
        <w:rPr>
          <w:rFonts w:ascii="Tahoma" w:hAnsi="Tahoma" w:cs="Tahoma"/>
          <w:noProof/>
          <w:sz w:val="24"/>
          <w:szCs w:val="24"/>
          <w:lang w:val="en-US"/>
        </w:rPr>
        <w:drawing>
          <wp:inline distT="0" distB="0" distL="0" distR="0" wp14:anchorId="62747538">
            <wp:extent cx="6320012" cy="3066359"/>
            <wp:effectExtent l="0" t="0" r="508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9635" cy="3080732"/>
                    </a:xfrm>
                    <a:prstGeom prst="rect">
                      <a:avLst/>
                    </a:prstGeom>
                    <a:noFill/>
                  </pic:spPr>
                </pic:pic>
              </a:graphicData>
            </a:graphic>
          </wp:inline>
        </w:drawing>
      </w:r>
    </w:p>
    <w:p w:rsidR="0073781B" w:rsidRPr="00F14666" w:rsidRDefault="0073781B" w:rsidP="0073781B">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INS, calcule proprii</w:t>
      </w:r>
    </w:p>
    <w:p w:rsidR="00CF1ED7" w:rsidRPr="00F14666" w:rsidRDefault="00CF1ED7" w:rsidP="00CF1ED7">
      <w:pPr>
        <w:pStyle w:val="ListParagraph"/>
        <w:spacing w:line="360" w:lineRule="auto"/>
        <w:jc w:val="center"/>
        <w:rPr>
          <w:rFonts w:ascii="Tahoma" w:hAnsi="Tahoma" w:cs="Tahoma"/>
          <w:sz w:val="24"/>
          <w:szCs w:val="24"/>
        </w:rPr>
      </w:pPr>
      <w:r w:rsidRPr="00F14666">
        <w:rPr>
          <w:rFonts w:ascii="Tahoma" w:hAnsi="Tahoma" w:cs="Tahoma"/>
          <w:b/>
          <w:color w:val="767171" w:themeColor="background2" w:themeShade="80"/>
          <w:sz w:val="24"/>
          <w:szCs w:val="24"/>
        </w:rPr>
        <w:t>Fig.</w:t>
      </w:r>
      <w:r w:rsidR="00BA152F" w:rsidRPr="00F14666">
        <w:rPr>
          <w:rFonts w:ascii="Tahoma" w:hAnsi="Tahoma" w:cs="Tahoma"/>
          <w:b/>
          <w:color w:val="767171" w:themeColor="background2" w:themeShade="80"/>
          <w:sz w:val="24"/>
          <w:szCs w:val="24"/>
        </w:rPr>
        <w:t>4</w:t>
      </w:r>
      <w:r w:rsidR="00D60BC0" w:rsidRPr="00F14666">
        <w:rPr>
          <w:rFonts w:ascii="Tahoma" w:hAnsi="Tahoma" w:cs="Tahoma"/>
          <w:b/>
          <w:color w:val="767171" w:themeColor="background2" w:themeShade="80"/>
          <w:sz w:val="24"/>
          <w:szCs w:val="24"/>
        </w:rPr>
        <w:t xml:space="preserve"> </w:t>
      </w:r>
      <w:r w:rsidRPr="00F14666">
        <w:rPr>
          <w:rFonts w:ascii="Tahoma" w:hAnsi="Tahoma" w:cs="Tahoma"/>
          <w:b/>
          <w:color w:val="767171" w:themeColor="background2" w:themeShade="80"/>
          <w:sz w:val="24"/>
          <w:szCs w:val="24"/>
        </w:rPr>
        <w:t xml:space="preserve">Încasările din accize </w:t>
      </w:r>
    </w:p>
    <w:p w:rsidR="00F155D7" w:rsidRPr="00F14666" w:rsidRDefault="00F155D7" w:rsidP="00CF1ED7">
      <w:pPr>
        <w:spacing w:after="120" w:line="360" w:lineRule="auto"/>
        <w:jc w:val="both"/>
        <w:rPr>
          <w:rFonts w:ascii="Tahoma" w:hAnsi="Tahoma" w:cs="Tahoma"/>
          <w:sz w:val="24"/>
          <w:szCs w:val="24"/>
        </w:rPr>
      </w:pPr>
    </w:p>
    <w:p w:rsidR="009833EE"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Încasările din </w:t>
      </w:r>
      <w:r w:rsidRPr="00F14666">
        <w:rPr>
          <w:rFonts w:ascii="Tahoma" w:hAnsi="Tahoma" w:cs="Tahoma"/>
          <w:b/>
          <w:i/>
          <w:sz w:val="24"/>
          <w:szCs w:val="24"/>
        </w:rPr>
        <w:t>TVA</w:t>
      </w:r>
      <w:r w:rsidRPr="00F14666">
        <w:rPr>
          <w:rFonts w:ascii="Tahoma" w:hAnsi="Tahoma" w:cs="Tahoma"/>
          <w:sz w:val="24"/>
          <w:szCs w:val="24"/>
        </w:rPr>
        <w:t xml:space="preserve"> au înregistrat </w:t>
      </w:r>
      <w:r w:rsidR="00FF15AC" w:rsidRPr="00F14666">
        <w:rPr>
          <w:rFonts w:ascii="Tahoma" w:hAnsi="Tahoma" w:cs="Tahoma"/>
          <w:sz w:val="24"/>
          <w:szCs w:val="24"/>
        </w:rPr>
        <w:t>65,4</w:t>
      </w:r>
      <w:r w:rsidR="001A2254" w:rsidRPr="00F14666">
        <w:rPr>
          <w:rFonts w:ascii="Tahoma" w:hAnsi="Tahoma" w:cs="Tahoma"/>
          <w:sz w:val="24"/>
          <w:szCs w:val="24"/>
        </w:rPr>
        <w:t>2</w:t>
      </w:r>
      <w:r w:rsidR="00FF15AC" w:rsidRPr="00F14666">
        <w:rPr>
          <w:rFonts w:ascii="Tahoma" w:hAnsi="Tahoma" w:cs="Tahoma"/>
          <w:sz w:val="24"/>
          <w:szCs w:val="24"/>
        </w:rPr>
        <w:t xml:space="preserve"> mld lei </w:t>
      </w:r>
      <w:r w:rsidRPr="00F14666">
        <w:rPr>
          <w:rFonts w:ascii="Tahoma" w:hAnsi="Tahoma" w:cs="Tahoma"/>
          <w:sz w:val="24"/>
          <w:szCs w:val="24"/>
        </w:rPr>
        <w:t xml:space="preserve">în anul 2019 </w:t>
      </w:r>
      <w:proofErr w:type="spellStart"/>
      <w:r w:rsidR="00FF15AC" w:rsidRPr="00F14666">
        <w:rPr>
          <w:rFonts w:ascii="Tahoma" w:hAnsi="Tahoma" w:cs="Tahoma"/>
          <w:sz w:val="24"/>
          <w:szCs w:val="24"/>
        </w:rPr>
        <w:t>şi</w:t>
      </w:r>
      <w:proofErr w:type="spellEnd"/>
      <w:r w:rsidRPr="00F14666">
        <w:rPr>
          <w:rFonts w:ascii="Tahoma" w:hAnsi="Tahoma" w:cs="Tahoma"/>
          <w:sz w:val="24"/>
          <w:szCs w:val="24"/>
        </w:rPr>
        <w:t xml:space="preserve"> </w:t>
      </w:r>
      <w:r w:rsidR="001A2254" w:rsidRPr="00F14666">
        <w:rPr>
          <w:rFonts w:ascii="Tahoma" w:hAnsi="Tahoma" w:cs="Tahoma"/>
          <w:sz w:val="24"/>
          <w:szCs w:val="24"/>
        </w:rPr>
        <w:t xml:space="preserve">o </w:t>
      </w:r>
      <w:r w:rsidRPr="00F14666">
        <w:rPr>
          <w:rFonts w:ascii="Tahoma" w:hAnsi="Tahoma" w:cs="Tahoma"/>
          <w:sz w:val="24"/>
          <w:szCs w:val="24"/>
        </w:rPr>
        <w:t xml:space="preserve">creștere </w:t>
      </w:r>
      <w:r w:rsidR="001A2254" w:rsidRPr="00F14666">
        <w:rPr>
          <w:rFonts w:ascii="Tahoma" w:hAnsi="Tahoma" w:cs="Tahoma"/>
          <w:sz w:val="24"/>
          <w:szCs w:val="24"/>
        </w:rPr>
        <w:t xml:space="preserve">nominală </w:t>
      </w:r>
      <w:r w:rsidRPr="00F14666">
        <w:rPr>
          <w:rFonts w:ascii="Tahoma" w:hAnsi="Tahoma" w:cs="Tahoma"/>
          <w:sz w:val="24"/>
          <w:szCs w:val="24"/>
        </w:rPr>
        <w:t>de 9,7% față ce</w:t>
      </w:r>
      <w:r w:rsidR="00ED3C31" w:rsidRPr="00F14666">
        <w:rPr>
          <w:rFonts w:ascii="Tahoma" w:hAnsi="Tahoma" w:cs="Tahoma"/>
          <w:sz w:val="24"/>
          <w:szCs w:val="24"/>
        </w:rPr>
        <w:t>le înregistrate în de anul 2018</w:t>
      </w:r>
      <w:r w:rsidR="00FF15AC" w:rsidRPr="00F14666">
        <w:rPr>
          <w:rFonts w:ascii="Tahoma" w:hAnsi="Tahoma" w:cs="Tahoma"/>
          <w:sz w:val="24"/>
          <w:szCs w:val="24"/>
        </w:rPr>
        <w:t xml:space="preserve">. Ponderea </w:t>
      </w:r>
      <w:r w:rsidRPr="00F14666">
        <w:rPr>
          <w:rFonts w:ascii="Tahoma" w:hAnsi="Tahoma" w:cs="Tahoma"/>
          <w:sz w:val="24"/>
          <w:szCs w:val="24"/>
        </w:rPr>
        <w:t xml:space="preserve">în PIB </w:t>
      </w:r>
      <w:r w:rsidR="00FF15AC" w:rsidRPr="00F14666">
        <w:rPr>
          <w:rFonts w:ascii="Tahoma" w:hAnsi="Tahoma" w:cs="Tahoma"/>
          <w:sz w:val="24"/>
          <w:szCs w:val="24"/>
        </w:rPr>
        <w:t xml:space="preserve">a veniturilor din TVA s-a </w:t>
      </w:r>
      <w:r w:rsidR="00F170F2" w:rsidRPr="00F14666">
        <w:rPr>
          <w:rFonts w:ascii="Tahoma" w:hAnsi="Tahoma" w:cs="Tahoma"/>
          <w:sz w:val="24"/>
          <w:szCs w:val="24"/>
        </w:rPr>
        <w:t>menținut</w:t>
      </w:r>
      <w:r w:rsidR="00FF15AC" w:rsidRPr="00F14666">
        <w:rPr>
          <w:rFonts w:ascii="Tahoma" w:hAnsi="Tahoma" w:cs="Tahoma"/>
          <w:sz w:val="24"/>
          <w:szCs w:val="24"/>
        </w:rPr>
        <w:t xml:space="preserve"> </w:t>
      </w:r>
      <w:r w:rsidRPr="00F14666">
        <w:rPr>
          <w:rFonts w:ascii="Tahoma" w:hAnsi="Tahoma" w:cs="Tahoma"/>
          <w:sz w:val="24"/>
          <w:szCs w:val="24"/>
        </w:rPr>
        <w:t>la 6,3%</w:t>
      </w:r>
      <w:r w:rsidR="00FF15AC" w:rsidRPr="00F14666">
        <w:rPr>
          <w:rFonts w:ascii="Tahoma" w:hAnsi="Tahoma" w:cs="Tahoma"/>
          <w:sz w:val="24"/>
          <w:szCs w:val="24"/>
        </w:rPr>
        <w:t xml:space="preserve"> în 2019</w:t>
      </w:r>
      <w:r w:rsidRPr="00F14666">
        <w:rPr>
          <w:rFonts w:ascii="Tahoma" w:hAnsi="Tahoma" w:cs="Tahoma"/>
          <w:sz w:val="24"/>
          <w:szCs w:val="24"/>
        </w:rPr>
        <w:t xml:space="preserve">. </w:t>
      </w:r>
      <w:r w:rsidR="00CB5101" w:rsidRPr="00F14666">
        <w:rPr>
          <w:rFonts w:ascii="Tahoma" w:hAnsi="Tahoma" w:cs="Tahoma"/>
          <w:sz w:val="24"/>
          <w:szCs w:val="24"/>
        </w:rPr>
        <w:t xml:space="preserve">În raport cu programul </w:t>
      </w:r>
      <w:r w:rsidR="00F170F2" w:rsidRPr="00F14666">
        <w:rPr>
          <w:rFonts w:ascii="Tahoma" w:hAnsi="Tahoma" w:cs="Tahoma"/>
          <w:sz w:val="24"/>
          <w:szCs w:val="24"/>
        </w:rPr>
        <w:t>inițial</w:t>
      </w:r>
      <w:r w:rsidR="00CB5101" w:rsidRPr="00F14666">
        <w:rPr>
          <w:rFonts w:ascii="Tahoma" w:hAnsi="Tahoma" w:cs="Tahoma"/>
          <w:sz w:val="24"/>
          <w:szCs w:val="24"/>
        </w:rPr>
        <w:t xml:space="preserve">, veniturile din această sursă au fost mai reduse cu 4,23 mld lei corespunzător unui grad de realizare de 93,9%. </w:t>
      </w:r>
      <w:r w:rsidR="009833EE" w:rsidRPr="00F14666">
        <w:rPr>
          <w:rFonts w:ascii="Tahoma" w:hAnsi="Tahoma" w:cs="Tahoma"/>
          <w:sz w:val="24"/>
          <w:szCs w:val="24"/>
        </w:rPr>
        <w:t xml:space="preserve">Încasările din TVA au crescut în luna decembrie cu un ritm anual de 8,1%, superior ritmului înregistrat de </w:t>
      </w:r>
      <w:r w:rsidR="00F170F2" w:rsidRPr="00F14666">
        <w:rPr>
          <w:rFonts w:ascii="Tahoma" w:hAnsi="Tahoma" w:cs="Tahoma"/>
          <w:sz w:val="24"/>
          <w:szCs w:val="24"/>
        </w:rPr>
        <w:t>evoluția</w:t>
      </w:r>
      <w:r w:rsidR="009833EE" w:rsidRPr="00F14666">
        <w:rPr>
          <w:rFonts w:ascii="Tahoma" w:hAnsi="Tahoma" w:cs="Tahoma"/>
          <w:sz w:val="24"/>
          <w:szCs w:val="24"/>
        </w:rPr>
        <w:t xml:space="preserve"> cifrei de afaceri în economie în perioada de </w:t>
      </w:r>
      <w:r w:rsidR="00F170F2" w:rsidRPr="00F14666">
        <w:rPr>
          <w:rFonts w:ascii="Tahoma" w:hAnsi="Tahoma" w:cs="Tahoma"/>
          <w:sz w:val="24"/>
          <w:szCs w:val="24"/>
        </w:rPr>
        <w:t>referință</w:t>
      </w:r>
      <w:r w:rsidR="009833EE" w:rsidRPr="00F14666">
        <w:rPr>
          <w:rFonts w:ascii="Tahoma" w:hAnsi="Tahoma" w:cs="Tahoma"/>
          <w:sz w:val="24"/>
          <w:szCs w:val="24"/>
        </w:rPr>
        <w:t xml:space="preserve">. </w:t>
      </w:r>
    </w:p>
    <w:p w:rsidR="00BA152F" w:rsidRPr="00F14666" w:rsidRDefault="00F155D7" w:rsidP="0073781B">
      <w:pPr>
        <w:spacing w:after="0" w:line="240" w:lineRule="auto"/>
        <w:jc w:val="center"/>
        <w:rPr>
          <w:rFonts w:ascii="Tahoma" w:hAnsi="Tahoma" w:cs="Tahoma"/>
          <w:sz w:val="24"/>
          <w:szCs w:val="24"/>
        </w:rPr>
      </w:pPr>
      <w:r w:rsidRPr="00F14666">
        <w:rPr>
          <w:rFonts w:ascii="Tahoma" w:hAnsi="Tahoma" w:cs="Tahoma"/>
          <w:noProof/>
          <w:sz w:val="24"/>
          <w:szCs w:val="24"/>
          <w:lang w:val="en-US"/>
        </w:rPr>
        <w:lastRenderedPageBreak/>
        <w:drawing>
          <wp:inline distT="0" distB="0" distL="0" distR="0" wp14:anchorId="5F62E503">
            <wp:extent cx="6373478" cy="364572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8584" cy="3671527"/>
                    </a:xfrm>
                    <a:prstGeom prst="rect">
                      <a:avLst/>
                    </a:prstGeom>
                    <a:noFill/>
                  </pic:spPr>
                </pic:pic>
              </a:graphicData>
            </a:graphic>
          </wp:inline>
        </w:drawing>
      </w:r>
    </w:p>
    <w:p w:rsidR="0073781B" w:rsidRPr="00F14666" w:rsidRDefault="0073781B" w:rsidP="0073781B">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INS, calcule proprii</w:t>
      </w:r>
    </w:p>
    <w:p w:rsidR="00313230" w:rsidRPr="00F14666" w:rsidRDefault="00313230" w:rsidP="008343FE">
      <w:pPr>
        <w:pStyle w:val="ListParagraph"/>
        <w:spacing w:before="240"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BA152F" w:rsidRPr="00F14666">
        <w:rPr>
          <w:rFonts w:ascii="Tahoma" w:hAnsi="Tahoma" w:cs="Tahoma"/>
          <w:b/>
          <w:color w:val="767171" w:themeColor="background2" w:themeShade="80"/>
          <w:sz w:val="24"/>
          <w:szCs w:val="24"/>
        </w:rPr>
        <w:t>5</w:t>
      </w:r>
      <w:r w:rsidR="00D60BC0" w:rsidRPr="00F14666">
        <w:rPr>
          <w:rFonts w:ascii="Tahoma" w:hAnsi="Tahoma" w:cs="Tahoma"/>
          <w:b/>
          <w:color w:val="767171" w:themeColor="background2" w:themeShade="80"/>
          <w:sz w:val="24"/>
          <w:szCs w:val="24"/>
        </w:rPr>
        <w:t xml:space="preserve"> </w:t>
      </w:r>
      <w:r w:rsidRPr="00F14666">
        <w:rPr>
          <w:rFonts w:ascii="Tahoma" w:hAnsi="Tahoma" w:cs="Tahoma"/>
          <w:b/>
          <w:color w:val="767171" w:themeColor="background2" w:themeShade="80"/>
          <w:sz w:val="24"/>
          <w:szCs w:val="24"/>
        </w:rPr>
        <w:t xml:space="preserve">Încasările din </w:t>
      </w:r>
      <w:r w:rsidR="00C87154" w:rsidRPr="00F14666">
        <w:rPr>
          <w:rFonts w:ascii="Tahoma" w:hAnsi="Tahoma" w:cs="Tahoma"/>
          <w:b/>
          <w:color w:val="767171" w:themeColor="background2" w:themeShade="80"/>
          <w:sz w:val="24"/>
          <w:szCs w:val="24"/>
        </w:rPr>
        <w:t>t</w:t>
      </w:r>
      <w:r w:rsidRPr="00F14666">
        <w:rPr>
          <w:rFonts w:ascii="Tahoma" w:hAnsi="Tahoma" w:cs="Tahoma"/>
          <w:b/>
          <w:color w:val="767171" w:themeColor="background2" w:themeShade="80"/>
          <w:sz w:val="24"/>
          <w:szCs w:val="24"/>
        </w:rPr>
        <w:t xml:space="preserve">axa pe valoarea adăugată </w:t>
      </w:r>
    </w:p>
    <w:p w:rsidR="003F4E84" w:rsidRPr="00F14666" w:rsidRDefault="003F4E84" w:rsidP="00313230">
      <w:pPr>
        <w:pStyle w:val="ListParagraph"/>
        <w:spacing w:line="360" w:lineRule="auto"/>
        <w:jc w:val="center"/>
        <w:rPr>
          <w:rFonts w:ascii="Tahoma" w:hAnsi="Tahoma" w:cs="Tahoma"/>
          <w:sz w:val="24"/>
          <w:szCs w:val="24"/>
        </w:rPr>
      </w:pP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Comparativ cu anul 2018, în anul 2019 se constată o creștere cu 11% a venituril</w:t>
      </w:r>
      <w:r w:rsidR="00A45C4C" w:rsidRPr="00F14666">
        <w:rPr>
          <w:rFonts w:ascii="Tahoma" w:hAnsi="Tahoma" w:cs="Tahoma"/>
          <w:sz w:val="24"/>
          <w:szCs w:val="24"/>
        </w:rPr>
        <w:t>or</w:t>
      </w:r>
      <w:r w:rsidRPr="00F14666">
        <w:rPr>
          <w:rFonts w:ascii="Tahoma" w:hAnsi="Tahoma" w:cs="Tahoma"/>
          <w:sz w:val="24"/>
          <w:szCs w:val="24"/>
        </w:rPr>
        <w:t xml:space="preserve"> brute din TVA (exclusiv restituiri) și cu 14,5% a restituirilor din TVA (18,8 mld lei în anul 2019)</w:t>
      </w:r>
      <w:r w:rsidR="00F7443E" w:rsidRPr="00F14666">
        <w:rPr>
          <w:rStyle w:val="FootnoteReference"/>
          <w:rFonts w:ascii="Tahoma" w:hAnsi="Tahoma" w:cs="Tahoma"/>
          <w:sz w:val="24"/>
          <w:szCs w:val="24"/>
        </w:rPr>
        <w:footnoteReference w:id="2"/>
      </w:r>
      <w:r w:rsidRPr="00F14666">
        <w:rPr>
          <w:rFonts w:ascii="Tahoma" w:hAnsi="Tahoma" w:cs="Tahoma"/>
          <w:sz w:val="24"/>
          <w:szCs w:val="24"/>
        </w:rPr>
        <w:t xml:space="preserve"> în condițiile în care baza macroeconomică relevantă (cifra de afaceri în comerț, servicii și industrie) s-a majorat cu 10,4% în medie în 2019. De asemenea, evoluția încasărilor din TVA în 2019 a fost </w:t>
      </w:r>
      <w:r w:rsidR="00B03261" w:rsidRPr="00F14666">
        <w:rPr>
          <w:rFonts w:ascii="Tahoma" w:hAnsi="Tahoma" w:cs="Tahoma"/>
          <w:sz w:val="24"/>
          <w:szCs w:val="24"/>
        </w:rPr>
        <w:t>afectată negativ</w:t>
      </w:r>
      <w:r w:rsidRPr="00F14666">
        <w:rPr>
          <w:rFonts w:ascii="Tahoma" w:hAnsi="Tahoma" w:cs="Tahoma"/>
          <w:sz w:val="24"/>
          <w:szCs w:val="24"/>
        </w:rPr>
        <w:t xml:space="preserve"> de extinderea aplicării cotei reduse de TVA de 5% </w:t>
      </w:r>
      <w:r w:rsidR="00B03261" w:rsidRPr="00F14666">
        <w:rPr>
          <w:rFonts w:ascii="Tahoma" w:hAnsi="Tahoma" w:cs="Tahoma"/>
          <w:sz w:val="24"/>
          <w:szCs w:val="24"/>
        </w:rPr>
        <w:t xml:space="preserve">(de la 9% </w:t>
      </w:r>
      <w:r w:rsidRPr="00F14666">
        <w:rPr>
          <w:rFonts w:ascii="Tahoma" w:hAnsi="Tahoma" w:cs="Tahoma"/>
          <w:sz w:val="24"/>
          <w:szCs w:val="24"/>
        </w:rPr>
        <w:t xml:space="preserve">pentru serviciile de restaurant și de </w:t>
      </w:r>
      <w:proofErr w:type="spellStart"/>
      <w:r w:rsidRPr="00F14666">
        <w:rPr>
          <w:rFonts w:ascii="Tahoma" w:hAnsi="Tahoma" w:cs="Tahoma"/>
          <w:sz w:val="24"/>
          <w:szCs w:val="24"/>
        </w:rPr>
        <w:t>catering</w:t>
      </w:r>
      <w:proofErr w:type="spellEnd"/>
      <w:r w:rsidRPr="00F14666">
        <w:rPr>
          <w:rFonts w:ascii="Tahoma" w:hAnsi="Tahoma" w:cs="Tahoma"/>
          <w:sz w:val="24"/>
          <w:szCs w:val="24"/>
        </w:rPr>
        <w:t>, livrări de produse alimentare de înaltă valoare calitativă, servicii de cazare in cadrul sectorului hotelier).</w:t>
      </w: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Veniturile din </w:t>
      </w:r>
      <w:r w:rsidRPr="00F14666">
        <w:rPr>
          <w:rFonts w:ascii="Tahoma" w:hAnsi="Tahoma" w:cs="Tahoma"/>
          <w:b/>
          <w:i/>
          <w:sz w:val="24"/>
          <w:szCs w:val="24"/>
        </w:rPr>
        <w:t>taxe pe utilizarea bunurilor</w:t>
      </w:r>
      <w:r w:rsidRPr="00F14666">
        <w:rPr>
          <w:rFonts w:ascii="Tahoma" w:hAnsi="Tahoma" w:cs="Tahoma"/>
          <w:sz w:val="24"/>
          <w:szCs w:val="24"/>
        </w:rPr>
        <w:t xml:space="preserve"> au înregistrat o scădere de 0,</w:t>
      </w:r>
      <w:r w:rsidR="001A2254" w:rsidRPr="00F14666">
        <w:rPr>
          <w:rFonts w:ascii="Tahoma" w:hAnsi="Tahoma" w:cs="Tahoma"/>
          <w:sz w:val="24"/>
          <w:szCs w:val="24"/>
        </w:rPr>
        <w:t>27</w:t>
      </w:r>
      <w:r w:rsidRPr="00F14666">
        <w:rPr>
          <w:rFonts w:ascii="Tahoma" w:hAnsi="Tahoma" w:cs="Tahoma"/>
          <w:sz w:val="24"/>
          <w:szCs w:val="24"/>
        </w:rPr>
        <w:t xml:space="preserve"> mld lei față de anul 2018, în condițiile în care în anul 2019 au fost restituite taxe pentru prima înmatriculare încasate în anii precedenți în sumă de </w:t>
      </w:r>
      <w:r w:rsidR="005C1DD0" w:rsidRPr="00F14666">
        <w:rPr>
          <w:rFonts w:ascii="Tahoma" w:hAnsi="Tahoma" w:cs="Tahoma"/>
          <w:sz w:val="24"/>
          <w:szCs w:val="24"/>
        </w:rPr>
        <w:t>3</w:t>
      </w:r>
      <w:r w:rsidRPr="00F14666">
        <w:rPr>
          <w:rFonts w:ascii="Tahoma" w:hAnsi="Tahoma" w:cs="Tahoma"/>
          <w:sz w:val="24"/>
          <w:szCs w:val="24"/>
        </w:rPr>
        <w:t>,</w:t>
      </w:r>
      <w:r w:rsidR="005C1DD0" w:rsidRPr="00F14666">
        <w:rPr>
          <w:rFonts w:ascii="Tahoma" w:hAnsi="Tahoma" w:cs="Tahoma"/>
          <w:sz w:val="24"/>
          <w:szCs w:val="24"/>
        </w:rPr>
        <w:t>0</w:t>
      </w:r>
      <w:r w:rsidRPr="00F14666">
        <w:rPr>
          <w:rFonts w:ascii="Tahoma" w:hAnsi="Tahoma" w:cs="Tahoma"/>
          <w:sz w:val="24"/>
          <w:szCs w:val="24"/>
        </w:rPr>
        <w:t xml:space="preserve"> m</w:t>
      </w:r>
      <w:r w:rsidR="00CC402A" w:rsidRPr="00F14666">
        <w:rPr>
          <w:rFonts w:ascii="Tahoma" w:hAnsi="Tahoma" w:cs="Tahoma"/>
          <w:sz w:val="24"/>
          <w:szCs w:val="24"/>
        </w:rPr>
        <w:t>ld</w:t>
      </w:r>
      <w:r w:rsidRPr="00F14666">
        <w:rPr>
          <w:rFonts w:ascii="Tahoma" w:hAnsi="Tahoma" w:cs="Tahoma"/>
          <w:sz w:val="24"/>
          <w:szCs w:val="24"/>
        </w:rPr>
        <w:t xml:space="preserve"> lei </w:t>
      </w:r>
      <w:r w:rsidR="00313230" w:rsidRPr="00F14666">
        <w:rPr>
          <w:rFonts w:ascii="Tahoma" w:hAnsi="Tahoma" w:cs="Tahoma"/>
          <w:sz w:val="24"/>
          <w:szCs w:val="24"/>
        </w:rPr>
        <w:t>(</w:t>
      </w:r>
      <w:r w:rsidRPr="00F14666">
        <w:rPr>
          <w:rFonts w:ascii="Tahoma" w:hAnsi="Tahoma" w:cs="Tahoma"/>
          <w:sz w:val="24"/>
          <w:szCs w:val="24"/>
        </w:rPr>
        <w:t>în anul 2018 au fost restituiți 1,</w:t>
      </w:r>
      <w:r w:rsidR="005C1DD0" w:rsidRPr="00F14666">
        <w:rPr>
          <w:rFonts w:ascii="Tahoma" w:hAnsi="Tahoma" w:cs="Tahoma"/>
          <w:sz w:val="24"/>
          <w:szCs w:val="24"/>
        </w:rPr>
        <w:t>6</w:t>
      </w:r>
      <w:r w:rsidRPr="00F14666">
        <w:rPr>
          <w:rFonts w:ascii="Tahoma" w:hAnsi="Tahoma" w:cs="Tahoma"/>
          <w:sz w:val="24"/>
          <w:szCs w:val="24"/>
        </w:rPr>
        <w:t xml:space="preserve"> mld lei</w:t>
      </w:r>
      <w:r w:rsidR="00313230" w:rsidRPr="00F14666">
        <w:rPr>
          <w:rFonts w:ascii="Tahoma" w:hAnsi="Tahoma" w:cs="Tahoma"/>
          <w:sz w:val="24"/>
          <w:szCs w:val="24"/>
        </w:rPr>
        <w:t>)</w:t>
      </w:r>
      <w:r w:rsidRPr="00F14666">
        <w:rPr>
          <w:rFonts w:ascii="Tahoma" w:hAnsi="Tahoma" w:cs="Tahoma"/>
          <w:sz w:val="24"/>
          <w:szCs w:val="24"/>
        </w:rPr>
        <w:t xml:space="preserve">. </w:t>
      </w:r>
      <w:r w:rsidR="00FC0E54" w:rsidRPr="00F14666">
        <w:rPr>
          <w:rFonts w:ascii="Tahoma" w:hAnsi="Tahoma" w:cs="Tahoma"/>
          <w:sz w:val="24"/>
          <w:szCs w:val="24"/>
        </w:rPr>
        <w:t>În cadrul veniturilor din această sursă, î</w:t>
      </w:r>
      <w:r w:rsidRPr="00F14666">
        <w:rPr>
          <w:rFonts w:ascii="Tahoma" w:hAnsi="Tahoma" w:cs="Tahoma"/>
          <w:sz w:val="24"/>
          <w:szCs w:val="24"/>
        </w:rPr>
        <w:t xml:space="preserve">ncasările din taxele pe jocurile de noroc </w:t>
      </w:r>
      <w:r w:rsidR="00FC0E54" w:rsidRPr="00F14666">
        <w:rPr>
          <w:rFonts w:ascii="Tahoma" w:hAnsi="Tahoma" w:cs="Tahoma"/>
          <w:sz w:val="24"/>
          <w:szCs w:val="24"/>
        </w:rPr>
        <w:t xml:space="preserve">prezintă o </w:t>
      </w:r>
      <w:r w:rsidR="00B67E3C" w:rsidRPr="00F14666">
        <w:rPr>
          <w:rFonts w:ascii="Tahoma" w:hAnsi="Tahoma" w:cs="Tahoma"/>
          <w:sz w:val="24"/>
          <w:szCs w:val="24"/>
        </w:rPr>
        <w:lastRenderedPageBreak/>
        <w:t>creștere</w:t>
      </w:r>
      <w:r w:rsidR="00FC0E54" w:rsidRPr="00F14666">
        <w:rPr>
          <w:rFonts w:ascii="Tahoma" w:hAnsi="Tahoma" w:cs="Tahoma"/>
          <w:sz w:val="24"/>
          <w:szCs w:val="24"/>
        </w:rPr>
        <w:t xml:space="preserve"> de</w:t>
      </w:r>
      <w:r w:rsidRPr="00F14666">
        <w:rPr>
          <w:rFonts w:ascii="Tahoma" w:hAnsi="Tahoma" w:cs="Tahoma"/>
          <w:sz w:val="24"/>
          <w:szCs w:val="24"/>
        </w:rPr>
        <w:t xml:space="preserve">  25,7% în anul 2019 față de anul precedent.</w:t>
      </w:r>
      <w:r w:rsidR="00FC0E54" w:rsidRPr="00F14666">
        <w:rPr>
          <w:rFonts w:ascii="Tahoma" w:hAnsi="Tahoma" w:cs="Tahoma"/>
          <w:sz w:val="24"/>
          <w:szCs w:val="24"/>
        </w:rPr>
        <w:t xml:space="preserve"> </w:t>
      </w:r>
      <w:r w:rsidR="00B67E3C" w:rsidRPr="00F14666">
        <w:rPr>
          <w:rFonts w:ascii="Tahoma" w:hAnsi="Tahoma" w:cs="Tahoma"/>
          <w:sz w:val="24"/>
          <w:szCs w:val="24"/>
        </w:rPr>
        <w:t>Totuși</w:t>
      </w:r>
      <w:r w:rsidR="00FC0E54" w:rsidRPr="00F14666">
        <w:rPr>
          <w:rFonts w:ascii="Tahoma" w:hAnsi="Tahoma" w:cs="Tahoma"/>
          <w:sz w:val="24"/>
          <w:szCs w:val="24"/>
        </w:rPr>
        <w:t xml:space="preserve">, veniturile din taxe pe utilizarea bunurilor au fost mai reduse cu 3,5 mld lei </w:t>
      </w:r>
      <w:r w:rsidR="00B67E3C" w:rsidRPr="00F14666">
        <w:rPr>
          <w:rFonts w:ascii="Tahoma" w:hAnsi="Tahoma" w:cs="Tahoma"/>
          <w:sz w:val="24"/>
          <w:szCs w:val="24"/>
        </w:rPr>
        <w:t>față</w:t>
      </w:r>
      <w:r w:rsidR="00FC0E54" w:rsidRPr="00F14666">
        <w:rPr>
          <w:rFonts w:ascii="Tahoma" w:hAnsi="Tahoma" w:cs="Tahoma"/>
          <w:sz w:val="24"/>
          <w:szCs w:val="24"/>
        </w:rPr>
        <w:t xml:space="preserve"> cu programul </w:t>
      </w:r>
      <w:r w:rsidR="00B67E3C" w:rsidRPr="00F14666">
        <w:rPr>
          <w:rFonts w:ascii="Tahoma" w:hAnsi="Tahoma" w:cs="Tahoma"/>
          <w:sz w:val="24"/>
          <w:szCs w:val="24"/>
        </w:rPr>
        <w:t>inițial</w:t>
      </w:r>
      <w:r w:rsidR="00FC0E54" w:rsidRPr="00F14666">
        <w:rPr>
          <w:rFonts w:ascii="Tahoma" w:hAnsi="Tahoma" w:cs="Tahoma"/>
          <w:sz w:val="24"/>
          <w:szCs w:val="24"/>
        </w:rPr>
        <w:t>, reflectând în principal</w:t>
      </w:r>
      <w:r w:rsidR="00FA10B7" w:rsidRPr="00F14666">
        <w:rPr>
          <w:rFonts w:ascii="Tahoma" w:hAnsi="Tahoma" w:cs="Tahoma"/>
          <w:sz w:val="24"/>
          <w:szCs w:val="24"/>
        </w:rPr>
        <w:t xml:space="preserve"> nerealizarea sum</w:t>
      </w:r>
      <w:r w:rsidR="00CC402A" w:rsidRPr="00F14666">
        <w:rPr>
          <w:rFonts w:ascii="Tahoma" w:hAnsi="Tahoma" w:cs="Tahoma"/>
          <w:sz w:val="24"/>
          <w:szCs w:val="24"/>
        </w:rPr>
        <w:t xml:space="preserve">elor din vânzarea </w:t>
      </w:r>
      <w:r w:rsidR="00B67E3C" w:rsidRPr="00F14666">
        <w:rPr>
          <w:rFonts w:ascii="Tahoma" w:hAnsi="Tahoma" w:cs="Tahoma"/>
          <w:sz w:val="24"/>
          <w:szCs w:val="24"/>
        </w:rPr>
        <w:t>frecvențelor</w:t>
      </w:r>
      <w:r w:rsidR="00CC402A" w:rsidRPr="00F14666">
        <w:rPr>
          <w:rFonts w:ascii="Tahoma" w:hAnsi="Tahoma" w:cs="Tahoma"/>
          <w:sz w:val="24"/>
          <w:szCs w:val="24"/>
        </w:rPr>
        <w:t xml:space="preserve"> d</w:t>
      </w:r>
      <w:r w:rsidR="00FA10B7" w:rsidRPr="00F14666">
        <w:rPr>
          <w:rFonts w:ascii="Tahoma" w:hAnsi="Tahoma" w:cs="Tahoma"/>
          <w:sz w:val="24"/>
          <w:szCs w:val="24"/>
        </w:rPr>
        <w:t>e tip 5G.</w:t>
      </w:r>
    </w:p>
    <w:p w:rsidR="00CF1ED7" w:rsidRPr="00F14666" w:rsidRDefault="00CF1ED7" w:rsidP="00CF1ED7">
      <w:pPr>
        <w:spacing w:after="120" w:line="360" w:lineRule="auto"/>
        <w:jc w:val="both"/>
        <w:rPr>
          <w:rFonts w:ascii="Tahoma" w:hAnsi="Tahoma" w:cs="Tahoma"/>
          <w:sz w:val="24"/>
          <w:szCs w:val="24"/>
        </w:rPr>
      </w:pPr>
      <w:r w:rsidRPr="00F14666">
        <w:rPr>
          <w:rFonts w:ascii="Tahoma" w:hAnsi="Tahoma" w:cs="Tahoma"/>
          <w:sz w:val="24"/>
          <w:szCs w:val="24"/>
        </w:rPr>
        <w:t xml:space="preserve">Veniturile </w:t>
      </w:r>
      <w:r w:rsidRPr="00F14666">
        <w:rPr>
          <w:rFonts w:ascii="Tahoma" w:hAnsi="Tahoma" w:cs="Tahoma"/>
          <w:b/>
          <w:i/>
          <w:sz w:val="24"/>
          <w:szCs w:val="24"/>
        </w:rPr>
        <w:t>nefiscale</w:t>
      </w:r>
      <w:r w:rsidRPr="00F14666">
        <w:rPr>
          <w:rFonts w:ascii="Tahoma" w:hAnsi="Tahoma" w:cs="Tahoma"/>
          <w:sz w:val="24"/>
          <w:szCs w:val="24"/>
        </w:rPr>
        <w:t xml:space="preserve"> au fost de 27,</w:t>
      </w:r>
      <w:r w:rsidR="001A2254" w:rsidRPr="00F14666">
        <w:rPr>
          <w:rFonts w:ascii="Tahoma" w:hAnsi="Tahoma" w:cs="Tahoma"/>
          <w:sz w:val="24"/>
          <w:szCs w:val="24"/>
        </w:rPr>
        <w:t>09</w:t>
      </w:r>
      <w:r w:rsidRPr="00F14666">
        <w:rPr>
          <w:rFonts w:ascii="Tahoma" w:hAnsi="Tahoma" w:cs="Tahoma"/>
          <w:sz w:val="24"/>
          <w:szCs w:val="24"/>
        </w:rPr>
        <w:t xml:space="preserve"> m</w:t>
      </w:r>
      <w:r w:rsidR="00CC402A" w:rsidRPr="00F14666">
        <w:rPr>
          <w:rFonts w:ascii="Tahoma" w:hAnsi="Tahoma" w:cs="Tahoma"/>
          <w:sz w:val="24"/>
          <w:szCs w:val="24"/>
        </w:rPr>
        <w:t>ld</w:t>
      </w:r>
      <w:r w:rsidRPr="00F14666">
        <w:rPr>
          <w:rFonts w:ascii="Tahoma" w:hAnsi="Tahoma" w:cs="Tahoma"/>
          <w:sz w:val="24"/>
          <w:szCs w:val="24"/>
        </w:rPr>
        <w:t xml:space="preserve"> lei în 2019 în scădere cu 0,4% față de încasările înregistrate în anul precedent. </w:t>
      </w:r>
      <w:r w:rsidR="00311431" w:rsidRPr="00F14666">
        <w:rPr>
          <w:rFonts w:ascii="Tahoma" w:hAnsi="Tahoma" w:cs="Tahoma"/>
          <w:sz w:val="24"/>
          <w:szCs w:val="24"/>
        </w:rPr>
        <w:t xml:space="preserve">În raport cu programul </w:t>
      </w:r>
      <w:proofErr w:type="spellStart"/>
      <w:r w:rsidR="00311431" w:rsidRPr="00F14666">
        <w:rPr>
          <w:rFonts w:ascii="Tahoma" w:hAnsi="Tahoma" w:cs="Tahoma"/>
          <w:sz w:val="24"/>
          <w:szCs w:val="24"/>
        </w:rPr>
        <w:t>iniţial</w:t>
      </w:r>
      <w:proofErr w:type="spellEnd"/>
      <w:r w:rsidR="00311431" w:rsidRPr="00F14666">
        <w:rPr>
          <w:rFonts w:ascii="Tahoma" w:hAnsi="Tahoma" w:cs="Tahoma"/>
          <w:sz w:val="24"/>
          <w:szCs w:val="24"/>
        </w:rPr>
        <w:t>, veniturile din această sursă au fost mai reduse cu 1,</w:t>
      </w:r>
      <w:r w:rsidR="00B67E3C" w:rsidRPr="00F14666">
        <w:rPr>
          <w:rFonts w:ascii="Tahoma" w:hAnsi="Tahoma" w:cs="Tahoma"/>
          <w:sz w:val="24"/>
          <w:szCs w:val="24"/>
        </w:rPr>
        <w:t>20</w:t>
      </w:r>
      <w:r w:rsidR="00311431" w:rsidRPr="00F14666">
        <w:rPr>
          <w:rFonts w:ascii="Tahoma" w:hAnsi="Tahoma" w:cs="Tahoma"/>
          <w:sz w:val="24"/>
          <w:szCs w:val="24"/>
        </w:rPr>
        <w:t xml:space="preserve"> mld lei corespunzător unui grad de realizare de 95,8%. </w:t>
      </w:r>
      <w:r w:rsidRPr="00F14666">
        <w:rPr>
          <w:rFonts w:ascii="Tahoma" w:hAnsi="Tahoma" w:cs="Tahoma"/>
          <w:sz w:val="24"/>
          <w:szCs w:val="24"/>
        </w:rPr>
        <w:t xml:space="preserve">Veniturile din dividende de la societăți și companii naționale și cele din vărsăminte din profitul net al regiilor autonome au </w:t>
      </w:r>
      <w:r w:rsidR="00311431" w:rsidRPr="00F14666">
        <w:rPr>
          <w:rFonts w:ascii="Tahoma" w:hAnsi="Tahoma" w:cs="Tahoma"/>
          <w:sz w:val="24"/>
          <w:szCs w:val="24"/>
        </w:rPr>
        <w:t xml:space="preserve">fost de 5,97 mld </w:t>
      </w:r>
      <w:r w:rsidRPr="00F14666">
        <w:rPr>
          <w:rFonts w:ascii="Tahoma" w:hAnsi="Tahoma" w:cs="Tahoma"/>
          <w:sz w:val="24"/>
          <w:szCs w:val="24"/>
        </w:rPr>
        <w:t>lei în anul 2019, cu 20% mai reduse decât încasările din anul 2018, ca urmare a neîncasării di</w:t>
      </w:r>
      <w:r w:rsidR="00511104" w:rsidRPr="00F14666">
        <w:rPr>
          <w:rFonts w:ascii="Tahoma" w:hAnsi="Tahoma" w:cs="Tahoma"/>
          <w:sz w:val="24"/>
          <w:szCs w:val="24"/>
        </w:rPr>
        <w:t>n luna decembrie 2019 a 1,3 mld</w:t>
      </w:r>
      <w:r w:rsidRPr="00F14666">
        <w:rPr>
          <w:rFonts w:ascii="Tahoma" w:hAnsi="Tahoma" w:cs="Tahoma"/>
          <w:sz w:val="24"/>
          <w:szCs w:val="24"/>
        </w:rPr>
        <w:t xml:space="preserve"> lei reprezentând dividendele suplimentare reglementate prin OUG nr. 114/2018. Veniturile nefiscale la bugetul de stat reprezentând venituri din concesiuni, din dobânzi, din prestări de servicii și alte activități, taxe administrative și pentru eliberări premise, amenzi, penalități si confiscări au înregistrat o creștere 15,1% față de anul 2018.</w:t>
      </w:r>
    </w:p>
    <w:p w:rsidR="00CF1ED7" w:rsidRPr="00F14666" w:rsidRDefault="00A45C4C" w:rsidP="00CF1ED7">
      <w:pPr>
        <w:spacing w:after="120" w:line="360" w:lineRule="auto"/>
        <w:jc w:val="both"/>
        <w:rPr>
          <w:rFonts w:ascii="Tahoma" w:hAnsi="Tahoma" w:cs="Tahoma"/>
          <w:sz w:val="24"/>
          <w:szCs w:val="24"/>
        </w:rPr>
      </w:pPr>
      <w:r w:rsidRPr="00F14666">
        <w:rPr>
          <w:rFonts w:ascii="Tahoma" w:hAnsi="Tahoma" w:cs="Tahoma"/>
          <w:b/>
          <w:i/>
          <w:sz w:val="24"/>
          <w:szCs w:val="24"/>
        </w:rPr>
        <w:t>Sumele rambursate de Uniunea Europeană în contul plăților efectuate</w:t>
      </w:r>
      <w:r w:rsidRPr="00F14666">
        <w:rPr>
          <w:rFonts w:ascii="Tahoma" w:hAnsi="Tahoma" w:cs="Tahoma"/>
          <w:sz w:val="24"/>
          <w:szCs w:val="24"/>
        </w:rPr>
        <w:t xml:space="preserve"> și donații au totalizat 25,3</w:t>
      </w:r>
      <w:r w:rsidR="00EB0ECB" w:rsidRPr="00F14666">
        <w:rPr>
          <w:rFonts w:ascii="Tahoma" w:hAnsi="Tahoma" w:cs="Tahoma"/>
          <w:sz w:val="24"/>
          <w:szCs w:val="24"/>
        </w:rPr>
        <w:t>2</w:t>
      </w:r>
      <w:r w:rsidRPr="00F14666">
        <w:rPr>
          <w:rFonts w:ascii="Tahoma" w:hAnsi="Tahoma" w:cs="Tahoma"/>
          <w:sz w:val="24"/>
          <w:szCs w:val="24"/>
        </w:rPr>
        <w:t xml:space="preserve"> mld lei </w:t>
      </w:r>
      <w:r w:rsidR="009746E7" w:rsidRPr="00F14666">
        <w:rPr>
          <w:rFonts w:ascii="Tahoma" w:hAnsi="Tahoma" w:cs="Tahoma"/>
          <w:sz w:val="24"/>
          <w:szCs w:val="24"/>
        </w:rPr>
        <w:t>î</w:t>
      </w:r>
      <w:r w:rsidRPr="00F14666">
        <w:rPr>
          <w:rFonts w:ascii="Tahoma" w:hAnsi="Tahoma" w:cs="Tahoma"/>
          <w:sz w:val="24"/>
          <w:szCs w:val="24"/>
        </w:rPr>
        <w:t xml:space="preserve">n </w:t>
      </w:r>
      <w:r w:rsidR="009746E7" w:rsidRPr="00F14666">
        <w:rPr>
          <w:rFonts w:ascii="Tahoma" w:hAnsi="Tahoma" w:cs="Tahoma"/>
          <w:sz w:val="24"/>
          <w:szCs w:val="24"/>
        </w:rPr>
        <w:t xml:space="preserve">anul </w:t>
      </w:r>
      <w:r w:rsidRPr="00F14666">
        <w:rPr>
          <w:rFonts w:ascii="Tahoma" w:hAnsi="Tahoma" w:cs="Tahoma"/>
          <w:sz w:val="24"/>
          <w:szCs w:val="24"/>
        </w:rPr>
        <w:t xml:space="preserve">2019 (2,4% din PIB), într-o ușoară creștere față de 2018 dacă nu se </w:t>
      </w:r>
      <w:r w:rsidR="009746E7" w:rsidRPr="00F14666">
        <w:rPr>
          <w:rFonts w:ascii="Tahoma" w:hAnsi="Tahoma" w:cs="Tahoma"/>
          <w:sz w:val="24"/>
          <w:szCs w:val="24"/>
        </w:rPr>
        <w:t>includ</w:t>
      </w:r>
      <w:r w:rsidRPr="00F14666">
        <w:rPr>
          <w:rFonts w:ascii="Tahoma" w:hAnsi="Tahoma" w:cs="Tahoma"/>
          <w:sz w:val="24"/>
          <w:szCs w:val="24"/>
        </w:rPr>
        <w:t xml:space="preserve"> </w:t>
      </w:r>
      <w:r w:rsidR="00DD3FBA" w:rsidRPr="00F14666">
        <w:rPr>
          <w:rFonts w:ascii="Tahoma" w:hAnsi="Tahoma" w:cs="Tahoma"/>
          <w:sz w:val="24"/>
          <w:szCs w:val="24"/>
        </w:rPr>
        <w:t xml:space="preserve">în bază </w:t>
      </w:r>
      <w:r w:rsidR="009746E7" w:rsidRPr="00F14666">
        <w:rPr>
          <w:rFonts w:ascii="Tahoma" w:hAnsi="Tahoma" w:cs="Tahoma"/>
          <w:sz w:val="24"/>
          <w:szCs w:val="24"/>
        </w:rPr>
        <w:t>r</w:t>
      </w:r>
      <w:r w:rsidR="00DD3FBA" w:rsidRPr="00F14666">
        <w:rPr>
          <w:rFonts w:ascii="Tahoma" w:hAnsi="Tahoma" w:cs="Tahoma"/>
          <w:sz w:val="24"/>
          <w:szCs w:val="24"/>
        </w:rPr>
        <w:t>ambursări</w:t>
      </w:r>
      <w:r w:rsidRPr="00F14666">
        <w:rPr>
          <w:rFonts w:ascii="Tahoma" w:hAnsi="Tahoma" w:cs="Tahoma"/>
          <w:sz w:val="24"/>
          <w:szCs w:val="24"/>
        </w:rPr>
        <w:t xml:space="preserve"> </w:t>
      </w:r>
      <w:r w:rsidR="00DD3FBA" w:rsidRPr="00F14666">
        <w:rPr>
          <w:rFonts w:ascii="Tahoma" w:hAnsi="Tahoma" w:cs="Tahoma"/>
          <w:sz w:val="24"/>
          <w:szCs w:val="24"/>
        </w:rPr>
        <w:t xml:space="preserve">de 3,8 mld lei </w:t>
      </w:r>
      <w:r w:rsidRPr="00F14666">
        <w:rPr>
          <w:rFonts w:ascii="Tahoma" w:hAnsi="Tahoma" w:cs="Tahoma"/>
          <w:sz w:val="24"/>
          <w:szCs w:val="24"/>
        </w:rPr>
        <w:t>din retrospectiv</w:t>
      </w:r>
      <w:r w:rsidR="009746E7" w:rsidRPr="00F14666">
        <w:rPr>
          <w:rFonts w:ascii="Tahoma" w:hAnsi="Tahoma" w:cs="Tahoma"/>
          <w:sz w:val="24"/>
          <w:szCs w:val="24"/>
        </w:rPr>
        <w:t>e</w:t>
      </w:r>
      <w:r w:rsidR="009746E7" w:rsidRPr="00F14666">
        <w:rPr>
          <w:rStyle w:val="FootnoteReference"/>
          <w:rFonts w:ascii="Tahoma" w:hAnsi="Tahoma" w:cs="Tahoma"/>
          <w:sz w:val="24"/>
          <w:szCs w:val="24"/>
        </w:rPr>
        <w:footnoteReference w:id="3"/>
      </w:r>
      <w:r w:rsidRPr="00F14666">
        <w:rPr>
          <w:rFonts w:ascii="Tahoma" w:hAnsi="Tahoma" w:cs="Tahoma"/>
          <w:sz w:val="24"/>
          <w:szCs w:val="24"/>
        </w:rPr>
        <w:t>, dar cu aproximativ 0,8 puncte procentuale din PIB sub nivelul estimat la buget</w:t>
      </w:r>
      <w:r w:rsidR="009746E7" w:rsidRPr="00F14666">
        <w:rPr>
          <w:rFonts w:ascii="Tahoma" w:hAnsi="Tahoma" w:cs="Tahoma"/>
          <w:sz w:val="24"/>
          <w:szCs w:val="24"/>
        </w:rPr>
        <w:t>ul inițial</w:t>
      </w:r>
      <w:r w:rsidRPr="00F14666">
        <w:rPr>
          <w:rFonts w:ascii="Tahoma" w:hAnsi="Tahoma" w:cs="Tahoma"/>
          <w:sz w:val="24"/>
          <w:szCs w:val="24"/>
        </w:rPr>
        <w:t>.</w:t>
      </w:r>
    </w:p>
    <w:p w:rsidR="00CF1ED7" w:rsidRPr="00F14666" w:rsidRDefault="00CF1ED7" w:rsidP="00CF1ED7">
      <w:pPr>
        <w:spacing w:after="120" w:line="360" w:lineRule="auto"/>
        <w:jc w:val="both"/>
        <w:rPr>
          <w:rFonts w:ascii="Tahoma" w:hAnsi="Tahoma" w:cs="Tahoma"/>
          <w:sz w:val="24"/>
          <w:szCs w:val="24"/>
        </w:rPr>
      </w:pPr>
    </w:p>
    <w:p w:rsidR="00CF1ED7" w:rsidRPr="00F14666" w:rsidRDefault="00CF1ED7" w:rsidP="00CF1ED7">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14666">
        <w:rPr>
          <w:rFonts w:ascii="Tahoma" w:hAnsi="Tahoma" w:cs="Tahoma"/>
          <w:b/>
          <w:caps/>
          <w:color w:val="0070C0"/>
          <w:sz w:val="24"/>
          <w:szCs w:val="24"/>
        </w:rPr>
        <w:t>CheltuieliLE bugetului general consolidat</w:t>
      </w:r>
    </w:p>
    <w:p w:rsidR="00CF1ED7" w:rsidRPr="00F14666" w:rsidRDefault="00CF1ED7" w:rsidP="00CF1ED7">
      <w:pPr>
        <w:spacing w:after="120" w:line="360" w:lineRule="auto"/>
        <w:jc w:val="both"/>
        <w:rPr>
          <w:rFonts w:ascii="Tahoma" w:hAnsi="Tahoma" w:cs="Tahoma"/>
          <w:sz w:val="24"/>
          <w:szCs w:val="24"/>
        </w:rPr>
      </w:pPr>
    </w:p>
    <w:p w:rsidR="001A2254" w:rsidRPr="00F14666" w:rsidRDefault="001A2254" w:rsidP="001A2254">
      <w:pPr>
        <w:shd w:val="clear" w:color="auto" w:fill="D9D9D9" w:themeFill="background1" w:themeFillShade="D9"/>
        <w:spacing w:after="120" w:line="360" w:lineRule="auto"/>
        <w:jc w:val="both"/>
        <w:rPr>
          <w:rFonts w:ascii="Tahoma" w:hAnsi="Tahoma" w:cs="Tahoma"/>
          <w:sz w:val="24"/>
          <w:szCs w:val="24"/>
        </w:rPr>
      </w:pPr>
      <w:r w:rsidRPr="00F14666">
        <w:rPr>
          <w:rFonts w:ascii="Tahoma" w:hAnsi="Tahoma" w:cs="Tahoma"/>
          <w:sz w:val="24"/>
          <w:szCs w:val="24"/>
        </w:rPr>
        <w:t>Cheltuielile bugetului general consolidat în sumă de 369,</w:t>
      </w:r>
      <w:r w:rsidR="00EB0ECB" w:rsidRPr="00F14666">
        <w:rPr>
          <w:rFonts w:ascii="Tahoma" w:hAnsi="Tahoma" w:cs="Tahoma"/>
          <w:sz w:val="24"/>
          <w:szCs w:val="24"/>
        </w:rPr>
        <w:t>43</w:t>
      </w:r>
      <w:r w:rsidRPr="00F14666">
        <w:rPr>
          <w:rFonts w:ascii="Tahoma" w:hAnsi="Tahoma" w:cs="Tahoma"/>
          <w:sz w:val="24"/>
          <w:szCs w:val="24"/>
        </w:rPr>
        <w:t xml:space="preserve"> mld lei (35,5% din PIB), au crescut în termeni nominali cu 14,7% față de anul precedent, gradul de rea</w:t>
      </w:r>
      <w:r w:rsidR="00AC5273" w:rsidRPr="00F14666">
        <w:rPr>
          <w:rFonts w:ascii="Tahoma" w:hAnsi="Tahoma" w:cs="Tahoma"/>
          <w:sz w:val="24"/>
          <w:szCs w:val="24"/>
        </w:rPr>
        <w:t>lizare al acestora fiind de 99,6</w:t>
      </w:r>
      <w:r w:rsidRPr="00F14666">
        <w:rPr>
          <w:rFonts w:ascii="Tahoma" w:hAnsi="Tahoma" w:cs="Tahoma"/>
          <w:sz w:val="24"/>
          <w:szCs w:val="24"/>
        </w:rPr>
        <w:t>%</w:t>
      </w:r>
      <w:r w:rsidR="00AC5273" w:rsidRPr="00F14666">
        <w:rPr>
          <w:rFonts w:ascii="Tahoma" w:hAnsi="Tahoma" w:cs="Tahoma"/>
          <w:sz w:val="24"/>
          <w:szCs w:val="24"/>
        </w:rPr>
        <w:t xml:space="preserve"> față de programul inițial</w:t>
      </w:r>
      <w:r w:rsidRPr="00F14666">
        <w:rPr>
          <w:rFonts w:ascii="Tahoma" w:hAnsi="Tahoma" w:cs="Tahoma"/>
          <w:sz w:val="24"/>
          <w:szCs w:val="24"/>
        </w:rPr>
        <w:t>.</w:t>
      </w:r>
      <w:r w:rsidR="00744E04" w:rsidRPr="00F14666">
        <w:rPr>
          <w:rFonts w:ascii="Tahoma" w:hAnsi="Tahoma" w:cs="Tahoma"/>
          <w:sz w:val="24"/>
          <w:szCs w:val="24"/>
        </w:rPr>
        <w:t xml:space="preserve"> Cheltuielile</w:t>
      </w:r>
      <w:r w:rsidRPr="00F14666">
        <w:rPr>
          <w:rFonts w:ascii="Tahoma" w:hAnsi="Tahoma" w:cs="Tahoma"/>
          <w:sz w:val="24"/>
          <w:szCs w:val="24"/>
        </w:rPr>
        <w:t xml:space="preserve"> au înregistrat o creștere cu 1,7 puncte procentuale de la 33,8% din PIB 2018 la 35,5% din PIB în 2019.</w:t>
      </w:r>
    </w:p>
    <w:p w:rsidR="008154B0" w:rsidRPr="00F14666" w:rsidRDefault="008154B0" w:rsidP="001A2254">
      <w:pPr>
        <w:shd w:val="clear" w:color="auto" w:fill="D9D9D9" w:themeFill="background1" w:themeFillShade="D9"/>
        <w:spacing w:after="120" w:line="360" w:lineRule="auto"/>
        <w:jc w:val="both"/>
        <w:rPr>
          <w:rFonts w:ascii="Tahoma" w:hAnsi="Tahoma" w:cs="Tahoma"/>
          <w:sz w:val="24"/>
          <w:szCs w:val="24"/>
        </w:rPr>
      </w:pPr>
      <w:r w:rsidRPr="00F14666">
        <w:rPr>
          <w:rFonts w:ascii="Tahoma" w:hAnsi="Tahoma" w:cs="Tahoma"/>
          <w:sz w:val="24"/>
          <w:szCs w:val="24"/>
        </w:rPr>
        <w:lastRenderedPageBreak/>
        <w:t xml:space="preserve">Expansiunea cheltuielilor bugetare este explicată de majorarea ponderii în PIB a cheltuielilor de personal cu 0,8 puncte </w:t>
      </w:r>
      <w:r w:rsidR="00896686" w:rsidRPr="00F14666">
        <w:rPr>
          <w:rFonts w:ascii="Tahoma" w:hAnsi="Tahoma" w:cs="Tahoma"/>
          <w:sz w:val="24"/>
          <w:szCs w:val="24"/>
        </w:rPr>
        <w:t>procentuale</w:t>
      </w:r>
      <w:r w:rsidRPr="00F14666">
        <w:rPr>
          <w:rFonts w:ascii="Tahoma" w:hAnsi="Tahoma" w:cs="Tahoma"/>
          <w:sz w:val="24"/>
          <w:szCs w:val="24"/>
        </w:rPr>
        <w:t>, a cheltuielilor de asistență socială c</w:t>
      </w:r>
      <w:r w:rsidR="00896686" w:rsidRPr="00F14666">
        <w:rPr>
          <w:rFonts w:ascii="Tahoma" w:hAnsi="Tahoma" w:cs="Tahoma"/>
          <w:sz w:val="24"/>
          <w:szCs w:val="24"/>
        </w:rPr>
        <w:t>u 0,4 puncte procentuale</w:t>
      </w:r>
      <w:r w:rsidRPr="00F14666">
        <w:rPr>
          <w:rFonts w:ascii="Tahoma" w:hAnsi="Tahoma" w:cs="Tahoma"/>
          <w:sz w:val="24"/>
          <w:szCs w:val="24"/>
        </w:rPr>
        <w:t>, a cheltuielilor de investiții cu 0,6 puncte procentuale și a cheltuielilor de bunuri și servicii cu 0,4 puncte procentuale.</w:t>
      </w:r>
    </w:p>
    <w:p w:rsidR="001A2254" w:rsidRPr="00F14666" w:rsidRDefault="001A2254" w:rsidP="001A2254">
      <w:pPr>
        <w:spacing w:after="120" w:line="360" w:lineRule="auto"/>
        <w:jc w:val="both"/>
        <w:rPr>
          <w:rFonts w:ascii="Tahoma" w:hAnsi="Tahoma" w:cs="Tahoma"/>
          <w:b/>
          <w:sz w:val="24"/>
          <w:szCs w:val="24"/>
        </w:rPr>
      </w:pPr>
    </w:p>
    <w:p w:rsidR="00ED2E85" w:rsidRPr="00F14666" w:rsidRDefault="00ED2E85" w:rsidP="00ED2E85">
      <w:pPr>
        <w:spacing w:after="120" w:line="360" w:lineRule="auto"/>
        <w:jc w:val="both"/>
        <w:rPr>
          <w:rFonts w:ascii="Tahoma" w:hAnsi="Tahoma" w:cs="Tahoma"/>
          <w:sz w:val="24"/>
          <w:szCs w:val="24"/>
        </w:rPr>
      </w:pPr>
      <w:r w:rsidRPr="00F14666">
        <w:rPr>
          <w:rFonts w:ascii="Tahoma" w:hAnsi="Tahoma" w:cs="Tahoma"/>
          <w:b/>
          <w:i/>
          <w:sz w:val="24"/>
          <w:szCs w:val="24"/>
        </w:rPr>
        <w:t>Cheltuielile de personal</w:t>
      </w:r>
      <w:r w:rsidRPr="00F14666">
        <w:rPr>
          <w:rFonts w:ascii="Tahoma" w:hAnsi="Tahoma" w:cs="Tahoma"/>
          <w:sz w:val="24"/>
          <w:szCs w:val="24"/>
        </w:rPr>
        <w:t xml:space="preserve"> au însumat</w:t>
      </w:r>
      <w:r w:rsidR="00AC5273" w:rsidRPr="00F14666">
        <w:rPr>
          <w:rFonts w:ascii="Tahoma" w:hAnsi="Tahoma" w:cs="Tahoma"/>
          <w:sz w:val="24"/>
          <w:szCs w:val="24"/>
        </w:rPr>
        <w:t xml:space="preserve"> 102,</w:t>
      </w:r>
      <w:r w:rsidRPr="00F14666">
        <w:rPr>
          <w:rFonts w:ascii="Tahoma" w:hAnsi="Tahoma" w:cs="Tahoma"/>
          <w:sz w:val="24"/>
          <w:szCs w:val="24"/>
        </w:rPr>
        <w:t>3</w:t>
      </w:r>
      <w:r w:rsidR="00EB0ECB" w:rsidRPr="00F14666">
        <w:rPr>
          <w:rFonts w:ascii="Tahoma" w:hAnsi="Tahoma" w:cs="Tahoma"/>
          <w:sz w:val="24"/>
          <w:szCs w:val="24"/>
        </w:rPr>
        <w:t>4</w:t>
      </w:r>
      <w:r w:rsidRPr="00F14666">
        <w:rPr>
          <w:rFonts w:ascii="Tahoma" w:hAnsi="Tahoma" w:cs="Tahoma"/>
          <w:sz w:val="24"/>
          <w:szCs w:val="24"/>
        </w:rPr>
        <w:t xml:space="preserve"> mld lei, în creștere cu 18,8% comparativ cu 2018, fiind realizate în proporție de 100%. </w:t>
      </w:r>
    </w:p>
    <w:p w:rsidR="00ED2E85" w:rsidRPr="00F14666" w:rsidRDefault="00ED2E85" w:rsidP="00ED2E85">
      <w:pPr>
        <w:spacing w:after="120" w:line="360" w:lineRule="auto"/>
        <w:jc w:val="both"/>
        <w:rPr>
          <w:rFonts w:ascii="Tahoma" w:hAnsi="Tahoma" w:cs="Tahoma"/>
          <w:color w:val="FF0000"/>
          <w:sz w:val="24"/>
          <w:szCs w:val="24"/>
        </w:rPr>
      </w:pPr>
      <w:r w:rsidRPr="00F14666">
        <w:rPr>
          <w:rFonts w:ascii="Tahoma" w:hAnsi="Tahoma" w:cs="Tahoma"/>
          <w:sz w:val="24"/>
          <w:szCs w:val="24"/>
        </w:rPr>
        <w:t xml:space="preserve">Exprimate ca pondere în PIB cheltuielile de personal au crescut cu 0,8 puncte procentuale, de la 9% în 2018 la 9,8% în 2019. Avansul față de anul trecut a fost determinat de majorarea salariilor în sectorul bugetar, ca urmare a aplicării Legii cadru nr.153/2017 privind salarizarea personalului plătit din fonduri publice, și de creșterea salariului de bază minim brut pe țară garantat în plată. Au fost achitate, de asemenea, diferențele salariale prevăzute de Legea nr. 85/2016, restante din anul 2018 și sume aferente anului 2019 - pentru universitățile de stat, precum și tranșele aferente hotărârilor judecătorești având ca obiect drepturi de natură salarială în domeniul educației și justiției, în valoare aproximativă de 1,7 mld lei. </w:t>
      </w:r>
    </w:p>
    <w:p w:rsidR="00ED2E85" w:rsidRPr="00F14666" w:rsidRDefault="00ED2E85" w:rsidP="00ED2E85">
      <w:pPr>
        <w:spacing w:after="120" w:line="360" w:lineRule="auto"/>
        <w:jc w:val="both"/>
        <w:rPr>
          <w:rFonts w:ascii="Tahoma" w:hAnsi="Tahoma" w:cs="Tahoma"/>
          <w:color w:val="FF0000"/>
          <w:sz w:val="24"/>
          <w:szCs w:val="24"/>
        </w:rPr>
      </w:pPr>
      <w:r w:rsidRPr="00F14666">
        <w:rPr>
          <w:rFonts w:ascii="Tahoma" w:hAnsi="Tahoma" w:cs="Tahoma"/>
          <w:b/>
          <w:i/>
          <w:sz w:val="24"/>
          <w:szCs w:val="24"/>
        </w:rPr>
        <w:t xml:space="preserve">Cheltuielile cu bunuri </w:t>
      </w:r>
      <w:proofErr w:type="spellStart"/>
      <w:r w:rsidRPr="00F14666">
        <w:rPr>
          <w:rFonts w:ascii="Tahoma" w:hAnsi="Tahoma" w:cs="Tahoma"/>
          <w:b/>
          <w:i/>
          <w:sz w:val="24"/>
          <w:szCs w:val="24"/>
        </w:rPr>
        <w:t>şi</w:t>
      </w:r>
      <w:proofErr w:type="spellEnd"/>
      <w:r w:rsidRPr="00F14666">
        <w:rPr>
          <w:rFonts w:ascii="Tahoma" w:hAnsi="Tahoma" w:cs="Tahoma"/>
          <w:b/>
          <w:i/>
          <w:sz w:val="24"/>
          <w:szCs w:val="24"/>
        </w:rPr>
        <w:t xml:space="preserve"> servicii</w:t>
      </w:r>
      <w:r w:rsidRPr="00F14666">
        <w:rPr>
          <w:rFonts w:ascii="Tahoma" w:hAnsi="Tahoma" w:cs="Tahoma"/>
          <w:sz w:val="24"/>
          <w:szCs w:val="24"/>
        </w:rPr>
        <w:t xml:space="preserve"> au fost 52</w:t>
      </w:r>
      <w:r w:rsidR="00AC5273" w:rsidRPr="00F14666">
        <w:rPr>
          <w:rFonts w:ascii="Tahoma" w:hAnsi="Tahoma" w:cs="Tahoma"/>
          <w:sz w:val="24"/>
          <w:szCs w:val="24"/>
        </w:rPr>
        <w:t>,</w:t>
      </w:r>
      <w:r w:rsidRPr="00F14666">
        <w:rPr>
          <w:rFonts w:ascii="Tahoma" w:hAnsi="Tahoma" w:cs="Tahoma"/>
          <w:sz w:val="24"/>
          <w:szCs w:val="24"/>
        </w:rPr>
        <w:t>7</w:t>
      </w:r>
      <w:r w:rsidR="00EB0ECB" w:rsidRPr="00F14666">
        <w:rPr>
          <w:rFonts w:ascii="Tahoma" w:hAnsi="Tahoma" w:cs="Tahoma"/>
          <w:sz w:val="24"/>
          <w:szCs w:val="24"/>
        </w:rPr>
        <w:t>8</w:t>
      </w:r>
      <w:r w:rsidRPr="00F14666">
        <w:rPr>
          <w:rFonts w:ascii="Tahoma" w:hAnsi="Tahoma" w:cs="Tahoma"/>
          <w:sz w:val="24"/>
          <w:szCs w:val="24"/>
        </w:rPr>
        <w:t xml:space="preserve"> mld lei, în creștere cu 18,3% față de anul precedent.  Depășirea </w:t>
      </w:r>
      <w:r w:rsidR="00AC5273" w:rsidRPr="00F14666">
        <w:rPr>
          <w:rFonts w:ascii="Tahoma" w:hAnsi="Tahoma" w:cs="Tahoma"/>
          <w:sz w:val="24"/>
          <w:szCs w:val="24"/>
        </w:rPr>
        <w:t xml:space="preserve">acestor cheltuieli față de estimarea prevăzută la bugetul inițial </w:t>
      </w:r>
      <w:r w:rsidRPr="00F14666">
        <w:rPr>
          <w:rFonts w:ascii="Tahoma" w:hAnsi="Tahoma" w:cs="Tahoma"/>
          <w:sz w:val="24"/>
          <w:szCs w:val="24"/>
        </w:rPr>
        <w:t>cu 4 mld lei a fost determinată</w:t>
      </w:r>
      <w:r w:rsidR="00AC5273" w:rsidRPr="00F14666">
        <w:rPr>
          <w:rFonts w:ascii="Tahoma" w:hAnsi="Tahoma" w:cs="Tahoma"/>
          <w:sz w:val="24"/>
          <w:szCs w:val="24"/>
        </w:rPr>
        <w:t>, în special,</w:t>
      </w:r>
      <w:r w:rsidRPr="00F14666">
        <w:rPr>
          <w:rFonts w:ascii="Tahoma" w:hAnsi="Tahoma" w:cs="Tahoma"/>
          <w:sz w:val="24"/>
          <w:szCs w:val="24"/>
        </w:rPr>
        <w:t xml:space="preserve"> </w:t>
      </w:r>
      <w:r w:rsidR="00AC5273" w:rsidRPr="00F14666">
        <w:rPr>
          <w:rFonts w:ascii="Tahoma" w:hAnsi="Tahoma" w:cs="Tahoma"/>
          <w:sz w:val="24"/>
          <w:szCs w:val="24"/>
        </w:rPr>
        <w:t>pentru</w:t>
      </w:r>
      <w:r w:rsidRPr="00F14666">
        <w:rPr>
          <w:rFonts w:ascii="Tahoma" w:hAnsi="Tahoma" w:cs="Tahoma"/>
          <w:sz w:val="24"/>
          <w:szCs w:val="24"/>
        </w:rPr>
        <w:t xml:space="preserve"> asigurarea plăților medicamentelor, precum și pentru plata facturilor restante din administrația publică locală. </w:t>
      </w:r>
    </w:p>
    <w:p w:rsidR="00ED2E85" w:rsidRPr="00F14666" w:rsidRDefault="00ED2E85" w:rsidP="00ED2E85">
      <w:pPr>
        <w:spacing w:after="120" w:line="360" w:lineRule="auto"/>
        <w:jc w:val="both"/>
        <w:rPr>
          <w:rFonts w:ascii="Tahoma" w:hAnsi="Tahoma" w:cs="Tahoma"/>
          <w:sz w:val="24"/>
          <w:szCs w:val="24"/>
        </w:rPr>
      </w:pPr>
      <w:r w:rsidRPr="00F14666">
        <w:rPr>
          <w:rFonts w:ascii="Tahoma" w:hAnsi="Tahoma" w:cs="Tahoma"/>
          <w:b/>
          <w:i/>
          <w:sz w:val="24"/>
          <w:szCs w:val="24"/>
        </w:rPr>
        <w:t>Cheltuielile cu dobânzile</w:t>
      </w:r>
      <w:r w:rsidRPr="00F14666">
        <w:rPr>
          <w:rFonts w:ascii="Tahoma" w:hAnsi="Tahoma" w:cs="Tahoma"/>
          <w:sz w:val="24"/>
          <w:szCs w:val="24"/>
        </w:rPr>
        <w:t xml:space="preserve"> au fost de 12,15 mld lei, înregistrând o diminuare de 6,1% comparativ cu anul 2018, fiind totodată </w:t>
      </w:r>
      <w:r w:rsidR="00AC5273" w:rsidRPr="00F14666">
        <w:rPr>
          <w:rFonts w:ascii="Tahoma" w:hAnsi="Tahoma" w:cs="Tahoma"/>
          <w:sz w:val="24"/>
          <w:szCs w:val="24"/>
        </w:rPr>
        <w:t>cu 1,26</w:t>
      </w:r>
      <w:r w:rsidRPr="00F14666">
        <w:rPr>
          <w:rFonts w:ascii="Tahoma" w:hAnsi="Tahoma" w:cs="Tahoma"/>
          <w:sz w:val="24"/>
          <w:szCs w:val="24"/>
        </w:rPr>
        <w:t xml:space="preserve"> mld lei sub valoarea pr</w:t>
      </w:r>
      <w:r w:rsidR="00AC5273" w:rsidRPr="00F14666">
        <w:rPr>
          <w:rFonts w:ascii="Tahoma" w:hAnsi="Tahoma" w:cs="Tahoma"/>
          <w:sz w:val="24"/>
          <w:szCs w:val="24"/>
        </w:rPr>
        <w:t>evăzută</w:t>
      </w:r>
      <w:r w:rsidRPr="00F14666">
        <w:rPr>
          <w:rFonts w:ascii="Tahoma" w:hAnsi="Tahoma" w:cs="Tahoma"/>
          <w:sz w:val="24"/>
          <w:szCs w:val="24"/>
        </w:rPr>
        <w:t xml:space="preserve"> la construcția bugetului inițial pe anul 2019.</w:t>
      </w:r>
    </w:p>
    <w:p w:rsidR="001A2254" w:rsidRPr="00F14666" w:rsidRDefault="00ED2E85" w:rsidP="00ED2E85">
      <w:pPr>
        <w:spacing w:after="120" w:line="360" w:lineRule="auto"/>
        <w:jc w:val="both"/>
        <w:rPr>
          <w:rFonts w:ascii="Tahoma" w:hAnsi="Tahoma" w:cs="Tahoma"/>
          <w:sz w:val="24"/>
          <w:szCs w:val="24"/>
        </w:rPr>
      </w:pPr>
      <w:r w:rsidRPr="00F14666">
        <w:rPr>
          <w:rFonts w:ascii="Tahoma" w:hAnsi="Tahoma" w:cs="Tahoma"/>
          <w:b/>
          <w:i/>
          <w:sz w:val="24"/>
          <w:szCs w:val="24"/>
        </w:rPr>
        <w:t>Cheltuielile cu subvențiile</w:t>
      </w:r>
      <w:r w:rsidR="00AC5273" w:rsidRPr="00F14666">
        <w:rPr>
          <w:rFonts w:ascii="Tahoma" w:hAnsi="Tahoma" w:cs="Tahoma"/>
          <w:sz w:val="24"/>
          <w:szCs w:val="24"/>
        </w:rPr>
        <w:t xml:space="preserve"> au însumat 7,11</w:t>
      </w:r>
      <w:r w:rsidRPr="00F14666">
        <w:rPr>
          <w:rFonts w:ascii="Tahoma" w:hAnsi="Tahoma" w:cs="Tahoma"/>
          <w:sz w:val="24"/>
          <w:szCs w:val="24"/>
        </w:rPr>
        <w:t xml:space="preserve"> mld lei, menținându-se,  ca pondere în PIB, la nivelul anului 2018 (0,7% din PIB</w:t>
      </w:r>
      <w:r w:rsidR="00AC5273" w:rsidRPr="00F14666">
        <w:rPr>
          <w:rFonts w:ascii="Tahoma" w:hAnsi="Tahoma" w:cs="Tahoma"/>
          <w:sz w:val="24"/>
          <w:szCs w:val="24"/>
        </w:rPr>
        <w:t>).</w:t>
      </w:r>
    </w:p>
    <w:p w:rsidR="001A2254" w:rsidRPr="00F14666" w:rsidRDefault="001A2254" w:rsidP="001A2254">
      <w:pPr>
        <w:spacing w:after="120" w:line="360" w:lineRule="auto"/>
        <w:jc w:val="both"/>
        <w:rPr>
          <w:rFonts w:ascii="Tahoma" w:hAnsi="Tahoma" w:cs="Tahoma"/>
          <w:bCs/>
          <w:sz w:val="24"/>
          <w:szCs w:val="24"/>
        </w:rPr>
      </w:pPr>
      <w:r w:rsidRPr="00F14666">
        <w:rPr>
          <w:rFonts w:ascii="Tahoma" w:hAnsi="Tahoma" w:cs="Tahoma"/>
          <w:b/>
          <w:i/>
          <w:sz w:val="24"/>
          <w:szCs w:val="24"/>
        </w:rPr>
        <w:t>Cheltuielile cu asistența socială</w:t>
      </w:r>
      <w:r w:rsidRPr="00F14666">
        <w:rPr>
          <w:rFonts w:ascii="Tahoma" w:hAnsi="Tahoma" w:cs="Tahoma"/>
          <w:sz w:val="24"/>
          <w:szCs w:val="24"/>
        </w:rPr>
        <w:t xml:space="preserve"> </w:t>
      </w:r>
      <w:r w:rsidR="001D44C7" w:rsidRPr="00F14666">
        <w:rPr>
          <w:rFonts w:ascii="Tahoma" w:hAnsi="Tahoma" w:cs="Tahoma"/>
          <w:sz w:val="24"/>
          <w:szCs w:val="24"/>
        </w:rPr>
        <w:t>au înregistrat</w:t>
      </w:r>
      <w:r w:rsidRPr="00F14666">
        <w:rPr>
          <w:rFonts w:ascii="Tahoma" w:hAnsi="Tahoma" w:cs="Tahoma"/>
          <w:sz w:val="24"/>
          <w:szCs w:val="24"/>
        </w:rPr>
        <w:t xml:space="preserve"> 114,7</w:t>
      </w:r>
      <w:r w:rsidR="00EB0ECB" w:rsidRPr="00F14666">
        <w:rPr>
          <w:rFonts w:ascii="Tahoma" w:hAnsi="Tahoma" w:cs="Tahoma"/>
          <w:sz w:val="24"/>
          <w:szCs w:val="24"/>
        </w:rPr>
        <w:t>4</w:t>
      </w:r>
      <w:r w:rsidRPr="00F14666">
        <w:rPr>
          <w:rFonts w:ascii="Tahoma" w:hAnsi="Tahoma" w:cs="Tahoma"/>
          <w:sz w:val="24"/>
          <w:szCs w:val="24"/>
        </w:rPr>
        <w:t xml:space="preserve"> mld lei </w:t>
      </w:r>
      <w:r w:rsidR="001D44C7" w:rsidRPr="00F14666">
        <w:rPr>
          <w:rFonts w:ascii="Tahoma" w:hAnsi="Tahoma" w:cs="Tahoma"/>
          <w:sz w:val="24"/>
          <w:szCs w:val="24"/>
        </w:rPr>
        <w:t>în anul 2019 și prezintă o</w:t>
      </w:r>
      <w:r w:rsidRPr="00F14666">
        <w:rPr>
          <w:rFonts w:ascii="Tahoma" w:hAnsi="Tahoma" w:cs="Tahoma"/>
          <w:sz w:val="24"/>
          <w:szCs w:val="24"/>
        </w:rPr>
        <w:t xml:space="preserve"> creștere </w:t>
      </w:r>
      <w:r w:rsidR="001D44C7" w:rsidRPr="00F14666">
        <w:rPr>
          <w:rFonts w:ascii="Tahoma" w:hAnsi="Tahoma" w:cs="Tahoma"/>
          <w:sz w:val="24"/>
          <w:szCs w:val="24"/>
        </w:rPr>
        <w:t xml:space="preserve">nominală </w:t>
      </w:r>
      <w:r w:rsidRPr="00F14666">
        <w:rPr>
          <w:rFonts w:ascii="Tahoma" w:hAnsi="Tahoma" w:cs="Tahoma"/>
          <w:sz w:val="24"/>
          <w:szCs w:val="24"/>
        </w:rPr>
        <w:t>de 13,2% comparativ cu anul 2018. Evoluția cheltuielilor cu asistența socială comparativ cu an</w:t>
      </w:r>
      <w:r w:rsidR="001D44C7" w:rsidRPr="00F14666">
        <w:rPr>
          <w:rFonts w:ascii="Tahoma" w:hAnsi="Tahoma" w:cs="Tahoma"/>
          <w:sz w:val="24"/>
          <w:szCs w:val="24"/>
        </w:rPr>
        <w:t>ul precedent a fost influențată în principal</w:t>
      </w:r>
      <w:r w:rsidRPr="00F14666">
        <w:rPr>
          <w:rFonts w:ascii="Tahoma" w:hAnsi="Tahoma" w:cs="Tahoma"/>
          <w:sz w:val="24"/>
          <w:szCs w:val="24"/>
        </w:rPr>
        <w:t xml:space="preserve"> de majorarea punctului de pe</w:t>
      </w:r>
      <w:r w:rsidR="001D44C7" w:rsidRPr="00F14666">
        <w:rPr>
          <w:rFonts w:ascii="Tahoma" w:hAnsi="Tahoma" w:cs="Tahoma"/>
          <w:sz w:val="24"/>
          <w:szCs w:val="24"/>
        </w:rPr>
        <w:t>nsie cu 10% de la 1 iulie 2018 (</w:t>
      </w:r>
      <w:r w:rsidRPr="00F14666">
        <w:rPr>
          <w:rFonts w:ascii="Tahoma" w:hAnsi="Tahoma" w:cs="Tahoma"/>
          <w:sz w:val="24"/>
          <w:szCs w:val="24"/>
        </w:rPr>
        <w:t>la 1.100 lei</w:t>
      </w:r>
      <w:r w:rsidR="001D44C7" w:rsidRPr="00F14666">
        <w:rPr>
          <w:rFonts w:ascii="Tahoma" w:hAnsi="Tahoma" w:cs="Tahoma"/>
          <w:sz w:val="24"/>
          <w:szCs w:val="24"/>
        </w:rPr>
        <w:t>)</w:t>
      </w:r>
      <w:r w:rsidRPr="00F14666">
        <w:rPr>
          <w:rFonts w:ascii="Tahoma" w:hAnsi="Tahoma" w:cs="Tahoma"/>
          <w:sz w:val="24"/>
          <w:szCs w:val="24"/>
        </w:rPr>
        <w:t xml:space="preserve"> și </w:t>
      </w:r>
      <w:r w:rsidR="001D44C7" w:rsidRPr="00F14666">
        <w:rPr>
          <w:rFonts w:ascii="Tahoma" w:hAnsi="Tahoma" w:cs="Tahoma"/>
          <w:sz w:val="24"/>
          <w:szCs w:val="24"/>
        </w:rPr>
        <w:t>cu 15% de la 1 septembrie 2019 (</w:t>
      </w:r>
      <w:r w:rsidRPr="00F14666">
        <w:rPr>
          <w:rFonts w:ascii="Tahoma" w:hAnsi="Tahoma" w:cs="Tahoma"/>
          <w:sz w:val="24"/>
          <w:szCs w:val="24"/>
        </w:rPr>
        <w:t xml:space="preserve">la 1.265 </w:t>
      </w:r>
      <w:r w:rsidRPr="00F14666">
        <w:rPr>
          <w:rFonts w:ascii="Tahoma" w:hAnsi="Tahoma" w:cs="Tahoma"/>
          <w:sz w:val="24"/>
          <w:szCs w:val="24"/>
        </w:rPr>
        <w:lastRenderedPageBreak/>
        <w:t>lei</w:t>
      </w:r>
      <w:r w:rsidR="001D44C7" w:rsidRPr="00F14666">
        <w:rPr>
          <w:rFonts w:ascii="Tahoma" w:hAnsi="Tahoma" w:cs="Tahoma"/>
          <w:sz w:val="24"/>
          <w:szCs w:val="24"/>
        </w:rPr>
        <w:t>)</w:t>
      </w:r>
      <w:r w:rsidRPr="00F14666">
        <w:rPr>
          <w:rFonts w:ascii="Tahoma" w:hAnsi="Tahoma" w:cs="Tahoma"/>
          <w:sz w:val="24"/>
          <w:szCs w:val="24"/>
        </w:rPr>
        <w:t xml:space="preserve">, de creșterea nivelului îndemnizației sociale pentru pensionari </w:t>
      </w:r>
      <w:r w:rsidR="001D44C7" w:rsidRPr="00F14666">
        <w:rPr>
          <w:rFonts w:ascii="Tahoma" w:hAnsi="Tahoma" w:cs="Tahoma"/>
          <w:sz w:val="24"/>
          <w:szCs w:val="24"/>
        </w:rPr>
        <w:t>de la 1 iulie 2018 și 1 septembrie 2019 (</w:t>
      </w:r>
      <w:r w:rsidRPr="00F14666">
        <w:rPr>
          <w:rFonts w:ascii="Tahoma" w:hAnsi="Tahoma" w:cs="Tahoma"/>
          <w:sz w:val="24"/>
          <w:szCs w:val="24"/>
        </w:rPr>
        <w:t xml:space="preserve">de la 520 lei </w:t>
      </w:r>
      <w:r w:rsidR="001D44C7" w:rsidRPr="00F14666">
        <w:rPr>
          <w:rFonts w:ascii="Tahoma" w:hAnsi="Tahoma" w:cs="Tahoma"/>
          <w:sz w:val="24"/>
          <w:szCs w:val="24"/>
        </w:rPr>
        <w:t>la 640 lei</w:t>
      </w:r>
      <w:r w:rsidRPr="00F14666">
        <w:rPr>
          <w:rFonts w:ascii="Tahoma" w:hAnsi="Tahoma" w:cs="Tahoma"/>
          <w:sz w:val="24"/>
          <w:szCs w:val="24"/>
        </w:rPr>
        <w:t xml:space="preserve"> </w:t>
      </w:r>
      <w:r w:rsidR="001D44C7" w:rsidRPr="00F14666">
        <w:rPr>
          <w:rFonts w:ascii="Tahoma" w:hAnsi="Tahoma" w:cs="Tahoma"/>
          <w:sz w:val="24"/>
          <w:szCs w:val="24"/>
        </w:rPr>
        <w:t>și ulterior</w:t>
      </w:r>
      <w:r w:rsidRPr="00F14666">
        <w:rPr>
          <w:rFonts w:ascii="Tahoma" w:hAnsi="Tahoma" w:cs="Tahoma"/>
          <w:sz w:val="24"/>
          <w:szCs w:val="24"/>
        </w:rPr>
        <w:t xml:space="preserve"> la 704 lei), precum și de majorarea alocațiilor pentru copii. </w:t>
      </w:r>
      <w:r w:rsidR="0048352B" w:rsidRPr="00F14666">
        <w:rPr>
          <w:rFonts w:ascii="Tahoma" w:hAnsi="Tahoma" w:cs="Tahoma"/>
          <w:sz w:val="24"/>
          <w:szCs w:val="24"/>
        </w:rPr>
        <w:t xml:space="preserve">Față de prevederile bugetare inițiale pe anul 2019, </w:t>
      </w:r>
      <w:r w:rsidRPr="00F14666">
        <w:rPr>
          <w:rFonts w:ascii="Tahoma" w:hAnsi="Tahoma" w:cs="Tahoma"/>
          <w:sz w:val="24"/>
          <w:szCs w:val="24"/>
        </w:rPr>
        <w:t>chel</w:t>
      </w:r>
      <w:r w:rsidR="00EF74C2" w:rsidRPr="00F14666">
        <w:rPr>
          <w:rFonts w:ascii="Tahoma" w:hAnsi="Tahoma" w:cs="Tahoma"/>
          <w:sz w:val="24"/>
          <w:szCs w:val="24"/>
        </w:rPr>
        <w:t>t</w:t>
      </w:r>
      <w:r w:rsidRPr="00F14666">
        <w:rPr>
          <w:rFonts w:ascii="Tahoma" w:hAnsi="Tahoma" w:cs="Tahoma"/>
          <w:sz w:val="24"/>
          <w:szCs w:val="24"/>
        </w:rPr>
        <w:t xml:space="preserve">uielile cu asistența socială (pensii, alocații de stat pentru copii, indemnizații persoane cu handicap, indemnizații pentru persoanele aflate în concediu pentru creșterea copilului etc) au fost cu 5,2 mld lei mai mari. De asemenea, </w:t>
      </w:r>
      <w:r w:rsidR="00CE54D7" w:rsidRPr="00F14666">
        <w:rPr>
          <w:rFonts w:ascii="Tahoma" w:hAnsi="Tahoma" w:cs="Tahoma"/>
          <w:sz w:val="24"/>
          <w:szCs w:val="24"/>
        </w:rPr>
        <w:t xml:space="preserve">sumele </w:t>
      </w:r>
      <w:r w:rsidR="005A4448" w:rsidRPr="00F14666">
        <w:rPr>
          <w:rFonts w:ascii="Tahoma" w:hAnsi="Tahoma" w:cs="Tahoma"/>
          <w:sz w:val="24"/>
          <w:szCs w:val="24"/>
        </w:rPr>
        <w:t>evidențiate</w:t>
      </w:r>
      <w:r w:rsidR="00CE54D7" w:rsidRPr="00F14666">
        <w:rPr>
          <w:rFonts w:ascii="Tahoma" w:hAnsi="Tahoma" w:cs="Tahoma"/>
          <w:sz w:val="24"/>
          <w:szCs w:val="24"/>
        </w:rPr>
        <w:t xml:space="preserve"> la această categorie de </w:t>
      </w:r>
      <w:r w:rsidR="0048352B" w:rsidRPr="00F14666">
        <w:rPr>
          <w:rFonts w:ascii="Tahoma" w:hAnsi="Tahoma" w:cs="Tahoma"/>
          <w:sz w:val="24"/>
          <w:szCs w:val="24"/>
        </w:rPr>
        <w:t xml:space="preserve">cheltuieli </w:t>
      </w:r>
      <w:r w:rsidR="00CE54D7" w:rsidRPr="00F14666">
        <w:rPr>
          <w:rFonts w:ascii="Tahoma" w:hAnsi="Tahoma" w:cs="Tahoma"/>
          <w:sz w:val="24"/>
          <w:szCs w:val="24"/>
        </w:rPr>
        <w:t>includ și</w:t>
      </w:r>
      <w:r w:rsidRPr="00F14666">
        <w:rPr>
          <w:rFonts w:ascii="Tahoma" w:hAnsi="Tahoma" w:cs="Tahoma"/>
          <w:sz w:val="24"/>
          <w:szCs w:val="24"/>
        </w:rPr>
        <w:t xml:space="preserve"> </w:t>
      </w:r>
      <w:r w:rsidR="005A4448" w:rsidRPr="00F14666">
        <w:rPr>
          <w:rFonts w:ascii="Tahoma" w:hAnsi="Tahoma" w:cs="Tahoma"/>
          <w:sz w:val="24"/>
          <w:szCs w:val="24"/>
        </w:rPr>
        <w:t xml:space="preserve">sumele aferente </w:t>
      </w:r>
      <w:r w:rsidR="005A4448" w:rsidRPr="00F14666">
        <w:rPr>
          <w:rFonts w:ascii="Tahoma" w:hAnsi="Tahoma" w:cs="Tahoma"/>
          <w:bCs/>
          <w:sz w:val="24"/>
          <w:szCs w:val="24"/>
        </w:rPr>
        <w:t>plăților</w:t>
      </w:r>
      <w:r w:rsidR="00CE54D7" w:rsidRPr="00F14666">
        <w:rPr>
          <w:rFonts w:ascii="Tahoma" w:hAnsi="Tahoma" w:cs="Tahoma"/>
          <w:bCs/>
          <w:sz w:val="24"/>
          <w:szCs w:val="24"/>
        </w:rPr>
        <w:t xml:space="preserve"> restante privind indemnizațiile de asigurări sociale de sănătate pentru concedii medicale în val</w:t>
      </w:r>
      <w:r w:rsidR="00ED2E85" w:rsidRPr="00F14666">
        <w:rPr>
          <w:rFonts w:ascii="Tahoma" w:hAnsi="Tahoma" w:cs="Tahoma"/>
          <w:bCs/>
          <w:sz w:val="24"/>
          <w:szCs w:val="24"/>
        </w:rPr>
        <w:t>oa</w:t>
      </w:r>
      <w:r w:rsidR="00CE54D7" w:rsidRPr="00F14666">
        <w:rPr>
          <w:rFonts w:ascii="Tahoma" w:hAnsi="Tahoma" w:cs="Tahoma"/>
          <w:bCs/>
          <w:sz w:val="24"/>
          <w:szCs w:val="24"/>
        </w:rPr>
        <w:t xml:space="preserve">re de </w:t>
      </w:r>
      <w:r w:rsidRPr="00F14666">
        <w:rPr>
          <w:rFonts w:ascii="Tahoma" w:hAnsi="Tahoma" w:cs="Tahoma"/>
          <w:bCs/>
          <w:sz w:val="24"/>
          <w:szCs w:val="24"/>
        </w:rPr>
        <w:t>1,2 mld lei.</w:t>
      </w:r>
    </w:p>
    <w:p w:rsidR="001A2254" w:rsidRPr="00F14666" w:rsidRDefault="00ED2E85" w:rsidP="00ED2E85">
      <w:pPr>
        <w:spacing w:after="120" w:line="360" w:lineRule="auto"/>
        <w:jc w:val="both"/>
        <w:rPr>
          <w:rFonts w:ascii="Tahoma" w:hAnsi="Tahoma" w:cs="Tahoma"/>
          <w:bCs/>
          <w:sz w:val="24"/>
          <w:szCs w:val="24"/>
        </w:rPr>
      </w:pPr>
      <w:r w:rsidRPr="00F14666">
        <w:rPr>
          <w:rFonts w:ascii="Tahoma" w:hAnsi="Tahoma" w:cs="Tahoma"/>
          <w:b/>
          <w:bCs/>
          <w:i/>
          <w:sz w:val="24"/>
          <w:szCs w:val="24"/>
        </w:rPr>
        <w:t>Alte cheltuieli</w:t>
      </w:r>
      <w:r w:rsidR="005A4448" w:rsidRPr="00F14666">
        <w:rPr>
          <w:rFonts w:ascii="Tahoma" w:hAnsi="Tahoma" w:cs="Tahoma"/>
          <w:b/>
          <w:bCs/>
          <w:i/>
          <w:sz w:val="24"/>
          <w:szCs w:val="24"/>
        </w:rPr>
        <w:t>,</w:t>
      </w:r>
      <w:r w:rsidRPr="00F14666">
        <w:rPr>
          <w:rFonts w:ascii="Tahoma" w:hAnsi="Tahoma" w:cs="Tahoma"/>
          <w:bCs/>
          <w:sz w:val="24"/>
          <w:szCs w:val="24"/>
        </w:rPr>
        <w:t xml:space="preserve"> reprez</w:t>
      </w:r>
      <w:r w:rsidR="005A4448" w:rsidRPr="00F14666">
        <w:rPr>
          <w:rFonts w:ascii="Tahoma" w:hAnsi="Tahoma" w:cs="Tahoma"/>
          <w:bCs/>
          <w:sz w:val="24"/>
          <w:szCs w:val="24"/>
        </w:rPr>
        <w:t>entând,</w:t>
      </w:r>
      <w:r w:rsidRPr="00F14666">
        <w:rPr>
          <w:rFonts w:ascii="Tahoma" w:hAnsi="Tahoma" w:cs="Tahoma"/>
          <w:bCs/>
          <w:sz w:val="24"/>
          <w:szCs w:val="24"/>
        </w:rPr>
        <w:t xml:space="preserve"> în principal</w:t>
      </w:r>
      <w:r w:rsidR="005A4448" w:rsidRPr="00F14666">
        <w:rPr>
          <w:rFonts w:ascii="Tahoma" w:hAnsi="Tahoma" w:cs="Tahoma"/>
          <w:bCs/>
          <w:sz w:val="24"/>
          <w:szCs w:val="24"/>
        </w:rPr>
        <w:t>,</w:t>
      </w:r>
      <w:r w:rsidRPr="00F14666">
        <w:rPr>
          <w:rFonts w:ascii="Tahoma" w:hAnsi="Tahoma" w:cs="Tahoma"/>
          <w:bCs/>
          <w:sz w:val="24"/>
          <w:szCs w:val="24"/>
        </w:rPr>
        <w:t xml:space="preserve"> sume aferente titlurilor de plată emise de Autoritatea Națională pentru Restituirea Proprietăților, conform legislației în vigoare, burse pentru elevi și studenți, precum și alte despăgubiri civile.  În anul 2019 acestea au însumat 7,62 mld lei, menținându-se, ca pondere în PIB, la nivelul anului 2018 (0,7% din PIB). </w:t>
      </w:r>
      <w:r w:rsidR="005A4448" w:rsidRPr="00F14666">
        <w:rPr>
          <w:rFonts w:ascii="Tahoma" w:hAnsi="Tahoma" w:cs="Tahoma"/>
          <w:bCs/>
          <w:sz w:val="24"/>
          <w:szCs w:val="24"/>
        </w:rPr>
        <w:t>A</w:t>
      </w:r>
      <w:r w:rsidRPr="00F14666">
        <w:rPr>
          <w:rFonts w:ascii="Tahoma" w:hAnsi="Tahoma" w:cs="Tahoma"/>
          <w:bCs/>
          <w:sz w:val="24"/>
          <w:szCs w:val="24"/>
        </w:rPr>
        <w:t>cestea au fost cu 1,5 mld lei mai mari</w:t>
      </w:r>
      <w:r w:rsidR="005A4448" w:rsidRPr="00F14666">
        <w:rPr>
          <w:rFonts w:ascii="Tahoma" w:hAnsi="Tahoma" w:cs="Tahoma"/>
          <w:bCs/>
          <w:sz w:val="24"/>
          <w:szCs w:val="24"/>
        </w:rPr>
        <w:t xml:space="preserve"> față de nivelul estimat la construcția bugetului inițial pentru anul 2019</w:t>
      </w:r>
      <w:r w:rsidRPr="00F14666">
        <w:rPr>
          <w:rFonts w:ascii="Tahoma" w:hAnsi="Tahoma" w:cs="Tahoma"/>
          <w:bCs/>
          <w:sz w:val="24"/>
          <w:szCs w:val="24"/>
        </w:rPr>
        <w:t xml:space="preserve">. Această majorare reflectă inclusiv plata aferentă stingerii obligațiilor financiare rezultate din hotărârea arbitrală </w:t>
      </w:r>
      <w:r w:rsidR="005A4448" w:rsidRPr="00F14666">
        <w:rPr>
          <w:rFonts w:ascii="Tahoma" w:hAnsi="Tahoma" w:cs="Tahoma"/>
          <w:bCs/>
          <w:sz w:val="24"/>
          <w:szCs w:val="24"/>
        </w:rPr>
        <w:t>pronunțată</w:t>
      </w:r>
      <w:r w:rsidRPr="00F14666">
        <w:rPr>
          <w:rFonts w:ascii="Tahoma" w:hAnsi="Tahoma" w:cs="Tahoma"/>
          <w:bCs/>
          <w:sz w:val="24"/>
          <w:szCs w:val="24"/>
        </w:rPr>
        <w:t xml:space="preserve"> de Curtea de Arbitraj </w:t>
      </w:r>
      <w:r w:rsidR="005A4448" w:rsidRPr="00F14666">
        <w:rPr>
          <w:rFonts w:ascii="Tahoma" w:hAnsi="Tahoma" w:cs="Tahoma"/>
          <w:bCs/>
          <w:sz w:val="24"/>
          <w:szCs w:val="24"/>
        </w:rPr>
        <w:t>Internațională</w:t>
      </w:r>
      <w:r w:rsidRPr="00F14666">
        <w:rPr>
          <w:rFonts w:ascii="Tahoma" w:hAnsi="Tahoma" w:cs="Tahoma"/>
          <w:bCs/>
          <w:sz w:val="24"/>
          <w:szCs w:val="24"/>
        </w:rPr>
        <w:t xml:space="preserve"> a Centrului </w:t>
      </w:r>
      <w:r w:rsidR="005A4448" w:rsidRPr="00F14666">
        <w:rPr>
          <w:rFonts w:ascii="Tahoma" w:hAnsi="Tahoma" w:cs="Tahoma"/>
          <w:bCs/>
          <w:sz w:val="24"/>
          <w:szCs w:val="24"/>
        </w:rPr>
        <w:t>Internațional</w:t>
      </w:r>
      <w:r w:rsidRPr="00F14666">
        <w:rPr>
          <w:rFonts w:ascii="Tahoma" w:hAnsi="Tahoma" w:cs="Tahoma"/>
          <w:bCs/>
          <w:sz w:val="24"/>
          <w:szCs w:val="24"/>
        </w:rPr>
        <w:t xml:space="preserve"> pentru Reglementarea Diferendelor Relative la </w:t>
      </w:r>
      <w:r w:rsidR="005A4448" w:rsidRPr="00F14666">
        <w:rPr>
          <w:rFonts w:ascii="Tahoma" w:hAnsi="Tahoma" w:cs="Tahoma"/>
          <w:bCs/>
          <w:sz w:val="24"/>
          <w:szCs w:val="24"/>
        </w:rPr>
        <w:t>Investiții</w:t>
      </w:r>
      <w:r w:rsidRPr="00F14666">
        <w:rPr>
          <w:rFonts w:ascii="Tahoma" w:hAnsi="Tahoma" w:cs="Tahoma"/>
          <w:bCs/>
          <w:sz w:val="24"/>
          <w:szCs w:val="24"/>
        </w:rPr>
        <w:t xml:space="preserve"> în Dosarul arbitral nr. ARB/05/20, în valoare de 0,91 mld lei, plată ce a fost efectuată în luna decembrie.</w:t>
      </w:r>
    </w:p>
    <w:p w:rsidR="001A2254" w:rsidRPr="00F14666" w:rsidRDefault="001A2254" w:rsidP="001A2254">
      <w:pPr>
        <w:spacing w:after="120" w:line="360" w:lineRule="auto"/>
        <w:jc w:val="both"/>
        <w:rPr>
          <w:rFonts w:ascii="Tahoma" w:hAnsi="Tahoma" w:cs="Tahoma"/>
          <w:sz w:val="24"/>
          <w:szCs w:val="24"/>
        </w:rPr>
      </w:pPr>
      <w:r w:rsidRPr="00F14666">
        <w:rPr>
          <w:rFonts w:ascii="Tahoma" w:hAnsi="Tahoma" w:cs="Tahoma"/>
          <w:b/>
          <w:i/>
          <w:sz w:val="24"/>
          <w:szCs w:val="24"/>
        </w:rPr>
        <w:t>Cheltuielile pentru investiții</w:t>
      </w:r>
      <w:r w:rsidRPr="00F14666">
        <w:rPr>
          <w:rFonts w:ascii="Tahoma" w:hAnsi="Tahoma" w:cs="Tahoma"/>
          <w:sz w:val="24"/>
          <w:szCs w:val="24"/>
        </w:rPr>
        <w:t>, care includ cheltuielile de capital, precum și cele aferente programelor de dezvoltare finanțate din surse interne și ext</w:t>
      </w:r>
      <w:r w:rsidR="00125818" w:rsidRPr="00F14666">
        <w:rPr>
          <w:rFonts w:ascii="Tahoma" w:hAnsi="Tahoma" w:cs="Tahoma"/>
          <w:sz w:val="24"/>
          <w:szCs w:val="24"/>
        </w:rPr>
        <w:t>erne, au însumat 43,</w:t>
      </w:r>
      <w:r w:rsidR="00527A5F" w:rsidRPr="00F14666">
        <w:rPr>
          <w:rFonts w:ascii="Tahoma" w:hAnsi="Tahoma" w:cs="Tahoma"/>
          <w:sz w:val="24"/>
          <w:szCs w:val="24"/>
        </w:rPr>
        <w:t>6</w:t>
      </w:r>
      <w:r w:rsidR="005A4448" w:rsidRPr="00F14666">
        <w:rPr>
          <w:rFonts w:ascii="Tahoma" w:hAnsi="Tahoma" w:cs="Tahoma"/>
          <w:sz w:val="24"/>
          <w:szCs w:val="24"/>
        </w:rPr>
        <w:t>1</w:t>
      </w:r>
      <w:r w:rsidR="00125818" w:rsidRPr="00F14666">
        <w:rPr>
          <w:rFonts w:ascii="Tahoma" w:hAnsi="Tahoma" w:cs="Tahoma"/>
          <w:sz w:val="24"/>
          <w:szCs w:val="24"/>
        </w:rPr>
        <w:t xml:space="preserve"> mld lei (</w:t>
      </w:r>
      <w:r w:rsidRPr="00F14666">
        <w:rPr>
          <w:rFonts w:ascii="Tahoma" w:hAnsi="Tahoma" w:cs="Tahoma"/>
          <w:sz w:val="24"/>
          <w:szCs w:val="24"/>
        </w:rPr>
        <w:t>4,2% din PIB</w:t>
      </w:r>
      <w:r w:rsidR="00125818" w:rsidRPr="00F14666">
        <w:rPr>
          <w:rFonts w:ascii="Tahoma" w:hAnsi="Tahoma" w:cs="Tahoma"/>
          <w:sz w:val="24"/>
          <w:szCs w:val="24"/>
        </w:rPr>
        <w:t>)</w:t>
      </w:r>
      <w:r w:rsidRPr="00F14666">
        <w:rPr>
          <w:rFonts w:ascii="Tahoma" w:hAnsi="Tahoma" w:cs="Tahoma"/>
          <w:sz w:val="24"/>
          <w:szCs w:val="24"/>
        </w:rPr>
        <w:t xml:space="preserve"> </w:t>
      </w:r>
      <w:r w:rsidR="00125818" w:rsidRPr="00F14666">
        <w:rPr>
          <w:rFonts w:ascii="Tahoma" w:hAnsi="Tahoma" w:cs="Tahoma"/>
          <w:sz w:val="24"/>
          <w:szCs w:val="24"/>
        </w:rPr>
        <w:t>și prezintă o creștere de</w:t>
      </w:r>
      <w:r w:rsidRPr="00F14666">
        <w:rPr>
          <w:rFonts w:ascii="Tahoma" w:hAnsi="Tahoma" w:cs="Tahoma"/>
          <w:sz w:val="24"/>
          <w:szCs w:val="24"/>
        </w:rPr>
        <w:t xml:space="preserve"> 27</w:t>
      </w:r>
      <w:r w:rsidR="005A4448" w:rsidRPr="00F14666">
        <w:rPr>
          <w:rFonts w:ascii="Tahoma" w:hAnsi="Tahoma" w:cs="Tahoma"/>
          <w:sz w:val="24"/>
          <w:szCs w:val="24"/>
        </w:rPr>
        <w:t>,4</w:t>
      </w:r>
      <w:r w:rsidRPr="00F14666">
        <w:rPr>
          <w:rFonts w:ascii="Tahoma" w:hAnsi="Tahoma" w:cs="Tahoma"/>
          <w:sz w:val="24"/>
          <w:szCs w:val="24"/>
        </w:rPr>
        <w:t xml:space="preserve">% </w:t>
      </w:r>
      <w:r w:rsidR="00125818" w:rsidRPr="00F14666">
        <w:rPr>
          <w:rFonts w:ascii="Tahoma" w:hAnsi="Tahoma" w:cs="Tahoma"/>
          <w:sz w:val="24"/>
          <w:szCs w:val="24"/>
        </w:rPr>
        <w:t>față</w:t>
      </w:r>
      <w:r w:rsidRPr="00F14666">
        <w:rPr>
          <w:rFonts w:ascii="Tahoma" w:hAnsi="Tahoma" w:cs="Tahoma"/>
          <w:sz w:val="24"/>
          <w:szCs w:val="24"/>
        </w:rPr>
        <w:t xml:space="preserve"> cele </w:t>
      </w:r>
      <w:r w:rsidR="00125818" w:rsidRPr="00F14666">
        <w:rPr>
          <w:rFonts w:ascii="Tahoma" w:hAnsi="Tahoma" w:cs="Tahoma"/>
          <w:sz w:val="24"/>
          <w:szCs w:val="24"/>
        </w:rPr>
        <w:t>înregistrate în anul</w:t>
      </w:r>
      <w:r w:rsidRPr="00F14666">
        <w:rPr>
          <w:rFonts w:ascii="Tahoma" w:hAnsi="Tahoma" w:cs="Tahoma"/>
          <w:sz w:val="24"/>
          <w:szCs w:val="24"/>
        </w:rPr>
        <w:t xml:space="preserve"> 2018. </w:t>
      </w:r>
      <w:r w:rsidR="00B55707" w:rsidRPr="00F14666">
        <w:rPr>
          <w:rFonts w:ascii="Tahoma" w:hAnsi="Tahoma" w:cs="Tahoma"/>
          <w:sz w:val="24"/>
          <w:szCs w:val="24"/>
        </w:rPr>
        <w:t>La această evoluție au contribuit în principal pl</w:t>
      </w:r>
      <w:r w:rsidR="00B42D64" w:rsidRPr="00F14666">
        <w:rPr>
          <w:rFonts w:ascii="Tahoma" w:hAnsi="Tahoma" w:cs="Tahoma"/>
          <w:sz w:val="24"/>
          <w:szCs w:val="24"/>
        </w:rPr>
        <w:t>ata</w:t>
      </w:r>
      <w:r w:rsidR="00B55707" w:rsidRPr="00F14666">
        <w:rPr>
          <w:rFonts w:ascii="Tahoma" w:hAnsi="Tahoma" w:cs="Tahoma"/>
          <w:sz w:val="24"/>
          <w:szCs w:val="24"/>
        </w:rPr>
        <w:t xml:space="preserve"> </w:t>
      </w:r>
      <w:r w:rsidR="00B42D64" w:rsidRPr="00F14666">
        <w:rPr>
          <w:rFonts w:ascii="Tahoma" w:hAnsi="Tahoma" w:cs="Tahoma"/>
          <w:sz w:val="24"/>
          <w:szCs w:val="24"/>
        </w:rPr>
        <w:t>facturilor emise</w:t>
      </w:r>
      <w:r w:rsidR="00B55707" w:rsidRPr="00F14666">
        <w:rPr>
          <w:rFonts w:ascii="Tahoma" w:hAnsi="Tahoma" w:cs="Tahoma"/>
          <w:sz w:val="24"/>
          <w:szCs w:val="24"/>
        </w:rPr>
        <w:t xml:space="preserve"> în ultimele două luni ale anului (</w:t>
      </w:r>
      <w:r w:rsidR="005A4448" w:rsidRPr="00F14666">
        <w:rPr>
          <w:rFonts w:ascii="Tahoma" w:hAnsi="Tahoma" w:cs="Tahoma"/>
          <w:sz w:val="24"/>
          <w:szCs w:val="24"/>
        </w:rPr>
        <w:t>16,8</w:t>
      </w:r>
      <w:r w:rsidR="00B55707" w:rsidRPr="00F14666">
        <w:rPr>
          <w:rFonts w:ascii="Tahoma" w:hAnsi="Tahoma" w:cs="Tahoma"/>
          <w:sz w:val="24"/>
          <w:szCs w:val="24"/>
        </w:rPr>
        <w:t xml:space="preserve"> mld</w:t>
      </w:r>
      <w:r w:rsidR="005A4448" w:rsidRPr="00F14666">
        <w:rPr>
          <w:rFonts w:ascii="Tahoma" w:hAnsi="Tahoma" w:cs="Tahoma"/>
          <w:sz w:val="24"/>
          <w:szCs w:val="24"/>
        </w:rPr>
        <w:t xml:space="preserve"> lei</w:t>
      </w:r>
      <w:r w:rsidR="00B55707" w:rsidRPr="00F14666">
        <w:rPr>
          <w:rFonts w:ascii="Tahoma" w:hAnsi="Tahoma" w:cs="Tahoma"/>
          <w:sz w:val="24"/>
          <w:szCs w:val="24"/>
        </w:rPr>
        <w:t xml:space="preserve"> în noiembrie</w:t>
      </w:r>
      <w:r w:rsidR="005A4448" w:rsidRPr="00F14666">
        <w:rPr>
          <w:rFonts w:ascii="Tahoma" w:hAnsi="Tahoma" w:cs="Tahoma"/>
          <w:sz w:val="24"/>
          <w:szCs w:val="24"/>
        </w:rPr>
        <w:t xml:space="preserve"> și decembrie, reprezentând 38,5</w:t>
      </w:r>
      <w:r w:rsidR="00B55707" w:rsidRPr="00F14666">
        <w:rPr>
          <w:rFonts w:ascii="Tahoma" w:hAnsi="Tahoma" w:cs="Tahoma"/>
          <w:sz w:val="24"/>
          <w:szCs w:val="24"/>
        </w:rPr>
        <w:t xml:space="preserve">% din investițiile anuale) în contul </w:t>
      </w:r>
      <w:r w:rsidR="00B42D64" w:rsidRPr="00F14666">
        <w:rPr>
          <w:rFonts w:ascii="Tahoma" w:hAnsi="Tahoma" w:cs="Tahoma"/>
          <w:sz w:val="24"/>
          <w:szCs w:val="24"/>
        </w:rPr>
        <w:t>lucrărilor</w:t>
      </w:r>
      <w:r w:rsidR="006F6BF2" w:rsidRPr="00F14666">
        <w:rPr>
          <w:rFonts w:ascii="Tahoma" w:hAnsi="Tahoma" w:cs="Tahoma"/>
          <w:sz w:val="24"/>
          <w:szCs w:val="24"/>
        </w:rPr>
        <w:t xml:space="preserve"> de</w:t>
      </w:r>
      <w:r w:rsidR="00B42D64" w:rsidRPr="00F14666">
        <w:rPr>
          <w:rFonts w:ascii="Tahoma" w:hAnsi="Tahoma" w:cs="Tahoma"/>
          <w:sz w:val="24"/>
          <w:szCs w:val="24"/>
        </w:rPr>
        <w:t>ja</w:t>
      </w:r>
      <w:r w:rsidR="006F6BF2" w:rsidRPr="00F14666">
        <w:rPr>
          <w:rFonts w:ascii="Tahoma" w:hAnsi="Tahoma" w:cs="Tahoma"/>
          <w:sz w:val="24"/>
          <w:szCs w:val="24"/>
        </w:rPr>
        <w:t xml:space="preserve"> </w:t>
      </w:r>
      <w:r w:rsidR="00B42D64" w:rsidRPr="00F14666">
        <w:rPr>
          <w:rFonts w:ascii="Tahoma" w:hAnsi="Tahoma" w:cs="Tahoma"/>
          <w:sz w:val="24"/>
          <w:szCs w:val="24"/>
        </w:rPr>
        <w:t>efectuate de</w:t>
      </w:r>
      <w:r w:rsidR="006F6BF2" w:rsidRPr="00F14666">
        <w:rPr>
          <w:rFonts w:ascii="Tahoma" w:hAnsi="Tahoma" w:cs="Tahoma"/>
          <w:sz w:val="24"/>
          <w:szCs w:val="24"/>
        </w:rPr>
        <w:t xml:space="preserve"> mediul de afaceri</w:t>
      </w:r>
      <w:r w:rsidR="00CE2B39" w:rsidRPr="00F14666">
        <w:rPr>
          <w:rFonts w:ascii="Tahoma" w:hAnsi="Tahoma" w:cs="Tahoma"/>
          <w:sz w:val="24"/>
          <w:szCs w:val="24"/>
        </w:rPr>
        <w:t xml:space="preserve"> pentru </w:t>
      </w:r>
      <w:r w:rsidR="005A4448" w:rsidRPr="00F14666">
        <w:rPr>
          <w:rFonts w:ascii="Tahoma" w:hAnsi="Tahoma" w:cs="Tahoma"/>
          <w:sz w:val="24"/>
          <w:szCs w:val="24"/>
        </w:rPr>
        <w:t xml:space="preserve">ordonatorii de credite din </w:t>
      </w:r>
      <w:r w:rsidR="00CE2B39" w:rsidRPr="00F14666">
        <w:rPr>
          <w:rFonts w:ascii="Tahoma" w:hAnsi="Tahoma" w:cs="Tahoma"/>
          <w:sz w:val="24"/>
          <w:szCs w:val="24"/>
        </w:rPr>
        <w:t>administrația centrală și locală</w:t>
      </w:r>
      <w:r w:rsidR="006F6BF2" w:rsidRPr="00F14666">
        <w:rPr>
          <w:rFonts w:ascii="Tahoma" w:hAnsi="Tahoma" w:cs="Tahoma"/>
          <w:sz w:val="24"/>
          <w:szCs w:val="24"/>
        </w:rPr>
        <w:t xml:space="preserve">. </w:t>
      </w:r>
      <w:r w:rsidR="00B42D64" w:rsidRPr="00F14666">
        <w:rPr>
          <w:rFonts w:ascii="Tahoma" w:hAnsi="Tahoma" w:cs="Tahoma"/>
          <w:sz w:val="24"/>
          <w:szCs w:val="24"/>
        </w:rPr>
        <w:t xml:space="preserve">De asemenea, </w:t>
      </w:r>
      <w:r w:rsidR="00CE2B39" w:rsidRPr="00F14666">
        <w:rPr>
          <w:rFonts w:ascii="Tahoma" w:hAnsi="Tahoma" w:cs="Tahoma"/>
          <w:sz w:val="24"/>
          <w:szCs w:val="24"/>
        </w:rPr>
        <w:t>aceste plăți</w:t>
      </w:r>
      <w:r w:rsidR="00B42D64" w:rsidRPr="00F14666">
        <w:rPr>
          <w:rFonts w:ascii="Tahoma" w:hAnsi="Tahoma" w:cs="Tahoma"/>
          <w:sz w:val="24"/>
          <w:szCs w:val="24"/>
        </w:rPr>
        <w:t xml:space="preserve"> </w:t>
      </w:r>
      <w:r w:rsidR="00CE2B39" w:rsidRPr="00F14666">
        <w:rPr>
          <w:rFonts w:ascii="Tahoma" w:hAnsi="Tahoma" w:cs="Tahoma"/>
          <w:sz w:val="24"/>
          <w:szCs w:val="24"/>
        </w:rPr>
        <w:t xml:space="preserve">au condus la depășirea prevederilor bugetare inițiale pentru anul 2019 cu </w:t>
      </w:r>
      <w:r w:rsidR="003F4337" w:rsidRPr="00F14666">
        <w:rPr>
          <w:rFonts w:ascii="Tahoma" w:hAnsi="Tahoma" w:cs="Tahoma"/>
          <w:sz w:val="24"/>
          <w:szCs w:val="24"/>
        </w:rPr>
        <w:t>4,95</w:t>
      </w:r>
      <w:r w:rsidR="00CE2B39" w:rsidRPr="00F14666">
        <w:rPr>
          <w:rFonts w:ascii="Tahoma" w:hAnsi="Tahoma" w:cs="Tahoma"/>
          <w:sz w:val="24"/>
          <w:szCs w:val="24"/>
        </w:rPr>
        <w:t xml:space="preserve"> mld lei la categoria cheltuielilor de capital.</w:t>
      </w:r>
    </w:p>
    <w:p w:rsidR="00CE2B39" w:rsidRPr="00F14666" w:rsidRDefault="007E48B7" w:rsidP="008343FE">
      <w:pPr>
        <w:spacing w:after="0" w:line="240" w:lineRule="auto"/>
        <w:jc w:val="center"/>
        <w:rPr>
          <w:rFonts w:ascii="Tahoma" w:hAnsi="Tahoma" w:cs="Tahoma"/>
          <w:sz w:val="24"/>
          <w:szCs w:val="24"/>
        </w:rPr>
      </w:pPr>
      <w:r w:rsidRPr="00F14666">
        <w:rPr>
          <w:rFonts w:ascii="Tahoma" w:hAnsi="Tahoma" w:cs="Tahoma"/>
          <w:noProof/>
          <w:sz w:val="24"/>
          <w:szCs w:val="24"/>
          <w:lang w:val="en-US"/>
        </w:rPr>
        <w:lastRenderedPageBreak/>
        <w:drawing>
          <wp:inline distT="0" distB="0" distL="0" distR="0" wp14:anchorId="64ABDF09">
            <wp:extent cx="6269990" cy="25749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534" cy="2597351"/>
                    </a:xfrm>
                    <a:prstGeom prst="rect">
                      <a:avLst/>
                    </a:prstGeom>
                    <a:noFill/>
                  </pic:spPr>
                </pic:pic>
              </a:graphicData>
            </a:graphic>
          </wp:inline>
        </w:drawing>
      </w:r>
    </w:p>
    <w:p w:rsidR="008343FE" w:rsidRPr="00F14666" w:rsidRDefault="008343FE" w:rsidP="008343FE">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calcule proprii</w:t>
      </w:r>
    </w:p>
    <w:p w:rsidR="00CE2B39" w:rsidRPr="00F14666" w:rsidRDefault="00CE2B39" w:rsidP="00CE2B39">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9C3388" w:rsidRPr="00F14666">
        <w:rPr>
          <w:rFonts w:ascii="Tahoma" w:hAnsi="Tahoma" w:cs="Tahoma"/>
          <w:b/>
          <w:color w:val="767171" w:themeColor="background2" w:themeShade="80"/>
          <w:sz w:val="24"/>
          <w:szCs w:val="24"/>
        </w:rPr>
        <w:t xml:space="preserve"> </w:t>
      </w:r>
      <w:r w:rsidR="00703ACE" w:rsidRPr="00F14666">
        <w:rPr>
          <w:rFonts w:ascii="Tahoma" w:hAnsi="Tahoma" w:cs="Tahoma"/>
          <w:b/>
          <w:color w:val="767171" w:themeColor="background2" w:themeShade="80"/>
          <w:sz w:val="24"/>
          <w:szCs w:val="24"/>
        </w:rPr>
        <w:t>6</w:t>
      </w:r>
      <w:r w:rsidRPr="00F14666">
        <w:rPr>
          <w:rFonts w:ascii="Tahoma" w:hAnsi="Tahoma" w:cs="Tahoma"/>
          <w:b/>
          <w:color w:val="767171" w:themeColor="background2" w:themeShade="80"/>
          <w:sz w:val="24"/>
          <w:szCs w:val="24"/>
        </w:rPr>
        <w:t xml:space="preserve"> Cheltuieli lunare cu investițiile</w:t>
      </w:r>
    </w:p>
    <w:p w:rsidR="009E4B9C" w:rsidRPr="00F14666" w:rsidRDefault="0058551F" w:rsidP="00571D08">
      <w:pPr>
        <w:spacing w:after="120" w:line="360" w:lineRule="auto"/>
        <w:jc w:val="both"/>
        <w:rPr>
          <w:rFonts w:ascii="Helv" w:hAnsi="Helv" w:cs="Helv"/>
          <w:color w:val="000000"/>
          <w:sz w:val="24"/>
          <w:szCs w:val="24"/>
          <w:lang w:val="en-US"/>
        </w:rPr>
      </w:pPr>
      <w:r w:rsidRPr="00F14666">
        <w:rPr>
          <w:rFonts w:ascii="Tahoma" w:hAnsi="Tahoma" w:cs="Tahoma"/>
          <w:sz w:val="24"/>
          <w:szCs w:val="24"/>
        </w:rPr>
        <w:t xml:space="preserve">În schimb cheltuielile privind proiectele finanțate din fonduri externe nerambursabile (inclusiv subvențiile </w:t>
      </w:r>
      <w:r w:rsidR="00623A5E" w:rsidRPr="00F14666">
        <w:rPr>
          <w:rFonts w:ascii="Tahoma" w:hAnsi="Tahoma" w:cs="Tahoma"/>
          <w:sz w:val="24"/>
          <w:szCs w:val="24"/>
        </w:rPr>
        <w:t>de la Uniunea Europeană aferente agriculturii</w:t>
      </w:r>
      <w:r w:rsidRPr="00F14666">
        <w:rPr>
          <w:rFonts w:ascii="Tahoma" w:hAnsi="Tahoma" w:cs="Tahoma"/>
          <w:sz w:val="24"/>
          <w:szCs w:val="24"/>
        </w:rPr>
        <w:t>) au fost de 27,</w:t>
      </w:r>
      <w:r w:rsidR="00623A5E" w:rsidRPr="00F14666">
        <w:rPr>
          <w:rFonts w:ascii="Tahoma" w:hAnsi="Tahoma" w:cs="Tahoma"/>
          <w:sz w:val="24"/>
          <w:szCs w:val="24"/>
        </w:rPr>
        <w:t>99</w:t>
      </w:r>
      <w:r w:rsidRPr="00F14666">
        <w:rPr>
          <w:rFonts w:ascii="Tahoma" w:hAnsi="Tahoma" w:cs="Tahoma"/>
          <w:sz w:val="24"/>
          <w:szCs w:val="24"/>
        </w:rPr>
        <w:t xml:space="preserve"> mld lei</w:t>
      </w:r>
      <w:r w:rsidR="001B1E6F" w:rsidRPr="00F14666">
        <w:rPr>
          <w:rFonts w:ascii="Tahoma" w:hAnsi="Tahoma" w:cs="Tahoma"/>
          <w:sz w:val="24"/>
          <w:szCs w:val="24"/>
        </w:rPr>
        <w:t xml:space="preserve"> și</w:t>
      </w:r>
      <w:r w:rsidRPr="00F14666">
        <w:rPr>
          <w:rFonts w:ascii="Tahoma" w:hAnsi="Tahoma" w:cs="Tahoma"/>
          <w:sz w:val="24"/>
          <w:szCs w:val="24"/>
        </w:rPr>
        <w:t xml:space="preserve"> cu 10,</w:t>
      </w:r>
      <w:r w:rsidR="00623A5E" w:rsidRPr="00F14666">
        <w:rPr>
          <w:rFonts w:ascii="Tahoma" w:hAnsi="Tahoma" w:cs="Tahoma"/>
          <w:sz w:val="24"/>
          <w:szCs w:val="24"/>
        </w:rPr>
        <w:t>43</w:t>
      </w:r>
      <w:r w:rsidRPr="00F14666">
        <w:rPr>
          <w:rFonts w:ascii="Tahoma" w:hAnsi="Tahoma" w:cs="Tahoma"/>
          <w:sz w:val="24"/>
          <w:szCs w:val="24"/>
        </w:rPr>
        <w:t xml:space="preserve"> mld lei </w:t>
      </w:r>
      <w:r w:rsidR="00BB1057" w:rsidRPr="00F14666">
        <w:rPr>
          <w:rFonts w:ascii="Tahoma" w:hAnsi="Tahoma" w:cs="Tahoma"/>
          <w:sz w:val="24"/>
          <w:szCs w:val="24"/>
        </w:rPr>
        <w:t>mai reduse decât</w:t>
      </w:r>
      <w:r w:rsidRPr="00F14666">
        <w:rPr>
          <w:rFonts w:ascii="Tahoma" w:hAnsi="Tahoma" w:cs="Tahoma"/>
          <w:sz w:val="24"/>
          <w:szCs w:val="24"/>
        </w:rPr>
        <w:t xml:space="preserve"> </w:t>
      </w:r>
      <w:r w:rsidR="00BB1057" w:rsidRPr="00F14666">
        <w:rPr>
          <w:rFonts w:ascii="Tahoma" w:hAnsi="Tahoma" w:cs="Tahoma"/>
          <w:sz w:val="24"/>
          <w:szCs w:val="24"/>
        </w:rPr>
        <w:t>prevederile</w:t>
      </w:r>
      <w:r w:rsidRPr="00F14666">
        <w:rPr>
          <w:rFonts w:ascii="Tahoma" w:hAnsi="Tahoma" w:cs="Tahoma"/>
          <w:sz w:val="24"/>
          <w:szCs w:val="24"/>
        </w:rPr>
        <w:t xml:space="preserve"> buget</w:t>
      </w:r>
      <w:r w:rsidR="00BB1057" w:rsidRPr="00F14666">
        <w:rPr>
          <w:rFonts w:ascii="Tahoma" w:hAnsi="Tahoma" w:cs="Tahoma"/>
          <w:sz w:val="24"/>
          <w:szCs w:val="24"/>
        </w:rPr>
        <w:t>are</w:t>
      </w:r>
      <w:r w:rsidRPr="00F14666">
        <w:rPr>
          <w:rFonts w:ascii="Tahoma" w:hAnsi="Tahoma" w:cs="Tahoma"/>
          <w:sz w:val="24"/>
          <w:szCs w:val="24"/>
        </w:rPr>
        <w:t xml:space="preserve"> inițial</w:t>
      </w:r>
      <w:r w:rsidR="00BB1057" w:rsidRPr="00F14666">
        <w:rPr>
          <w:rFonts w:ascii="Tahoma" w:hAnsi="Tahoma" w:cs="Tahoma"/>
          <w:sz w:val="24"/>
          <w:szCs w:val="24"/>
        </w:rPr>
        <w:t>e</w:t>
      </w:r>
      <w:r w:rsidRPr="00F14666">
        <w:rPr>
          <w:rFonts w:ascii="Tahoma" w:hAnsi="Tahoma" w:cs="Tahoma"/>
          <w:sz w:val="24"/>
          <w:szCs w:val="24"/>
        </w:rPr>
        <w:t xml:space="preserve"> pe anul 2019. </w:t>
      </w:r>
      <w:r w:rsidR="00623A5E" w:rsidRPr="00F14666">
        <w:rPr>
          <w:rFonts w:ascii="Tahoma" w:hAnsi="Tahoma" w:cs="Tahoma"/>
          <w:sz w:val="24"/>
          <w:szCs w:val="24"/>
        </w:rPr>
        <w:t>A</w:t>
      </w:r>
      <w:r w:rsidR="001B1E6F" w:rsidRPr="00F14666">
        <w:rPr>
          <w:rFonts w:ascii="Tahoma" w:hAnsi="Tahoma" w:cs="Tahoma"/>
          <w:sz w:val="24"/>
          <w:szCs w:val="24"/>
        </w:rPr>
        <w:t xml:space="preserve">ltfel, </w:t>
      </w:r>
      <w:r w:rsidR="00623A5E" w:rsidRPr="00F14666">
        <w:rPr>
          <w:rFonts w:ascii="Tahoma" w:hAnsi="Tahoma" w:cs="Tahoma"/>
          <w:sz w:val="24"/>
          <w:szCs w:val="24"/>
        </w:rPr>
        <w:t>neimplementarea acestor proiecte finanțate din fonduri externe nerambursabile s-a reflectat și</w:t>
      </w:r>
      <w:r w:rsidRPr="00F14666">
        <w:rPr>
          <w:rFonts w:ascii="Tahoma" w:hAnsi="Tahoma" w:cs="Tahoma"/>
          <w:sz w:val="24"/>
          <w:szCs w:val="24"/>
        </w:rPr>
        <w:t xml:space="preserve"> </w:t>
      </w:r>
      <w:r w:rsidR="00746D5E" w:rsidRPr="00F14666">
        <w:rPr>
          <w:rFonts w:ascii="Tahoma" w:hAnsi="Tahoma" w:cs="Tahoma"/>
          <w:sz w:val="24"/>
          <w:szCs w:val="24"/>
        </w:rPr>
        <w:t xml:space="preserve">pe partea de venituri </w:t>
      </w:r>
      <w:r w:rsidRPr="00F14666">
        <w:rPr>
          <w:rFonts w:ascii="Tahoma" w:hAnsi="Tahoma" w:cs="Tahoma"/>
          <w:sz w:val="24"/>
          <w:szCs w:val="24"/>
        </w:rPr>
        <w:t>în nerealizarea sumelor rambursate de la Uniunea Europeană de 0,8 puncte procentuale din PIB.</w:t>
      </w:r>
      <w:r w:rsidR="009E4B9C" w:rsidRPr="00F14666">
        <w:rPr>
          <w:rFonts w:ascii="Helv" w:hAnsi="Helv" w:cs="Helv"/>
          <w:color w:val="000000"/>
          <w:sz w:val="24"/>
          <w:szCs w:val="24"/>
          <w:lang w:val="en-US"/>
        </w:rPr>
        <w:t xml:space="preserve"> </w:t>
      </w:r>
    </w:p>
    <w:p w:rsidR="007B5527" w:rsidRPr="00F14666" w:rsidRDefault="00C877EE" w:rsidP="008343FE">
      <w:pPr>
        <w:spacing w:after="0" w:line="240" w:lineRule="auto"/>
        <w:rPr>
          <w:rFonts w:ascii="Tahoma" w:hAnsi="Tahoma" w:cs="Tahoma"/>
          <w:b/>
          <w:color w:val="767171" w:themeColor="background2" w:themeShade="80"/>
          <w:sz w:val="24"/>
          <w:szCs w:val="24"/>
        </w:rPr>
      </w:pPr>
      <w:r w:rsidRPr="00F14666">
        <w:rPr>
          <w:rFonts w:ascii="Tahoma" w:hAnsi="Tahoma" w:cs="Tahoma"/>
          <w:b/>
          <w:noProof/>
          <w:color w:val="767171" w:themeColor="background2" w:themeShade="80"/>
          <w:sz w:val="24"/>
          <w:szCs w:val="24"/>
          <w:lang w:val="en-US"/>
        </w:rPr>
        <w:drawing>
          <wp:inline distT="0" distB="0" distL="0" distR="0" wp14:anchorId="14C31BAE">
            <wp:extent cx="6495415" cy="2648103"/>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1134" cy="2654511"/>
                    </a:xfrm>
                    <a:prstGeom prst="rect">
                      <a:avLst/>
                    </a:prstGeom>
                    <a:noFill/>
                  </pic:spPr>
                </pic:pic>
              </a:graphicData>
            </a:graphic>
          </wp:inline>
        </w:drawing>
      </w:r>
    </w:p>
    <w:p w:rsidR="008343FE" w:rsidRPr="00F14666" w:rsidRDefault="008343FE" w:rsidP="008343FE">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calcule proprii</w:t>
      </w:r>
    </w:p>
    <w:p w:rsidR="00751BF9" w:rsidRPr="00F14666" w:rsidRDefault="00751BF9" w:rsidP="00751BF9">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703ACE" w:rsidRPr="00F14666">
        <w:rPr>
          <w:rFonts w:ascii="Tahoma" w:hAnsi="Tahoma" w:cs="Tahoma"/>
          <w:b/>
          <w:color w:val="767171" w:themeColor="background2" w:themeShade="80"/>
          <w:sz w:val="24"/>
          <w:szCs w:val="24"/>
        </w:rPr>
        <w:t xml:space="preserve"> 7</w:t>
      </w:r>
      <w:r w:rsidRPr="00F14666">
        <w:rPr>
          <w:rFonts w:ascii="Tahoma" w:hAnsi="Tahoma" w:cs="Tahoma"/>
          <w:b/>
          <w:color w:val="767171" w:themeColor="background2" w:themeShade="80"/>
          <w:sz w:val="24"/>
          <w:szCs w:val="24"/>
        </w:rPr>
        <w:t xml:space="preserve"> Structura cheltuielilor de investiții</w:t>
      </w:r>
    </w:p>
    <w:p w:rsidR="00703ACE" w:rsidRPr="00F14666" w:rsidRDefault="00703ACE" w:rsidP="000A62E1">
      <w:pPr>
        <w:pStyle w:val="ListParagraph"/>
        <w:numPr>
          <w:ilvl w:val="0"/>
          <w:numId w:val="2"/>
        </w:numPr>
        <w:shd w:val="clear" w:color="auto" w:fill="D9D9D9" w:themeFill="background1" w:themeFillShade="D9"/>
        <w:spacing w:before="160" w:after="120" w:line="360" w:lineRule="auto"/>
        <w:ind w:hanging="1080"/>
        <w:jc w:val="both"/>
        <w:rPr>
          <w:rFonts w:ascii="Tahoma" w:hAnsi="Tahoma" w:cs="Tahoma"/>
          <w:b/>
          <w:caps/>
          <w:color w:val="0070C0"/>
          <w:sz w:val="24"/>
          <w:szCs w:val="24"/>
        </w:rPr>
      </w:pPr>
      <w:r w:rsidRPr="00F14666">
        <w:rPr>
          <w:rFonts w:ascii="Tahoma" w:hAnsi="Tahoma" w:cs="Tahoma"/>
          <w:b/>
          <w:caps/>
          <w:color w:val="0070C0"/>
          <w:sz w:val="24"/>
          <w:szCs w:val="24"/>
        </w:rPr>
        <w:lastRenderedPageBreak/>
        <w:t>DEFICITUL BUGETAR – COMPARAȚIE FAȚĂ DE ȚINTE</w:t>
      </w:r>
    </w:p>
    <w:p w:rsidR="003565E1" w:rsidRDefault="003565E1" w:rsidP="000A62E1">
      <w:pPr>
        <w:spacing w:after="120" w:line="360" w:lineRule="auto"/>
        <w:jc w:val="both"/>
        <w:rPr>
          <w:rFonts w:ascii="Tahoma" w:hAnsi="Tahoma" w:cs="Tahoma"/>
          <w:sz w:val="24"/>
          <w:szCs w:val="24"/>
        </w:rPr>
      </w:pPr>
    </w:p>
    <w:p w:rsidR="00F14666" w:rsidRPr="00F14666" w:rsidRDefault="00F14666" w:rsidP="000A62E1">
      <w:pPr>
        <w:spacing w:after="120" w:line="360" w:lineRule="auto"/>
        <w:jc w:val="both"/>
        <w:rPr>
          <w:rFonts w:ascii="Tahoma" w:hAnsi="Tahoma" w:cs="Tahoma"/>
          <w:sz w:val="24"/>
          <w:szCs w:val="24"/>
        </w:rPr>
      </w:pPr>
    </w:p>
    <w:p w:rsidR="001C52B3" w:rsidRPr="00F14666" w:rsidRDefault="001C52B3" w:rsidP="001C52B3">
      <w:pPr>
        <w:shd w:val="clear" w:color="auto" w:fill="DEEAF6" w:themeFill="accent1" w:themeFillTint="33"/>
        <w:spacing w:after="120" w:line="360" w:lineRule="auto"/>
        <w:jc w:val="both"/>
        <w:rPr>
          <w:rFonts w:ascii="Tahoma" w:hAnsi="Tahoma" w:cs="Tahoma"/>
          <w:sz w:val="24"/>
          <w:szCs w:val="24"/>
        </w:rPr>
      </w:pPr>
      <w:r w:rsidRPr="00F14666">
        <w:rPr>
          <w:rFonts w:ascii="Tahoma" w:hAnsi="Tahoma" w:cs="Tahoma"/>
          <w:sz w:val="24"/>
          <w:szCs w:val="24"/>
        </w:rPr>
        <w:t>De</w:t>
      </w:r>
      <w:r w:rsidR="00771F9D" w:rsidRPr="00F14666">
        <w:rPr>
          <w:rFonts w:ascii="Tahoma" w:hAnsi="Tahoma" w:cs="Tahoma"/>
          <w:sz w:val="24"/>
          <w:szCs w:val="24"/>
        </w:rPr>
        <w:t>teriorarea</w:t>
      </w:r>
      <w:r w:rsidRPr="00F14666">
        <w:rPr>
          <w:rFonts w:ascii="Tahoma" w:hAnsi="Tahoma" w:cs="Tahoma"/>
          <w:sz w:val="24"/>
          <w:szCs w:val="24"/>
        </w:rPr>
        <w:t xml:space="preserve"> amplă a deficitului bugetului general consolidat în anul 2019 </w:t>
      </w:r>
      <w:r w:rsidR="00571D08" w:rsidRPr="00F14666">
        <w:rPr>
          <w:rFonts w:ascii="Tahoma" w:hAnsi="Tahoma" w:cs="Tahoma"/>
          <w:sz w:val="24"/>
          <w:szCs w:val="24"/>
        </w:rPr>
        <w:t>față</w:t>
      </w:r>
      <w:r w:rsidRPr="00F14666">
        <w:rPr>
          <w:rFonts w:ascii="Tahoma" w:hAnsi="Tahoma" w:cs="Tahoma"/>
          <w:sz w:val="24"/>
          <w:szCs w:val="24"/>
        </w:rPr>
        <w:t xml:space="preserve"> de </w:t>
      </w:r>
      <w:r w:rsidR="00571D08" w:rsidRPr="00F14666">
        <w:rPr>
          <w:rFonts w:ascii="Tahoma" w:hAnsi="Tahoma" w:cs="Tahoma"/>
          <w:sz w:val="24"/>
          <w:szCs w:val="24"/>
        </w:rPr>
        <w:t>ținta</w:t>
      </w:r>
      <w:r w:rsidR="00771F9D" w:rsidRPr="00F14666">
        <w:rPr>
          <w:rFonts w:ascii="Tahoma" w:hAnsi="Tahoma" w:cs="Tahoma"/>
          <w:sz w:val="24"/>
          <w:szCs w:val="24"/>
        </w:rPr>
        <w:t xml:space="preserve"> de 2,76</w:t>
      </w:r>
      <w:r w:rsidRPr="00F14666">
        <w:rPr>
          <w:rFonts w:ascii="Tahoma" w:hAnsi="Tahoma" w:cs="Tahoma"/>
          <w:sz w:val="24"/>
          <w:szCs w:val="24"/>
        </w:rPr>
        <w:t xml:space="preserve">% din PIB </w:t>
      </w:r>
      <w:r w:rsidR="00933946" w:rsidRPr="00F14666">
        <w:rPr>
          <w:rFonts w:ascii="Tahoma" w:hAnsi="Tahoma" w:cs="Tahoma"/>
          <w:sz w:val="24"/>
          <w:szCs w:val="24"/>
        </w:rPr>
        <w:t>a fost</w:t>
      </w:r>
      <w:r w:rsidR="00771F9D" w:rsidRPr="00F14666">
        <w:rPr>
          <w:rFonts w:ascii="Tahoma" w:hAnsi="Tahoma" w:cs="Tahoma"/>
          <w:sz w:val="24"/>
          <w:szCs w:val="24"/>
        </w:rPr>
        <w:t xml:space="preserve"> deter</w:t>
      </w:r>
      <w:r w:rsidR="004E0E38" w:rsidRPr="00F14666">
        <w:rPr>
          <w:rFonts w:ascii="Tahoma" w:hAnsi="Tahoma" w:cs="Tahoma"/>
          <w:sz w:val="24"/>
          <w:szCs w:val="24"/>
        </w:rPr>
        <w:t xml:space="preserve">minată de </w:t>
      </w:r>
      <w:r w:rsidR="00933946" w:rsidRPr="00F14666">
        <w:rPr>
          <w:rFonts w:ascii="Tahoma" w:hAnsi="Tahoma" w:cs="Tahoma"/>
          <w:sz w:val="24"/>
          <w:szCs w:val="24"/>
        </w:rPr>
        <w:t>majorarea</w:t>
      </w:r>
      <w:r w:rsidR="004E0E38" w:rsidRPr="00F14666">
        <w:rPr>
          <w:rFonts w:ascii="Tahoma" w:hAnsi="Tahoma" w:cs="Tahoma"/>
          <w:sz w:val="24"/>
          <w:szCs w:val="24"/>
        </w:rPr>
        <w:t xml:space="preserve"> p</w:t>
      </w:r>
      <w:r w:rsidR="000A62E1" w:rsidRPr="00F14666">
        <w:rPr>
          <w:rFonts w:ascii="Tahoma" w:hAnsi="Tahoma" w:cs="Tahoma"/>
          <w:sz w:val="24"/>
          <w:szCs w:val="24"/>
        </w:rPr>
        <w:t>rogramată</w:t>
      </w:r>
      <w:r w:rsidR="004E0E38" w:rsidRPr="00F14666">
        <w:rPr>
          <w:rFonts w:ascii="Tahoma" w:hAnsi="Tahoma" w:cs="Tahoma"/>
          <w:sz w:val="24"/>
          <w:szCs w:val="24"/>
        </w:rPr>
        <w:t xml:space="preserve"> a unor categorii de cheltuieli</w:t>
      </w:r>
      <w:r w:rsidRPr="00F14666">
        <w:rPr>
          <w:rFonts w:ascii="Tahoma" w:hAnsi="Tahoma" w:cs="Tahoma"/>
          <w:sz w:val="24"/>
          <w:szCs w:val="24"/>
        </w:rPr>
        <w:t xml:space="preserve"> </w:t>
      </w:r>
      <w:r w:rsidR="004E0E38" w:rsidRPr="00F14666">
        <w:rPr>
          <w:rFonts w:ascii="Tahoma" w:hAnsi="Tahoma" w:cs="Tahoma"/>
          <w:sz w:val="24"/>
          <w:szCs w:val="24"/>
        </w:rPr>
        <w:t>potrivit</w:t>
      </w:r>
      <w:r w:rsidR="00BF0246" w:rsidRPr="00F14666">
        <w:rPr>
          <w:rFonts w:ascii="Tahoma" w:hAnsi="Tahoma" w:cs="Tahoma"/>
          <w:sz w:val="24"/>
          <w:szCs w:val="24"/>
        </w:rPr>
        <w:t xml:space="preserve"> </w:t>
      </w:r>
      <w:r w:rsidR="00B734CD" w:rsidRPr="00F14666">
        <w:rPr>
          <w:rFonts w:ascii="Tahoma" w:hAnsi="Tahoma" w:cs="Tahoma"/>
          <w:sz w:val="24"/>
          <w:szCs w:val="24"/>
        </w:rPr>
        <w:t xml:space="preserve">prevederilor </w:t>
      </w:r>
      <w:r w:rsidR="00423CAE" w:rsidRPr="00F14666">
        <w:rPr>
          <w:rFonts w:ascii="Tahoma" w:hAnsi="Tahoma" w:cs="Tahoma"/>
          <w:sz w:val="24"/>
          <w:szCs w:val="24"/>
        </w:rPr>
        <w:t xml:space="preserve">legilor bugetare anuale </w:t>
      </w:r>
      <w:r w:rsidR="00771F9D" w:rsidRPr="00F14666">
        <w:rPr>
          <w:rFonts w:ascii="Tahoma" w:hAnsi="Tahoma" w:cs="Tahoma"/>
          <w:sz w:val="24"/>
          <w:szCs w:val="24"/>
        </w:rPr>
        <w:t xml:space="preserve">aprobate </w:t>
      </w:r>
      <w:r w:rsidR="004E0E38" w:rsidRPr="00F14666">
        <w:rPr>
          <w:rFonts w:ascii="Tahoma" w:hAnsi="Tahoma" w:cs="Tahoma"/>
          <w:sz w:val="24"/>
          <w:szCs w:val="24"/>
        </w:rPr>
        <w:t>la începutul</w:t>
      </w:r>
      <w:r w:rsidR="00423CAE" w:rsidRPr="00F14666">
        <w:rPr>
          <w:rFonts w:ascii="Tahoma" w:hAnsi="Tahoma" w:cs="Tahoma"/>
          <w:sz w:val="24"/>
          <w:szCs w:val="24"/>
        </w:rPr>
        <w:t xml:space="preserve"> anul</w:t>
      </w:r>
      <w:r w:rsidR="004E0E38" w:rsidRPr="00F14666">
        <w:rPr>
          <w:rFonts w:ascii="Tahoma" w:hAnsi="Tahoma" w:cs="Tahoma"/>
          <w:sz w:val="24"/>
          <w:szCs w:val="24"/>
        </w:rPr>
        <w:t>ui</w:t>
      </w:r>
      <w:r w:rsidR="00423CAE" w:rsidRPr="00F14666">
        <w:rPr>
          <w:rFonts w:ascii="Tahoma" w:hAnsi="Tahoma" w:cs="Tahoma"/>
          <w:sz w:val="24"/>
          <w:szCs w:val="24"/>
        </w:rPr>
        <w:t xml:space="preserve"> 2019</w:t>
      </w:r>
      <w:r w:rsidR="004E0E38" w:rsidRPr="00F14666">
        <w:rPr>
          <w:rFonts w:ascii="Tahoma" w:hAnsi="Tahoma" w:cs="Tahoma"/>
          <w:sz w:val="24"/>
          <w:szCs w:val="24"/>
        </w:rPr>
        <w:t xml:space="preserve"> fără acoperire în </w:t>
      </w:r>
      <w:r w:rsidR="00581AF2" w:rsidRPr="00F14666">
        <w:rPr>
          <w:rFonts w:ascii="Tahoma" w:hAnsi="Tahoma" w:cs="Tahoma"/>
          <w:sz w:val="24"/>
          <w:szCs w:val="24"/>
        </w:rPr>
        <w:t>creșterea</w:t>
      </w:r>
      <w:r w:rsidR="00933946" w:rsidRPr="00F14666">
        <w:rPr>
          <w:rFonts w:ascii="Tahoma" w:hAnsi="Tahoma" w:cs="Tahoma"/>
          <w:sz w:val="24"/>
          <w:szCs w:val="24"/>
        </w:rPr>
        <w:t xml:space="preserve"> corespunzătoare a </w:t>
      </w:r>
      <w:r w:rsidR="00302BA3" w:rsidRPr="00F14666">
        <w:rPr>
          <w:rFonts w:ascii="Tahoma" w:hAnsi="Tahoma" w:cs="Tahoma"/>
          <w:sz w:val="24"/>
          <w:szCs w:val="24"/>
        </w:rPr>
        <w:t>venituri</w:t>
      </w:r>
      <w:r w:rsidR="00933946" w:rsidRPr="00F14666">
        <w:rPr>
          <w:rFonts w:ascii="Tahoma" w:hAnsi="Tahoma" w:cs="Tahoma"/>
          <w:sz w:val="24"/>
          <w:szCs w:val="24"/>
        </w:rPr>
        <w:t>lor</w:t>
      </w:r>
      <w:r w:rsidR="00302BA3" w:rsidRPr="00F14666">
        <w:rPr>
          <w:rFonts w:ascii="Tahoma" w:hAnsi="Tahoma" w:cs="Tahoma"/>
          <w:sz w:val="24"/>
          <w:szCs w:val="24"/>
        </w:rPr>
        <w:t xml:space="preserve"> bugetare sau </w:t>
      </w:r>
      <w:r w:rsidR="004E0E38" w:rsidRPr="00F14666">
        <w:rPr>
          <w:rFonts w:ascii="Tahoma" w:hAnsi="Tahoma" w:cs="Tahoma"/>
          <w:sz w:val="24"/>
          <w:szCs w:val="24"/>
        </w:rPr>
        <w:t xml:space="preserve">economii </w:t>
      </w:r>
      <w:r w:rsidR="00581AF2" w:rsidRPr="00F14666">
        <w:rPr>
          <w:rFonts w:ascii="Tahoma" w:hAnsi="Tahoma" w:cs="Tahoma"/>
          <w:sz w:val="24"/>
          <w:szCs w:val="24"/>
        </w:rPr>
        <w:t>substanțiale</w:t>
      </w:r>
      <w:r w:rsidR="00302BA3" w:rsidRPr="00F14666">
        <w:rPr>
          <w:rFonts w:ascii="Tahoma" w:hAnsi="Tahoma" w:cs="Tahoma"/>
          <w:sz w:val="24"/>
          <w:szCs w:val="24"/>
        </w:rPr>
        <w:t xml:space="preserve"> </w:t>
      </w:r>
      <w:r w:rsidR="00933946" w:rsidRPr="00F14666">
        <w:rPr>
          <w:rFonts w:ascii="Tahoma" w:hAnsi="Tahoma" w:cs="Tahoma"/>
          <w:sz w:val="24"/>
          <w:szCs w:val="24"/>
        </w:rPr>
        <w:t xml:space="preserve">realizate </w:t>
      </w:r>
      <w:r w:rsidR="004E0E38" w:rsidRPr="00F14666">
        <w:rPr>
          <w:rFonts w:ascii="Tahoma" w:hAnsi="Tahoma" w:cs="Tahoma"/>
          <w:sz w:val="24"/>
          <w:szCs w:val="24"/>
        </w:rPr>
        <w:t>la</w:t>
      </w:r>
      <w:r w:rsidR="00302BA3" w:rsidRPr="00F14666">
        <w:rPr>
          <w:rFonts w:ascii="Tahoma" w:hAnsi="Tahoma" w:cs="Tahoma"/>
          <w:sz w:val="24"/>
          <w:szCs w:val="24"/>
        </w:rPr>
        <w:t xml:space="preserve"> alte categorii de cheltuieli</w:t>
      </w:r>
      <w:r w:rsidR="005964AB" w:rsidRPr="00F14666">
        <w:rPr>
          <w:rFonts w:ascii="Tahoma" w:hAnsi="Tahoma" w:cs="Tahoma"/>
          <w:sz w:val="24"/>
          <w:szCs w:val="24"/>
        </w:rPr>
        <w:t>.</w:t>
      </w:r>
    </w:p>
    <w:p w:rsidR="00F14666" w:rsidRDefault="00F14666" w:rsidP="00682712">
      <w:pPr>
        <w:spacing w:after="120" w:line="360" w:lineRule="auto"/>
        <w:jc w:val="both"/>
        <w:rPr>
          <w:rFonts w:ascii="Tahoma" w:hAnsi="Tahoma" w:cs="Tahoma"/>
          <w:sz w:val="24"/>
          <w:szCs w:val="24"/>
        </w:rPr>
      </w:pPr>
    </w:p>
    <w:p w:rsidR="00F14666" w:rsidRDefault="00F14666" w:rsidP="00682712">
      <w:pPr>
        <w:spacing w:after="120" w:line="360" w:lineRule="auto"/>
        <w:jc w:val="both"/>
        <w:rPr>
          <w:rFonts w:ascii="Tahoma" w:hAnsi="Tahoma" w:cs="Tahoma"/>
          <w:sz w:val="24"/>
          <w:szCs w:val="24"/>
        </w:rPr>
      </w:pPr>
    </w:p>
    <w:p w:rsidR="00744E04" w:rsidRPr="00F14666" w:rsidRDefault="00682712" w:rsidP="00682712">
      <w:pPr>
        <w:spacing w:after="120" w:line="360" w:lineRule="auto"/>
        <w:jc w:val="both"/>
        <w:rPr>
          <w:rFonts w:ascii="Tahoma" w:hAnsi="Tahoma" w:cs="Tahoma"/>
          <w:sz w:val="24"/>
          <w:szCs w:val="24"/>
        </w:rPr>
      </w:pPr>
      <w:r w:rsidRPr="00F14666">
        <w:rPr>
          <w:rFonts w:ascii="Tahoma" w:hAnsi="Tahoma" w:cs="Tahoma"/>
          <w:sz w:val="24"/>
          <w:szCs w:val="24"/>
        </w:rPr>
        <w:t>În raport cu prevederile inițiale ale legilor bugetare anuale pentru anul 2019, se constată că avansul semnificativ al cheltuielilor bugetare programate de 2,5 puncte procentuale din PIB (de la 33,8% în 2018 la 36,3% din PIB anul trecut) îndreptat cu precădere către majorarea cheltuielilor de investiț</w:t>
      </w:r>
      <w:r w:rsidR="00581AF2" w:rsidRPr="00F14666">
        <w:rPr>
          <w:rFonts w:ascii="Tahoma" w:hAnsi="Tahoma" w:cs="Tahoma"/>
          <w:sz w:val="24"/>
          <w:szCs w:val="24"/>
        </w:rPr>
        <w:t>ii (1,29 puncte procentuale conducând la 4,89</w:t>
      </w:r>
      <w:r w:rsidRPr="00F14666">
        <w:rPr>
          <w:rFonts w:ascii="Tahoma" w:hAnsi="Tahoma" w:cs="Tahoma"/>
          <w:sz w:val="24"/>
          <w:szCs w:val="24"/>
        </w:rPr>
        <w:t xml:space="preserve">% din PIB în anul 2019) și majorarea cheltuielilor de personal (1,0 puncte procentuale la 10% din PIB în anul 2019) a fost proiectat să fie acoperit de creșterea amplă a veniturilor bugetare (2,5 puncte procentuale din PIB, de la 31,0% în 2018 la 33,5% din PIB anul </w:t>
      </w:r>
      <w:r w:rsidR="00E74759" w:rsidRPr="00F14666">
        <w:rPr>
          <w:rFonts w:ascii="Tahoma" w:hAnsi="Tahoma" w:cs="Tahoma"/>
          <w:sz w:val="24"/>
          <w:szCs w:val="24"/>
        </w:rPr>
        <w:t>2019</w:t>
      </w:r>
      <w:r w:rsidRPr="00F14666">
        <w:rPr>
          <w:rFonts w:ascii="Tahoma" w:hAnsi="Tahoma" w:cs="Tahoma"/>
          <w:sz w:val="24"/>
          <w:szCs w:val="24"/>
        </w:rPr>
        <w:t xml:space="preserve">) din surse cu un grad ridicat de incertitudine. În aceste condiții, creșterea prognozată a veniturilor bugetare prin îmbunătățirea colectării veniturilor fiscale (0,9 puncte procentuale), avansul încasărilor din contribuții de asigurări sociale (1,2 puncte procentuale) și al sumelor de la Uniunea Europeană (0,4 puncte procentuale) nu s-a materializat într-o proporție covârșitoare. </w:t>
      </w:r>
    </w:p>
    <w:p w:rsidR="00744E04" w:rsidRPr="00F14666" w:rsidRDefault="00407EFE" w:rsidP="008343FE">
      <w:pPr>
        <w:spacing w:after="0" w:line="240" w:lineRule="auto"/>
        <w:jc w:val="center"/>
        <w:rPr>
          <w:rFonts w:ascii="Tahoma" w:hAnsi="Tahoma" w:cs="Tahoma"/>
          <w:sz w:val="24"/>
          <w:szCs w:val="24"/>
        </w:rPr>
      </w:pPr>
      <w:r w:rsidRPr="00F14666">
        <w:rPr>
          <w:rFonts w:ascii="Tahoma" w:hAnsi="Tahoma" w:cs="Tahoma"/>
          <w:noProof/>
          <w:sz w:val="24"/>
          <w:szCs w:val="24"/>
          <w:lang w:val="en-US"/>
        </w:rPr>
        <w:lastRenderedPageBreak/>
        <w:drawing>
          <wp:inline distT="0" distB="0" distL="0" distR="0" wp14:anchorId="1EE5417C">
            <wp:extent cx="6436426" cy="36449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1768" cy="3647925"/>
                    </a:xfrm>
                    <a:prstGeom prst="rect">
                      <a:avLst/>
                    </a:prstGeom>
                    <a:noFill/>
                  </pic:spPr>
                </pic:pic>
              </a:graphicData>
            </a:graphic>
          </wp:inline>
        </w:drawing>
      </w:r>
    </w:p>
    <w:p w:rsidR="008343FE" w:rsidRPr="00F14666" w:rsidRDefault="008343FE" w:rsidP="008343FE">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calcule proprii</w:t>
      </w:r>
    </w:p>
    <w:p w:rsidR="00744E04" w:rsidRPr="00F14666" w:rsidRDefault="00744E04" w:rsidP="00744E04">
      <w:pPr>
        <w:pStyle w:val="ListParagraph"/>
        <w:spacing w:line="360" w:lineRule="auto"/>
        <w:jc w:val="center"/>
        <w:rPr>
          <w:rFonts w:ascii="Tahoma" w:hAnsi="Tahoma" w:cs="Tahoma"/>
          <w:b/>
          <w:color w:val="767171" w:themeColor="background2" w:themeShade="80"/>
          <w:sz w:val="24"/>
          <w:szCs w:val="24"/>
        </w:rPr>
      </w:pPr>
      <w:r w:rsidRPr="00F14666">
        <w:rPr>
          <w:rFonts w:ascii="Tahoma" w:hAnsi="Tahoma" w:cs="Tahoma"/>
          <w:b/>
          <w:color w:val="767171" w:themeColor="background2" w:themeShade="80"/>
          <w:sz w:val="24"/>
          <w:szCs w:val="24"/>
        </w:rPr>
        <w:t>Fig.</w:t>
      </w:r>
      <w:r w:rsidR="00703ACE" w:rsidRPr="00F14666">
        <w:rPr>
          <w:rFonts w:ascii="Tahoma" w:hAnsi="Tahoma" w:cs="Tahoma"/>
          <w:b/>
          <w:color w:val="767171" w:themeColor="background2" w:themeShade="80"/>
          <w:sz w:val="24"/>
          <w:szCs w:val="24"/>
        </w:rPr>
        <w:t>8</w:t>
      </w:r>
      <w:r w:rsidRPr="00F14666">
        <w:rPr>
          <w:rFonts w:ascii="Tahoma" w:hAnsi="Tahoma" w:cs="Tahoma"/>
          <w:b/>
          <w:color w:val="767171" w:themeColor="background2" w:themeShade="80"/>
          <w:sz w:val="24"/>
          <w:szCs w:val="24"/>
        </w:rPr>
        <w:t xml:space="preserve"> Structura veniturilor bugetare</w:t>
      </w:r>
    </w:p>
    <w:p w:rsidR="00682712" w:rsidRPr="00F14666" w:rsidRDefault="00682712" w:rsidP="00682712">
      <w:pPr>
        <w:spacing w:after="120" w:line="360" w:lineRule="auto"/>
        <w:jc w:val="both"/>
        <w:rPr>
          <w:rFonts w:ascii="Tahoma" w:hAnsi="Tahoma" w:cs="Tahoma"/>
          <w:sz w:val="24"/>
          <w:szCs w:val="24"/>
        </w:rPr>
      </w:pPr>
      <w:r w:rsidRPr="00F14666">
        <w:rPr>
          <w:rFonts w:ascii="Tahoma" w:hAnsi="Tahoma" w:cs="Tahoma"/>
          <w:sz w:val="24"/>
          <w:szCs w:val="24"/>
        </w:rPr>
        <w:t xml:space="preserve">Astfel, în raport cu proiecțiile inițiale ale veniturilor bugetare se constată o abatere de 2,7 puncte procentuale din PIB a încasărilor totale la sfârșitul anului, din care 0,9 puncte procentuale corespunzătoare veniturilor fiscale, 0,8 puncte procentuale contribuțiilor de asigurări și 0,9 puncte procentuale sumelor de la Uniunea Europeană în contul plăților efectuate. În același timp, cheltuielile bugetare totale au înregistrat în execuție un nivel nominal apropiat de prevederile legale inițiale (o nerealizare de doar 1 miliard lei) în </w:t>
      </w:r>
      <w:r w:rsidR="008E39D6" w:rsidRPr="00F14666">
        <w:rPr>
          <w:rFonts w:ascii="Tahoma" w:hAnsi="Tahoma" w:cs="Tahoma"/>
          <w:sz w:val="24"/>
          <w:szCs w:val="24"/>
        </w:rPr>
        <w:t>contextul în care se constată că subfinanțare</w:t>
      </w:r>
      <w:r w:rsidRPr="00F14666">
        <w:rPr>
          <w:rFonts w:ascii="Tahoma" w:hAnsi="Tahoma" w:cs="Tahoma"/>
          <w:sz w:val="24"/>
          <w:szCs w:val="24"/>
        </w:rPr>
        <w:t>a cheltui</w:t>
      </w:r>
      <w:r w:rsidR="00A02EF0" w:rsidRPr="00F14666">
        <w:rPr>
          <w:rFonts w:ascii="Tahoma" w:hAnsi="Tahoma" w:cs="Tahoma"/>
          <w:sz w:val="24"/>
          <w:szCs w:val="24"/>
        </w:rPr>
        <w:t>elilor de asistență socială (0,3</w:t>
      </w:r>
      <w:r w:rsidRPr="00F14666">
        <w:rPr>
          <w:rFonts w:ascii="Tahoma" w:hAnsi="Tahoma" w:cs="Tahoma"/>
          <w:sz w:val="24"/>
          <w:szCs w:val="24"/>
        </w:rPr>
        <w:t xml:space="preserve"> puncte procentuale din PIB reprezentând pensii, alocații de stat pentru copii, indemnizații persoane cu handicap, indemnizații pentru persoanele aflate în conce</w:t>
      </w:r>
      <w:r w:rsidR="008E39D6" w:rsidRPr="00F14666">
        <w:rPr>
          <w:rFonts w:ascii="Tahoma" w:hAnsi="Tahoma" w:cs="Tahoma"/>
          <w:sz w:val="24"/>
          <w:szCs w:val="24"/>
        </w:rPr>
        <w:t xml:space="preserve">diu pentru creșterea copilului) </w:t>
      </w:r>
      <w:proofErr w:type="spellStart"/>
      <w:r w:rsidR="008E39D6" w:rsidRPr="00F14666">
        <w:rPr>
          <w:rFonts w:ascii="Tahoma" w:hAnsi="Tahoma" w:cs="Tahoma"/>
          <w:sz w:val="24"/>
          <w:szCs w:val="24"/>
        </w:rPr>
        <w:t>şi</w:t>
      </w:r>
      <w:proofErr w:type="spellEnd"/>
      <w:r w:rsidRPr="00F14666">
        <w:rPr>
          <w:rFonts w:ascii="Tahoma" w:hAnsi="Tahoma" w:cs="Tahoma"/>
          <w:sz w:val="24"/>
          <w:szCs w:val="24"/>
        </w:rPr>
        <w:t xml:space="preserve"> a cheltuielilor cu bunuri și servicii (0,3 puncte procentuale din PIB) </w:t>
      </w:r>
      <w:r w:rsidR="008E39D6" w:rsidRPr="00F14666">
        <w:rPr>
          <w:rFonts w:ascii="Tahoma" w:hAnsi="Tahoma" w:cs="Tahoma"/>
          <w:sz w:val="24"/>
          <w:szCs w:val="24"/>
        </w:rPr>
        <w:t xml:space="preserve">au fost </w:t>
      </w:r>
      <w:r w:rsidRPr="00F14666">
        <w:rPr>
          <w:rFonts w:ascii="Tahoma" w:hAnsi="Tahoma" w:cs="Tahoma"/>
          <w:sz w:val="24"/>
          <w:szCs w:val="24"/>
        </w:rPr>
        <w:t xml:space="preserve">compensate de nerealizarea </w:t>
      </w:r>
      <w:r w:rsidR="00A02EF0" w:rsidRPr="00F14666">
        <w:rPr>
          <w:rFonts w:ascii="Tahoma" w:hAnsi="Tahoma" w:cs="Tahoma"/>
          <w:sz w:val="24"/>
          <w:szCs w:val="24"/>
        </w:rPr>
        <w:t>cheltuielilor de investiții (0,7</w:t>
      </w:r>
      <w:r w:rsidRPr="00F14666">
        <w:rPr>
          <w:rFonts w:ascii="Tahoma" w:hAnsi="Tahoma" w:cs="Tahoma"/>
          <w:sz w:val="24"/>
          <w:szCs w:val="24"/>
        </w:rPr>
        <w:t xml:space="preserve"> puncte procentuale din PIB).</w:t>
      </w:r>
    </w:p>
    <w:p w:rsidR="008343FE" w:rsidRPr="00F14666" w:rsidRDefault="00BE4BB6" w:rsidP="008343FE">
      <w:pPr>
        <w:spacing w:after="0" w:line="240" w:lineRule="auto"/>
        <w:jc w:val="center"/>
        <w:rPr>
          <w:rFonts w:ascii="Tahoma" w:hAnsi="Tahoma" w:cs="Tahoma"/>
          <w:b/>
          <w:color w:val="767171" w:themeColor="background2" w:themeShade="80"/>
          <w:sz w:val="24"/>
          <w:szCs w:val="24"/>
        </w:rPr>
      </w:pPr>
      <w:r w:rsidRPr="00F14666">
        <w:rPr>
          <w:rFonts w:ascii="Tahoma" w:hAnsi="Tahoma" w:cs="Tahoma"/>
          <w:b/>
          <w:noProof/>
          <w:color w:val="767171" w:themeColor="background2" w:themeShade="80"/>
          <w:sz w:val="24"/>
          <w:szCs w:val="24"/>
          <w:lang w:val="en-US"/>
        </w:rPr>
        <w:lastRenderedPageBreak/>
        <w:drawing>
          <wp:inline distT="0" distB="0" distL="0" distR="0" wp14:anchorId="599BF7E1">
            <wp:extent cx="6328625" cy="3035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9061" cy="3060002"/>
                    </a:xfrm>
                    <a:prstGeom prst="rect">
                      <a:avLst/>
                    </a:prstGeom>
                    <a:noFill/>
                  </pic:spPr>
                </pic:pic>
              </a:graphicData>
            </a:graphic>
          </wp:inline>
        </w:drawing>
      </w:r>
    </w:p>
    <w:p w:rsidR="008343FE" w:rsidRPr="00F14666" w:rsidRDefault="008343FE" w:rsidP="008343FE">
      <w:pPr>
        <w:pStyle w:val="ListParagraph"/>
        <w:spacing w:line="360" w:lineRule="auto"/>
        <w:jc w:val="both"/>
        <w:rPr>
          <w:rFonts w:ascii="Tahoma" w:hAnsi="Tahoma" w:cs="Tahoma"/>
          <w:color w:val="767171" w:themeColor="background2" w:themeShade="80"/>
          <w:sz w:val="24"/>
          <w:szCs w:val="24"/>
        </w:rPr>
      </w:pPr>
      <w:r w:rsidRPr="00F14666">
        <w:rPr>
          <w:rFonts w:ascii="Tahoma" w:hAnsi="Tahoma" w:cs="Tahoma"/>
          <w:color w:val="767171" w:themeColor="background2" w:themeShade="80"/>
          <w:sz w:val="24"/>
          <w:szCs w:val="24"/>
        </w:rPr>
        <w:t>Sursa: MFP, calcule proprii</w:t>
      </w:r>
    </w:p>
    <w:p w:rsidR="001D03AF" w:rsidRPr="00F14666" w:rsidRDefault="00B87BDE" w:rsidP="00744E04">
      <w:pPr>
        <w:spacing w:after="120" w:line="360" w:lineRule="auto"/>
        <w:jc w:val="center"/>
        <w:rPr>
          <w:rFonts w:ascii="Tahoma" w:hAnsi="Tahoma" w:cs="Tahoma"/>
          <w:sz w:val="24"/>
          <w:szCs w:val="24"/>
        </w:rPr>
      </w:pPr>
      <w:r w:rsidRPr="00F14666">
        <w:rPr>
          <w:rFonts w:ascii="Tahoma" w:hAnsi="Tahoma" w:cs="Tahoma"/>
          <w:b/>
          <w:color w:val="767171" w:themeColor="background2" w:themeShade="80"/>
          <w:sz w:val="24"/>
          <w:szCs w:val="24"/>
        </w:rPr>
        <w:t>Fig.</w:t>
      </w:r>
      <w:r w:rsidR="00703ACE" w:rsidRPr="00F14666">
        <w:rPr>
          <w:rFonts w:ascii="Tahoma" w:hAnsi="Tahoma" w:cs="Tahoma"/>
          <w:b/>
          <w:color w:val="767171" w:themeColor="background2" w:themeShade="80"/>
          <w:sz w:val="24"/>
          <w:szCs w:val="24"/>
        </w:rPr>
        <w:t>9</w:t>
      </w:r>
      <w:r w:rsidR="00D60BC0" w:rsidRPr="00F14666">
        <w:rPr>
          <w:rFonts w:ascii="Tahoma" w:hAnsi="Tahoma" w:cs="Tahoma"/>
          <w:b/>
          <w:color w:val="767171" w:themeColor="background2" w:themeShade="80"/>
          <w:sz w:val="24"/>
          <w:szCs w:val="24"/>
        </w:rPr>
        <w:t xml:space="preserve"> </w:t>
      </w:r>
      <w:r w:rsidRPr="00F14666">
        <w:rPr>
          <w:rFonts w:ascii="Tahoma" w:hAnsi="Tahoma" w:cs="Tahoma"/>
          <w:b/>
          <w:color w:val="767171" w:themeColor="background2" w:themeShade="80"/>
          <w:sz w:val="24"/>
          <w:szCs w:val="24"/>
        </w:rPr>
        <w:t>Structura cheltuielilor bugetare</w:t>
      </w:r>
    </w:p>
    <w:p w:rsidR="00CF1ED7" w:rsidRPr="00F14666" w:rsidRDefault="00CF1ED7" w:rsidP="000F1E3F">
      <w:pPr>
        <w:shd w:val="clear" w:color="auto" w:fill="DEEAF6" w:themeFill="accent1" w:themeFillTint="33"/>
        <w:spacing w:after="120" w:line="360" w:lineRule="auto"/>
        <w:jc w:val="both"/>
        <w:rPr>
          <w:rFonts w:ascii="Tahoma" w:hAnsi="Tahoma" w:cs="Tahoma"/>
          <w:sz w:val="24"/>
          <w:szCs w:val="24"/>
        </w:rPr>
      </w:pPr>
      <w:r w:rsidRPr="00F14666">
        <w:rPr>
          <w:rFonts w:ascii="Tahoma" w:hAnsi="Tahoma" w:cs="Tahoma"/>
          <w:sz w:val="24"/>
          <w:szCs w:val="24"/>
        </w:rPr>
        <w:t>Față de ținta stabilită prin ultima rectificare bugetară la 4,4% din PIB, principalele aspecte care au determinat depășirea nivelului deficitului bugetului general consolidat cu 0,2 puncte procentuale din PIB sunt:</w:t>
      </w:r>
    </w:p>
    <w:p w:rsidR="00CF1ED7" w:rsidRPr="00F14666" w:rsidRDefault="00CF1ED7" w:rsidP="00CF1ED7">
      <w:pPr>
        <w:pStyle w:val="ListParagraph"/>
        <w:numPr>
          <w:ilvl w:val="0"/>
          <w:numId w:val="3"/>
        </w:numPr>
        <w:spacing w:after="120" w:line="360" w:lineRule="auto"/>
        <w:jc w:val="both"/>
        <w:rPr>
          <w:rFonts w:ascii="Tahoma" w:hAnsi="Tahoma" w:cs="Tahoma"/>
          <w:sz w:val="24"/>
          <w:szCs w:val="24"/>
        </w:rPr>
      </w:pPr>
      <w:r w:rsidRPr="00F14666">
        <w:rPr>
          <w:rFonts w:ascii="Tahoma" w:hAnsi="Tahoma" w:cs="Tahoma"/>
          <w:sz w:val="24"/>
          <w:szCs w:val="24"/>
        </w:rPr>
        <w:t>nerealizarea unor încasări de 1,3 m</w:t>
      </w:r>
      <w:r w:rsidR="00D60BC0" w:rsidRPr="00F14666">
        <w:rPr>
          <w:rFonts w:ascii="Tahoma" w:hAnsi="Tahoma" w:cs="Tahoma"/>
          <w:sz w:val="24"/>
          <w:szCs w:val="24"/>
        </w:rPr>
        <w:t>ld</w:t>
      </w:r>
      <w:r w:rsidRPr="00F14666">
        <w:rPr>
          <w:rFonts w:ascii="Tahoma" w:hAnsi="Tahoma" w:cs="Tahoma"/>
          <w:sz w:val="24"/>
          <w:szCs w:val="24"/>
        </w:rPr>
        <w:t xml:space="preserve"> lei reprezentând dividende suplimentare de la societăți și companii naționale potrivit OUG nr. 114/2018, a căror plată ar fi afectat semnificativ capacitatea acestor companii de a realiza investiții.</w:t>
      </w:r>
    </w:p>
    <w:p w:rsidR="00CF1ED7" w:rsidRPr="00F14666" w:rsidRDefault="00CF1ED7" w:rsidP="00CF1ED7">
      <w:pPr>
        <w:pStyle w:val="ListParagraph"/>
        <w:numPr>
          <w:ilvl w:val="0"/>
          <w:numId w:val="3"/>
        </w:numPr>
        <w:spacing w:after="120" w:line="360" w:lineRule="auto"/>
        <w:jc w:val="both"/>
        <w:rPr>
          <w:rFonts w:ascii="Tahoma" w:hAnsi="Tahoma" w:cs="Tahoma"/>
          <w:sz w:val="24"/>
          <w:szCs w:val="24"/>
        </w:rPr>
      </w:pPr>
      <w:r w:rsidRPr="00F14666">
        <w:rPr>
          <w:rFonts w:ascii="Tahoma" w:hAnsi="Tahoma" w:cs="Tahoma"/>
          <w:sz w:val="24"/>
          <w:szCs w:val="24"/>
        </w:rPr>
        <w:t xml:space="preserve">plata din fondul de rezervă bugetară a sumei de </w:t>
      </w:r>
      <w:r w:rsidR="00D60BC0" w:rsidRPr="00F14666">
        <w:rPr>
          <w:rFonts w:ascii="Tahoma" w:hAnsi="Tahoma" w:cs="Tahoma"/>
          <w:sz w:val="24"/>
          <w:szCs w:val="24"/>
        </w:rPr>
        <w:t>0,</w:t>
      </w:r>
      <w:r w:rsidRPr="00F14666">
        <w:rPr>
          <w:rFonts w:ascii="Tahoma" w:hAnsi="Tahoma" w:cs="Tahoma"/>
          <w:sz w:val="24"/>
          <w:szCs w:val="24"/>
        </w:rPr>
        <w:t xml:space="preserve">91 </w:t>
      </w:r>
      <w:r w:rsidR="00D60BC0" w:rsidRPr="00F14666">
        <w:rPr>
          <w:rFonts w:ascii="Tahoma" w:hAnsi="Tahoma" w:cs="Tahoma"/>
          <w:sz w:val="24"/>
          <w:szCs w:val="24"/>
        </w:rPr>
        <w:t>mld</w:t>
      </w:r>
      <w:r w:rsidRPr="00F14666">
        <w:rPr>
          <w:rFonts w:ascii="Tahoma" w:hAnsi="Tahoma" w:cs="Tahoma"/>
          <w:sz w:val="24"/>
          <w:szCs w:val="24"/>
        </w:rPr>
        <w:t xml:space="preserve"> lei pentru stingerea obligațiilor financiare rezultate din hotărârea arbitrală </w:t>
      </w:r>
      <w:r w:rsidR="00F156D5" w:rsidRPr="00F14666">
        <w:rPr>
          <w:rFonts w:ascii="Tahoma" w:hAnsi="Tahoma" w:cs="Tahoma"/>
          <w:sz w:val="24"/>
          <w:szCs w:val="24"/>
        </w:rPr>
        <w:t>pronunțată</w:t>
      </w:r>
      <w:r w:rsidRPr="00F14666">
        <w:rPr>
          <w:rFonts w:ascii="Tahoma" w:hAnsi="Tahoma" w:cs="Tahoma"/>
          <w:sz w:val="24"/>
          <w:szCs w:val="24"/>
        </w:rPr>
        <w:t xml:space="preserve"> de Curtea de Arbitraj </w:t>
      </w:r>
      <w:r w:rsidR="00F156D5" w:rsidRPr="00F14666">
        <w:rPr>
          <w:rFonts w:ascii="Tahoma" w:hAnsi="Tahoma" w:cs="Tahoma"/>
          <w:sz w:val="24"/>
          <w:szCs w:val="24"/>
        </w:rPr>
        <w:t>Internațională</w:t>
      </w:r>
      <w:r w:rsidRPr="00F14666">
        <w:rPr>
          <w:rFonts w:ascii="Tahoma" w:hAnsi="Tahoma" w:cs="Tahoma"/>
          <w:sz w:val="24"/>
          <w:szCs w:val="24"/>
        </w:rPr>
        <w:t xml:space="preserve"> a Centrului </w:t>
      </w:r>
      <w:r w:rsidR="00F156D5" w:rsidRPr="00F14666">
        <w:rPr>
          <w:rFonts w:ascii="Tahoma" w:hAnsi="Tahoma" w:cs="Tahoma"/>
          <w:sz w:val="24"/>
          <w:szCs w:val="24"/>
        </w:rPr>
        <w:t>Internațional</w:t>
      </w:r>
      <w:r w:rsidRPr="00F14666">
        <w:rPr>
          <w:rFonts w:ascii="Tahoma" w:hAnsi="Tahoma" w:cs="Tahoma"/>
          <w:sz w:val="24"/>
          <w:szCs w:val="24"/>
        </w:rPr>
        <w:t xml:space="preserve"> pentru Reglementarea Diferendelor Relative la </w:t>
      </w:r>
      <w:r w:rsidR="00F156D5" w:rsidRPr="00F14666">
        <w:rPr>
          <w:rFonts w:ascii="Tahoma" w:hAnsi="Tahoma" w:cs="Tahoma"/>
          <w:sz w:val="24"/>
          <w:szCs w:val="24"/>
        </w:rPr>
        <w:t>Investiții</w:t>
      </w:r>
      <w:r w:rsidRPr="00F14666">
        <w:rPr>
          <w:rFonts w:ascii="Tahoma" w:hAnsi="Tahoma" w:cs="Tahoma"/>
          <w:sz w:val="24"/>
          <w:szCs w:val="24"/>
        </w:rPr>
        <w:t xml:space="preserve"> în Dosarul arbitral nr. ARB/05/20, și evitarea apariției unor blocaje financiare.</w:t>
      </w:r>
    </w:p>
    <w:p w:rsidR="00CF1ED7" w:rsidRPr="00F14666" w:rsidRDefault="00CF1ED7" w:rsidP="00512C99">
      <w:pPr>
        <w:pStyle w:val="ListParagraph"/>
        <w:numPr>
          <w:ilvl w:val="0"/>
          <w:numId w:val="3"/>
        </w:numPr>
        <w:spacing w:after="120" w:line="360" w:lineRule="auto"/>
        <w:jc w:val="both"/>
        <w:rPr>
          <w:rFonts w:ascii="Tahoma" w:hAnsi="Tahoma" w:cs="Tahoma"/>
          <w:sz w:val="24"/>
          <w:szCs w:val="24"/>
        </w:rPr>
      </w:pPr>
      <w:r w:rsidRPr="00F14666">
        <w:rPr>
          <w:rFonts w:ascii="Tahoma" w:hAnsi="Tahoma" w:cs="Tahoma"/>
          <w:sz w:val="24"/>
          <w:szCs w:val="24"/>
        </w:rPr>
        <w:t xml:space="preserve">accelerarea semnificativă în luna decembrie a plăților de facturi </w:t>
      </w:r>
      <w:r w:rsidR="00F156D5" w:rsidRPr="00F14666">
        <w:rPr>
          <w:rFonts w:ascii="Tahoma" w:hAnsi="Tahoma" w:cs="Tahoma"/>
          <w:sz w:val="24"/>
          <w:szCs w:val="24"/>
        </w:rPr>
        <w:t>înregistrate</w:t>
      </w:r>
      <w:r w:rsidRPr="00F14666">
        <w:rPr>
          <w:rFonts w:ascii="Tahoma" w:hAnsi="Tahoma" w:cs="Tahoma"/>
          <w:sz w:val="24"/>
          <w:szCs w:val="24"/>
        </w:rPr>
        <w:t xml:space="preserve"> de către unitățile administrativ-teritoriale reprezentând cheltuieli de capital și de funcționare, cu mult peste dinamica înregistrată în decembrie 2018 sau față de media înregistrată în perioada ianuarie</w:t>
      </w:r>
      <w:r w:rsidR="00D60BC0" w:rsidRPr="00F14666">
        <w:rPr>
          <w:rFonts w:ascii="Tahoma" w:hAnsi="Tahoma" w:cs="Tahoma"/>
          <w:sz w:val="24"/>
          <w:szCs w:val="24"/>
        </w:rPr>
        <w:t xml:space="preserve"> </w:t>
      </w:r>
      <w:r w:rsidRPr="00F14666">
        <w:rPr>
          <w:rFonts w:ascii="Tahoma" w:hAnsi="Tahoma" w:cs="Tahoma"/>
          <w:sz w:val="24"/>
          <w:szCs w:val="24"/>
        </w:rPr>
        <w:t>- noiembrie  2019. Astfel, datele operative indică un impact al plăților suplimentare realizate de către unitățile administrativ-teritoriale asupra deficitului bugetar de 1,3 mld lei în luna decembrie.</w:t>
      </w:r>
      <w:bookmarkStart w:id="0" w:name="_GoBack"/>
      <w:bookmarkEnd w:id="0"/>
    </w:p>
    <w:sectPr w:rsidR="00CF1ED7" w:rsidRPr="00F14666" w:rsidSect="00526E8B">
      <w:footerReference w:type="default" r:id="rId17"/>
      <w:pgSz w:w="12240" w:h="15840"/>
      <w:pgMar w:top="117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08" w:rsidRDefault="00C83108" w:rsidP="006704C5">
      <w:pPr>
        <w:spacing w:after="0" w:line="240" w:lineRule="auto"/>
      </w:pPr>
      <w:r>
        <w:separator/>
      </w:r>
    </w:p>
  </w:endnote>
  <w:endnote w:type="continuationSeparator" w:id="0">
    <w:p w:rsidR="00C83108" w:rsidRDefault="00C83108"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CA4A92">
      <w:trPr>
        <w:trHeight w:hRule="exact" w:val="115"/>
        <w:jc w:val="center"/>
      </w:trPr>
      <w:tc>
        <w:tcPr>
          <w:tcW w:w="4686" w:type="dxa"/>
          <w:shd w:val="clear" w:color="auto" w:fill="5B9BD5" w:themeFill="accent1"/>
          <w:tcMar>
            <w:top w:w="0" w:type="dxa"/>
            <w:bottom w:w="0" w:type="dxa"/>
          </w:tcMar>
        </w:tcPr>
        <w:p w:rsidR="00CA4A92" w:rsidRDefault="00CA4A9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CA4A92" w:rsidRDefault="00CA4A92">
          <w:pPr>
            <w:pStyle w:val="Header"/>
            <w:tabs>
              <w:tab w:val="clear" w:pos="4680"/>
              <w:tab w:val="clear" w:pos="9360"/>
            </w:tabs>
            <w:jc w:val="right"/>
            <w:rPr>
              <w:caps/>
              <w:sz w:val="18"/>
            </w:rPr>
          </w:pPr>
        </w:p>
      </w:tc>
    </w:tr>
    <w:tr w:rsidR="00CA4A92">
      <w:trPr>
        <w:jc w:val="center"/>
      </w:trPr>
      <w:sdt>
        <w:sdtPr>
          <w:rPr>
            <w:rFonts w:ascii="Tahoma" w:hAnsi="Tahoma" w:cs="Tahoma"/>
            <w:caps/>
            <w:color w:val="808080" w:themeColor="background1" w:themeShade="80"/>
            <w:sz w:val="18"/>
            <w:szCs w:val="18"/>
          </w:rPr>
          <w:alias w:val="Author"/>
          <w:tag w:val=""/>
          <w:id w:val="1534151868"/>
          <w:placeholder>
            <w:docPart w:val="D84F477074C5474DB153439CBFE5B8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CA4A92" w:rsidRPr="00CA4A92" w:rsidRDefault="00CA4A92" w:rsidP="00CA4A92">
              <w:pPr>
                <w:pStyle w:val="Footer"/>
                <w:tabs>
                  <w:tab w:val="clear" w:pos="4680"/>
                  <w:tab w:val="clear" w:pos="9360"/>
                </w:tabs>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lang w:val="en-US"/>
                </w:rPr>
                <w:t>Executie buget general consolidat | 2019</w:t>
              </w:r>
            </w:p>
          </w:tc>
        </w:sdtContent>
      </w:sdt>
      <w:tc>
        <w:tcPr>
          <w:tcW w:w="4674" w:type="dxa"/>
          <w:shd w:val="clear" w:color="auto" w:fill="auto"/>
          <w:vAlign w:val="center"/>
        </w:tcPr>
        <w:p w:rsidR="00CA4A92" w:rsidRPr="00CA4A92" w:rsidRDefault="001F36DD">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CA4A92"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F14666">
            <w:rPr>
              <w:rFonts w:ascii="Tahoma" w:hAnsi="Tahoma" w:cs="Tahoma"/>
              <w:caps/>
              <w:noProof/>
              <w:color w:val="808080" w:themeColor="background1" w:themeShade="80"/>
              <w:sz w:val="18"/>
              <w:szCs w:val="18"/>
            </w:rPr>
            <w:t>12</w:t>
          </w:r>
          <w:r w:rsidRPr="00CA4A92">
            <w:rPr>
              <w:rFonts w:ascii="Tahoma" w:hAnsi="Tahoma" w:cs="Tahoma"/>
              <w:caps/>
              <w:noProof/>
              <w:color w:val="808080" w:themeColor="background1" w:themeShade="80"/>
              <w:sz w:val="18"/>
              <w:szCs w:val="18"/>
            </w:rPr>
            <w:fldChar w:fldCharType="end"/>
          </w:r>
        </w:p>
      </w:tc>
    </w:tr>
  </w:tbl>
  <w:p w:rsidR="006704C5" w:rsidRDefault="00670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08" w:rsidRDefault="00C83108" w:rsidP="006704C5">
      <w:pPr>
        <w:spacing w:after="0" w:line="240" w:lineRule="auto"/>
      </w:pPr>
      <w:r>
        <w:separator/>
      </w:r>
    </w:p>
  </w:footnote>
  <w:footnote w:type="continuationSeparator" w:id="0">
    <w:p w:rsidR="00C83108" w:rsidRDefault="00C83108" w:rsidP="006704C5">
      <w:pPr>
        <w:spacing w:after="0" w:line="240" w:lineRule="auto"/>
      </w:pPr>
      <w:r>
        <w:continuationSeparator/>
      </w:r>
    </w:p>
  </w:footnote>
  <w:footnote w:id="1">
    <w:p w:rsidR="000A4203" w:rsidRDefault="000A4203">
      <w:pPr>
        <w:pStyle w:val="FootnoteText"/>
      </w:pPr>
      <w:r w:rsidRPr="00703ACE">
        <w:rPr>
          <w:rStyle w:val="FootnoteReference"/>
        </w:rPr>
        <w:footnoteRef/>
      </w:r>
      <w:r w:rsidRPr="00703ACE">
        <w:t xml:space="preserve"> </w:t>
      </w:r>
      <w:r w:rsidR="00C87154" w:rsidRPr="00C87154">
        <w:rPr>
          <w:color w:val="808080" w:themeColor="background1" w:themeShade="80"/>
        </w:rPr>
        <w:t>Diferențele</w:t>
      </w:r>
      <w:r w:rsidR="00FA11D3" w:rsidRPr="00C87154">
        <w:rPr>
          <w:color w:val="808080" w:themeColor="background1" w:themeShade="80"/>
        </w:rPr>
        <w:t xml:space="preserve"> între datele pe total </w:t>
      </w:r>
      <w:r w:rsidR="00C87154" w:rsidRPr="00C87154">
        <w:rPr>
          <w:color w:val="808080" w:themeColor="background1" w:themeShade="80"/>
        </w:rPr>
        <w:t>și</w:t>
      </w:r>
      <w:r w:rsidR="00FA11D3" w:rsidRPr="00C87154">
        <w:rPr>
          <w:color w:val="808080" w:themeColor="background1" w:themeShade="80"/>
        </w:rPr>
        <w:t xml:space="preserve"> suma com</w:t>
      </w:r>
      <w:r w:rsidR="00C87154" w:rsidRPr="00C87154">
        <w:rPr>
          <w:color w:val="808080" w:themeColor="background1" w:themeShade="80"/>
        </w:rPr>
        <w:t>ponentelor provin din rotunjiri</w:t>
      </w:r>
    </w:p>
  </w:footnote>
  <w:footnote w:id="2">
    <w:p w:rsidR="00F7443E" w:rsidRDefault="00F7443E">
      <w:pPr>
        <w:pStyle w:val="FootnoteText"/>
      </w:pPr>
      <w:r>
        <w:rPr>
          <w:rStyle w:val="FootnoteReference"/>
        </w:rPr>
        <w:footnoteRef/>
      </w:r>
      <w:r>
        <w:t xml:space="preserve"> </w:t>
      </w:r>
      <w:r w:rsidRPr="00F7443E">
        <w:rPr>
          <w:rFonts w:ascii="Tahoma" w:hAnsi="Tahoma" w:cs="Tahoma"/>
        </w:rPr>
        <w:t xml:space="preserve">În perioada noiembrie-decembrie restituirile din TVA au crescut cu 64% față de aceeași perioadă </w:t>
      </w:r>
      <w:r>
        <w:rPr>
          <w:rFonts w:ascii="Tahoma" w:hAnsi="Tahoma" w:cs="Tahoma"/>
        </w:rPr>
        <w:t>din</w:t>
      </w:r>
      <w:r w:rsidRPr="00F7443E">
        <w:rPr>
          <w:rFonts w:ascii="Tahoma" w:hAnsi="Tahoma" w:cs="Tahoma"/>
        </w:rPr>
        <w:t xml:space="preserve"> 2018.</w:t>
      </w:r>
    </w:p>
  </w:footnote>
  <w:footnote w:id="3">
    <w:p w:rsidR="009746E7" w:rsidRDefault="009746E7" w:rsidP="009746E7">
      <w:pPr>
        <w:pStyle w:val="FootnoteText"/>
        <w:jc w:val="both"/>
      </w:pPr>
      <w:r>
        <w:rPr>
          <w:rStyle w:val="FootnoteReference"/>
        </w:rPr>
        <w:footnoteRef/>
      </w:r>
      <w:r>
        <w:t xml:space="preserve"> </w:t>
      </w:r>
      <w:r w:rsidR="00B67E3C">
        <w:rPr>
          <w:rFonts w:ascii="Tahoma" w:hAnsi="Tahoma" w:cs="Tahoma"/>
        </w:rPr>
        <w:t>Reprezintă</w:t>
      </w:r>
      <w:r>
        <w:rPr>
          <w:rFonts w:ascii="Tahoma" w:hAnsi="Tahoma" w:cs="Tahoma"/>
        </w:rPr>
        <w:t xml:space="preserve"> s</w:t>
      </w:r>
      <w:r w:rsidRPr="009746E7">
        <w:rPr>
          <w:rFonts w:ascii="Tahoma" w:hAnsi="Tahoma" w:cs="Tahoma"/>
        </w:rPr>
        <w:t>ume rambursate de Uniunea Europeană aferente unor proiecte finanțate din bugetul național în perioada 2014-2018 și care au fost considerate eligi</w:t>
      </w:r>
      <w:r>
        <w:rPr>
          <w:rFonts w:ascii="Tahoma" w:hAnsi="Tahoma" w:cs="Tahoma"/>
        </w:rPr>
        <w:t>bile de către Comisia Europeană</w:t>
      </w:r>
      <w:r w:rsidRPr="009746E7">
        <w:rPr>
          <w:rFonts w:ascii="Tahoma" w:hAnsi="Tahoma" w:cs="Tahoma"/>
        </w:rPr>
        <w:t xml:space="preserve"> prin aplicarea mecanismului privind abordarea retrospectivă a cheltuielilor</w:t>
      </w:r>
      <w:r>
        <w:rPr>
          <w:rFonts w:ascii="Tahoma" w:hAnsi="Tahoma" w:cs="Tahom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17361"/>
    <w:rsid w:val="00032A05"/>
    <w:rsid w:val="00041D0D"/>
    <w:rsid w:val="00052351"/>
    <w:rsid w:val="0008264F"/>
    <w:rsid w:val="000916B5"/>
    <w:rsid w:val="000942F8"/>
    <w:rsid w:val="000951A2"/>
    <w:rsid w:val="000A25FA"/>
    <w:rsid w:val="000A4203"/>
    <w:rsid w:val="000A62E1"/>
    <w:rsid w:val="000C30DF"/>
    <w:rsid w:val="000C5478"/>
    <w:rsid w:val="000D653B"/>
    <w:rsid w:val="000F0A63"/>
    <w:rsid w:val="000F10A9"/>
    <w:rsid w:val="000F1E3F"/>
    <w:rsid w:val="000F62DB"/>
    <w:rsid w:val="00107875"/>
    <w:rsid w:val="00122DF5"/>
    <w:rsid w:val="00125818"/>
    <w:rsid w:val="00142FC5"/>
    <w:rsid w:val="00153418"/>
    <w:rsid w:val="00156388"/>
    <w:rsid w:val="001707DC"/>
    <w:rsid w:val="00175AD6"/>
    <w:rsid w:val="0018055E"/>
    <w:rsid w:val="001A2254"/>
    <w:rsid w:val="001B1E6F"/>
    <w:rsid w:val="001B60DA"/>
    <w:rsid w:val="001B70D2"/>
    <w:rsid w:val="001C52B3"/>
    <w:rsid w:val="001D03AF"/>
    <w:rsid w:val="001D06A7"/>
    <w:rsid w:val="001D44C7"/>
    <w:rsid w:val="001D6927"/>
    <w:rsid w:val="001E4EAE"/>
    <w:rsid w:val="001E6762"/>
    <w:rsid w:val="001F1E8A"/>
    <w:rsid w:val="001F36DD"/>
    <w:rsid w:val="00206989"/>
    <w:rsid w:val="00214764"/>
    <w:rsid w:val="002200B1"/>
    <w:rsid w:val="0022634D"/>
    <w:rsid w:val="00231AE5"/>
    <w:rsid w:val="00232E16"/>
    <w:rsid w:val="0023449A"/>
    <w:rsid w:val="00237850"/>
    <w:rsid w:val="00241CAA"/>
    <w:rsid w:val="00253FAE"/>
    <w:rsid w:val="00256949"/>
    <w:rsid w:val="00274B69"/>
    <w:rsid w:val="00274F7D"/>
    <w:rsid w:val="002915B1"/>
    <w:rsid w:val="0029776C"/>
    <w:rsid w:val="002A7F1B"/>
    <w:rsid w:val="002B0F64"/>
    <w:rsid w:val="002B3CC9"/>
    <w:rsid w:val="002D4811"/>
    <w:rsid w:val="002E7628"/>
    <w:rsid w:val="002F4790"/>
    <w:rsid w:val="00302BA3"/>
    <w:rsid w:val="00311431"/>
    <w:rsid w:val="00313230"/>
    <w:rsid w:val="00353276"/>
    <w:rsid w:val="003565E1"/>
    <w:rsid w:val="00356F6A"/>
    <w:rsid w:val="00360906"/>
    <w:rsid w:val="003773F4"/>
    <w:rsid w:val="00392457"/>
    <w:rsid w:val="00392E3D"/>
    <w:rsid w:val="0039710E"/>
    <w:rsid w:val="003B44A7"/>
    <w:rsid w:val="003F37F1"/>
    <w:rsid w:val="003F4337"/>
    <w:rsid w:val="003F4E84"/>
    <w:rsid w:val="00407EFE"/>
    <w:rsid w:val="00410E69"/>
    <w:rsid w:val="00414D79"/>
    <w:rsid w:val="00423CAE"/>
    <w:rsid w:val="004320A1"/>
    <w:rsid w:val="00434C82"/>
    <w:rsid w:val="00452ACC"/>
    <w:rsid w:val="0048352B"/>
    <w:rsid w:val="0048518E"/>
    <w:rsid w:val="004901E4"/>
    <w:rsid w:val="004A1E84"/>
    <w:rsid w:val="004B7A33"/>
    <w:rsid w:val="004C373B"/>
    <w:rsid w:val="004D6936"/>
    <w:rsid w:val="004E0E38"/>
    <w:rsid w:val="004E0EDE"/>
    <w:rsid w:val="004E126B"/>
    <w:rsid w:val="004E13C1"/>
    <w:rsid w:val="004E2A7B"/>
    <w:rsid w:val="004F2959"/>
    <w:rsid w:val="0050613A"/>
    <w:rsid w:val="00511104"/>
    <w:rsid w:val="005233AC"/>
    <w:rsid w:val="00526E8B"/>
    <w:rsid w:val="00527A5F"/>
    <w:rsid w:val="005316E8"/>
    <w:rsid w:val="005458DC"/>
    <w:rsid w:val="00547F5F"/>
    <w:rsid w:val="005623F6"/>
    <w:rsid w:val="005656AD"/>
    <w:rsid w:val="00565CBB"/>
    <w:rsid w:val="00571D08"/>
    <w:rsid w:val="00573953"/>
    <w:rsid w:val="00581AF2"/>
    <w:rsid w:val="005842BD"/>
    <w:rsid w:val="0058551F"/>
    <w:rsid w:val="005879EE"/>
    <w:rsid w:val="005922C0"/>
    <w:rsid w:val="005964AB"/>
    <w:rsid w:val="005A37CF"/>
    <w:rsid w:val="005A4448"/>
    <w:rsid w:val="005C1DD0"/>
    <w:rsid w:val="005E58C4"/>
    <w:rsid w:val="005F3004"/>
    <w:rsid w:val="00622EAC"/>
    <w:rsid w:val="00623A5E"/>
    <w:rsid w:val="006306E1"/>
    <w:rsid w:val="00667C1C"/>
    <w:rsid w:val="006704C5"/>
    <w:rsid w:val="00671CB8"/>
    <w:rsid w:val="00672393"/>
    <w:rsid w:val="006730CA"/>
    <w:rsid w:val="00682712"/>
    <w:rsid w:val="0069273C"/>
    <w:rsid w:val="006A012D"/>
    <w:rsid w:val="006A0560"/>
    <w:rsid w:val="006C0750"/>
    <w:rsid w:val="006C76FA"/>
    <w:rsid w:val="006E2931"/>
    <w:rsid w:val="006E734C"/>
    <w:rsid w:val="006F3F63"/>
    <w:rsid w:val="006F6BF2"/>
    <w:rsid w:val="00703ACE"/>
    <w:rsid w:val="007121BE"/>
    <w:rsid w:val="00721CAF"/>
    <w:rsid w:val="00734D13"/>
    <w:rsid w:val="0073781B"/>
    <w:rsid w:val="00740BCB"/>
    <w:rsid w:val="00740FA8"/>
    <w:rsid w:val="00741961"/>
    <w:rsid w:val="00742502"/>
    <w:rsid w:val="00742F88"/>
    <w:rsid w:val="00744377"/>
    <w:rsid w:val="00744E04"/>
    <w:rsid w:val="00746D5E"/>
    <w:rsid w:val="00751BF9"/>
    <w:rsid w:val="007536F7"/>
    <w:rsid w:val="00754831"/>
    <w:rsid w:val="00771F9D"/>
    <w:rsid w:val="00791FEB"/>
    <w:rsid w:val="007A0DDC"/>
    <w:rsid w:val="007A23F1"/>
    <w:rsid w:val="007B5527"/>
    <w:rsid w:val="007D76CC"/>
    <w:rsid w:val="007D782E"/>
    <w:rsid w:val="007E48B7"/>
    <w:rsid w:val="00807885"/>
    <w:rsid w:val="008154B0"/>
    <w:rsid w:val="0082174B"/>
    <w:rsid w:val="008343FE"/>
    <w:rsid w:val="00854A05"/>
    <w:rsid w:val="00883977"/>
    <w:rsid w:val="008841E4"/>
    <w:rsid w:val="00886DFA"/>
    <w:rsid w:val="00896686"/>
    <w:rsid w:val="008A2ED1"/>
    <w:rsid w:val="008B1FD4"/>
    <w:rsid w:val="008B44CC"/>
    <w:rsid w:val="008D4EFA"/>
    <w:rsid w:val="008D5E65"/>
    <w:rsid w:val="008E2FC1"/>
    <w:rsid w:val="008E39D6"/>
    <w:rsid w:val="008F735B"/>
    <w:rsid w:val="009008DE"/>
    <w:rsid w:val="0090243B"/>
    <w:rsid w:val="00910F23"/>
    <w:rsid w:val="00933946"/>
    <w:rsid w:val="00934745"/>
    <w:rsid w:val="00934D73"/>
    <w:rsid w:val="00936B61"/>
    <w:rsid w:val="00943365"/>
    <w:rsid w:val="00964866"/>
    <w:rsid w:val="00973651"/>
    <w:rsid w:val="009746E7"/>
    <w:rsid w:val="009775C3"/>
    <w:rsid w:val="009833EE"/>
    <w:rsid w:val="009A25BD"/>
    <w:rsid w:val="009A4D06"/>
    <w:rsid w:val="009A5F48"/>
    <w:rsid w:val="009C2214"/>
    <w:rsid w:val="009C3388"/>
    <w:rsid w:val="009E35E8"/>
    <w:rsid w:val="009E4B9C"/>
    <w:rsid w:val="00A02EF0"/>
    <w:rsid w:val="00A15402"/>
    <w:rsid w:val="00A44D76"/>
    <w:rsid w:val="00A45C4C"/>
    <w:rsid w:val="00A46A47"/>
    <w:rsid w:val="00A725CE"/>
    <w:rsid w:val="00A86B38"/>
    <w:rsid w:val="00AA6EE5"/>
    <w:rsid w:val="00AC33D2"/>
    <w:rsid w:val="00AC5273"/>
    <w:rsid w:val="00AD74AC"/>
    <w:rsid w:val="00AE54C4"/>
    <w:rsid w:val="00AF7AEA"/>
    <w:rsid w:val="00B03261"/>
    <w:rsid w:val="00B17760"/>
    <w:rsid w:val="00B25F58"/>
    <w:rsid w:val="00B42D64"/>
    <w:rsid w:val="00B44140"/>
    <w:rsid w:val="00B519D8"/>
    <w:rsid w:val="00B55707"/>
    <w:rsid w:val="00B67E3C"/>
    <w:rsid w:val="00B734CD"/>
    <w:rsid w:val="00B87BDE"/>
    <w:rsid w:val="00B921B0"/>
    <w:rsid w:val="00B92EB8"/>
    <w:rsid w:val="00BA152F"/>
    <w:rsid w:val="00BA17B1"/>
    <w:rsid w:val="00BA63CD"/>
    <w:rsid w:val="00BA66BF"/>
    <w:rsid w:val="00BA7231"/>
    <w:rsid w:val="00BB1057"/>
    <w:rsid w:val="00BE3856"/>
    <w:rsid w:val="00BE4BB6"/>
    <w:rsid w:val="00BE5D00"/>
    <w:rsid w:val="00BE7B9B"/>
    <w:rsid w:val="00BF0246"/>
    <w:rsid w:val="00C067B1"/>
    <w:rsid w:val="00C16D94"/>
    <w:rsid w:val="00C1718B"/>
    <w:rsid w:val="00C267BD"/>
    <w:rsid w:val="00C361BA"/>
    <w:rsid w:val="00C50AC2"/>
    <w:rsid w:val="00C51147"/>
    <w:rsid w:val="00C56676"/>
    <w:rsid w:val="00C624BA"/>
    <w:rsid w:val="00C7250A"/>
    <w:rsid w:val="00C83108"/>
    <w:rsid w:val="00C87154"/>
    <w:rsid w:val="00C8723C"/>
    <w:rsid w:val="00C877EE"/>
    <w:rsid w:val="00C90455"/>
    <w:rsid w:val="00C9325A"/>
    <w:rsid w:val="00CA3901"/>
    <w:rsid w:val="00CA4A92"/>
    <w:rsid w:val="00CA50CD"/>
    <w:rsid w:val="00CA79E1"/>
    <w:rsid w:val="00CB5101"/>
    <w:rsid w:val="00CB72EB"/>
    <w:rsid w:val="00CC03AF"/>
    <w:rsid w:val="00CC402A"/>
    <w:rsid w:val="00CC4F2C"/>
    <w:rsid w:val="00CD33CA"/>
    <w:rsid w:val="00CD578B"/>
    <w:rsid w:val="00CE2B39"/>
    <w:rsid w:val="00CE54D7"/>
    <w:rsid w:val="00CE6770"/>
    <w:rsid w:val="00CE721E"/>
    <w:rsid w:val="00CF1ED7"/>
    <w:rsid w:val="00D1037B"/>
    <w:rsid w:val="00D109D6"/>
    <w:rsid w:val="00D36298"/>
    <w:rsid w:val="00D374AE"/>
    <w:rsid w:val="00D506AC"/>
    <w:rsid w:val="00D60BC0"/>
    <w:rsid w:val="00D96816"/>
    <w:rsid w:val="00DA35E4"/>
    <w:rsid w:val="00DD3FBA"/>
    <w:rsid w:val="00DD5C43"/>
    <w:rsid w:val="00DE2EB1"/>
    <w:rsid w:val="00DE5601"/>
    <w:rsid w:val="00DF01F7"/>
    <w:rsid w:val="00DF6426"/>
    <w:rsid w:val="00DF707F"/>
    <w:rsid w:val="00E16164"/>
    <w:rsid w:val="00E25FC5"/>
    <w:rsid w:val="00E56254"/>
    <w:rsid w:val="00E74759"/>
    <w:rsid w:val="00E74A8C"/>
    <w:rsid w:val="00E75196"/>
    <w:rsid w:val="00E82CC6"/>
    <w:rsid w:val="00E87431"/>
    <w:rsid w:val="00E92C88"/>
    <w:rsid w:val="00EB0ECB"/>
    <w:rsid w:val="00EB7155"/>
    <w:rsid w:val="00EC3F79"/>
    <w:rsid w:val="00ED2E85"/>
    <w:rsid w:val="00ED3C31"/>
    <w:rsid w:val="00EE3559"/>
    <w:rsid w:val="00EF2503"/>
    <w:rsid w:val="00EF6134"/>
    <w:rsid w:val="00EF74C2"/>
    <w:rsid w:val="00F07738"/>
    <w:rsid w:val="00F14666"/>
    <w:rsid w:val="00F155D7"/>
    <w:rsid w:val="00F156D5"/>
    <w:rsid w:val="00F170F2"/>
    <w:rsid w:val="00F22F81"/>
    <w:rsid w:val="00F405DB"/>
    <w:rsid w:val="00F42E28"/>
    <w:rsid w:val="00F53291"/>
    <w:rsid w:val="00F7443E"/>
    <w:rsid w:val="00F859E9"/>
    <w:rsid w:val="00F94C90"/>
    <w:rsid w:val="00F972DC"/>
    <w:rsid w:val="00FA10B7"/>
    <w:rsid w:val="00FA11D3"/>
    <w:rsid w:val="00FB6A82"/>
    <w:rsid w:val="00FC0E54"/>
    <w:rsid w:val="00FD1E06"/>
    <w:rsid w:val="00FD1F6D"/>
    <w:rsid w:val="00FF15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E16A5"/>
  <w15:docId w15:val="{7BE34188-2FEB-4854-A2D3-0958BCB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basedOn w:val="Normal"/>
    <w:link w:val="FootnoteTextChar"/>
    <w:uiPriority w:val="99"/>
    <w:semiHidden/>
    <w:unhideWhenUsed/>
    <w:rsid w:val="00974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6E7"/>
    <w:rPr>
      <w:sz w:val="20"/>
      <w:szCs w:val="20"/>
      <w:lang w:val="ro-RO"/>
    </w:rPr>
  </w:style>
  <w:style w:type="character" w:styleId="FootnoteReference">
    <w:name w:val="footnote reference"/>
    <w:basedOn w:val="DefaultParagraphFont"/>
    <w:uiPriority w:val="99"/>
    <w:semiHidden/>
    <w:unhideWhenUsed/>
    <w:rsid w:val="00974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F477074C5474DB153439CBFE5B89B"/>
        <w:category>
          <w:name w:val="General"/>
          <w:gallery w:val="placeholder"/>
        </w:category>
        <w:types>
          <w:type w:val="bbPlcHdr"/>
        </w:types>
        <w:behaviors>
          <w:behavior w:val="content"/>
        </w:behaviors>
        <w:guid w:val="{436DC4DB-4B98-4828-A2DB-7CEFE3A6E5F7}"/>
      </w:docPartPr>
      <w:docPartBody>
        <w:p w:rsidR="00B20AF3" w:rsidRDefault="007D235C" w:rsidP="007D235C">
          <w:pPr>
            <w:pStyle w:val="D84F477074C5474DB153439CBFE5B8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D235C"/>
    <w:rsid w:val="00003060"/>
    <w:rsid w:val="00126D45"/>
    <w:rsid w:val="00266D62"/>
    <w:rsid w:val="0027247A"/>
    <w:rsid w:val="004E2B15"/>
    <w:rsid w:val="005D0CF2"/>
    <w:rsid w:val="00644648"/>
    <w:rsid w:val="006D26BC"/>
    <w:rsid w:val="006E4CB8"/>
    <w:rsid w:val="00757288"/>
    <w:rsid w:val="007C272E"/>
    <w:rsid w:val="007D235C"/>
    <w:rsid w:val="00824870"/>
    <w:rsid w:val="008B294D"/>
    <w:rsid w:val="009F6538"/>
    <w:rsid w:val="00B20AF3"/>
    <w:rsid w:val="00C81CF7"/>
    <w:rsid w:val="00D51E4B"/>
    <w:rsid w:val="00DE4240"/>
    <w:rsid w:val="00E1117C"/>
    <w:rsid w:val="00E37535"/>
    <w:rsid w:val="00E74945"/>
    <w:rsid w:val="00E935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3FAA469BF41AFB80B15BA8B3BC5C7">
    <w:name w:val="DC53FAA469BF41AFB80B15BA8B3BC5C7"/>
    <w:rsid w:val="007D235C"/>
  </w:style>
  <w:style w:type="paragraph" w:customStyle="1" w:styleId="A63BA8AA347747239C28BBD29DF049A6">
    <w:name w:val="A63BA8AA347747239C28BBD29DF049A6"/>
    <w:rsid w:val="007D235C"/>
  </w:style>
  <w:style w:type="paragraph" w:customStyle="1" w:styleId="EFE17D0A18134B018CED955263547CFF">
    <w:name w:val="EFE17D0A18134B018CED955263547CFF"/>
    <w:rsid w:val="007D235C"/>
  </w:style>
  <w:style w:type="paragraph" w:customStyle="1" w:styleId="9F4ED5013DF44E3199274DF65CB4D04D">
    <w:name w:val="9F4ED5013DF44E3199274DF65CB4D04D"/>
    <w:rsid w:val="007D235C"/>
  </w:style>
  <w:style w:type="paragraph" w:customStyle="1" w:styleId="AE61C2965EC946FA873DC7359A55B5A6">
    <w:name w:val="AE61C2965EC946FA873DC7359A55B5A6"/>
    <w:rsid w:val="007D235C"/>
  </w:style>
  <w:style w:type="character" w:styleId="PlaceholderText">
    <w:name w:val="Placeholder Text"/>
    <w:basedOn w:val="DefaultParagraphFont"/>
    <w:uiPriority w:val="99"/>
    <w:semiHidden/>
    <w:rsid w:val="007D235C"/>
    <w:rPr>
      <w:color w:val="808080"/>
    </w:rPr>
  </w:style>
  <w:style w:type="paragraph" w:customStyle="1" w:styleId="D84F477074C5474DB153439CBFE5B89B">
    <w:name w:val="D84F477074C5474DB153439CBFE5B89B"/>
    <w:rsid w:val="007D2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1BCF-C4F3-41A2-8CD6-986E3DA3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2808</Words>
  <Characters>16007</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Executie buget general consolidat | 2019</dc:creator>
  <cp:lastModifiedBy>IOANA-ALINA BURLA</cp:lastModifiedBy>
  <cp:revision>5</cp:revision>
  <cp:lastPrinted>2020-01-28T08:24:00Z</cp:lastPrinted>
  <dcterms:created xsi:type="dcterms:W3CDTF">2020-01-28T13:39:00Z</dcterms:created>
  <dcterms:modified xsi:type="dcterms:W3CDTF">2020-01-28T14:08:00Z</dcterms:modified>
</cp:coreProperties>
</file>