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CEA" w:rsidRPr="00B3348C" w:rsidRDefault="00DF06C5" w:rsidP="0022407E">
      <w:pPr>
        <w:rPr>
          <w:noProof/>
          <w:sz w:val="24"/>
          <w:szCs w:val="24"/>
          <w:lang w:val="ro-RO"/>
        </w:rPr>
      </w:pPr>
      <w:r w:rsidRPr="00B3348C">
        <w:rPr>
          <w:noProof/>
          <w:sz w:val="24"/>
          <w:szCs w:val="24"/>
          <w:lang w:val="ro-RO" w:eastAsia="ro-RO"/>
        </w:rPr>
        <mc:AlternateContent>
          <mc:Choice Requires="wps">
            <w:drawing>
              <wp:anchor distT="0" distB="0" distL="114300" distR="114300" simplePos="0" relativeHeight="251655680" behindDoc="0" locked="0" layoutInCell="1" allowOverlap="1">
                <wp:simplePos x="0" y="0"/>
                <wp:positionH relativeFrom="column">
                  <wp:posOffset>972185</wp:posOffset>
                </wp:positionH>
                <wp:positionV relativeFrom="paragraph">
                  <wp:posOffset>201930</wp:posOffset>
                </wp:positionV>
                <wp:extent cx="4295775" cy="49974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9974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723CEA" w:rsidRPr="008878BE" w:rsidRDefault="00723CEA" w:rsidP="0022407E">
                            <w:pPr>
                              <w:rPr>
                                <w:rFonts w:ascii="Arial" w:hAnsi="Arial" w:cs="Arial"/>
                                <w:b/>
                                <w:bCs/>
                                <w:sz w:val="32"/>
                                <w:szCs w:val="32"/>
                              </w:rPr>
                            </w:pPr>
                            <w:r w:rsidRPr="008878BE">
                              <w:rPr>
                                <w:rFonts w:ascii="Arial" w:hAnsi="Arial" w:cs="Arial"/>
                                <w:b/>
                                <w:bCs/>
                                <w:sz w:val="32"/>
                                <w:szCs w:val="32"/>
                              </w:rPr>
                              <w:t>MINISTERUL FINANŢELOR PUBLICE</w:t>
                            </w:r>
                          </w:p>
                          <w:p w:rsidR="00723CEA" w:rsidRPr="009F11FF" w:rsidRDefault="00723CEA" w:rsidP="0022407E">
                            <w:pPr>
                              <w:rPr>
                                <w:rFonts w:ascii="Franklin Gothic Medium" w:hAnsi="Franklin Gothic Medium" w:cs="Franklin Gothic Medium"/>
                                <w:b/>
                                <w:bCs/>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5pt;margin-top:15.9pt;width:338.25pt;height:3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" stroked="f" strokecolor="red">
                <v:textbox>
                  <w:txbxContent>
                    <w:p w:rsidR="00723CEA" w:rsidRPr="008878BE" w:rsidRDefault="00723CEA" w:rsidP="0022407E">
                      <w:pPr>
                        <w:rPr>
                          <w:rFonts w:ascii="Arial" w:hAnsi="Arial" w:cs="Arial"/>
                          <w:b/>
                          <w:bCs/>
                          <w:sz w:val="32"/>
                          <w:szCs w:val="32"/>
                        </w:rPr>
                      </w:pPr>
                      <w:r w:rsidRPr="008878BE">
                        <w:rPr>
                          <w:rFonts w:ascii="Arial" w:hAnsi="Arial" w:cs="Arial"/>
                          <w:b/>
                          <w:bCs/>
                          <w:sz w:val="32"/>
                          <w:szCs w:val="32"/>
                        </w:rPr>
                        <w:t>MINISTERUL FINANŢELOR PUBLICE</w:t>
                      </w:r>
                    </w:p>
                    <w:p w:rsidR="00723CEA" w:rsidRPr="009F11FF" w:rsidRDefault="00723CEA" w:rsidP="0022407E">
                      <w:pPr>
                        <w:rPr>
                          <w:rFonts w:ascii="Franklin Gothic Medium" w:hAnsi="Franklin Gothic Medium" w:cs="Franklin Gothic Medium"/>
                          <w:b/>
                          <w:bCs/>
                          <w:sz w:val="8"/>
                          <w:szCs w:val="8"/>
                        </w:rPr>
                      </w:pPr>
                    </w:p>
                  </w:txbxContent>
                </v:textbox>
              </v:shape>
            </w:pict>
          </mc:Fallback>
        </mc:AlternateContent>
      </w:r>
      <w:r w:rsidRPr="00B3348C">
        <w:rPr>
          <w:noProof/>
          <w:sz w:val="24"/>
          <w:szCs w:val="24"/>
          <w:lang w:val="ro-RO" w:eastAsia="ro-RO"/>
        </w:rPr>
        <w:drawing>
          <wp:inline distT="0" distB="0" distL="0" distR="0">
            <wp:extent cx="746760" cy="7467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rsidR="00F8620C" w:rsidRPr="00B3348C" w:rsidRDefault="00F8620C" w:rsidP="0022407E">
      <w:pPr>
        <w:rPr>
          <w:noProof/>
          <w:sz w:val="24"/>
          <w:szCs w:val="24"/>
          <w:lang w:val="ro-RO"/>
        </w:rPr>
      </w:pPr>
    </w:p>
    <w:p w:rsidR="00B32E03" w:rsidRPr="00B3348C" w:rsidRDefault="00B32E03" w:rsidP="0022407E">
      <w:pPr>
        <w:rPr>
          <w:noProof/>
          <w:sz w:val="24"/>
          <w:szCs w:val="24"/>
          <w:lang w:val="ro-RO"/>
        </w:rPr>
      </w:pPr>
    </w:p>
    <w:p w:rsidR="00B32E03" w:rsidRPr="00B3348C" w:rsidRDefault="00B32E03" w:rsidP="0022407E">
      <w:pPr>
        <w:rPr>
          <w:noProof/>
          <w:sz w:val="24"/>
          <w:szCs w:val="24"/>
          <w:lang w:val="ro-RO"/>
        </w:rPr>
      </w:pPr>
    </w:p>
    <w:p w:rsidR="00723CEA" w:rsidRPr="00497A0F" w:rsidRDefault="00723CEA" w:rsidP="00845E18">
      <w:pPr>
        <w:tabs>
          <w:tab w:val="left" w:pos="0"/>
        </w:tabs>
        <w:jc w:val="center"/>
        <w:rPr>
          <w:rFonts w:cs="Arial"/>
          <w:b/>
          <w:bCs/>
          <w:sz w:val="28"/>
          <w:szCs w:val="28"/>
          <w:lang w:val="ro-RO"/>
        </w:rPr>
      </w:pPr>
      <w:r w:rsidRPr="00497A0F">
        <w:rPr>
          <w:rFonts w:cs="Arial"/>
          <w:b/>
          <w:bCs/>
          <w:sz w:val="28"/>
          <w:szCs w:val="28"/>
          <w:lang w:val="ro-RO"/>
        </w:rPr>
        <w:t xml:space="preserve">Raport privind </w:t>
      </w:r>
      <w:r w:rsidR="0098174B" w:rsidRPr="00497A0F">
        <w:rPr>
          <w:rFonts w:cs="Arial"/>
          <w:b/>
          <w:bCs/>
          <w:sz w:val="28"/>
          <w:szCs w:val="28"/>
          <w:lang w:val="ro-RO"/>
        </w:rPr>
        <w:t>execuția</w:t>
      </w:r>
      <w:r w:rsidRPr="00497A0F">
        <w:rPr>
          <w:rFonts w:cs="Arial"/>
          <w:b/>
          <w:bCs/>
          <w:sz w:val="28"/>
          <w:szCs w:val="28"/>
          <w:lang w:val="ro-RO"/>
        </w:rPr>
        <w:t xml:space="preserve"> bugetară pe trimestrul </w:t>
      </w:r>
      <w:r w:rsidR="00E6638E" w:rsidRPr="00497A0F">
        <w:rPr>
          <w:rFonts w:cs="Arial"/>
          <w:b/>
          <w:bCs/>
          <w:sz w:val="28"/>
          <w:szCs w:val="28"/>
          <w:lang w:val="ro-RO"/>
        </w:rPr>
        <w:t>al I</w:t>
      </w:r>
      <w:r w:rsidRPr="00497A0F">
        <w:rPr>
          <w:rFonts w:cs="Arial"/>
          <w:b/>
          <w:bCs/>
          <w:sz w:val="28"/>
          <w:szCs w:val="28"/>
          <w:lang w:val="ro-RO"/>
        </w:rPr>
        <w:t>I</w:t>
      </w:r>
      <w:r w:rsidR="00E6638E" w:rsidRPr="00497A0F">
        <w:rPr>
          <w:rFonts w:cs="Arial"/>
          <w:b/>
          <w:bCs/>
          <w:sz w:val="28"/>
          <w:szCs w:val="28"/>
          <w:lang w:val="ro-RO"/>
        </w:rPr>
        <w:t>-lea</w:t>
      </w:r>
      <w:r w:rsidRPr="00497A0F">
        <w:rPr>
          <w:rFonts w:cs="Arial"/>
          <w:b/>
          <w:bCs/>
          <w:sz w:val="28"/>
          <w:szCs w:val="28"/>
          <w:lang w:val="ro-RO"/>
        </w:rPr>
        <w:t xml:space="preserve"> </w:t>
      </w:r>
    </w:p>
    <w:p w:rsidR="00723CEA" w:rsidRPr="00497A0F" w:rsidRDefault="00723CEA" w:rsidP="00845E18">
      <w:pPr>
        <w:tabs>
          <w:tab w:val="left" w:pos="0"/>
        </w:tabs>
        <w:jc w:val="center"/>
        <w:rPr>
          <w:rFonts w:cs="Arial"/>
          <w:b/>
          <w:bCs/>
          <w:sz w:val="28"/>
          <w:szCs w:val="28"/>
          <w:lang w:val="ro-RO"/>
        </w:rPr>
      </w:pPr>
      <w:r w:rsidRPr="00497A0F">
        <w:rPr>
          <w:rFonts w:cs="Arial"/>
          <w:b/>
          <w:bCs/>
          <w:sz w:val="28"/>
          <w:szCs w:val="28"/>
          <w:lang w:val="ro-RO"/>
        </w:rPr>
        <w:t xml:space="preserve">al anului </w:t>
      </w:r>
      <w:r w:rsidR="002277FA" w:rsidRPr="00497A0F">
        <w:rPr>
          <w:rFonts w:cs="Arial"/>
          <w:b/>
          <w:bCs/>
          <w:sz w:val="28"/>
          <w:szCs w:val="28"/>
          <w:lang w:val="ro-RO"/>
        </w:rPr>
        <w:t>2017</w:t>
      </w:r>
    </w:p>
    <w:p w:rsidR="00FC44BB" w:rsidRPr="00B3348C" w:rsidRDefault="00FC44BB" w:rsidP="00845E18">
      <w:pPr>
        <w:tabs>
          <w:tab w:val="left" w:pos="0"/>
        </w:tabs>
        <w:jc w:val="center"/>
        <w:rPr>
          <w:rFonts w:cs="Arial"/>
          <w:b/>
          <w:bCs/>
          <w:sz w:val="24"/>
          <w:szCs w:val="24"/>
          <w:lang w:val="ro-RO"/>
        </w:rPr>
      </w:pPr>
    </w:p>
    <w:p w:rsidR="00723CEA" w:rsidRPr="00B3348C" w:rsidRDefault="00CE0F32" w:rsidP="00845E18">
      <w:pPr>
        <w:spacing w:before="240"/>
        <w:ind w:firstLine="720"/>
        <w:jc w:val="both"/>
        <w:rPr>
          <w:rFonts w:cs="Arial"/>
          <w:b/>
          <w:bCs/>
          <w:sz w:val="24"/>
          <w:szCs w:val="24"/>
          <w:lang w:val="ro-RO"/>
        </w:rPr>
      </w:pPr>
      <w:r w:rsidRPr="00B3348C">
        <w:rPr>
          <w:rFonts w:cs="Arial"/>
          <w:b/>
          <w:bCs/>
          <w:sz w:val="24"/>
          <w:szCs w:val="24"/>
          <w:lang w:val="ro-RO"/>
        </w:rPr>
        <w:t xml:space="preserve">În </w:t>
      </w:r>
      <w:r w:rsidR="00D57F5E" w:rsidRPr="00B3348C">
        <w:rPr>
          <w:rFonts w:cs="Arial"/>
          <w:b/>
          <w:bCs/>
          <w:sz w:val="24"/>
          <w:szCs w:val="24"/>
          <w:lang w:val="ro-RO"/>
        </w:rPr>
        <w:t xml:space="preserve">trimestrul </w:t>
      </w:r>
      <w:r w:rsidRPr="00B3348C">
        <w:rPr>
          <w:rFonts w:cs="Arial"/>
          <w:b/>
          <w:bCs/>
          <w:sz w:val="24"/>
          <w:szCs w:val="24"/>
          <w:lang w:val="ro-RO"/>
        </w:rPr>
        <w:t xml:space="preserve">al </w:t>
      </w:r>
      <w:r w:rsidR="00864599">
        <w:rPr>
          <w:rFonts w:cs="Arial"/>
          <w:b/>
          <w:bCs/>
          <w:sz w:val="24"/>
          <w:szCs w:val="24"/>
          <w:lang w:val="ro-RO"/>
        </w:rPr>
        <w:t xml:space="preserve">II-lea al </w:t>
      </w:r>
      <w:r w:rsidR="00723CEA" w:rsidRPr="00B3348C">
        <w:rPr>
          <w:rFonts w:cs="Arial"/>
          <w:b/>
          <w:bCs/>
          <w:sz w:val="24"/>
          <w:szCs w:val="24"/>
          <w:lang w:val="ro-RO"/>
        </w:rPr>
        <w:t xml:space="preserve">anului </w:t>
      </w:r>
      <w:r w:rsidR="002277FA" w:rsidRPr="00B3348C">
        <w:rPr>
          <w:rFonts w:cs="Arial"/>
          <w:b/>
          <w:bCs/>
          <w:sz w:val="24"/>
          <w:szCs w:val="24"/>
          <w:lang w:val="ro-RO"/>
        </w:rPr>
        <w:t>2017</w:t>
      </w:r>
      <w:r w:rsidR="00864599">
        <w:rPr>
          <w:rFonts w:cs="Arial"/>
          <w:b/>
          <w:bCs/>
          <w:sz w:val="24"/>
          <w:szCs w:val="24"/>
          <w:lang w:val="ro-RO"/>
        </w:rPr>
        <w:t xml:space="preserve"> </w:t>
      </w:r>
      <w:r w:rsidR="003B0F77" w:rsidRPr="00B3348C">
        <w:rPr>
          <w:rFonts w:cs="Arial"/>
          <w:b/>
          <w:bCs/>
          <w:sz w:val="24"/>
          <w:szCs w:val="24"/>
          <w:lang w:val="ro-RO"/>
        </w:rPr>
        <w:t xml:space="preserve">bugetul general consolidat a înregistrat un </w:t>
      </w:r>
      <w:r w:rsidR="00864599">
        <w:rPr>
          <w:rFonts w:cs="Arial"/>
          <w:b/>
          <w:bCs/>
          <w:sz w:val="24"/>
          <w:szCs w:val="24"/>
          <w:lang w:val="ro-RO"/>
        </w:rPr>
        <w:t xml:space="preserve">deficit </w:t>
      </w:r>
      <w:r w:rsidR="003B0F77" w:rsidRPr="00B3348C">
        <w:rPr>
          <w:rFonts w:cs="Arial"/>
          <w:b/>
          <w:bCs/>
          <w:sz w:val="24"/>
          <w:szCs w:val="24"/>
          <w:lang w:val="ro-RO"/>
        </w:rPr>
        <w:t xml:space="preserve">în valoare de </w:t>
      </w:r>
      <w:r w:rsidR="00864599">
        <w:rPr>
          <w:rFonts w:cs="Arial"/>
          <w:b/>
          <w:bCs/>
          <w:sz w:val="24"/>
          <w:szCs w:val="24"/>
          <w:lang w:val="ro-RO"/>
        </w:rPr>
        <w:t>7.818,6</w:t>
      </w:r>
      <w:r w:rsidR="004225D7" w:rsidRPr="00B3348C">
        <w:rPr>
          <w:rFonts w:cs="Arial"/>
          <w:b/>
          <w:bCs/>
          <w:sz w:val="24"/>
          <w:szCs w:val="24"/>
          <w:lang w:val="ro-RO"/>
        </w:rPr>
        <w:t xml:space="preserve"> </w:t>
      </w:r>
      <w:r w:rsidR="003B0F77" w:rsidRPr="00B3348C">
        <w:rPr>
          <w:rFonts w:cs="Arial"/>
          <w:b/>
          <w:bCs/>
          <w:sz w:val="24"/>
          <w:szCs w:val="24"/>
          <w:lang w:val="ro-RO"/>
        </w:rPr>
        <w:t>mili</w:t>
      </w:r>
      <w:r w:rsidR="002C0D64" w:rsidRPr="00B3348C">
        <w:rPr>
          <w:rFonts w:cs="Arial"/>
          <w:b/>
          <w:bCs/>
          <w:sz w:val="24"/>
          <w:szCs w:val="24"/>
          <w:lang w:val="ro-RO"/>
        </w:rPr>
        <w:t>oane</w:t>
      </w:r>
      <w:r w:rsidR="003B0F77" w:rsidRPr="00B3348C">
        <w:rPr>
          <w:rFonts w:cs="Arial"/>
          <w:b/>
          <w:bCs/>
          <w:sz w:val="24"/>
          <w:szCs w:val="24"/>
          <w:lang w:val="ro-RO"/>
        </w:rPr>
        <w:t xml:space="preserve"> lei </w:t>
      </w:r>
      <w:r w:rsidR="00864599">
        <w:rPr>
          <w:rFonts w:cs="Arial"/>
          <w:b/>
          <w:bCs/>
          <w:sz w:val="24"/>
          <w:szCs w:val="24"/>
          <w:lang w:val="ro-RO"/>
        </w:rPr>
        <w:t>(0,96</w:t>
      </w:r>
      <w:r w:rsidR="0085590D" w:rsidRPr="00B3348C">
        <w:rPr>
          <w:rFonts w:cs="Arial"/>
          <w:b/>
          <w:bCs/>
          <w:sz w:val="24"/>
          <w:szCs w:val="24"/>
          <w:lang w:val="ro-RO"/>
        </w:rPr>
        <w:t>% din PIB)</w:t>
      </w:r>
      <w:r w:rsidR="003B0F77" w:rsidRPr="00B3348C">
        <w:rPr>
          <w:rFonts w:cs="Arial"/>
          <w:b/>
          <w:bCs/>
          <w:sz w:val="24"/>
          <w:szCs w:val="24"/>
          <w:lang w:val="ro-RO"/>
        </w:rPr>
        <w:t xml:space="preserve"> </w:t>
      </w:r>
      <w:r w:rsidR="00617926" w:rsidRPr="00B3348C">
        <w:rPr>
          <w:rFonts w:cs="Arial"/>
          <w:b/>
          <w:bCs/>
          <w:sz w:val="24"/>
          <w:szCs w:val="24"/>
          <w:lang w:val="ro-RO"/>
        </w:rPr>
        <w:t xml:space="preserve">cu încadrare în ținta de deficit stabilită pentru trimestrul </w:t>
      </w:r>
      <w:r w:rsidR="00864599">
        <w:rPr>
          <w:rFonts w:cs="Arial"/>
          <w:b/>
          <w:bCs/>
          <w:sz w:val="24"/>
          <w:szCs w:val="24"/>
          <w:lang w:val="ro-RO"/>
        </w:rPr>
        <w:t xml:space="preserve">al </w:t>
      </w:r>
      <w:r w:rsidR="00617926" w:rsidRPr="00B3348C">
        <w:rPr>
          <w:rFonts w:cs="Arial"/>
          <w:b/>
          <w:bCs/>
          <w:sz w:val="24"/>
          <w:szCs w:val="24"/>
          <w:lang w:val="ro-RO"/>
        </w:rPr>
        <w:t>I</w:t>
      </w:r>
      <w:r w:rsidR="00864599">
        <w:rPr>
          <w:rFonts w:cs="Arial"/>
          <w:b/>
          <w:bCs/>
          <w:sz w:val="24"/>
          <w:szCs w:val="24"/>
          <w:lang w:val="ro-RO"/>
        </w:rPr>
        <w:t>I-lea</w:t>
      </w:r>
      <w:r w:rsidR="00617926" w:rsidRPr="00B3348C">
        <w:rPr>
          <w:rFonts w:cs="Arial"/>
          <w:b/>
          <w:bCs/>
          <w:sz w:val="24"/>
          <w:szCs w:val="24"/>
          <w:lang w:val="ro-RO"/>
        </w:rPr>
        <w:t>.</w:t>
      </w:r>
    </w:p>
    <w:p w:rsidR="00723CEA" w:rsidRPr="00B3348C" w:rsidRDefault="00723CEA" w:rsidP="00FC44BB">
      <w:pPr>
        <w:numPr>
          <w:ilvl w:val="0"/>
          <w:numId w:val="8"/>
        </w:numPr>
        <w:tabs>
          <w:tab w:val="left" w:pos="1134"/>
        </w:tabs>
        <w:spacing w:before="240"/>
        <w:ind w:left="0" w:firstLine="851"/>
        <w:jc w:val="both"/>
        <w:rPr>
          <w:rFonts w:cs="Arial"/>
          <w:sz w:val="24"/>
          <w:szCs w:val="24"/>
          <w:lang w:val="ro-RO"/>
        </w:rPr>
      </w:pPr>
      <w:r w:rsidRPr="00B3348C">
        <w:rPr>
          <w:rFonts w:cs="Arial"/>
          <w:b/>
          <w:bCs/>
          <w:sz w:val="24"/>
          <w:szCs w:val="24"/>
          <w:lang w:val="ro-RO"/>
        </w:rPr>
        <w:t>Veniturile bugetului general consolidat,</w:t>
      </w:r>
      <w:r w:rsidRPr="00B3348C">
        <w:rPr>
          <w:rFonts w:cs="Arial"/>
          <w:sz w:val="24"/>
          <w:szCs w:val="24"/>
          <w:lang w:val="ro-RO"/>
        </w:rPr>
        <w:t xml:space="preserve"> </w:t>
      </w:r>
      <w:r w:rsidR="00864599">
        <w:rPr>
          <w:rFonts w:cs="Arial"/>
          <w:sz w:val="24"/>
          <w:szCs w:val="24"/>
          <w:lang w:val="ro-RO"/>
        </w:rPr>
        <w:t xml:space="preserve">au însumat 57.690,2 </w:t>
      </w:r>
      <w:r w:rsidR="0046711F" w:rsidRPr="00B3348C">
        <w:rPr>
          <w:rFonts w:cs="Arial"/>
          <w:sz w:val="24"/>
          <w:szCs w:val="24"/>
          <w:lang w:val="ro-RO"/>
        </w:rPr>
        <w:t>milioane lei</w:t>
      </w:r>
      <w:r w:rsidR="00864599">
        <w:rPr>
          <w:rFonts w:cs="Arial"/>
          <w:sz w:val="24"/>
          <w:szCs w:val="24"/>
          <w:lang w:val="ro-RO"/>
        </w:rPr>
        <w:t>(7,1% din PIB)</w:t>
      </w:r>
      <w:r w:rsidRPr="00B3348C">
        <w:rPr>
          <w:rFonts w:cs="Arial"/>
          <w:sz w:val="24"/>
          <w:szCs w:val="24"/>
          <w:lang w:val="ro-RO"/>
        </w:rPr>
        <w:t xml:space="preserve">, cu </w:t>
      </w:r>
      <w:r w:rsidR="00864599" w:rsidRPr="00864599">
        <w:rPr>
          <w:rFonts w:cs="Arial"/>
          <w:sz w:val="24"/>
          <w:szCs w:val="24"/>
          <w:lang w:val="ro-RO"/>
        </w:rPr>
        <w:t>9,2</w:t>
      </w:r>
      <w:r w:rsidRPr="00864599">
        <w:rPr>
          <w:rFonts w:cs="Arial"/>
          <w:sz w:val="24"/>
          <w:szCs w:val="24"/>
          <w:lang w:val="ro-RO"/>
        </w:rPr>
        <w:t>%</w:t>
      </w:r>
      <w:r w:rsidRPr="00B3348C">
        <w:rPr>
          <w:rFonts w:cs="Arial"/>
          <w:sz w:val="24"/>
          <w:szCs w:val="24"/>
          <w:lang w:val="ro-RO"/>
        </w:rPr>
        <w:t xml:space="preserve"> </w:t>
      </w:r>
      <w:r w:rsidR="00864599">
        <w:rPr>
          <w:rFonts w:cs="Arial"/>
          <w:sz w:val="24"/>
          <w:szCs w:val="24"/>
          <w:lang w:val="ro-RO"/>
        </w:rPr>
        <w:t xml:space="preserve">mai mari </w:t>
      </w:r>
      <w:r w:rsidRPr="00B3348C">
        <w:rPr>
          <w:rFonts w:cs="Arial"/>
          <w:sz w:val="24"/>
          <w:szCs w:val="24"/>
          <w:lang w:val="ro-RO"/>
        </w:rPr>
        <w:t xml:space="preserve">comparativ cu </w:t>
      </w:r>
      <w:r w:rsidR="00617926" w:rsidRPr="00B3348C">
        <w:rPr>
          <w:rFonts w:cs="Arial"/>
          <w:sz w:val="24"/>
          <w:szCs w:val="24"/>
          <w:lang w:val="ro-RO"/>
        </w:rPr>
        <w:t>aceeași</w:t>
      </w:r>
      <w:r w:rsidRPr="00B3348C">
        <w:rPr>
          <w:rFonts w:cs="Arial"/>
          <w:sz w:val="24"/>
          <w:szCs w:val="24"/>
          <w:lang w:val="ro-RO"/>
        </w:rPr>
        <w:t xml:space="preserve"> perioadă a anului precedent</w:t>
      </w:r>
      <w:r w:rsidR="005E32EA" w:rsidRPr="00B3348C">
        <w:rPr>
          <w:rFonts w:cs="Arial"/>
          <w:sz w:val="24"/>
          <w:szCs w:val="24"/>
          <w:lang w:val="ro-RO"/>
        </w:rPr>
        <w:t xml:space="preserve">, gradul de realizare a programului </w:t>
      </w:r>
      <w:r w:rsidR="0012381D" w:rsidRPr="00B3348C">
        <w:rPr>
          <w:rFonts w:cs="Arial"/>
          <w:sz w:val="24"/>
          <w:szCs w:val="24"/>
          <w:lang w:val="ro-RO"/>
        </w:rPr>
        <w:t>trimestrial</w:t>
      </w:r>
      <w:r w:rsidR="005E32EA" w:rsidRPr="00B3348C">
        <w:rPr>
          <w:rFonts w:cs="Arial"/>
          <w:sz w:val="24"/>
          <w:szCs w:val="24"/>
          <w:lang w:val="ro-RO"/>
        </w:rPr>
        <w:t xml:space="preserve"> fiind de </w:t>
      </w:r>
      <w:r w:rsidR="00864599">
        <w:rPr>
          <w:rFonts w:cs="Arial"/>
          <w:sz w:val="24"/>
          <w:szCs w:val="24"/>
          <w:lang w:val="ro-RO"/>
        </w:rPr>
        <w:t>96,3</w:t>
      </w:r>
      <w:r w:rsidR="005E32EA" w:rsidRPr="00B3348C">
        <w:rPr>
          <w:rFonts w:cs="Arial"/>
          <w:sz w:val="24"/>
          <w:szCs w:val="24"/>
          <w:lang w:val="ro-RO"/>
        </w:rPr>
        <w:t>%</w:t>
      </w:r>
      <w:r w:rsidR="007C68E7" w:rsidRPr="00B3348C">
        <w:rPr>
          <w:rFonts w:cs="Arial"/>
          <w:sz w:val="24"/>
          <w:szCs w:val="24"/>
          <w:lang w:val="ro-RO"/>
        </w:rPr>
        <w:t>.</w:t>
      </w:r>
      <w:r w:rsidRPr="00B3348C">
        <w:rPr>
          <w:rFonts w:cs="Arial"/>
          <w:b/>
          <w:bCs/>
          <w:sz w:val="24"/>
          <w:szCs w:val="24"/>
          <w:lang w:val="ro-RO"/>
        </w:rPr>
        <w:t xml:space="preserve"> </w:t>
      </w:r>
    </w:p>
    <w:p w:rsidR="00E15CD1" w:rsidRDefault="00723CEA" w:rsidP="0048352F">
      <w:pPr>
        <w:pStyle w:val="NormalWeb"/>
        <w:shd w:val="clear" w:color="auto" w:fill="FFFFFF"/>
        <w:spacing w:line="276" w:lineRule="auto"/>
        <w:ind w:right="-57"/>
        <w:rPr>
          <w:rFonts w:ascii="Calibri" w:hAnsi="Calibri"/>
          <w:lang w:val="ro-RO"/>
        </w:rPr>
      </w:pPr>
      <w:r w:rsidRPr="00B3348C">
        <w:rPr>
          <w:rFonts w:ascii="Calibri" w:hAnsi="Calibri"/>
          <w:b/>
          <w:bCs/>
          <w:lang w:val="ro-RO"/>
        </w:rPr>
        <w:t xml:space="preserve"> Veniturile încasate</w:t>
      </w:r>
      <w:r w:rsidRPr="00B3348C">
        <w:rPr>
          <w:rFonts w:ascii="Calibri" w:hAnsi="Calibri"/>
          <w:lang w:val="ro-RO"/>
        </w:rPr>
        <w:t xml:space="preserve"> (Anexa nr. 2) </w:t>
      </w:r>
      <w:r w:rsidRPr="00B3348C">
        <w:rPr>
          <w:rFonts w:ascii="Calibri" w:hAnsi="Calibri"/>
          <w:b/>
          <w:bCs/>
          <w:lang w:val="ro-RO"/>
        </w:rPr>
        <w:t>din economia internă</w:t>
      </w:r>
      <w:r w:rsidRPr="00B3348C">
        <w:rPr>
          <w:rFonts w:ascii="Calibri" w:hAnsi="Calibri"/>
          <w:lang w:val="ro-RO"/>
        </w:rPr>
        <w:t xml:space="preserve"> (fără fonduri de la Uniunea Europeană) au fost în sumă de </w:t>
      </w:r>
      <w:r w:rsidR="0048352F" w:rsidRPr="00ED1206">
        <w:rPr>
          <w:rFonts w:ascii="Calibri" w:hAnsi="Calibri"/>
          <w:bCs/>
        </w:rPr>
        <w:t xml:space="preserve">54.768,3 </w:t>
      </w:r>
      <w:r w:rsidR="00D41777" w:rsidRPr="00ED1206">
        <w:rPr>
          <w:rFonts w:ascii="Calibri" w:hAnsi="Calibri"/>
          <w:bCs/>
          <w:lang w:val="ro-RO"/>
        </w:rPr>
        <w:t>milioane</w:t>
      </w:r>
      <w:r w:rsidRPr="00ED1206">
        <w:rPr>
          <w:rFonts w:ascii="Calibri" w:hAnsi="Calibri"/>
          <w:bCs/>
          <w:lang w:val="ro-RO"/>
        </w:rPr>
        <w:t xml:space="preserve"> lei</w:t>
      </w:r>
      <w:r w:rsidR="0048352F" w:rsidRPr="00ED1206">
        <w:rPr>
          <w:rFonts w:ascii="Calibri" w:hAnsi="Calibri"/>
          <w:bCs/>
          <w:lang w:val="ro-RO"/>
        </w:rPr>
        <w:t>(6,7% din PIB)</w:t>
      </w:r>
      <w:r w:rsidRPr="00ED1206">
        <w:rPr>
          <w:rFonts w:ascii="Calibri" w:hAnsi="Calibri"/>
          <w:bCs/>
          <w:lang w:val="ro-RO"/>
        </w:rPr>
        <w:t xml:space="preserve">, </w:t>
      </w:r>
      <w:r w:rsidR="0048352F" w:rsidRPr="00ED1206">
        <w:rPr>
          <w:rFonts w:ascii="Calibri" w:hAnsi="Calibri"/>
          <w:bCs/>
          <w:lang w:val="ro-RO"/>
        </w:rPr>
        <w:t xml:space="preserve">cu 5,1 mai mari comparativ cu aceeași perioadă a anului precedent </w:t>
      </w:r>
      <w:r w:rsidR="0048352F" w:rsidRPr="00ED1206">
        <w:rPr>
          <w:rFonts w:ascii="Calibri" w:hAnsi="Calibri"/>
          <w:lang w:val="ro-RO"/>
        </w:rPr>
        <w:t>gradul de realizare a programului trimestrial fiind de 99,0%.</w:t>
      </w:r>
      <w:r w:rsidR="0048352F" w:rsidRPr="0048352F">
        <w:rPr>
          <w:rFonts w:ascii="Calibri" w:hAnsi="Calibri"/>
          <w:lang w:val="ro-RO"/>
        </w:rPr>
        <w:t xml:space="preserve"> </w:t>
      </w:r>
    </w:p>
    <w:p w:rsidR="00E15CD1" w:rsidRDefault="00DF06C5" w:rsidP="00E15CD1">
      <w:pPr>
        <w:pStyle w:val="NormalWeb"/>
        <w:shd w:val="clear" w:color="auto" w:fill="FFFFFF"/>
        <w:spacing w:line="276" w:lineRule="auto"/>
        <w:ind w:right="-57" w:firstLine="0"/>
        <w:rPr>
          <w:rFonts w:ascii="Calibri" w:hAnsi="Calibri"/>
          <w:lang w:val="ro-RO"/>
        </w:rPr>
      </w:pPr>
      <w:r>
        <w:rPr>
          <w:rFonts w:ascii="Calibri" w:hAnsi="Calibri"/>
          <w:noProof/>
          <w:lang w:val="ro-RO" w:eastAsia="ro-RO"/>
        </w:rPr>
        <w:drawing>
          <wp:inline distT="0" distB="0" distL="0" distR="0">
            <wp:extent cx="5994400" cy="275590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0" cy="2755900"/>
                    </a:xfrm>
                    <a:prstGeom prst="rect">
                      <a:avLst/>
                    </a:prstGeom>
                    <a:noFill/>
                  </pic:spPr>
                </pic:pic>
              </a:graphicData>
            </a:graphic>
          </wp:inline>
        </w:drawing>
      </w:r>
    </w:p>
    <w:p w:rsidR="00C9349E" w:rsidRPr="00B3348C" w:rsidRDefault="00723CEA" w:rsidP="002D63D4">
      <w:pPr>
        <w:pStyle w:val="NormalWeb"/>
        <w:shd w:val="clear" w:color="auto" w:fill="FFFFFF"/>
        <w:tabs>
          <w:tab w:val="left" w:pos="142"/>
        </w:tabs>
        <w:spacing w:before="0" w:beforeAutospacing="0" w:after="0" w:afterAutospacing="0" w:line="360" w:lineRule="auto"/>
        <w:ind w:right="-57" w:firstLine="567"/>
        <w:rPr>
          <w:rFonts w:ascii="Calibri" w:hAnsi="Calibri"/>
          <w:lang w:val="ro-RO"/>
        </w:rPr>
      </w:pPr>
      <w:r w:rsidRPr="00B3348C">
        <w:rPr>
          <w:rFonts w:ascii="Calibri" w:hAnsi="Calibri"/>
          <w:lang w:val="ro-RO"/>
        </w:rPr>
        <w:lastRenderedPageBreak/>
        <w:t xml:space="preserve"> </w:t>
      </w:r>
      <w:r w:rsidR="004E2438" w:rsidRPr="004E2438">
        <w:rPr>
          <w:rFonts w:ascii="Calibri" w:hAnsi="Calibri"/>
          <w:b/>
          <w:bCs/>
          <w:lang w:val="ro-RO"/>
        </w:rPr>
        <w:t>Veniturile fiscale</w:t>
      </w:r>
      <w:r w:rsidR="004E2438" w:rsidRPr="004E2438">
        <w:rPr>
          <w:rFonts w:ascii="Calibri" w:hAnsi="Calibri"/>
          <w:lang w:val="ro-RO"/>
        </w:rPr>
        <w:t xml:space="preserve"> ale bugetului general consolidat s-au realizat în proporție de 94,6% şi au reprezentat 3,9% din PIB</w:t>
      </w:r>
      <w:r w:rsidR="004E2438">
        <w:rPr>
          <w:rFonts w:ascii="Calibri" w:hAnsi="Calibri"/>
          <w:lang w:val="ro-RO"/>
        </w:rPr>
        <w:t>.</w:t>
      </w:r>
      <w:r w:rsidR="001F7CA1">
        <w:rPr>
          <w:rFonts w:ascii="Calibri" w:hAnsi="Calibri"/>
          <w:lang w:val="ro-RO"/>
        </w:rPr>
        <w:t xml:space="preserve"> </w:t>
      </w:r>
      <w:r w:rsidR="004225D7" w:rsidRPr="00B3348C">
        <w:rPr>
          <w:rFonts w:ascii="Calibri" w:hAnsi="Calibri"/>
          <w:color w:val="auto"/>
          <w:lang w:val="ro-RO"/>
        </w:rPr>
        <w:t>Comparativ cu anul anterior veniturile</w:t>
      </w:r>
      <w:r w:rsidR="004225D7" w:rsidRPr="00B3348C">
        <w:rPr>
          <w:rFonts w:ascii="Calibri" w:hAnsi="Calibri"/>
          <w:lang w:val="ro-RO"/>
        </w:rPr>
        <w:t xml:space="preserve"> fiscale </w:t>
      </w:r>
      <w:r w:rsidR="00E15CD1">
        <w:rPr>
          <w:rFonts w:ascii="Calibri" w:hAnsi="Calibri"/>
          <w:lang w:val="ro-RO"/>
        </w:rPr>
        <w:t>s-</w:t>
      </w:r>
      <w:r w:rsidR="004225D7" w:rsidRPr="00B3348C">
        <w:rPr>
          <w:rFonts w:ascii="Calibri" w:hAnsi="Calibri"/>
          <w:lang w:val="ro-RO"/>
        </w:rPr>
        <w:t xml:space="preserve">au </w:t>
      </w:r>
      <w:r w:rsidR="00E15CD1">
        <w:rPr>
          <w:rFonts w:ascii="Calibri" w:hAnsi="Calibri"/>
          <w:lang w:val="ro-RO"/>
        </w:rPr>
        <w:t>redus c</w:t>
      </w:r>
      <w:r w:rsidR="004225D7" w:rsidRPr="00B3348C">
        <w:rPr>
          <w:rFonts w:ascii="Calibri" w:hAnsi="Calibri"/>
          <w:lang w:val="ro-RO"/>
        </w:rPr>
        <w:t xml:space="preserve">u </w:t>
      </w:r>
      <w:r w:rsidR="00E15CD1">
        <w:rPr>
          <w:rFonts w:ascii="Calibri" w:hAnsi="Calibri"/>
          <w:lang w:val="ro-RO"/>
        </w:rPr>
        <w:t>3,2</w:t>
      </w:r>
      <w:r w:rsidR="004225D7" w:rsidRPr="00B3348C">
        <w:rPr>
          <w:rFonts w:ascii="Calibri" w:hAnsi="Calibri"/>
          <w:lang w:val="ro-RO"/>
        </w:rPr>
        <w:t>%</w:t>
      </w:r>
      <w:r w:rsidR="00EC0776" w:rsidRPr="00B3348C">
        <w:rPr>
          <w:rFonts w:ascii="Calibri" w:hAnsi="Calibri"/>
          <w:lang w:val="ro-RO"/>
        </w:rPr>
        <w:t>,</w:t>
      </w:r>
      <w:r w:rsidR="004225D7" w:rsidRPr="00B3348C">
        <w:rPr>
          <w:rFonts w:ascii="Calibri" w:hAnsi="Calibri"/>
          <w:lang w:val="ro-RO"/>
        </w:rPr>
        <w:t xml:space="preserve"> iar ca pondere în PIB sau redus cu </w:t>
      </w:r>
      <w:r w:rsidR="00C9349E" w:rsidRPr="00B3348C">
        <w:rPr>
          <w:rFonts w:ascii="Calibri" w:hAnsi="Calibri"/>
          <w:lang w:val="ro-RO"/>
        </w:rPr>
        <w:t>0,</w:t>
      </w:r>
      <w:r w:rsidR="00E15CD1">
        <w:rPr>
          <w:rFonts w:ascii="Calibri" w:hAnsi="Calibri"/>
          <w:lang w:val="ro-RO"/>
        </w:rPr>
        <w:t>4</w:t>
      </w:r>
      <w:r w:rsidR="00C9349E" w:rsidRPr="00B3348C">
        <w:rPr>
          <w:rFonts w:ascii="Calibri" w:hAnsi="Calibri"/>
          <w:lang w:val="ro-RO"/>
        </w:rPr>
        <w:t xml:space="preserve"> puncte procentuale de la 4,</w:t>
      </w:r>
      <w:r w:rsidR="00E15CD1">
        <w:rPr>
          <w:rFonts w:ascii="Calibri" w:hAnsi="Calibri"/>
          <w:lang w:val="ro-RO"/>
        </w:rPr>
        <w:t xml:space="preserve">3% în </w:t>
      </w:r>
      <w:r w:rsidR="00C9349E" w:rsidRPr="00B3348C">
        <w:rPr>
          <w:rFonts w:ascii="Calibri" w:hAnsi="Calibri"/>
          <w:lang w:val="ro-RO"/>
        </w:rPr>
        <w:t xml:space="preserve">trimestru al </w:t>
      </w:r>
      <w:r w:rsidR="00E15CD1">
        <w:rPr>
          <w:rFonts w:ascii="Calibri" w:hAnsi="Calibri"/>
          <w:lang w:val="ro-RO"/>
        </w:rPr>
        <w:t xml:space="preserve">II-lea al </w:t>
      </w:r>
      <w:r w:rsidR="00C9349E" w:rsidRPr="00B3348C">
        <w:rPr>
          <w:rFonts w:ascii="Calibri" w:hAnsi="Calibri"/>
          <w:lang w:val="ro-RO"/>
        </w:rPr>
        <w:t xml:space="preserve">anului 2016 la </w:t>
      </w:r>
      <w:r w:rsidR="00E15CD1">
        <w:rPr>
          <w:rFonts w:ascii="Calibri" w:hAnsi="Calibri"/>
          <w:lang w:val="ro-RO"/>
        </w:rPr>
        <w:t xml:space="preserve">3,9% în trimestrul II </w:t>
      </w:r>
      <w:r w:rsidR="00C9349E" w:rsidRPr="00B3348C">
        <w:rPr>
          <w:rFonts w:ascii="Calibri" w:hAnsi="Calibri"/>
          <w:lang w:val="ro-RO"/>
        </w:rPr>
        <w:t>2017.</w:t>
      </w:r>
      <w:bookmarkStart w:id="0" w:name="_GoBack"/>
      <w:bookmarkEnd w:id="0"/>
    </w:p>
    <w:p w:rsidR="00C9349E" w:rsidRPr="00B3348C" w:rsidRDefault="00DF06C5" w:rsidP="00E15CD1">
      <w:pPr>
        <w:pStyle w:val="NormalWeb"/>
        <w:shd w:val="clear" w:color="auto" w:fill="FFFFFF"/>
        <w:spacing w:after="0" w:line="276" w:lineRule="auto"/>
        <w:ind w:right="-57" w:firstLine="0"/>
        <w:rPr>
          <w:rFonts w:ascii="Calibri" w:hAnsi="Calibri"/>
          <w:color w:val="FF0000"/>
          <w:lang w:val="ro-RO"/>
        </w:rPr>
      </w:pPr>
      <w:r>
        <w:rPr>
          <w:rFonts w:ascii="Calibri" w:hAnsi="Calibri"/>
          <w:noProof/>
          <w:color w:val="FF0000"/>
          <w:lang w:val="ro-RO" w:eastAsia="ro-RO"/>
        </w:rPr>
        <w:drawing>
          <wp:inline distT="0" distB="0" distL="0" distR="0">
            <wp:extent cx="6035040" cy="2988310"/>
            <wp:effectExtent l="0" t="0" r="381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5040" cy="2988310"/>
                    </a:xfrm>
                    <a:prstGeom prst="rect">
                      <a:avLst/>
                    </a:prstGeom>
                    <a:noFill/>
                  </pic:spPr>
                </pic:pic>
              </a:graphicData>
            </a:graphic>
          </wp:inline>
        </w:drawing>
      </w:r>
    </w:p>
    <w:p w:rsidR="00723CEA" w:rsidRPr="006434B3" w:rsidRDefault="00B76A35" w:rsidP="00FC44BB">
      <w:pPr>
        <w:pStyle w:val="NormalWeb"/>
        <w:shd w:val="clear" w:color="auto" w:fill="FFFFFF"/>
        <w:spacing w:after="0" w:line="276" w:lineRule="auto"/>
        <w:ind w:right="-57"/>
        <w:rPr>
          <w:rFonts w:ascii="Calibri" w:hAnsi="Calibri"/>
          <w:color w:val="auto"/>
          <w:lang w:val="ro-RO"/>
        </w:rPr>
      </w:pPr>
      <w:r w:rsidRPr="006434B3">
        <w:rPr>
          <w:rFonts w:ascii="Calibri" w:hAnsi="Calibri"/>
          <w:color w:val="auto"/>
          <w:lang w:val="ro-RO"/>
        </w:rPr>
        <w:t>Î</w:t>
      </w:r>
      <w:r w:rsidR="00723CEA" w:rsidRPr="006434B3">
        <w:rPr>
          <w:rFonts w:ascii="Calibri" w:hAnsi="Calibri"/>
          <w:color w:val="auto"/>
          <w:lang w:val="ro-RO"/>
        </w:rPr>
        <w:t>ncasările pe principalele categorii de impozite componente, comparativ cu programul de încasări stabilit pentru trimestru</w:t>
      </w:r>
      <w:r w:rsidR="006434B3" w:rsidRPr="006434B3">
        <w:rPr>
          <w:rFonts w:ascii="Calibri" w:hAnsi="Calibri"/>
          <w:color w:val="auto"/>
          <w:lang w:val="ro-RO"/>
        </w:rPr>
        <w:t>l al II-lea</w:t>
      </w:r>
      <w:r w:rsidR="00723CEA" w:rsidRPr="006434B3">
        <w:rPr>
          <w:rFonts w:ascii="Calibri" w:hAnsi="Calibri"/>
          <w:color w:val="auto"/>
          <w:lang w:val="ro-RO"/>
        </w:rPr>
        <w:t xml:space="preserve"> al anului </w:t>
      </w:r>
      <w:r w:rsidR="002277FA" w:rsidRPr="006434B3">
        <w:rPr>
          <w:rFonts w:ascii="Calibri" w:hAnsi="Calibri"/>
          <w:color w:val="auto"/>
          <w:lang w:val="ro-RO"/>
        </w:rPr>
        <w:t>2017</w:t>
      </w:r>
      <w:r w:rsidR="00723CEA" w:rsidRPr="006434B3">
        <w:rPr>
          <w:rFonts w:ascii="Calibri" w:hAnsi="Calibri"/>
          <w:color w:val="auto"/>
          <w:lang w:val="ro-RO"/>
        </w:rPr>
        <w:t xml:space="preserve">, </w:t>
      </w:r>
      <w:r w:rsidR="006434B3" w:rsidRPr="006434B3">
        <w:rPr>
          <w:rFonts w:ascii="Calibri" w:hAnsi="Calibri"/>
          <w:color w:val="auto"/>
          <w:lang w:val="ro-RO"/>
        </w:rPr>
        <w:t xml:space="preserve">au înregistrat </w:t>
      </w:r>
      <w:r w:rsidR="00723CEA" w:rsidRPr="006434B3">
        <w:rPr>
          <w:rFonts w:ascii="Calibri" w:hAnsi="Calibri"/>
          <w:color w:val="auto"/>
          <w:lang w:val="ro-RO"/>
        </w:rPr>
        <w:t xml:space="preserve">următoarea </w:t>
      </w:r>
      <w:r w:rsidR="00617926" w:rsidRPr="006434B3">
        <w:rPr>
          <w:rFonts w:ascii="Calibri" w:hAnsi="Calibri"/>
          <w:color w:val="auto"/>
          <w:lang w:val="ro-RO"/>
        </w:rPr>
        <w:t>evoluție</w:t>
      </w:r>
      <w:r w:rsidR="00723CEA" w:rsidRPr="006434B3">
        <w:rPr>
          <w:rFonts w:ascii="Calibri" w:hAnsi="Calibri"/>
          <w:color w:val="auto"/>
          <w:lang w:val="ro-RO"/>
        </w:rPr>
        <w:t xml:space="preserve">:   </w:t>
      </w:r>
    </w:p>
    <w:p w:rsidR="00A544C8" w:rsidRDefault="00986370" w:rsidP="0044532E">
      <w:pPr>
        <w:pStyle w:val="NormalWeb"/>
        <w:numPr>
          <w:ilvl w:val="0"/>
          <w:numId w:val="12"/>
        </w:numPr>
        <w:shd w:val="clear" w:color="auto" w:fill="FFFFFF"/>
        <w:spacing w:after="0" w:afterAutospacing="0" w:line="276" w:lineRule="auto"/>
        <w:ind w:left="1276" w:right="-57" w:hanging="284"/>
        <w:rPr>
          <w:rFonts w:ascii="Calibri" w:hAnsi="Calibri"/>
          <w:lang w:val="ro-RO"/>
        </w:rPr>
      </w:pPr>
      <w:r w:rsidRPr="00A544C8">
        <w:rPr>
          <w:rFonts w:ascii="Calibri" w:hAnsi="Calibri"/>
          <w:lang w:val="ro-RO"/>
        </w:rPr>
        <w:t xml:space="preserve">Încasările din </w:t>
      </w:r>
      <w:r w:rsidRPr="00A544C8">
        <w:rPr>
          <w:rFonts w:ascii="Calibri" w:hAnsi="Calibri"/>
          <w:b/>
          <w:lang w:val="ro-RO"/>
        </w:rPr>
        <w:t>impozitul pe profit</w:t>
      </w:r>
      <w:r w:rsidRPr="00A544C8">
        <w:rPr>
          <w:rFonts w:ascii="Calibri" w:hAnsi="Calibri"/>
          <w:lang w:val="ro-RO"/>
        </w:rPr>
        <w:t xml:space="preserve"> au înregistrat o valoare de 3.</w:t>
      </w:r>
      <w:r w:rsidR="00E6638E" w:rsidRPr="00A544C8">
        <w:rPr>
          <w:rFonts w:ascii="Calibri" w:hAnsi="Calibri"/>
          <w:lang w:val="ro-RO"/>
        </w:rPr>
        <w:t>397,0</w:t>
      </w:r>
      <w:r w:rsidRPr="00A544C8">
        <w:rPr>
          <w:rFonts w:ascii="Calibri" w:hAnsi="Calibri"/>
          <w:lang w:val="ro-RO"/>
        </w:rPr>
        <w:t xml:space="preserve"> milioane lei şi au reprezentat 0,</w:t>
      </w:r>
      <w:r w:rsidR="00E6638E" w:rsidRPr="00A544C8">
        <w:rPr>
          <w:rFonts w:ascii="Calibri" w:hAnsi="Calibri"/>
          <w:lang w:val="ro-RO"/>
        </w:rPr>
        <w:t>4</w:t>
      </w:r>
      <w:r w:rsidRPr="00A544C8">
        <w:rPr>
          <w:rFonts w:ascii="Calibri" w:hAnsi="Calibri"/>
          <w:lang w:val="ro-RO"/>
        </w:rPr>
        <w:t xml:space="preserve">% din PIB, gradul de realizare fiind de </w:t>
      </w:r>
      <w:r w:rsidR="00E6638E" w:rsidRPr="00A544C8">
        <w:rPr>
          <w:rFonts w:ascii="Calibri" w:hAnsi="Calibri"/>
          <w:lang w:val="ro-RO"/>
        </w:rPr>
        <w:t>84,5</w:t>
      </w:r>
      <w:r w:rsidRPr="00A544C8">
        <w:rPr>
          <w:rFonts w:ascii="Calibri" w:hAnsi="Calibri"/>
          <w:lang w:val="ro-RO"/>
        </w:rPr>
        <w:t xml:space="preserve">%. </w:t>
      </w:r>
      <w:r w:rsidR="00A544C8" w:rsidRPr="00A544C8">
        <w:rPr>
          <w:rFonts w:ascii="Calibri" w:hAnsi="Calibri"/>
          <w:lang w:val="ro-RO"/>
        </w:rPr>
        <w:t xml:space="preserve"> Scăderea plăților efectuate de agenții economici în trimestrul II reprezintă efectul regularizării negative înregistrată în trimestrul I față de declarația de plată aferentă anului 2016. </w:t>
      </w:r>
    </w:p>
    <w:p w:rsidR="00A544C8" w:rsidRDefault="00A544C8" w:rsidP="00A544C8">
      <w:pPr>
        <w:pStyle w:val="NormalWeb"/>
        <w:shd w:val="clear" w:color="auto" w:fill="FFFFFF"/>
        <w:spacing w:before="0" w:beforeAutospacing="0" w:after="0" w:afterAutospacing="0" w:line="276" w:lineRule="auto"/>
        <w:ind w:left="1259" w:right="-57" w:firstLine="0"/>
        <w:rPr>
          <w:rFonts w:ascii="Calibri" w:hAnsi="Calibri"/>
          <w:lang w:val="ro-RO"/>
        </w:rPr>
      </w:pPr>
      <w:r w:rsidRPr="00A544C8">
        <w:rPr>
          <w:rFonts w:ascii="Calibri" w:hAnsi="Calibri"/>
          <w:lang w:val="ro-RO"/>
        </w:rPr>
        <w:t>Regularizarea din trimestrul I 2017 a vizat sumele datorate de companii aferente exercițiului financiar pentru întregul an 2016, comparativ cu plățile trimestriale anticipate efectuate în cursul aceluiași an.</w:t>
      </w:r>
    </w:p>
    <w:p w:rsidR="00A15582" w:rsidRDefault="00723CEA" w:rsidP="00A544C8">
      <w:pPr>
        <w:pStyle w:val="NormalWeb"/>
        <w:numPr>
          <w:ilvl w:val="0"/>
          <w:numId w:val="11"/>
        </w:numPr>
        <w:shd w:val="clear" w:color="auto" w:fill="FFFFFF"/>
        <w:tabs>
          <w:tab w:val="left" w:pos="1276"/>
        </w:tabs>
        <w:spacing w:before="0" w:beforeAutospacing="0" w:after="0" w:afterAutospacing="0" w:line="276" w:lineRule="auto"/>
        <w:ind w:left="1259" w:right="-57"/>
        <w:rPr>
          <w:rFonts w:asciiTheme="minorHAnsi" w:hAnsiTheme="minorHAnsi"/>
          <w:lang w:val="ro-RO"/>
        </w:rPr>
      </w:pPr>
      <w:r w:rsidRPr="00A15582">
        <w:rPr>
          <w:rFonts w:ascii="Calibri" w:hAnsi="Calibri"/>
          <w:lang w:val="ro-RO"/>
        </w:rPr>
        <w:t xml:space="preserve">Încasările din </w:t>
      </w:r>
      <w:r w:rsidRPr="00A15582">
        <w:rPr>
          <w:rFonts w:ascii="Calibri" w:hAnsi="Calibri"/>
          <w:b/>
          <w:bCs/>
          <w:lang w:val="ro-RO"/>
        </w:rPr>
        <w:t>impozitul pe venit</w:t>
      </w:r>
      <w:r w:rsidRPr="00A15582">
        <w:rPr>
          <w:rFonts w:ascii="Calibri" w:hAnsi="Calibri"/>
          <w:lang w:val="ro-RO"/>
        </w:rPr>
        <w:t xml:space="preserve"> au fost în sumă de </w:t>
      </w:r>
      <w:r w:rsidR="00E6638E" w:rsidRPr="00A15582">
        <w:rPr>
          <w:rFonts w:ascii="Calibri" w:hAnsi="Calibri"/>
          <w:lang w:val="ro-RO"/>
        </w:rPr>
        <w:t>7</w:t>
      </w:r>
      <w:r w:rsidR="00A15582" w:rsidRPr="00A15582">
        <w:rPr>
          <w:rFonts w:ascii="Calibri" w:hAnsi="Calibri"/>
          <w:lang w:val="ro-RO"/>
        </w:rPr>
        <w:t>.</w:t>
      </w:r>
      <w:r w:rsidR="00E6638E" w:rsidRPr="00A15582">
        <w:rPr>
          <w:rFonts w:ascii="Calibri" w:hAnsi="Calibri"/>
          <w:lang w:val="ro-RO"/>
        </w:rPr>
        <w:t>144,7</w:t>
      </w:r>
      <w:r w:rsidR="00F417EC" w:rsidRPr="00A15582">
        <w:rPr>
          <w:rFonts w:ascii="Calibri" w:hAnsi="Calibri"/>
          <w:lang w:val="ro-RO"/>
        </w:rPr>
        <w:t xml:space="preserve"> </w:t>
      </w:r>
      <w:r w:rsidRPr="00A15582">
        <w:rPr>
          <w:rFonts w:ascii="Calibri" w:hAnsi="Calibri"/>
          <w:lang w:val="ro-RO"/>
        </w:rPr>
        <w:t>mili</w:t>
      </w:r>
      <w:r w:rsidR="000F2CD1" w:rsidRPr="00A15582">
        <w:rPr>
          <w:rFonts w:ascii="Calibri" w:hAnsi="Calibri"/>
          <w:lang w:val="ro-RO"/>
        </w:rPr>
        <w:t>oane</w:t>
      </w:r>
      <w:r w:rsidRPr="00A15582">
        <w:rPr>
          <w:rFonts w:ascii="Calibri" w:hAnsi="Calibri"/>
          <w:lang w:val="ro-RO"/>
        </w:rPr>
        <w:t xml:space="preserve"> lei</w:t>
      </w:r>
      <w:r w:rsidR="00ED7266" w:rsidRPr="00A15582">
        <w:rPr>
          <w:rFonts w:ascii="Calibri" w:hAnsi="Calibri"/>
          <w:lang w:val="ro-RO"/>
        </w:rPr>
        <w:t xml:space="preserve"> reprezentând 0,9% ca procent</w:t>
      </w:r>
      <w:r w:rsidR="004A25D1" w:rsidRPr="00A15582">
        <w:rPr>
          <w:rFonts w:ascii="Calibri" w:hAnsi="Calibri"/>
          <w:lang w:val="ro-RO"/>
        </w:rPr>
        <w:t xml:space="preserve"> în PIB</w:t>
      </w:r>
      <w:r w:rsidRPr="00A15582">
        <w:rPr>
          <w:rFonts w:ascii="Calibri" w:hAnsi="Calibri"/>
          <w:lang w:val="ro-RO"/>
        </w:rPr>
        <w:t xml:space="preserve"> şi au înregistrat un grad de colectare de </w:t>
      </w:r>
      <w:r w:rsidR="00E6638E" w:rsidRPr="00A15582">
        <w:rPr>
          <w:rFonts w:ascii="Calibri" w:hAnsi="Calibri"/>
          <w:lang w:val="ro-RO"/>
        </w:rPr>
        <w:t>99,6</w:t>
      </w:r>
      <w:r w:rsidRPr="00A15582">
        <w:rPr>
          <w:rFonts w:ascii="Calibri" w:hAnsi="Calibri"/>
          <w:lang w:val="ro-RO"/>
        </w:rPr>
        <w:t>%</w:t>
      </w:r>
      <w:r w:rsidR="008C796C" w:rsidRPr="00A15582">
        <w:rPr>
          <w:rFonts w:ascii="Calibri" w:hAnsi="Calibri"/>
          <w:lang w:val="ro-RO"/>
        </w:rPr>
        <w:t xml:space="preserve">. </w:t>
      </w:r>
      <w:r w:rsidR="00E6638E" w:rsidRPr="00A15582">
        <w:rPr>
          <w:rFonts w:asciiTheme="minorHAnsi" w:hAnsiTheme="minorHAnsi"/>
          <w:lang w:val="ro-RO"/>
        </w:rPr>
        <w:t>Evoluții pozitive comparativ cu aceeași perioadă a anului precedent au înregistrat încasările din impozitul pe salarii (+20,1%), impozitul pe veniturile din jocurile de noroc (+29,3%) și impozitul pe veniturile din cedarea bunurilor (+6,2%). O evoluție negativă au înregistrat încasările din impozitul pe veniturile din pensii (-54,4%), scădere datorată modificărilor legislative privind creșterea plafonului neimpozabil lunar la 2000 lei.</w:t>
      </w:r>
      <w:r w:rsidR="00E6638E" w:rsidRPr="00A15582">
        <w:rPr>
          <w:rFonts w:asciiTheme="minorHAnsi" w:hAnsiTheme="minorHAnsi"/>
          <w:vertAlign w:val="superscript"/>
          <w:lang w:val="ro-RO"/>
        </w:rPr>
        <w:footnoteReference w:id="1"/>
      </w:r>
    </w:p>
    <w:p w:rsidR="00E6638E" w:rsidRPr="00A15582" w:rsidRDefault="00A15582" w:rsidP="00A544C8">
      <w:pPr>
        <w:pStyle w:val="NormalWeb"/>
        <w:shd w:val="clear" w:color="auto" w:fill="FFFFFF"/>
        <w:tabs>
          <w:tab w:val="left" w:pos="1276"/>
        </w:tabs>
        <w:spacing w:before="0" w:beforeAutospacing="0" w:after="0" w:afterAutospacing="0" w:line="276" w:lineRule="auto"/>
        <w:ind w:left="1259" w:right="-57" w:firstLine="0"/>
        <w:rPr>
          <w:rFonts w:asciiTheme="minorHAnsi" w:hAnsiTheme="minorHAnsi"/>
          <w:lang w:val="ro-RO"/>
        </w:rPr>
      </w:pPr>
      <w:r>
        <w:rPr>
          <w:rFonts w:asciiTheme="minorHAnsi" w:hAnsiTheme="minorHAnsi"/>
          <w:lang w:val="ro-RO"/>
        </w:rPr>
        <w:tab/>
      </w:r>
      <w:r>
        <w:rPr>
          <w:rFonts w:asciiTheme="minorHAnsi" w:hAnsiTheme="minorHAnsi"/>
          <w:lang w:val="ro-RO"/>
        </w:rPr>
        <w:tab/>
      </w:r>
      <w:r w:rsidR="00E6638E" w:rsidRPr="00A15582">
        <w:rPr>
          <w:rFonts w:asciiTheme="minorHAnsi" w:hAnsiTheme="minorHAnsi"/>
          <w:lang w:val="ro-RO"/>
        </w:rPr>
        <w:t>Dinamica pozitivă a veniturilor din salarii este influențată de creșterea numărului mediu de salariați cu 3,4</w:t>
      </w:r>
      <w:r w:rsidRPr="00A15582">
        <w:rPr>
          <w:rStyle w:val="FootnoteReference"/>
          <w:rFonts w:asciiTheme="minorHAnsi" w:hAnsiTheme="minorHAnsi"/>
          <w:lang w:val="ro-RO"/>
        </w:rPr>
        <w:footnoteReference w:id="2"/>
      </w:r>
      <w:r w:rsidR="00E6638E" w:rsidRPr="00A15582">
        <w:rPr>
          <w:rFonts w:asciiTheme="minorHAnsi" w:hAnsiTheme="minorHAnsi"/>
          <w:lang w:val="ro-RO"/>
        </w:rPr>
        <w:t>%, și a salariului mediu brut la nivelul economiei cu 14,</w:t>
      </w:r>
      <w:r w:rsidR="00927F6E">
        <w:rPr>
          <w:rFonts w:asciiTheme="minorHAnsi" w:hAnsiTheme="minorHAnsi"/>
          <w:lang w:val="ro-RO"/>
        </w:rPr>
        <w:t>9</w:t>
      </w:r>
      <w:r w:rsidRPr="00A15582">
        <w:rPr>
          <w:rStyle w:val="FootnoteReference"/>
          <w:rFonts w:asciiTheme="minorHAnsi" w:hAnsiTheme="minorHAnsi"/>
          <w:lang w:val="ro-RO"/>
        </w:rPr>
        <w:footnoteReference w:id="3"/>
      </w:r>
      <w:r w:rsidR="00E6638E" w:rsidRPr="00A15582">
        <w:rPr>
          <w:rFonts w:asciiTheme="minorHAnsi" w:hAnsiTheme="minorHAnsi"/>
          <w:lang w:val="ro-RO"/>
        </w:rPr>
        <w:t>%  precum și de majorarea de la 1 februarie 2017 a salariului de bază minim brut pe țară de la 1250 lei la 1450 lei.</w:t>
      </w:r>
    </w:p>
    <w:p w:rsidR="00E73693" w:rsidRPr="00E73693" w:rsidRDefault="00723CEA" w:rsidP="00A544C8">
      <w:pPr>
        <w:pStyle w:val="NormalWeb"/>
        <w:numPr>
          <w:ilvl w:val="0"/>
          <w:numId w:val="3"/>
        </w:numPr>
        <w:shd w:val="clear" w:color="auto" w:fill="FFFFFF"/>
        <w:tabs>
          <w:tab w:val="left" w:pos="1276"/>
        </w:tabs>
        <w:spacing w:after="0" w:afterAutospacing="0"/>
        <w:ind w:left="1259" w:right="-57" w:hanging="357"/>
        <w:rPr>
          <w:rFonts w:asciiTheme="minorHAnsi" w:hAnsiTheme="minorHAnsi"/>
          <w:color w:val="FF0000"/>
          <w:lang w:val="ro-RO"/>
        </w:rPr>
      </w:pPr>
      <w:r w:rsidRPr="00E6638E">
        <w:rPr>
          <w:rFonts w:ascii="Calibri" w:hAnsi="Calibri"/>
          <w:lang w:val="ro-RO"/>
        </w:rPr>
        <w:t xml:space="preserve">Încasările din </w:t>
      </w:r>
      <w:r w:rsidRPr="00E6638E">
        <w:rPr>
          <w:rFonts w:ascii="Calibri" w:hAnsi="Calibri"/>
          <w:b/>
          <w:bCs/>
          <w:lang w:val="ro-RO"/>
        </w:rPr>
        <w:t>impozitele şi taxele pe proprietate</w:t>
      </w:r>
      <w:r w:rsidRPr="00E6638E">
        <w:rPr>
          <w:rFonts w:ascii="Calibri" w:hAnsi="Calibri"/>
          <w:lang w:val="ro-RO"/>
        </w:rPr>
        <w:t xml:space="preserve"> </w:t>
      </w:r>
      <w:r w:rsidR="00E73693">
        <w:rPr>
          <w:rFonts w:ascii="Calibri" w:hAnsi="Calibri"/>
          <w:lang w:val="ro-RO"/>
        </w:rPr>
        <w:t xml:space="preserve">au însumat 656,3 milioane lei și </w:t>
      </w:r>
      <w:r w:rsidRPr="00E6638E">
        <w:rPr>
          <w:rFonts w:ascii="Calibri" w:hAnsi="Calibri"/>
          <w:lang w:val="ro-RO"/>
        </w:rPr>
        <w:t xml:space="preserve">s-au realizat în </w:t>
      </w:r>
      <w:r w:rsidR="008A1921" w:rsidRPr="00E6638E">
        <w:rPr>
          <w:rFonts w:ascii="Calibri" w:hAnsi="Calibri"/>
          <w:lang w:val="ro-RO"/>
        </w:rPr>
        <w:t>proporție</w:t>
      </w:r>
      <w:r w:rsidRPr="00E6638E">
        <w:rPr>
          <w:rFonts w:ascii="Calibri" w:hAnsi="Calibri"/>
          <w:lang w:val="ro-RO"/>
        </w:rPr>
        <w:t xml:space="preserve"> de </w:t>
      </w:r>
      <w:r w:rsidR="00A15582">
        <w:rPr>
          <w:rFonts w:ascii="Calibri" w:hAnsi="Calibri"/>
          <w:lang w:val="ro-RO"/>
        </w:rPr>
        <w:t>99,6</w:t>
      </w:r>
      <w:r w:rsidRPr="00E6638E">
        <w:rPr>
          <w:rFonts w:ascii="Calibri" w:hAnsi="Calibri"/>
          <w:lang w:val="ro-RO"/>
        </w:rPr>
        <w:t>%</w:t>
      </w:r>
      <w:r w:rsidR="00E73693">
        <w:rPr>
          <w:rFonts w:ascii="Calibri" w:hAnsi="Calibri"/>
          <w:lang w:val="ro-RO"/>
        </w:rPr>
        <w:t>.</w:t>
      </w:r>
    </w:p>
    <w:p w:rsidR="00784C71" w:rsidRPr="00927F6E" w:rsidRDefault="00E73693" w:rsidP="00A544C8">
      <w:pPr>
        <w:pStyle w:val="NormalWeb"/>
        <w:shd w:val="clear" w:color="auto" w:fill="FFFFFF"/>
        <w:tabs>
          <w:tab w:val="left" w:pos="1276"/>
        </w:tabs>
        <w:spacing w:before="0" w:beforeAutospacing="0"/>
        <w:ind w:left="1259" w:right="-57" w:firstLine="0"/>
        <w:rPr>
          <w:rFonts w:ascii="Calibri" w:hAnsi="Calibri"/>
          <w:color w:val="auto"/>
          <w:lang w:val="ro-RO"/>
        </w:rPr>
      </w:pPr>
      <w:r>
        <w:rPr>
          <w:rFonts w:ascii="Calibri" w:hAnsi="Calibri"/>
          <w:lang w:val="ro-RO"/>
        </w:rPr>
        <w:t>Comparativ cu trimestrul al II-lea al anului 2016 încasările din impozitele și taxele pe proprietate au scăzut cu 64%</w:t>
      </w:r>
      <w:r w:rsidR="00723CEA" w:rsidRPr="00E6638E">
        <w:rPr>
          <w:rFonts w:ascii="Calibri" w:hAnsi="Calibri"/>
          <w:lang w:val="ro-RO"/>
        </w:rPr>
        <w:t xml:space="preserve">, </w:t>
      </w:r>
      <w:r w:rsidR="00A00800" w:rsidRPr="00927F6E">
        <w:rPr>
          <w:rFonts w:ascii="Calibri" w:hAnsi="Calibri"/>
          <w:color w:val="auto"/>
          <w:lang w:val="ro-RO"/>
        </w:rPr>
        <w:t xml:space="preserve">pe fondul </w:t>
      </w:r>
      <w:r w:rsidRPr="00927F6E">
        <w:rPr>
          <w:rFonts w:ascii="Calibri" w:hAnsi="Calibri"/>
          <w:color w:val="auto"/>
          <w:lang w:val="ro-RO"/>
        </w:rPr>
        <w:t>scăderii încasărilor la bugetul de stat ca urmare a eliminării impozitului pe construcții speciale începând cu anul 2017</w:t>
      </w:r>
      <w:r w:rsidR="002D63D4">
        <w:rPr>
          <w:rFonts w:ascii="Calibri" w:hAnsi="Calibri"/>
          <w:color w:val="auto"/>
          <w:lang w:val="ro-RO"/>
        </w:rPr>
        <w:t>,</w:t>
      </w:r>
      <w:r w:rsidR="00784C71" w:rsidRPr="00927F6E">
        <w:rPr>
          <w:rFonts w:ascii="Calibri" w:hAnsi="Calibri"/>
          <w:color w:val="auto"/>
          <w:lang w:val="ro-RO"/>
        </w:rPr>
        <w:t xml:space="preserve"> dar ș</w:t>
      </w:r>
      <w:r w:rsidRPr="00927F6E">
        <w:rPr>
          <w:rFonts w:ascii="Calibri" w:hAnsi="Calibri"/>
          <w:color w:val="auto"/>
          <w:lang w:val="ro-RO"/>
        </w:rPr>
        <w:t xml:space="preserve">i la bugetele locale unde în trimestrul </w:t>
      </w:r>
      <w:r w:rsidR="00784C71" w:rsidRPr="00927F6E">
        <w:rPr>
          <w:rFonts w:ascii="Calibri" w:hAnsi="Calibri"/>
          <w:color w:val="auto"/>
          <w:lang w:val="ro-RO"/>
        </w:rPr>
        <w:t xml:space="preserve">al </w:t>
      </w:r>
      <w:r w:rsidRPr="00927F6E">
        <w:rPr>
          <w:rFonts w:ascii="Calibri" w:hAnsi="Calibri"/>
          <w:color w:val="auto"/>
          <w:lang w:val="ro-RO"/>
        </w:rPr>
        <w:t>II</w:t>
      </w:r>
      <w:r w:rsidR="00784C71" w:rsidRPr="00927F6E">
        <w:rPr>
          <w:rFonts w:ascii="Calibri" w:hAnsi="Calibri"/>
          <w:color w:val="auto"/>
          <w:lang w:val="ro-RO"/>
        </w:rPr>
        <w:t>-lea</w:t>
      </w:r>
      <w:r w:rsidRPr="00927F6E">
        <w:rPr>
          <w:rFonts w:ascii="Calibri" w:hAnsi="Calibri"/>
          <w:color w:val="auto"/>
          <w:lang w:val="ro-RO"/>
        </w:rPr>
        <w:t xml:space="preserve"> al anului 2016 s-au înc</w:t>
      </w:r>
      <w:r w:rsidR="00784C71" w:rsidRPr="00927F6E">
        <w:rPr>
          <w:rFonts w:ascii="Calibri" w:hAnsi="Calibri"/>
          <w:color w:val="auto"/>
          <w:lang w:val="ro-RO"/>
        </w:rPr>
        <w:t>a</w:t>
      </w:r>
      <w:r w:rsidRPr="00927F6E">
        <w:rPr>
          <w:rFonts w:ascii="Calibri" w:hAnsi="Calibri"/>
          <w:color w:val="auto"/>
          <w:lang w:val="ro-RO"/>
        </w:rPr>
        <w:t>sat impozitele și taxele pe proprietate ca urmare a devansării term</w:t>
      </w:r>
      <w:r w:rsidR="00784C71" w:rsidRPr="00927F6E">
        <w:rPr>
          <w:rFonts w:ascii="Calibri" w:hAnsi="Calibri"/>
          <w:color w:val="auto"/>
          <w:lang w:val="ro-RO"/>
        </w:rPr>
        <w:t>e</w:t>
      </w:r>
      <w:r w:rsidRPr="00927F6E">
        <w:rPr>
          <w:rFonts w:ascii="Calibri" w:hAnsi="Calibri"/>
          <w:color w:val="auto"/>
          <w:lang w:val="ro-RO"/>
        </w:rPr>
        <w:t>nul</w:t>
      </w:r>
      <w:r w:rsidR="00784C71" w:rsidRPr="00927F6E">
        <w:rPr>
          <w:rFonts w:ascii="Calibri" w:hAnsi="Calibri"/>
          <w:color w:val="auto"/>
          <w:lang w:val="ro-RO"/>
        </w:rPr>
        <w:t>u</w:t>
      </w:r>
      <w:r w:rsidRPr="00927F6E">
        <w:rPr>
          <w:rFonts w:ascii="Calibri" w:hAnsi="Calibri"/>
          <w:color w:val="auto"/>
          <w:lang w:val="ro-RO"/>
        </w:rPr>
        <w:t>i</w:t>
      </w:r>
      <w:r w:rsidR="00784C71" w:rsidRPr="00927F6E">
        <w:rPr>
          <w:rFonts w:ascii="Calibri" w:hAnsi="Calibri"/>
          <w:color w:val="auto"/>
          <w:lang w:val="ro-RO"/>
        </w:rPr>
        <w:t xml:space="preserve"> </w:t>
      </w:r>
      <w:r w:rsidRPr="00927F6E">
        <w:rPr>
          <w:rFonts w:ascii="Calibri" w:hAnsi="Calibri"/>
          <w:color w:val="auto"/>
          <w:lang w:val="ro-RO"/>
        </w:rPr>
        <w:t>de plată de la 31 martie 2016 la 30 iunie 2016.</w:t>
      </w:r>
      <w:r w:rsidR="00784C71" w:rsidRPr="00927F6E">
        <w:rPr>
          <w:rFonts w:ascii="Calibri" w:hAnsi="Calibri"/>
          <w:color w:val="auto"/>
          <w:lang w:val="ro-RO"/>
        </w:rPr>
        <w:t xml:space="preserve"> </w:t>
      </w:r>
    </w:p>
    <w:p w:rsidR="004502F4" w:rsidRPr="00A544C8" w:rsidRDefault="00723CEA" w:rsidP="00A544C8">
      <w:pPr>
        <w:pStyle w:val="NormalWeb"/>
        <w:numPr>
          <w:ilvl w:val="0"/>
          <w:numId w:val="11"/>
        </w:numPr>
        <w:shd w:val="clear" w:color="auto" w:fill="FFFFFF"/>
        <w:tabs>
          <w:tab w:val="left" w:pos="1276"/>
        </w:tabs>
        <w:spacing w:after="0" w:afterAutospacing="0"/>
        <w:ind w:left="1259" w:right="-57" w:hanging="357"/>
        <w:rPr>
          <w:rFonts w:asciiTheme="minorHAnsi" w:hAnsiTheme="minorHAnsi"/>
          <w:b/>
          <w:bCs/>
          <w:lang w:val="ro-RO"/>
        </w:rPr>
      </w:pPr>
      <w:r w:rsidRPr="00A544C8">
        <w:rPr>
          <w:rFonts w:asciiTheme="minorHAnsi" w:hAnsiTheme="minorHAnsi"/>
          <w:lang w:val="ro-RO"/>
        </w:rPr>
        <w:t xml:space="preserve">Încasările din </w:t>
      </w:r>
      <w:r w:rsidRPr="00A544C8">
        <w:rPr>
          <w:rFonts w:asciiTheme="minorHAnsi" w:hAnsiTheme="minorHAnsi"/>
          <w:b/>
          <w:bCs/>
          <w:lang w:val="ro-RO"/>
        </w:rPr>
        <w:t>taxa pe valoarea adăugată</w:t>
      </w:r>
      <w:r w:rsidRPr="00A544C8">
        <w:rPr>
          <w:rFonts w:asciiTheme="minorHAnsi" w:hAnsiTheme="minorHAnsi"/>
          <w:lang w:val="ro-RO"/>
        </w:rPr>
        <w:t xml:space="preserve"> </w:t>
      </w:r>
      <w:r w:rsidR="00863A4C" w:rsidRPr="00A544C8">
        <w:rPr>
          <w:rFonts w:asciiTheme="minorHAnsi" w:hAnsiTheme="minorHAnsi"/>
          <w:lang w:val="ro-RO"/>
        </w:rPr>
        <w:t xml:space="preserve">au fost în sumă de </w:t>
      </w:r>
      <w:r w:rsidR="00A15582" w:rsidRPr="00A544C8">
        <w:rPr>
          <w:rFonts w:asciiTheme="minorHAnsi" w:hAnsiTheme="minorHAnsi"/>
          <w:lang w:val="ro-RO"/>
        </w:rPr>
        <w:t>12.286,3</w:t>
      </w:r>
      <w:r w:rsidR="00F417EC" w:rsidRPr="00A544C8">
        <w:rPr>
          <w:rFonts w:asciiTheme="minorHAnsi" w:hAnsiTheme="minorHAnsi"/>
          <w:lang w:val="ro-RO"/>
        </w:rPr>
        <w:t xml:space="preserve"> </w:t>
      </w:r>
      <w:r w:rsidR="00863A4C" w:rsidRPr="00A544C8">
        <w:rPr>
          <w:rFonts w:asciiTheme="minorHAnsi" w:hAnsiTheme="minorHAnsi"/>
          <w:lang w:val="ro-RO"/>
        </w:rPr>
        <w:t xml:space="preserve">milioane lei, respectiv </w:t>
      </w:r>
      <w:r w:rsidR="00E06B99" w:rsidRPr="00A544C8">
        <w:rPr>
          <w:rFonts w:asciiTheme="minorHAnsi" w:hAnsiTheme="minorHAnsi"/>
          <w:lang w:val="ro-RO"/>
        </w:rPr>
        <w:t>1,</w:t>
      </w:r>
      <w:r w:rsidR="00A15582" w:rsidRPr="00A544C8">
        <w:rPr>
          <w:rFonts w:asciiTheme="minorHAnsi" w:hAnsiTheme="minorHAnsi"/>
          <w:lang w:val="ro-RO"/>
        </w:rPr>
        <w:t>5</w:t>
      </w:r>
      <w:r w:rsidR="00863A4C" w:rsidRPr="00A544C8">
        <w:rPr>
          <w:rFonts w:asciiTheme="minorHAnsi" w:hAnsiTheme="minorHAnsi"/>
          <w:lang w:val="ro-RO"/>
        </w:rPr>
        <w:t>% ca procent în PIB, gradul de realizare al programului d</w:t>
      </w:r>
      <w:r w:rsidR="00A15582" w:rsidRPr="00A544C8">
        <w:rPr>
          <w:rFonts w:asciiTheme="minorHAnsi" w:hAnsiTheme="minorHAnsi"/>
          <w:lang w:val="ro-RO"/>
        </w:rPr>
        <w:t>e încasări trimestrial fiind de 93,3</w:t>
      </w:r>
      <w:r w:rsidR="00863A4C" w:rsidRPr="00A544C8">
        <w:rPr>
          <w:rFonts w:asciiTheme="minorHAnsi" w:hAnsiTheme="minorHAnsi"/>
          <w:lang w:val="ro-RO"/>
        </w:rPr>
        <w:t>%.</w:t>
      </w:r>
    </w:p>
    <w:p w:rsidR="00944E3A" w:rsidRPr="00944E3A" w:rsidRDefault="00944E3A" w:rsidP="00A544C8">
      <w:pPr>
        <w:pStyle w:val="ListParagraph"/>
        <w:shd w:val="clear" w:color="auto" w:fill="FFFFFF"/>
        <w:tabs>
          <w:tab w:val="left" w:pos="851"/>
          <w:tab w:val="left" w:pos="1276"/>
        </w:tabs>
        <w:spacing w:after="120"/>
        <w:ind w:left="1276" w:hanging="142"/>
        <w:jc w:val="both"/>
        <w:rPr>
          <w:rFonts w:cs="Arial"/>
          <w:sz w:val="24"/>
          <w:szCs w:val="24"/>
          <w:lang w:val="ro-RO"/>
        </w:rPr>
      </w:pPr>
      <w:r>
        <w:rPr>
          <w:rFonts w:cs="Arial"/>
          <w:sz w:val="24"/>
          <w:szCs w:val="24"/>
          <w:lang w:val="ro-RO"/>
        </w:rPr>
        <w:tab/>
      </w:r>
      <w:r w:rsidRPr="00944E3A">
        <w:rPr>
          <w:rFonts w:cs="Arial"/>
          <w:sz w:val="24"/>
          <w:szCs w:val="24"/>
          <w:lang w:val="ro-RO"/>
        </w:rPr>
        <w:t xml:space="preserve">Menționăm că în programul de încasări pentru </w:t>
      </w:r>
      <w:r>
        <w:rPr>
          <w:rFonts w:cs="Arial"/>
          <w:sz w:val="24"/>
          <w:szCs w:val="24"/>
          <w:lang w:val="ro-RO"/>
        </w:rPr>
        <w:t>trimestrul II</w:t>
      </w:r>
      <w:r w:rsidRPr="00944E3A">
        <w:rPr>
          <w:rFonts w:cs="Arial"/>
          <w:sz w:val="24"/>
          <w:szCs w:val="24"/>
          <w:lang w:val="ro-RO"/>
        </w:rPr>
        <w:t xml:space="preserve"> 2017 au fost prevăzute sume aferente schemelor de tip SWAP în valoare de </w:t>
      </w:r>
      <w:r>
        <w:rPr>
          <w:rFonts w:cs="Arial"/>
          <w:sz w:val="24"/>
          <w:szCs w:val="24"/>
          <w:lang w:val="ro-RO"/>
        </w:rPr>
        <w:t>230</w:t>
      </w:r>
      <w:r w:rsidRPr="00944E3A">
        <w:rPr>
          <w:rFonts w:cs="Arial"/>
          <w:sz w:val="24"/>
          <w:szCs w:val="24"/>
          <w:lang w:val="ro-RO"/>
        </w:rPr>
        <w:t xml:space="preserve"> milioane lei, în timp ce încasările efective au fost de </w:t>
      </w:r>
      <w:r>
        <w:rPr>
          <w:rFonts w:cs="Arial"/>
          <w:sz w:val="24"/>
          <w:szCs w:val="24"/>
          <w:lang w:val="ro-RO"/>
        </w:rPr>
        <w:t>17</w:t>
      </w:r>
      <w:r w:rsidRPr="00944E3A">
        <w:rPr>
          <w:rFonts w:cs="Arial"/>
          <w:sz w:val="24"/>
          <w:szCs w:val="24"/>
          <w:lang w:val="ro-RO"/>
        </w:rPr>
        <w:t xml:space="preserve">0 milioane lei din care </w:t>
      </w:r>
      <w:r>
        <w:rPr>
          <w:rFonts w:cs="Arial"/>
          <w:sz w:val="24"/>
          <w:szCs w:val="24"/>
          <w:lang w:val="ro-RO"/>
        </w:rPr>
        <w:t>3</w:t>
      </w:r>
      <w:r w:rsidRPr="00944E3A">
        <w:rPr>
          <w:rFonts w:cs="Arial"/>
          <w:sz w:val="24"/>
          <w:szCs w:val="24"/>
          <w:lang w:val="ro-RO"/>
        </w:rPr>
        <w:t xml:space="preserve">0 milioane lei au reprezentat taxa pe valoare adăugată restul de </w:t>
      </w:r>
      <w:r>
        <w:rPr>
          <w:rFonts w:cs="Arial"/>
          <w:sz w:val="24"/>
          <w:szCs w:val="24"/>
          <w:lang w:val="ro-RO"/>
        </w:rPr>
        <w:t>140</w:t>
      </w:r>
      <w:r w:rsidRPr="00944E3A">
        <w:rPr>
          <w:rFonts w:cs="Arial"/>
          <w:sz w:val="24"/>
          <w:szCs w:val="24"/>
          <w:lang w:val="ro-RO"/>
        </w:rPr>
        <w:t xml:space="preserve"> milioane lei fiind încasate la alte poziții de venituri.</w:t>
      </w:r>
    </w:p>
    <w:p w:rsidR="00944E3A" w:rsidRPr="00944E3A" w:rsidRDefault="00944E3A" w:rsidP="00A544C8">
      <w:pPr>
        <w:pStyle w:val="ListParagraph"/>
        <w:shd w:val="clear" w:color="auto" w:fill="FFFFFF"/>
        <w:tabs>
          <w:tab w:val="left" w:pos="851"/>
          <w:tab w:val="left" w:pos="1276"/>
        </w:tabs>
        <w:spacing w:after="0"/>
        <w:ind w:left="1276"/>
        <w:jc w:val="both"/>
        <w:rPr>
          <w:rFonts w:cs="Arial"/>
          <w:sz w:val="24"/>
          <w:szCs w:val="24"/>
          <w:lang w:val="ro-RO"/>
        </w:rPr>
      </w:pPr>
      <w:r w:rsidRPr="00944E3A">
        <w:rPr>
          <w:rFonts w:cs="Arial"/>
          <w:sz w:val="24"/>
          <w:szCs w:val="24"/>
          <w:lang w:val="ro-RO"/>
        </w:rPr>
        <w:t xml:space="preserve">În aceste condiții încasările din taxa pe valoarea adăugată aferente </w:t>
      </w:r>
      <w:r>
        <w:rPr>
          <w:rFonts w:cs="Arial"/>
          <w:sz w:val="24"/>
          <w:szCs w:val="24"/>
          <w:lang w:val="ro-RO"/>
        </w:rPr>
        <w:t xml:space="preserve">trimestrului al II-lea </w:t>
      </w:r>
      <w:r w:rsidRPr="00944E3A">
        <w:rPr>
          <w:rFonts w:cs="Arial"/>
          <w:sz w:val="24"/>
          <w:szCs w:val="24"/>
          <w:lang w:val="ro-RO"/>
        </w:rPr>
        <w:t xml:space="preserve">al anului 2017, independente de schemele de tip SWAP, au înregistrat un grad de realizare al programului de încasări de </w:t>
      </w:r>
      <w:r>
        <w:rPr>
          <w:rFonts w:cs="Arial"/>
          <w:sz w:val="24"/>
          <w:szCs w:val="24"/>
          <w:lang w:val="ro-RO"/>
        </w:rPr>
        <w:t>94,7</w:t>
      </w:r>
      <w:r w:rsidRPr="00944E3A">
        <w:rPr>
          <w:rFonts w:cs="Arial"/>
          <w:sz w:val="24"/>
          <w:szCs w:val="24"/>
          <w:lang w:val="ro-RO"/>
        </w:rPr>
        <w:t>%.</w:t>
      </w:r>
    </w:p>
    <w:p w:rsidR="00944E3A" w:rsidRPr="002D63D4" w:rsidRDefault="00944E3A" w:rsidP="00A544C8">
      <w:pPr>
        <w:pStyle w:val="ListParagraph"/>
        <w:shd w:val="clear" w:color="auto" w:fill="FFFFFF"/>
        <w:tabs>
          <w:tab w:val="left" w:pos="851"/>
          <w:tab w:val="left" w:pos="1276"/>
        </w:tabs>
        <w:spacing w:after="120"/>
        <w:ind w:left="1276"/>
        <w:jc w:val="both"/>
        <w:rPr>
          <w:rFonts w:cs="Arial"/>
          <w:sz w:val="24"/>
          <w:szCs w:val="24"/>
          <w:lang w:val="ro-RO"/>
        </w:rPr>
      </w:pPr>
      <w:r w:rsidRPr="002D63D4">
        <w:rPr>
          <w:rFonts w:cs="Arial"/>
          <w:sz w:val="24"/>
          <w:szCs w:val="24"/>
          <w:lang w:val="ro-RO"/>
        </w:rPr>
        <w:t xml:space="preserve">Comparativ cu trimestrul II 2016 încasările din taxa pe valoarea adăugată au crescut cu 1,5% pe fondul creșterii încasărilor din </w:t>
      </w:r>
      <w:r w:rsidR="002D63D4" w:rsidRPr="002D63D4">
        <w:rPr>
          <w:rFonts w:cs="Arial"/>
          <w:sz w:val="24"/>
          <w:szCs w:val="24"/>
          <w:lang w:val="ro-RO"/>
        </w:rPr>
        <w:t>operațiuni</w:t>
      </w:r>
      <w:r w:rsidRPr="002D63D4">
        <w:rPr>
          <w:rFonts w:cs="Arial"/>
          <w:sz w:val="24"/>
          <w:szCs w:val="24"/>
          <w:lang w:val="ro-RO"/>
        </w:rPr>
        <w:t xml:space="preserve"> interne cu 4%, în condițiile în care volumul cifrei de afaceri pentru </w:t>
      </w:r>
      <w:r w:rsidR="002D63D4" w:rsidRPr="002D63D4">
        <w:rPr>
          <w:rFonts w:cs="Arial"/>
          <w:sz w:val="24"/>
          <w:szCs w:val="24"/>
          <w:lang w:val="ro-RO"/>
        </w:rPr>
        <w:t>comerțul</w:t>
      </w:r>
      <w:r w:rsidRPr="002D63D4">
        <w:rPr>
          <w:rFonts w:cs="Arial"/>
          <w:sz w:val="24"/>
          <w:szCs w:val="24"/>
          <w:lang w:val="ro-RO"/>
        </w:rPr>
        <w:t xml:space="preserve"> cu amănuntul (cu </w:t>
      </w:r>
      <w:r w:rsidR="002D63D4" w:rsidRPr="002D63D4">
        <w:rPr>
          <w:rFonts w:cs="Arial"/>
          <w:sz w:val="24"/>
          <w:szCs w:val="24"/>
          <w:lang w:val="ro-RO"/>
        </w:rPr>
        <w:t>excepția</w:t>
      </w:r>
      <w:r w:rsidRPr="002D63D4">
        <w:rPr>
          <w:rFonts w:cs="Arial"/>
          <w:sz w:val="24"/>
          <w:szCs w:val="24"/>
          <w:lang w:val="ro-RO"/>
        </w:rPr>
        <w:t xml:space="preserve"> </w:t>
      </w:r>
      <w:r w:rsidR="002D63D4" w:rsidRPr="002D63D4">
        <w:rPr>
          <w:rFonts w:cs="Arial"/>
          <w:sz w:val="24"/>
          <w:szCs w:val="24"/>
          <w:lang w:val="ro-RO"/>
        </w:rPr>
        <w:t>comerțului</w:t>
      </w:r>
      <w:r w:rsidRPr="002D63D4">
        <w:rPr>
          <w:rFonts w:cs="Arial"/>
          <w:sz w:val="24"/>
          <w:szCs w:val="24"/>
          <w:lang w:val="ro-RO"/>
        </w:rPr>
        <w:t xml:space="preserve"> cu autovehicule şi motociclete),  serie  brută,  în  perioada  1.I‐ 31.V.2017,  comparativ  cu  perioada  1.I‐31.V.2016</w:t>
      </w:r>
      <w:r w:rsidRPr="002D63D4">
        <w:rPr>
          <w:rFonts w:cs="Arial"/>
          <w:sz w:val="24"/>
          <w:szCs w:val="24"/>
          <w:vertAlign w:val="superscript"/>
          <w:lang w:val="ro-RO"/>
        </w:rPr>
        <w:footnoteReference w:id="4"/>
      </w:r>
      <w:r w:rsidRPr="002D63D4">
        <w:rPr>
          <w:rFonts w:cs="Arial"/>
          <w:sz w:val="24"/>
          <w:szCs w:val="24"/>
          <w:lang w:val="ro-RO"/>
        </w:rPr>
        <w:t xml:space="preserve">  a  înregistrat  o  </w:t>
      </w:r>
      <w:r w:rsidR="002D63D4" w:rsidRPr="002D63D4">
        <w:rPr>
          <w:rFonts w:cs="Arial"/>
          <w:sz w:val="24"/>
          <w:szCs w:val="24"/>
          <w:lang w:val="ro-RO"/>
        </w:rPr>
        <w:t>creștere</w:t>
      </w:r>
      <w:r w:rsidRPr="002D63D4">
        <w:rPr>
          <w:rFonts w:cs="Arial"/>
          <w:sz w:val="24"/>
          <w:szCs w:val="24"/>
          <w:lang w:val="ro-RO"/>
        </w:rPr>
        <w:t xml:space="preserve">  cu  7,9%, și a</w:t>
      </w:r>
      <w:r w:rsidRPr="002D63D4">
        <w:rPr>
          <w:noProof/>
          <w:sz w:val="24"/>
          <w:szCs w:val="24"/>
          <w:lang w:val="ro-RO" w:eastAsia="ro-RO"/>
        </w:rPr>
        <w:t xml:space="preserve"> </w:t>
      </w:r>
      <w:r w:rsidRPr="002D63D4">
        <w:rPr>
          <w:rFonts w:cs="Arial"/>
          <w:sz w:val="24"/>
          <w:szCs w:val="24"/>
          <w:lang w:val="ro-RO"/>
        </w:rPr>
        <w:t xml:space="preserve">încasărilor din importurile de bunuri cu 7%, în condițiile creșterii cu </w:t>
      </w:r>
      <w:r w:rsidR="00784C71" w:rsidRPr="002D63D4">
        <w:rPr>
          <w:rFonts w:cs="Arial"/>
          <w:sz w:val="24"/>
          <w:szCs w:val="24"/>
          <w:lang w:val="ro-RO"/>
        </w:rPr>
        <w:t>13</w:t>
      </w:r>
      <w:r w:rsidRPr="002D63D4">
        <w:rPr>
          <w:rFonts w:cs="Arial"/>
          <w:sz w:val="24"/>
          <w:szCs w:val="24"/>
          <w:lang w:val="ro-RO"/>
        </w:rPr>
        <w:t>% a importurilor de bunuri din zona extracomunitară</w:t>
      </w:r>
      <w:r w:rsidRPr="002D63D4">
        <w:rPr>
          <w:rFonts w:cs="Arial"/>
          <w:sz w:val="24"/>
          <w:szCs w:val="24"/>
          <w:vertAlign w:val="superscript"/>
          <w:lang w:val="ro-RO"/>
        </w:rPr>
        <w:footnoteReference w:id="5"/>
      </w:r>
      <w:r w:rsidRPr="002D63D4">
        <w:rPr>
          <w:rFonts w:cs="Arial"/>
          <w:sz w:val="24"/>
          <w:szCs w:val="24"/>
          <w:lang w:val="ro-RO"/>
        </w:rPr>
        <w:t>.</w:t>
      </w:r>
    </w:p>
    <w:p w:rsidR="00944E3A" w:rsidRDefault="00784C71" w:rsidP="00F93DC5">
      <w:pPr>
        <w:pStyle w:val="ListParagraph"/>
        <w:numPr>
          <w:ilvl w:val="0"/>
          <w:numId w:val="11"/>
        </w:numPr>
        <w:shd w:val="clear" w:color="auto" w:fill="FFFFFF"/>
        <w:tabs>
          <w:tab w:val="left" w:pos="851"/>
          <w:tab w:val="left" w:pos="1276"/>
        </w:tabs>
        <w:spacing w:after="0"/>
        <w:jc w:val="both"/>
        <w:rPr>
          <w:rFonts w:cs="Arial"/>
          <w:sz w:val="24"/>
          <w:szCs w:val="24"/>
          <w:lang w:val="ro-RO"/>
        </w:rPr>
      </w:pPr>
      <w:r>
        <w:rPr>
          <w:rFonts w:cs="Arial"/>
          <w:sz w:val="24"/>
          <w:szCs w:val="24"/>
          <w:lang w:val="ro-RO"/>
        </w:rPr>
        <w:t>Încasăril</w:t>
      </w:r>
      <w:r w:rsidR="00944E3A">
        <w:rPr>
          <w:rFonts w:cs="Arial"/>
          <w:sz w:val="24"/>
          <w:szCs w:val="24"/>
          <w:lang w:val="ro-RO"/>
        </w:rPr>
        <w:t xml:space="preserve">e din </w:t>
      </w:r>
      <w:r w:rsidR="00944E3A" w:rsidRPr="00784C71">
        <w:rPr>
          <w:rFonts w:cs="Arial"/>
          <w:b/>
          <w:sz w:val="24"/>
          <w:szCs w:val="24"/>
          <w:lang w:val="ro-RO"/>
        </w:rPr>
        <w:t>accize</w:t>
      </w:r>
      <w:r w:rsidR="00944E3A">
        <w:rPr>
          <w:rFonts w:cs="Arial"/>
          <w:sz w:val="24"/>
          <w:szCs w:val="24"/>
          <w:lang w:val="ro-RO"/>
        </w:rPr>
        <w:t xml:space="preserve"> au însumat 6</w:t>
      </w:r>
      <w:r>
        <w:rPr>
          <w:rFonts w:cs="Arial"/>
          <w:sz w:val="24"/>
          <w:szCs w:val="24"/>
          <w:lang w:val="ro-RO"/>
        </w:rPr>
        <w:t>.</w:t>
      </w:r>
      <w:r w:rsidR="00944E3A">
        <w:rPr>
          <w:rFonts w:cs="Arial"/>
          <w:sz w:val="24"/>
          <w:szCs w:val="24"/>
          <w:lang w:val="ro-RO"/>
        </w:rPr>
        <w:t xml:space="preserve">246,7 milioane lei (0,8% din PIB), </w:t>
      </w:r>
      <w:r w:rsidR="00F93DC5">
        <w:rPr>
          <w:rFonts w:cs="Arial"/>
          <w:sz w:val="24"/>
          <w:szCs w:val="24"/>
          <w:lang w:val="ro-RO"/>
        </w:rPr>
        <w:t>gradul de realizare al pr</w:t>
      </w:r>
      <w:r w:rsidR="00E73693">
        <w:rPr>
          <w:rFonts w:cs="Arial"/>
          <w:sz w:val="24"/>
          <w:szCs w:val="24"/>
          <w:lang w:val="ro-RO"/>
        </w:rPr>
        <w:t>ogramului fiind de 97,4%.</w:t>
      </w:r>
    </w:p>
    <w:p w:rsidR="00E73693" w:rsidRPr="00E73693" w:rsidRDefault="00784C71" w:rsidP="00F93DC5">
      <w:pPr>
        <w:pStyle w:val="ListParagraph"/>
        <w:shd w:val="clear" w:color="auto" w:fill="FFFFFF"/>
        <w:tabs>
          <w:tab w:val="left" w:pos="851"/>
          <w:tab w:val="left" w:pos="1276"/>
        </w:tabs>
        <w:spacing w:after="0"/>
        <w:ind w:left="1276" w:hanging="142"/>
        <w:jc w:val="both"/>
        <w:rPr>
          <w:rFonts w:cs="Arial"/>
          <w:sz w:val="24"/>
          <w:szCs w:val="24"/>
          <w:lang w:val="ro-RO"/>
        </w:rPr>
      </w:pPr>
      <w:r>
        <w:rPr>
          <w:rFonts w:cs="Arial"/>
          <w:sz w:val="24"/>
          <w:szCs w:val="24"/>
          <w:lang w:val="ro-RO"/>
        </w:rPr>
        <w:tab/>
      </w:r>
      <w:r w:rsidR="00E73693" w:rsidRPr="00E73693">
        <w:rPr>
          <w:rFonts w:cs="Arial"/>
          <w:sz w:val="24"/>
          <w:szCs w:val="24"/>
          <w:lang w:val="ro-RO"/>
        </w:rPr>
        <w:t>Încasările din accize la produse</w:t>
      </w:r>
      <w:r w:rsidR="004E2438">
        <w:rPr>
          <w:rFonts w:cs="Arial"/>
          <w:sz w:val="24"/>
          <w:szCs w:val="24"/>
          <w:lang w:val="ro-RO"/>
        </w:rPr>
        <w:t>le</w:t>
      </w:r>
      <w:r w:rsidR="00E73693" w:rsidRPr="00E73693">
        <w:rPr>
          <w:rFonts w:cs="Arial"/>
          <w:sz w:val="24"/>
          <w:szCs w:val="24"/>
          <w:lang w:val="ro-RO"/>
        </w:rPr>
        <w:t xml:space="preserve"> energetice au scăzut cu 11,9% față de aceeași perioadă a anului precedent fiind influențate din punct de vedere legislativ de </w:t>
      </w:r>
      <w:r w:rsidR="004E2438" w:rsidRPr="004E2438">
        <w:rPr>
          <w:rFonts w:cs="Arial"/>
          <w:sz w:val="24"/>
          <w:szCs w:val="24"/>
          <w:lang w:val="ro-RO"/>
        </w:rPr>
        <w:t>diminuarea nivelului accizelor la produsele energetice de la 1 ianuarie 2017</w:t>
      </w:r>
      <w:r w:rsidR="004E2438">
        <w:rPr>
          <w:rFonts w:cs="Arial"/>
          <w:sz w:val="24"/>
          <w:szCs w:val="24"/>
          <w:lang w:val="ro-RO"/>
        </w:rPr>
        <w:t>,</w:t>
      </w:r>
      <w:r w:rsidR="004E2438" w:rsidRPr="004E2438">
        <w:rPr>
          <w:rFonts w:cs="Arial"/>
          <w:sz w:val="24"/>
          <w:szCs w:val="24"/>
          <w:lang w:val="ro-RO"/>
        </w:rPr>
        <w:t xml:space="preserve"> conform  prevederilor Legii nr 227/2015</w:t>
      </w:r>
      <w:r w:rsidR="00E73693" w:rsidRPr="00E73693">
        <w:rPr>
          <w:rFonts w:cs="Arial"/>
          <w:sz w:val="24"/>
          <w:szCs w:val="24"/>
          <w:lang w:val="ro-RO"/>
        </w:rPr>
        <w:t>.</w:t>
      </w:r>
    </w:p>
    <w:p w:rsidR="00E73693" w:rsidRPr="00E73693" w:rsidRDefault="00E73693" w:rsidP="00F93DC5">
      <w:pPr>
        <w:pStyle w:val="ListParagraph"/>
        <w:shd w:val="clear" w:color="auto" w:fill="FFFFFF"/>
        <w:tabs>
          <w:tab w:val="left" w:pos="851"/>
          <w:tab w:val="left" w:pos="1276"/>
        </w:tabs>
        <w:spacing w:after="0"/>
        <w:ind w:left="1276"/>
        <w:jc w:val="both"/>
        <w:rPr>
          <w:rFonts w:cs="Arial"/>
          <w:sz w:val="24"/>
          <w:szCs w:val="24"/>
          <w:lang w:val="ro-RO"/>
        </w:rPr>
      </w:pPr>
      <w:r w:rsidRPr="00E73693">
        <w:rPr>
          <w:rFonts w:cs="Arial"/>
          <w:sz w:val="24"/>
          <w:szCs w:val="24"/>
          <w:lang w:val="ro-RO"/>
        </w:rPr>
        <w:t>Comparativ cu perioada similară din anul anterior</w:t>
      </w:r>
      <w:r w:rsidR="00784C71">
        <w:rPr>
          <w:rFonts w:cs="Arial"/>
          <w:sz w:val="24"/>
          <w:szCs w:val="24"/>
          <w:lang w:val="ro-RO"/>
        </w:rPr>
        <w:t>,</w:t>
      </w:r>
      <w:r w:rsidRPr="00E73693">
        <w:rPr>
          <w:rFonts w:cs="Arial"/>
          <w:sz w:val="24"/>
          <w:szCs w:val="24"/>
          <w:lang w:val="ro-RO"/>
        </w:rPr>
        <w:t xml:space="preserve"> </w:t>
      </w:r>
      <w:r w:rsidR="00784C71">
        <w:rPr>
          <w:rFonts w:cs="Arial"/>
          <w:sz w:val="24"/>
          <w:szCs w:val="24"/>
          <w:lang w:val="ro-RO"/>
        </w:rPr>
        <w:t xml:space="preserve">la bugetul de stat, </w:t>
      </w:r>
      <w:r w:rsidRPr="00E73693">
        <w:rPr>
          <w:rFonts w:cs="Arial"/>
          <w:sz w:val="24"/>
          <w:szCs w:val="24"/>
          <w:lang w:val="ro-RO"/>
        </w:rPr>
        <w:t>accizele din tutun au scăzut cu 1,3%, iar cele din alcool au crescut cu 9,0%.</w:t>
      </w:r>
    </w:p>
    <w:p w:rsidR="007937DD" w:rsidRPr="00B3348C" w:rsidRDefault="00723CEA" w:rsidP="00FC44BB">
      <w:pPr>
        <w:pStyle w:val="ListParagraph"/>
        <w:numPr>
          <w:ilvl w:val="0"/>
          <w:numId w:val="7"/>
        </w:numPr>
        <w:spacing w:before="240"/>
        <w:ind w:left="1276" w:hanging="425"/>
        <w:jc w:val="both"/>
        <w:rPr>
          <w:rFonts w:cs="Arial"/>
          <w:sz w:val="24"/>
          <w:szCs w:val="24"/>
          <w:lang w:val="ro-RO"/>
        </w:rPr>
      </w:pPr>
      <w:r w:rsidRPr="00B3348C">
        <w:rPr>
          <w:rFonts w:cs="Arial"/>
          <w:sz w:val="24"/>
          <w:szCs w:val="24"/>
          <w:lang w:val="ro-RO"/>
        </w:rPr>
        <w:t>Încasările din</w:t>
      </w:r>
      <w:r w:rsidRPr="00B3348C">
        <w:rPr>
          <w:rFonts w:cs="Arial"/>
          <w:b/>
          <w:bCs/>
          <w:sz w:val="24"/>
          <w:szCs w:val="24"/>
          <w:lang w:val="ro-RO"/>
        </w:rPr>
        <w:t xml:space="preserve"> impozitul pe </w:t>
      </w:r>
      <w:r w:rsidR="008A1921" w:rsidRPr="00B3348C">
        <w:rPr>
          <w:rFonts w:cs="Arial"/>
          <w:b/>
          <w:bCs/>
          <w:sz w:val="24"/>
          <w:szCs w:val="24"/>
          <w:lang w:val="ro-RO"/>
        </w:rPr>
        <w:t>comerț</w:t>
      </w:r>
      <w:r w:rsidRPr="00B3348C">
        <w:rPr>
          <w:rFonts w:cs="Arial"/>
          <w:b/>
          <w:bCs/>
          <w:sz w:val="24"/>
          <w:szCs w:val="24"/>
          <w:lang w:val="ro-RO"/>
        </w:rPr>
        <w:t xml:space="preserve"> exterior şi </w:t>
      </w:r>
      <w:r w:rsidR="008A1921" w:rsidRPr="00B3348C">
        <w:rPr>
          <w:rFonts w:cs="Arial"/>
          <w:b/>
          <w:bCs/>
          <w:sz w:val="24"/>
          <w:szCs w:val="24"/>
          <w:lang w:val="ro-RO"/>
        </w:rPr>
        <w:t>tranzacțiile</w:t>
      </w:r>
      <w:r w:rsidRPr="00B3348C">
        <w:rPr>
          <w:rFonts w:cs="Arial"/>
          <w:b/>
          <w:bCs/>
          <w:sz w:val="24"/>
          <w:szCs w:val="24"/>
          <w:lang w:val="ro-RO"/>
        </w:rPr>
        <w:t xml:space="preserve"> </w:t>
      </w:r>
      <w:r w:rsidR="008A1921" w:rsidRPr="00B3348C">
        <w:rPr>
          <w:rFonts w:cs="Arial"/>
          <w:b/>
          <w:bCs/>
          <w:sz w:val="24"/>
          <w:szCs w:val="24"/>
          <w:lang w:val="ro-RO"/>
        </w:rPr>
        <w:t>internaționale</w:t>
      </w:r>
      <w:r w:rsidRPr="00B3348C">
        <w:rPr>
          <w:rFonts w:cs="Arial"/>
          <w:sz w:val="24"/>
          <w:szCs w:val="24"/>
          <w:lang w:val="ro-RO"/>
        </w:rPr>
        <w:t xml:space="preserve"> s-au realizat în </w:t>
      </w:r>
      <w:r w:rsidR="008A1921" w:rsidRPr="00B3348C">
        <w:rPr>
          <w:rFonts w:cs="Arial"/>
          <w:sz w:val="24"/>
          <w:szCs w:val="24"/>
          <w:lang w:val="ro-RO"/>
        </w:rPr>
        <w:t>proporție</w:t>
      </w:r>
      <w:r w:rsidRPr="00B3348C">
        <w:rPr>
          <w:rFonts w:cs="Arial"/>
          <w:sz w:val="24"/>
          <w:szCs w:val="24"/>
          <w:lang w:val="ro-RO"/>
        </w:rPr>
        <w:t xml:space="preserve"> de </w:t>
      </w:r>
      <w:r w:rsidR="00784C71">
        <w:rPr>
          <w:rFonts w:cs="Arial"/>
          <w:sz w:val="24"/>
          <w:szCs w:val="24"/>
          <w:lang w:val="ro-RO"/>
        </w:rPr>
        <w:t>96,2</w:t>
      </w:r>
      <w:r w:rsidRPr="00B3348C">
        <w:rPr>
          <w:rFonts w:cs="Arial"/>
          <w:sz w:val="24"/>
          <w:szCs w:val="24"/>
          <w:lang w:val="ro-RO"/>
        </w:rPr>
        <w:t xml:space="preserve">%, </w:t>
      </w:r>
      <w:r w:rsidR="00784C71">
        <w:rPr>
          <w:rFonts w:cs="Arial"/>
          <w:sz w:val="24"/>
          <w:szCs w:val="24"/>
          <w:lang w:val="ro-RO"/>
        </w:rPr>
        <w:t xml:space="preserve">iar comparativ cu aceeași perioada a anului precedent au scăzut cu 11,8% cu toate că </w:t>
      </w:r>
      <w:r w:rsidRPr="00B3348C">
        <w:rPr>
          <w:rFonts w:cs="Arial"/>
          <w:sz w:val="24"/>
          <w:szCs w:val="24"/>
          <w:lang w:val="ro-RO"/>
        </w:rPr>
        <w:t>importuril</w:t>
      </w:r>
      <w:r w:rsidR="00784C71">
        <w:rPr>
          <w:rFonts w:cs="Arial"/>
          <w:sz w:val="24"/>
          <w:szCs w:val="24"/>
          <w:lang w:val="ro-RO"/>
        </w:rPr>
        <w:t>e</w:t>
      </w:r>
      <w:r w:rsidRPr="00B3348C">
        <w:rPr>
          <w:rFonts w:cs="Arial"/>
          <w:sz w:val="24"/>
          <w:szCs w:val="24"/>
          <w:lang w:val="ro-RO"/>
        </w:rPr>
        <w:t xml:space="preserve"> </w:t>
      </w:r>
      <w:proofErr w:type="spellStart"/>
      <w:r w:rsidR="00D2782F" w:rsidRPr="00B3348C">
        <w:rPr>
          <w:rFonts w:cs="Arial"/>
          <w:sz w:val="24"/>
          <w:szCs w:val="24"/>
          <w:lang w:val="ro-RO"/>
        </w:rPr>
        <w:t>extracomunitare</w:t>
      </w:r>
      <w:proofErr w:type="spellEnd"/>
      <w:r w:rsidR="00D2782F" w:rsidRPr="00B3348C">
        <w:rPr>
          <w:rFonts w:cs="Arial"/>
          <w:sz w:val="24"/>
          <w:szCs w:val="24"/>
          <w:lang w:val="ro-RO"/>
        </w:rPr>
        <w:t xml:space="preserve"> de </w:t>
      </w:r>
      <w:r w:rsidR="00CA1F93" w:rsidRPr="00B3348C">
        <w:rPr>
          <w:rFonts w:cs="Arial"/>
          <w:sz w:val="24"/>
          <w:szCs w:val="24"/>
          <w:lang w:val="ro-RO"/>
        </w:rPr>
        <w:t>bunuri</w:t>
      </w:r>
      <w:r w:rsidR="00B65834" w:rsidRPr="00B3348C">
        <w:rPr>
          <w:rFonts w:cs="Arial"/>
          <w:sz w:val="24"/>
          <w:szCs w:val="24"/>
          <w:lang w:val="ro-RO"/>
        </w:rPr>
        <w:t xml:space="preserve"> din primele 2 luni ale </w:t>
      </w:r>
      <w:r w:rsidR="00784C71">
        <w:rPr>
          <w:rFonts w:cs="Arial"/>
          <w:sz w:val="24"/>
          <w:szCs w:val="24"/>
          <w:lang w:val="ro-RO"/>
        </w:rPr>
        <w:t>trimestrului II</w:t>
      </w:r>
      <w:r w:rsidR="00B65834" w:rsidRPr="00B3348C">
        <w:rPr>
          <w:rFonts w:cs="Arial"/>
          <w:sz w:val="24"/>
          <w:szCs w:val="24"/>
          <w:lang w:val="ro-RO"/>
        </w:rPr>
        <w:t xml:space="preserve"> </w:t>
      </w:r>
      <w:r w:rsidR="002277FA" w:rsidRPr="00B3348C">
        <w:rPr>
          <w:rFonts w:cs="Arial"/>
          <w:sz w:val="24"/>
          <w:szCs w:val="24"/>
          <w:lang w:val="ro-RO"/>
        </w:rPr>
        <w:t>2017</w:t>
      </w:r>
      <w:r w:rsidR="00784C71">
        <w:rPr>
          <w:rFonts w:cs="Arial"/>
          <w:sz w:val="24"/>
          <w:szCs w:val="24"/>
          <w:lang w:val="ro-RO"/>
        </w:rPr>
        <w:t>au crescut cu 13</w:t>
      </w:r>
      <w:r w:rsidR="00D2782F" w:rsidRPr="00B3348C">
        <w:rPr>
          <w:rFonts w:cs="Arial"/>
          <w:sz w:val="24"/>
          <w:szCs w:val="24"/>
          <w:lang w:val="ro-RO"/>
        </w:rPr>
        <w:t>%</w:t>
      </w:r>
      <w:r w:rsidR="00D2782F" w:rsidRPr="00B3348C">
        <w:rPr>
          <w:rStyle w:val="FootnoteReference"/>
          <w:rFonts w:cs="Arial"/>
          <w:sz w:val="24"/>
          <w:szCs w:val="24"/>
          <w:lang w:val="ro-RO"/>
        </w:rPr>
        <w:footnoteReference w:id="6"/>
      </w:r>
      <w:r w:rsidR="00862EB4" w:rsidRPr="00B3348C">
        <w:rPr>
          <w:rFonts w:cs="Arial"/>
          <w:sz w:val="24"/>
          <w:szCs w:val="24"/>
          <w:lang w:val="ro-RO"/>
        </w:rPr>
        <w:t>.</w:t>
      </w:r>
    </w:p>
    <w:p w:rsidR="00845E18" w:rsidRPr="00DD713F" w:rsidRDefault="00723CEA" w:rsidP="00FC44BB">
      <w:pPr>
        <w:spacing w:after="0"/>
        <w:ind w:right="-57" w:firstLine="720"/>
        <w:jc w:val="both"/>
        <w:rPr>
          <w:rFonts w:cs="Arial"/>
          <w:bCs/>
          <w:noProof/>
          <w:sz w:val="24"/>
          <w:szCs w:val="24"/>
          <w:lang w:val="ro-RO" w:eastAsia="ro-RO"/>
        </w:rPr>
      </w:pPr>
      <w:r w:rsidRPr="00DD713F">
        <w:rPr>
          <w:rFonts w:cs="Arial"/>
          <w:noProof/>
          <w:sz w:val="24"/>
          <w:szCs w:val="24"/>
          <w:lang w:val="ro-RO" w:eastAsia="ro-RO"/>
        </w:rPr>
        <w:t xml:space="preserve">Încasările din </w:t>
      </w:r>
      <w:r w:rsidRPr="00DD713F">
        <w:rPr>
          <w:rFonts w:cs="Arial"/>
          <w:b/>
          <w:bCs/>
          <w:noProof/>
          <w:sz w:val="24"/>
          <w:szCs w:val="24"/>
          <w:lang w:val="ro-RO" w:eastAsia="ro-RO"/>
        </w:rPr>
        <w:t xml:space="preserve">contribuţii de asigurări </w:t>
      </w:r>
      <w:r w:rsidR="00927F6E" w:rsidRPr="00DD713F">
        <w:rPr>
          <w:rFonts w:cs="Arial"/>
          <w:b/>
          <w:bCs/>
          <w:noProof/>
          <w:sz w:val="24"/>
          <w:szCs w:val="24"/>
          <w:lang w:val="ro-RO" w:eastAsia="ro-RO"/>
        </w:rPr>
        <w:t xml:space="preserve">au însumat 17.455,1 milioane lei </w:t>
      </w:r>
      <w:r w:rsidRPr="00DD713F">
        <w:rPr>
          <w:rFonts w:cs="Arial"/>
          <w:noProof/>
          <w:sz w:val="24"/>
          <w:szCs w:val="24"/>
          <w:lang w:val="ro-RO" w:eastAsia="ro-RO"/>
        </w:rPr>
        <w:t>au reprezentat</w:t>
      </w:r>
      <w:r w:rsidRPr="00DD713F">
        <w:rPr>
          <w:rFonts w:cs="Arial"/>
          <w:b/>
          <w:bCs/>
          <w:noProof/>
          <w:sz w:val="24"/>
          <w:szCs w:val="24"/>
          <w:lang w:val="ro-RO" w:eastAsia="ro-RO"/>
        </w:rPr>
        <w:t xml:space="preserve"> </w:t>
      </w:r>
      <w:r w:rsidR="00004EF8" w:rsidRPr="00DD713F">
        <w:rPr>
          <w:rFonts w:cs="Arial"/>
          <w:b/>
          <w:bCs/>
          <w:noProof/>
          <w:sz w:val="24"/>
          <w:szCs w:val="24"/>
          <w:lang w:val="ro-RO" w:eastAsia="ro-RO"/>
        </w:rPr>
        <w:t>2,1</w:t>
      </w:r>
      <w:r w:rsidRPr="00DD713F">
        <w:rPr>
          <w:rFonts w:cs="Arial"/>
          <w:b/>
          <w:bCs/>
          <w:noProof/>
          <w:sz w:val="24"/>
          <w:szCs w:val="24"/>
          <w:lang w:val="ro-RO" w:eastAsia="ro-RO"/>
        </w:rPr>
        <w:t xml:space="preserve">% </w:t>
      </w:r>
      <w:r w:rsidRPr="00DD713F">
        <w:rPr>
          <w:rFonts w:cs="Arial"/>
          <w:noProof/>
          <w:sz w:val="24"/>
          <w:szCs w:val="24"/>
          <w:lang w:val="ro-RO" w:eastAsia="ro-RO"/>
        </w:rPr>
        <w:t>din</w:t>
      </w:r>
      <w:r w:rsidRPr="00DD713F">
        <w:rPr>
          <w:rFonts w:cs="Arial"/>
          <w:b/>
          <w:bCs/>
          <w:noProof/>
          <w:sz w:val="24"/>
          <w:szCs w:val="24"/>
          <w:lang w:val="ro-RO" w:eastAsia="ro-RO"/>
        </w:rPr>
        <w:t xml:space="preserve"> </w:t>
      </w:r>
      <w:r w:rsidRPr="00DD713F">
        <w:rPr>
          <w:rFonts w:cs="Arial"/>
          <w:noProof/>
          <w:sz w:val="24"/>
          <w:szCs w:val="24"/>
          <w:lang w:val="ro-RO" w:eastAsia="ro-RO"/>
        </w:rPr>
        <w:t xml:space="preserve">PIB şi au înregistrat un grad de realizare </w:t>
      </w:r>
      <w:r w:rsidR="00004EF8" w:rsidRPr="00DD713F">
        <w:rPr>
          <w:rFonts w:cs="Arial"/>
          <w:noProof/>
          <w:sz w:val="24"/>
          <w:szCs w:val="24"/>
          <w:lang w:val="ro-RO" w:eastAsia="ro-RO"/>
        </w:rPr>
        <w:t xml:space="preserve">al programului de încasări de </w:t>
      </w:r>
      <w:r w:rsidR="00C26E73" w:rsidRPr="00DD713F">
        <w:rPr>
          <w:rFonts w:cs="Arial"/>
          <w:bCs/>
          <w:noProof/>
          <w:sz w:val="24"/>
          <w:szCs w:val="24"/>
          <w:lang w:val="ro-RO" w:eastAsia="ro-RO"/>
        </w:rPr>
        <w:t>101,</w:t>
      </w:r>
      <w:r w:rsidR="00927F6E" w:rsidRPr="00DD713F">
        <w:rPr>
          <w:rFonts w:cs="Arial"/>
          <w:bCs/>
          <w:noProof/>
          <w:sz w:val="24"/>
          <w:szCs w:val="24"/>
          <w:lang w:val="ro-RO" w:eastAsia="ro-RO"/>
        </w:rPr>
        <w:t>9</w:t>
      </w:r>
      <w:r w:rsidR="00C26E73" w:rsidRPr="00DD713F">
        <w:rPr>
          <w:rFonts w:cs="Arial"/>
          <w:bCs/>
          <w:noProof/>
          <w:sz w:val="24"/>
          <w:szCs w:val="24"/>
          <w:lang w:val="ro-RO" w:eastAsia="ro-RO"/>
        </w:rPr>
        <w:t>%</w:t>
      </w:r>
      <w:r w:rsidRPr="00DD713F">
        <w:rPr>
          <w:rFonts w:cs="Arial"/>
          <w:noProof/>
          <w:sz w:val="24"/>
          <w:szCs w:val="24"/>
          <w:lang w:val="ro-RO" w:eastAsia="ro-RO"/>
        </w:rPr>
        <w:t xml:space="preserve">, </w:t>
      </w:r>
      <w:r w:rsidR="00004EF8" w:rsidRPr="00DD713F">
        <w:rPr>
          <w:rFonts w:cs="Arial"/>
          <w:noProof/>
          <w:sz w:val="24"/>
          <w:szCs w:val="24"/>
          <w:lang w:val="ro-RO" w:eastAsia="ro-RO"/>
        </w:rPr>
        <w:t xml:space="preserve">creșteri ale nivelului încasărilor </w:t>
      </w:r>
      <w:r w:rsidR="00FC5073" w:rsidRPr="00DD713F">
        <w:rPr>
          <w:rFonts w:cs="Arial"/>
          <w:noProof/>
          <w:sz w:val="24"/>
          <w:szCs w:val="24"/>
          <w:lang w:val="ro-RO" w:eastAsia="ro-RO"/>
        </w:rPr>
        <w:t xml:space="preserve">comparativ cu programul </w:t>
      </w:r>
      <w:r w:rsidR="00195C08" w:rsidRPr="00DD713F">
        <w:rPr>
          <w:rFonts w:cs="Arial"/>
          <w:noProof/>
          <w:sz w:val="24"/>
          <w:szCs w:val="24"/>
          <w:lang w:val="ro-RO" w:eastAsia="ro-RO"/>
        </w:rPr>
        <w:t>trimestrial</w:t>
      </w:r>
      <w:r w:rsidR="00FC5073" w:rsidRPr="00DD713F">
        <w:rPr>
          <w:rFonts w:cs="Arial"/>
          <w:noProof/>
          <w:sz w:val="24"/>
          <w:szCs w:val="24"/>
          <w:lang w:val="ro-RO" w:eastAsia="ro-RO"/>
        </w:rPr>
        <w:t xml:space="preserve"> </w:t>
      </w:r>
      <w:r w:rsidR="00004EF8" w:rsidRPr="00DD713F">
        <w:rPr>
          <w:rFonts w:cs="Arial"/>
          <w:noProof/>
          <w:sz w:val="24"/>
          <w:szCs w:val="24"/>
          <w:lang w:val="ro-RO" w:eastAsia="ro-RO"/>
        </w:rPr>
        <w:t>s-au înregistrat</w:t>
      </w:r>
      <w:r w:rsidR="00195C08" w:rsidRPr="00DD713F">
        <w:rPr>
          <w:rFonts w:cs="Arial"/>
          <w:noProof/>
          <w:sz w:val="24"/>
          <w:szCs w:val="24"/>
          <w:lang w:val="ro-RO" w:eastAsia="ro-RO"/>
        </w:rPr>
        <w:t>,</w:t>
      </w:r>
      <w:r w:rsidR="00004EF8" w:rsidRPr="00DD713F">
        <w:rPr>
          <w:rFonts w:cs="Arial"/>
          <w:noProof/>
          <w:sz w:val="24"/>
          <w:szCs w:val="24"/>
          <w:lang w:val="ro-RO" w:eastAsia="ro-RO"/>
        </w:rPr>
        <w:t xml:space="preserve"> în principal</w:t>
      </w:r>
      <w:r w:rsidR="00195C08" w:rsidRPr="00DD713F">
        <w:rPr>
          <w:rFonts w:cs="Arial"/>
          <w:noProof/>
          <w:sz w:val="24"/>
          <w:szCs w:val="24"/>
          <w:lang w:val="ro-RO" w:eastAsia="ro-RO"/>
        </w:rPr>
        <w:t>,</w:t>
      </w:r>
      <w:r w:rsidR="00004EF8" w:rsidRPr="00DD713F">
        <w:rPr>
          <w:rFonts w:cs="Arial"/>
          <w:noProof/>
          <w:sz w:val="24"/>
          <w:szCs w:val="24"/>
          <w:lang w:val="ro-RO" w:eastAsia="ro-RO"/>
        </w:rPr>
        <w:t xml:space="preserve"> în cazul contribuțiilor de asigurări aferente bugetului asigurărilor sociale de stat (102,</w:t>
      </w:r>
      <w:r w:rsidR="008B0E54" w:rsidRPr="00DD713F">
        <w:rPr>
          <w:rFonts w:cs="Arial"/>
          <w:noProof/>
          <w:sz w:val="24"/>
          <w:szCs w:val="24"/>
          <w:lang w:val="ro-RO" w:eastAsia="ro-RO"/>
        </w:rPr>
        <w:t>6</w:t>
      </w:r>
      <w:r w:rsidR="00004EF8" w:rsidRPr="00DD713F">
        <w:rPr>
          <w:rFonts w:cs="Arial"/>
          <w:noProof/>
          <w:sz w:val="24"/>
          <w:szCs w:val="24"/>
          <w:lang w:val="ro-RO" w:eastAsia="ro-RO"/>
        </w:rPr>
        <w:t xml:space="preserve">%), </w:t>
      </w:r>
      <w:r w:rsidR="00FC5073" w:rsidRPr="00DD713F">
        <w:rPr>
          <w:rFonts w:cs="Arial"/>
          <w:noProof/>
          <w:sz w:val="24"/>
          <w:szCs w:val="24"/>
          <w:lang w:val="ro-RO" w:eastAsia="ro-RO"/>
        </w:rPr>
        <w:t>a celor aferente bugetului asigurărilor sociale pentru șomaj (102,</w:t>
      </w:r>
      <w:r w:rsidR="008B0E54" w:rsidRPr="00DD713F">
        <w:rPr>
          <w:rFonts w:cs="Arial"/>
          <w:noProof/>
          <w:sz w:val="24"/>
          <w:szCs w:val="24"/>
          <w:lang w:val="ro-RO" w:eastAsia="ro-RO"/>
        </w:rPr>
        <w:t>5</w:t>
      </w:r>
      <w:r w:rsidR="00FC5073" w:rsidRPr="00DD713F">
        <w:rPr>
          <w:rFonts w:cs="Arial"/>
          <w:noProof/>
          <w:sz w:val="24"/>
          <w:szCs w:val="24"/>
          <w:lang w:val="ro-RO" w:eastAsia="ro-RO"/>
        </w:rPr>
        <w:t>%)</w:t>
      </w:r>
      <w:r w:rsidR="00CE70BF" w:rsidRPr="00DD713F">
        <w:rPr>
          <w:rFonts w:cs="Arial"/>
          <w:noProof/>
          <w:sz w:val="24"/>
          <w:szCs w:val="24"/>
          <w:lang w:val="ro-RO" w:eastAsia="ro-RO"/>
        </w:rPr>
        <w:t>,</w:t>
      </w:r>
      <w:r w:rsidR="00FC5073" w:rsidRPr="00DD713F">
        <w:rPr>
          <w:rFonts w:cs="Arial"/>
          <w:noProof/>
          <w:sz w:val="24"/>
          <w:szCs w:val="24"/>
          <w:lang w:val="ro-RO" w:eastAsia="ro-RO"/>
        </w:rPr>
        <w:t xml:space="preserve"> precum și a </w:t>
      </w:r>
      <w:r w:rsidR="00004EF8" w:rsidRPr="00DD713F">
        <w:rPr>
          <w:rFonts w:cs="Arial"/>
          <w:noProof/>
          <w:sz w:val="24"/>
          <w:szCs w:val="24"/>
          <w:lang w:val="ro-RO" w:eastAsia="ro-RO"/>
        </w:rPr>
        <w:t>celor aferente bugetului Fondului național unic de asigurări sociale de sănătate (100,</w:t>
      </w:r>
      <w:r w:rsidR="008B0E54" w:rsidRPr="00DD713F">
        <w:rPr>
          <w:rFonts w:cs="Arial"/>
          <w:noProof/>
          <w:sz w:val="24"/>
          <w:szCs w:val="24"/>
          <w:lang w:val="ro-RO" w:eastAsia="ro-RO"/>
        </w:rPr>
        <w:t>6</w:t>
      </w:r>
      <w:r w:rsidR="00004EF8" w:rsidRPr="00DD713F">
        <w:rPr>
          <w:rFonts w:cs="Arial"/>
          <w:noProof/>
          <w:sz w:val="24"/>
          <w:szCs w:val="24"/>
          <w:lang w:val="ro-RO" w:eastAsia="ro-RO"/>
        </w:rPr>
        <w:t>%)</w:t>
      </w:r>
      <w:r w:rsidR="00FC5073" w:rsidRPr="00DD713F">
        <w:rPr>
          <w:rFonts w:cs="Arial"/>
          <w:bCs/>
          <w:noProof/>
          <w:sz w:val="24"/>
          <w:szCs w:val="24"/>
          <w:lang w:val="ro-RO" w:eastAsia="ro-RO"/>
        </w:rPr>
        <w:t>.</w:t>
      </w:r>
    </w:p>
    <w:p w:rsidR="00723CEA" w:rsidRPr="00DD713F" w:rsidRDefault="00FC5073" w:rsidP="00FC44BB">
      <w:pPr>
        <w:spacing w:after="0"/>
        <w:ind w:right="-57" w:firstLine="720"/>
        <w:jc w:val="both"/>
        <w:rPr>
          <w:rFonts w:cs="Arial"/>
          <w:noProof/>
          <w:sz w:val="24"/>
          <w:szCs w:val="24"/>
          <w:lang w:val="ro-RO" w:eastAsia="ro-RO"/>
        </w:rPr>
      </w:pPr>
      <w:r w:rsidRPr="00DD713F">
        <w:rPr>
          <w:rFonts w:cs="Arial"/>
          <w:bCs/>
          <w:noProof/>
          <w:sz w:val="24"/>
          <w:szCs w:val="24"/>
          <w:lang w:val="ro-RO" w:eastAsia="ro-RO"/>
        </w:rPr>
        <w:t>Comparativ cu acee</w:t>
      </w:r>
      <w:r w:rsidR="00195C08" w:rsidRPr="00DD713F">
        <w:rPr>
          <w:rFonts w:cs="Arial"/>
          <w:bCs/>
          <w:noProof/>
          <w:sz w:val="24"/>
          <w:szCs w:val="24"/>
          <w:lang w:val="ro-RO" w:eastAsia="ro-RO"/>
        </w:rPr>
        <w:t>a</w:t>
      </w:r>
      <w:r w:rsidRPr="00DD713F">
        <w:rPr>
          <w:rFonts w:cs="Arial"/>
          <w:bCs/>
          <w:noProof/>
          <w:sz w:val="24"/>
          <w:szCs w:val="24"/>
          <w:lang w:val="ro-RO" w:eastAsia="ro-RO"/>
        </w:rPr>
        <w:t xml:space="preserve">și perioadă a anului </w:t>
      </w:r>
      <w:r w:rsidR="003E1605" w:rsidRPr="00DD713F">
        <w:rPr>
          <w:rFonts w:cs="Arial"/>
          <w:bCs/>
          <w:noProof/>
          <w:sz w:val="24"/>
          <w:szCs w:val="24"/>
          <w:lang w:val="ro-RO" w:eastAsia="ro-RO"/>
        </w:rPr>
        <w:t>precedent</w:t>
      </w:r>
      <w:r w:rsidRPr="00DD713F">
        <w:rPr>
          <w:rFonts w:cs="Arial"/>
          <w:bCs/>
          <w:noProof/>
          <w:sz w:val="24"/>
          <w:szCs w:val="24"/>
          <w:lang w:val="ro-RO" w:eastAsia="ro-RO"/>
        </w:rPr>
        <w:t xml:space="preserve"> încasările din contribuții de asigurări au cre</w:t>
      </w:r>
      <w:r w:rsidR="00CC64FB" w:rsidRPr="00DD713F">
        <w:rPr>
          <w:rFonts w:cs="Arial"/>
          <w:bCs/>
          <w:noProof/>
          <w:sz w:val="24"/>
          <w:szCs w:val="24"/>
          <w:lang w:val="ro-RO" w:eastAsia="ro-RO"/>
        </w:rPr>
        <w:t>s</w:t>
      </w:r>
      <w:r w:rsidRPr="00DD713F">
        <w:rPr>
          <w:rFonts w:cs="Arial"/>
          <w:bCs/>
          <w:noProof/>
          <w:sz w:val="24"/>
          <w:szCs w:val="24"/>
          <w:lang w:val="ro-RO" w:eastAsia="ro-RO"/>
        </w:rPr>
        <w:t xml:space="preserve">cut cu </w:t>
      </w:r>
      <w:r w:rsidR="00927F6E" w:rsidRPr="00DD713F">
        <w:rPr>
          <w:rFonts w:cs="Arial"/>
          <w:bCs/>
          <w:noProof/>
          <w:sz w:val="24"/>
          <w:szCs w:val="24"/>
          <w:lang w:val="ro-RO" w:eastAsia="ro-RO"/>
        </w:rPr>
        <w:t>17,5</w:t>
      </w:r>
      <w:r w:rsidRPr="00DD713F">
        <w:rPr>
          <w:rFonts w:cs="Arial"/>
          <w:bCs/>
          <w:noProof/>
          <w:sz w:val="24"/>
          <w:szCs w:val="24"/>
          <w:lang w:val="ro-RO" w:eastAsia="ro-RO"/>
        </w:rPr>
        <w:t>% în con</w:t>
      </w:r>
      <w:r w:rsidR="00DD713F" w:rsidRPr="00DD713F">
        <w:rPr>
          <w:rFonts w:cs="Arial"/>
          <w:bCs/>
          <w:noProof/>
          <w:sz w:val="24"/>
          <w:szCs w:val="24"/>
          <w:lang w:val="ro-RO" w:eastAsia="ro-RO"/>
        </w:rPr>
        <w:t>dițiile în care efectivul sala</w:t>
      </w:r>
      <w:r w:rsidRPr="00DD713F">
        <w:rPr>
          <w:rFonts w:cs="Arial"/>
          <w:bCs/>
          <w:noProof/>
          <w:sz w:val="24"/>
          <w:szCs w:val="24"/>
          <w:lang w:val="ro-RO" w:eastAsia="ro-RO"/>
        </w:rPr>
        <w:t xml:space="preserve">riaților în economie a crescut cu </w:t>
      </w:r>
      <w:r w:rsidR="00927F6E" w:rsidRPr="00DD713F">
        <w:rPr>
          <w:rFonts w:cs="Arial"/>
          <w:bCs/>
          <w:noProof/>
          <w:sz w:val="24"/>
          <w:szCs w:val="24"/>
          <w:lang w:val="ro-RO" w:eastAsia="ro-RO"/>
        </w:rPr>
        <w:t>3,4</w:t>
      </w:r>
      <w:r w:rsidR="00927F6E" w:rsidRPr="00DD713F">
        <w:rPr>
          <w:rFonts w:cs="Arial"/>
          <w:bCs/>
          <w:noProof/>
          <w:sz w:val="24"/>
          <w:szCs w:val="24"/>
          <w:vertAlign w:val="superscript"/>
          <w:lang w:val="ro-RO" w:eastAsia="ro-RO"/>
        </w:rPr>
        <w:footnoteReference w:id="7"/>
      </w:r>
      <w:r w:rsidR="00927F6E" w:rsidRPr="00DD713F">
        <w:rPr>
          <w:rFonts w:cs="Arial"/>
          <w:bCs/>
          <w:noProof/>
          <w:sz w:val="24"/>
          <w:szCs w:val="24"/>
          <w:lang w:val="ro-RO" w:eastAsia="ro-RO"/>
        </w:rPr>
        <w:t xml:space="preserve">%, </w:t>
      </w:r>
      <w:r w:rsidR="00CE70BF" w:rsidRPr="00DD713F">
        <w:rPr>
          <w:rFonts w:cs="Arial"/>
          <w:bCs/>
          <w:noProof/>
          <w:sz w:val="24"/>
          <w:szCs w:val="24"/>
          <w:lang w:val="ro-RO" w:eastAsia="ro-RO"/>
        </w:rPr>
        <w:t>iar câș</w:t>
      </w:r>
      <w:r w:rsidRPr="00DD713F">
        <w:rPr>
          <w:rFonts w:cs="Arial"/>
          <w:bCs/>
          <w:noProof/>
          <w:sz w:val="24"/>
          <w:szCs w:val="24"/>
          <w:lang w:val="ro-RO" w:eastAsia="ro-RO"/>
        </w:rPr>
        <w:t xml:space="preserve">tigul salarial mediu brut cu </w:t>
      </w:r>
      <w:r w:rsidR="00927F6E" w:rsidRPr="00DD713F">
        <w:rPr>
          <w:rFonts w:cs="Arial"/>
          <w:bCs/>
          <w:noProof/>
          <w:sz w:val="24"/>
          <w:szCs w:val="24"/>
          <w:lang w:val="ro-RO" w:eastAsia="ro-RO"/>
        </w:rPr>
        <w:t>14,9</w:t>
      </w:r>
      <w:r w:rsidR="00927F6E" w:rsidRPr="00DD713F">
        <w:rPr>
          <w:rFonts w:cs="Arial"/>
          <w:bCs/>
          <w:noProof/>
          <w:sz w:val="24"/>
          <w:szCs w:val="24"/>
          <w:vertAlign w:val="superscript"/>
          <w:lang w:val="ro-RO" w:eastAsia="ro-RO"/>
        </w:rPr>
        <w:footnoteReference w:id="8"/>
      </w:r>
      <w:r w:rsidR="00927F6E" w:rsidRPr="00DD713F">
        <w:rPr>
          <w:rFonts w:cs="Arial"/>
          <w:bCs/>
          <w:noProof/>
          <w:sz w:val="24"/>
          <w:szCs w:val="24"/>
          <w:lang w:val="ro-RO" w:eastAsia="ro-RO"/>
        </w:rPr>
        <w:t>%.</w:t>
      </w:r>
    </w:p>
    <w:p w:rsidR="002E2A03" w:rsidRPr="00461DA8" w:rsidRDefault="00723CEA" w:rsidP="00F93DC5">
      <w:pPr>
        <w:pStyle w:val="NormalWeb"/>
        <w:spacing w:after="0" w:afterAutospacing="0"/>
        <w:rPr>
          <w:rFonts w:ascii="Calibri" w:hAnsi="Calibri"/>
          <w:lang w:val="ro-RO"/>
        </w:rPr>
      </w:pPr>
      <w:r w:rsidRPr="00461DA8">
        <w:rPr>
          <w:rFonts w:ascii="Calibri" w:hAnsi="Calibri"/>
          <w:b/>
          <w:lang w:val="ro-RO"/>
        </w:rPr>
        <w:t>Veniturile nefiscale</w:t>
      </w:r>
      <w:r w:rsidRPr="00461DA8">
        <w:rPr>
          <w:rFonts w:ascii="Calibri" w:hAnsi="Calibri"/>
          <w:lang w:val="ro-RO"/>
        </w:rPr>
        <w:t xml:space="preserve"> au fost în sumă de </w:t>
      </w:r>
      <w:r w:rsidR="00927F6E" w:rsidRPr="00461DA8">
        <w:rPr>
          <w:rFonts w:ascii="Calibri" w:hAnsi="Calibri"/>
          <w:b/>
          <w:bCs/>
          <w:lang w:val="ro-RO"/>
        </w:rPr>
        <w:t>5.170,9</w:t>
      </w:r>
      <w:r w:rsidR="00B65834" w:rsidRPr="00461DA8">
        <w:rPr>
          <w:rFonts w:ascii="Calibri" w:hAnsi="Calibri"/>
          <w:b/>
          <w:bCs/>
          <w:lang w:val="ro-RO"/>
        </w:rPr>
        <w:t xml:space="preserve"> milioane lei </w:t>
      </w:r>
      <w:r w:rsidRPr="00461DA8">
        <w:rPr>
          <w:rFonts w:ascii="Calibri" w:hAnsi="Calibri"/>
          <w:lang w:val="ro-RO"/>
        </w:rPr>
        <w:t>(0,</w:t>
      </w:r>
      <w:r w:rsidR="00927F6E" w:rsidRPr="00461DA8">
        <w:rPr>
          <w:rFonts w:ascii="Calibri" w:hAnsi="Calibri"/>
          <w:lang w:val="ro-RO"/>
        </w:rPr>
        <w:t>6</w:t>
      </w:r>
      <w:r w:rsidRPr="00461DA8">
        <w:rPr>
          <w:rFonts w:ascii="Calibri" w:hAnsi="Calibri"/>
          <w:lang w:val="ro-RO"/>
        </w:rPr>
        <w:t>%</w:t>
      </w:r>
      <w:r w:rsidRPr="00461DA8">
        <w:rPr>
          <w:rFonts w:ascii="Calibri" w:hAnsi="Calibri"/>
          <w:b/>
          <w:bCs/>
          <w:lang w:val="ro-RO"/>
        </w:rPr>
        <w:t xml:space="preserve"> </w:t>
      </w:r>
      <w:r w:rsidRPr="00461DA8">
        <w:rPr>
          <w:rFonts w:ascii="Calibri" w:hAnsi="Calibri"/>
          <w:lang w:val="ro-RO"/>
        </w:rPr>
        <w:t>din PIB) şi au înregistrat un</w:t>
      </w:r>
      <w:r w:rsidRPr="00461DA8">
        <w:rPr>
          <w:rFonts w:ascii="Calibri" w:hAnsi="Calibri"/>
          <w:b/>
          <w:bCs/>
          <w:lang w:val="ro-RO"/>
        </w:rPr>
        <w:t xml:space="preserve"> </w:t>
      </w:r>
      <w:r w:rsidRPr="00461DA8">
        <w:rPr>
          <w:rFonts w:ascii="Calibri" w:hAnsi="Calibri"/>
          <w:lang w:val="ro-RO"/>
        </w:rPr>
        <w:t xml:space="preserve">grad de realizare </w:t>
      </w:r>
      <w:r w:rsidR="00CC64FB" w:rsidRPr="00461DA8">
        <w:rPr>
          <w:rFonts w:ascii="Calibri" w:hAnsi="Calibri"/>
          <w:lang w:val="ro-RO"/>
        </w:rPr>
        <w:t>a programului trimestrial</w:t>
      </w:r>
      <w:r w:rsidRPr="00461DA8">
        <w:rPr>
          <w:rFonts w:ascii="Calibri" w:hAnsi="Calibri"/>
          <w:lang w:val="ro-RO"/>
        </w:rPr>
        <w:t xml:space="preserve"> de </w:t>
      </w:r>
      <w:r w:rsidR="00927F6E" w:rsidRPr="00461DA8">
        <w:rPr>
          <w:rFonts w:ascii="Calibri" w:hAnsi="Calibri"/>
          <w:bCs/>
          <w:lang w:val="ro-RO"/>
        </w:rPr>
        <w:t>122,4</w:t>
      </w:r>
      <w:r w:rsidR="00C26E73" w:rsidRPr="00461DA8">
        <w:rPr>
          <w:rFonts w:ascii="Calibri" w:hAnsi="Calibri"/>
          <w:bCs/>
          <w:lang w:val="ro-RO"/>
        </w:rPr>
        <w:t>%</w:t>
      </w:r>
      <w:r w:rsidRPr="00461DA8">
        <w:rPr>
          <w:rFonts w:ascii="Calibri" w:hAnsi="Calibri"/>
          <w:bCs/>
          <w:lang w:val="ro-RO"/>
        </w:rPr>
        <w:t>.</w:t>
      </w:r>
      <w:r w:rsidR="00DA1CBA" w:rsidRPr="00461DA8">
        <w:rPr>
          <w:rFonts w:ascii="Calibri" w:hAnsi="Calibri"/>
          <w:lang w:val="ro-RO"/>
        </w:rPr>
        <w:t xml:space="preserve"> </w:t>
      </w:r>
    </w:p>
    <w:p w:rsidR="00927F6E" w:rsidRPr="00461DA8" w:rsidRDefault="00927F6E" w:rsidP="00F93DC5">
      <w:pPr>
        <w:pStyle w:val="NormalWeb"/>
        <w:spacing w:before="0" w:beforeAutospacing="0" w:after="0" w:afterAutospacing="0"/>
        <w:rPr>
          <w:rFonts w:asciiTheme="minorHAnsi" w:hAnsiTheme="minorHAnsi"/>
          <w:lang w:val="ro-RO"/>
        </w:rPr>
      </w:pPr>
      <w:r w:rsidRPr="00461DA8">
        <w:rPr>
          <w:rFonts w:asciiTheme="minorHAnsi" w:hAnsiTheme="minorHAnsi"/>
          <w:lang w:val="ro-RO"/>
        </w:rPr>
        <w:t>Depășirea programului inițial a fost influențată în principal de evoluția încasărilor de la veniturile din proprietate</w:t>
      </w:r>
      <w:r w:rsidR="002E2A03" w:rsidRPr="00461DA8">
        <w:rPr>
          <w:rFonts w:asciiTheme="minorHAnsi" w:hAnsiTheme="minorHAnsi"/>
          <w:lang w:val="ro-RO"/>
        </w:rPr>
        <w:t xml:space="preserve"> la bugetul de stat ca urmare a </w:t>
      </w:r>
      <w:r w:rsidRPr="00461DA8">
        <w:rPr>
          <w:rFonts w:asciiTheme="minorHAnsi" w:hAnsiTheme="minorHAnsi"/>
          <w:lang w:val="ro-RO"/>
        </w:rPr>
        <w:t>modificării legislației privind repartizarea profitului net la entitățile cu capital integral sau majoritar de stat</w:t>
      </w:r>
      <w:r w:rsidRPr="00461DA8">
        <w:rPr>
          <w:rFonts w:asciiTheme="minorHAnsi" w:hAnsiTheme="minorHAnsi"/>
          <w:vertAlign w:val="superscript"/>
          <w:lang w:val="ro-RO"/>
        </w:rPr>
        <w:footnoteReference w:id="9"/>
      </w:r>
      <w:r w:rsidRPr="00461DA8">
        <w:rPr>
          <w:rFonts w:asciiTheme="minorHAnsi" w:hAnsiTheme="minorHAnsi"/>
          <w:lang w:val="ro-RO"/>
        </w:rPr>
        <w:t xml:space="preserve"> precum și plăților devansate față de programul inițial la veniturile din dividende (+0,7 mld lei) și a evoluției pozitive a vărsămintelor din profitul net al regiilor autonome (+0,24 mld. lei). </w:t>
      </w:r>
    </w:p>
    <w:p w:rsidR="002E2A03" w:rsidRPr="00461DA8" w:rsidRDefault="002E2A03" w:rsidP="00F93DC5">
      <w:pPr>
        <w:pStyle w:val="NormalWeb"/>
        <w:spacing w:before="0" w:beforeAutospacing="0" w:after="0" w:afterAutospacing="0" w:line="276" w:lineRule="auto"/>
        <w:rPr>
          <w:rFonts w:asciiTheme="minorHAnsi" w:hAnsiTheme="minorHAnsi"/>
          <w:lang w:val="ro-RO"/>
        </w:rPr>
      </w:pPr>
      <w:r w:rsidRPr="00461DA8">
        <w:rPr>
          <w:rFonts w:asciiTheme="minorHAnsi" w:hAnsiTheme="minorHAnsi"/>
          <w:lang w:val="ro-RO"/>
        </w:rPr>
        <w:t xml:space="preserve">Comparativ cu aceeași perioadă a anului precedent, veniturile nefiscale au </w:t>
      </w:r>
      <w:r w:rsidR="00461DA8" w:rsidRPr="00461DA8">
        <w:rPr>
          <w:rFonts w:asciiTheme="minorHAnsi" w:hAnsiTheme="minorHAnsi"/>
          <w:lang w:val="ro-RO"/>
        </w:rPr>
        <w:t>crescut</w:t>
      </w:r>
      <w:r w:rsidRPr="00461DA8">
        <w:rPr>
          <w:rFonts w:asciiTheme="minorHAnsi" w:hAnsiTheme="minorHAnsi"/>
          <w:lang w:val="ro-RO"/>
        </w:rPr>
        <w:t xml:space="preserve"> cu 24%</w:t>
      </w:r>
      <w:r w:rsidR="00161E92" w:rsidRPr="00461DA8">
        <w:rPr>
          <w:rFonts w:asciiTheme="minorHAnsi" w:hAnsiTheme="minorHAnsi"/>
          <w:lang w:val="ro-RO"/>
        </w:rPr>
        <w:t xml:space="preserve"> </w:t>
      </w:r>
      <w:r w:rsidRPr="00461DA8">
        <w:rPr>
          <w:rFonts w:asciiTheme="minorHAnsi" w:hAnsiTheme="minorHAnsi"/>
          <w:lang w:val="ro-RO"/>
        </w:rPr>
        <w:t>pe fondul evoluției po</w:t>
      </w:r>
      <w:r w:rsidR="00DD713F" w:rsidRPr="00461DA8">
        <w:rPr>
          <w:rFonts w:asciiTheme="minorHAnsi" w:hAnsiTheme="minorHAnsi"/>
          <w:lang w:val="ro-RO"/>
        </w:rPr>
        <w:t>z</w:t>
      </w:r>
      <w:r w:rsidRPr="00461DA8">
        <w:rPr>
          <w:rFonts w:asciiTheme="minorHAnsi" w:hAnsiTheme="minorHAnsi"/>
          <w:lang w:val="ro-RO"/>
        </w:rPr>
        <w:t xml:space="preserve">itive înregistrate la bugetul de stat unde veniturile din proprietate au crescut cu 151%, din care veniturile din dividende au crescut cu 0,9 mld. lei și </w:t>
      </w:r>
      <w:r w:rsidR="00461DA8" w:rsidRPr="00461DA8">
        <w:rPr>
          <w:rFonts w:asciiTheme="minorHAnsi" w:hAnsiTheme="minorHAnsi"/>
          <w:lang w:val="ro-RO"/>
        </w:rPr>
        <w:t>vărsămintele</w:t>
      </w:r>
      <w:r w:rsidRPr="00461DA8">
        <w:rPr>
          <w:rFonts w:asciiTheme="minorHAnsi" w:hAnsiTheme="minorHAnsi"/>
          <w:lang w:val="ro-RO"/>
        </w:rPr>
        <w:t xml:space="preserve"> din profitul net al regiilor autonome cu 0,2 mld. lei.</w:t>
      </w:r>
    </w:p>
    <w:p w:rsidR="007D1B4B" w:rsidRDefault="00723CEA" w:rsidP="00410990">
      <w:pPr>
        <w:pStyle w:val="NormalWeb"/>
        <w:spacing w:line="276" w:lineRule="auto"/>
        <w:rPr>
          <w:rFonts w:ascii="Calibri" w:hAnsi="Calibri"/>
          <w:noProof/>
          <w:lang w:val="ro-RO" w:eastAsia="ro-RO"/>
        </w:rPr>
      </w:pPr>
      <w:r w:rsidRPr="00B3348C">
        <w:rPr>
          <w:rFonts w:ascii="Calibri" w:hAnsi="Calibri"/>
          <w:b/>
          <w:bCs/>
          <w:noProof/>
          <w:lang w:val="ro-RO" w:eastAsia="ro-RO"/>
        </w:rPr>
        <w:t>Sumele primite de la Uniunea Europeană</w:t>
      </w:r>
      <w:r w:rsidR="00747FF1" w:rsidRPr="00B3348C">
        <w:rPr>
          <w:rFonts w:ascii="Calibri" w:hAnsi="Calibri"/>
          <w:noProof/>
          <w:lang w:val="ro-RO" w:eastAsia="ro-RO"/>
        </w:rPr>
        <w:t xml:space="preserve"> aferente </w:t>
      </w:r>
      <w:r w:rsidR="00AF6EFD" w:rsidRPr="00B3348C">
        <w:rPr>
          <w:rFonts w:ascii="Calibri" w:hAnsi="Calibri"/>
          <w:noProof/>
          <w:lang w:val="ro-RO" w:eastAsia="ro-RO"/>
        </w:rPr>
        <w:t xml:space="preserve">proiectelor finanțate </w:t>
      </w:r>
      <w:r w:rsidR="00747FF1" w:rsidRPr="00B3348C">
        <w:rPr>
          <w:rFonts w:ascii="Calibri" w:hAnsi="Calibri"/>
          <w:noProof/>
          <w:lang w:val="ro-RO" w:eastAsia="ro-RO"/>
        </w:rPr>
        <w:t xml:space="preserve">atât </w:t>
      </w:r>
      <w:r w:rsidR="00AF6EFD" w:rsidRPr="00B3348C">
        <w:rPr>
          <w:rFonts w:ascii="Calibri" w:hAnsi="Calibri"/>
          <w:noProof/>
          <w:lang w:val="ro-RO" w:eastAsia="ro-RO"/>
        </w:rPr>
        <w:t>din cadrul</w:t>
      </w:r>
      <w:r w:rsidR="00747FF1" w:rsidRPr="00B3348C">
        <w:rPr>
          <w:rFonts w:ascii="Calibri" w:hAnsi="Calibri"/>
          <w:noProof/>
          <w:lang w:val="ro-RO" w:eastAsia="ro-RO"/>
        </w:rPr>
        <w:t xml:space="preserve"> financi</w:t>
      </w:r>
      <w:r w:rsidR="00AF6EFD" w:rsidRPr="00B3348C">
        <w:rPr>
          <w:rFonts w:ascii="Calibri" w:hAnsi="Calibri"/>
          <w:noProof/>
          <w:lang w:val="ro-RO" w:eastAsia="ro-RO"/>
        </w:rPr>
        <w:t>ar 2007-2013, cât și din noul</w:t>
      </w:r>
      <w:r w:rsidR="00747FF1" w:rsidRPr="00B3348C">
        <w:rPr>
          <w:rFonts w:ascii="Calibri" w:hAnsi="Calibri"/>
          <w:noProof/>
          <w:lang w:val="ro-RO" w:eastAsia="ro-RO"/>
        </w:rPr>
        <w:t xml:space="preserve"> cadru financiar 2014-2020</w:t>
      </w:r>
      <w:r w:rsidR="00AF6EFD" w:rsidRPr="00B3348C">
        <w:rPr>
          <w:rFonts w:ascii="Calibri" w:hAnsi="Calibri"/>
          <w:noProof/>
          <w:lang w:val="ro-RO" w:eastAsia="ro-RO"/>
        </w:rPr>
        <w:t xml:space="preserve">, </w:t>
      </w:r>
      <w:r w:rsidRPr="00B3348C">
        <w:rPr>
          <w:rFonts w:ascii="Calibri" w:hAnsi="Calibri"/>
          <w:noProof/>
          <w:lang w:val="ro-RO" w:eastAsia="ro-RO"/>
        </w:rPr>
        <w:t xml:space="preserve">încasate în trimestrul </w:t>
      </w:r>
      <w:r w:rsidR="008B0E54">
        <w:rPr>
          <w:rFonts w:ascii="Calibri" w:hAnsi="Calibri"/>
          <w:noProof/>
          <w:lang w:val="ro-RO" w:eastAsia="ro-RO"/>
        </w:rPr>
        <w:t>al I</w:t>
      </w:r>
      <w:r w:rsidRPr="00B3348C">
        <w:rPr>
          <w:rFonts w:ascii="Calibri" w:hAnsi="Calibri"/>
          <w:noProof/>
          <w:lang w:val="ro-RO" w:eastAsia="ro-RO"/>
        </w:rPr>
        <w:t>I</w:t>
      </w:r>
      <w:r w:rsidR="008B0E54">
        <w:rPr>
          <w:rFonts w:ascii="Calibri" w:hAnsi="Calibri"/>
          <w:noProof/>
          <w:lang w:val="ro-RO" w:eastAsia="ro-RO"/>
        </w:rPr>
        <w:t>-lea</w:t>
      </w:r>
      <w:r w:rsidRPr="00B3348C">
        <w:rPr>
          <w:rFonts w:ascii="Calibri" w:hAnsi="Calibri"/>
          <w:noProof/>
          <w:lang w:val="ro-RO" w:eastAsia="ro-RO"/>
        </w:rPr>
        <w:t xml:space="preserve"> al anului </w:t>
      </w:r>
      <w:r w:rsidR="002277FA" w:rsidRPr="00B3348C">
        <w:rPr>
          <w:rFonts w:ascii="Calibri" w:hAnsi="Calibri"/>
          <w:noProof/>
          <w:lang w:val="ro-RO" w:eastAsia="ro-RO"/>
        </w:rPr>
        <w:t>2017</w:t>
      </w:r>
      <w:r w:rsidRPr="00B3348C">
        <w:rPr>
          <w:rFonts w:ascii="Calibri" w:hAnsi="Calibri"/>
          <w:noProof/>
          <w:lang w:val="ro-RO" w:eastAsia="ro-RO"/>
        </w:rPr>
        <w:t xml:space="preserve">, </w:t>
      </w:r>
      <w:r w:rsidR="00DD713F">
        <w:rPr>
          <w:rFonts w:ascii="Calibri" w:hAnsi="Calibri"/>
          <w:noProof/>
          <w:lang w:val="ro-RO" w:eastAsia="ro-RO"/>
        </w:rPr>
        <w:t xml:space="preserve">au însumat </w:t>
      </w:r>
      <w:r w:rsidR="00410990" w:rsidRPr="00DC2CBC">
        <w:rPr>
          <w:rFonts w:ascii="Calibri" w:hAnsi="Calibri"/>
          <w:noProof/>
          <w:lang w:val="ro-RO" w:eastAsia="ro-RO"/>
        </w:rPr>
        <w:t>2.921,9 milioane lei și</w:t>
      </w:r>
      <w:r w:rsidR="00410990">
        <w:rPr>
          <w:noProof/>
          <w:lang w:eastAsia="ro-RO"/>
        </w:rPr>
        <w:t xml:space="preserve"> </w:t>
      </w:r>
      <w:r w:rsidRPr="00B3348C">
        <w:rPr>
          <w:rFonts w:ascii="Calibri" w:hAnsi="Calibri"/>
          <w:noProof/>
          <w:lang w:val="ro-RO" w:eastAsia="ro-RO"/>
        </w:rPr>
        <w:t xml:space="preserve">au reprezentat </w:t>
      </w:r>
      <w:r w:rsidR="00C26E73" w:rsidRPr="00B3348C">
        <w:rPr>
          <w:rFonts w:ascii="Calibri" w:hAnsi="Calibri"/>
          <w:noProof/>
          <w:lang w:val="ro-RO" w:eastAsia="ro-RO"/>
        </w:rPr>
        <w:t>0,</w:t>
      </w:r>
      <w:r w:rsidR="00DD713F">
        <w:rPr>
          <w:rFonts w:ascii="Calibri" w:hAnsi="Calibri"/>
          <w:noProof/>
          <w:lang w:val="ro-RO" w:eastAsia="ro-RO"/>
        </w:rPr>
        <w:t>4</w:t>
      </w:r>
      <w:r w:rsidR="00C26E73" w:rsidRPr="00B3348C">
        <w:rPr>
          <w:rFonts w:ascii="Calibri" w:hAnsi="Calibri"/>
          <w:noProof/>
          <w:lang w:val="ro-RO" w:eastAsia="ro-RO"/>
        </w:rPr>
        <w:t xml:space="preserve">% </w:t>
      </w:r>
      <w:r w:rsidRPr="00B3348C">
        <w:rPr>
          <w:rFonts w:ascii="Calibri" w:hAnsi="Calibri"/>
          <w:noProof/>
          <w:lang w:val="ro-RO" w:eastAsia="ro-RO"/>
        </w:rPr>
        <w:t>din PIB</w:t>
      </w:r>
      <w:r w:rsidR="00790AAA" w:rsidRPr="00B3348C">
        <w:rPr>
          <w:rFonts w:ascii="Calibri" w:hAnsi="Calibri"/>
          <w:noProof/>
          <w:lang w:val="ro-RO" w:eastAsia="ro-RO"/>
        </w:rPr>
        <w:t xml:space="preserve">, </w:t>
      </w:r>
      <w:r w:rsidRPr="00B3348C">
        <w:rPr>
          <w:rFonts w:ascii="Calibri" w:hAnsi="Calibri"/>
          <w:noProof/>
          <w:lang w:val="ro-RO" w:eastAsia="ro-RO"/>
        </w:rPr>
        <w:t>grad</w:t>
      </w:r>
      <w:r w:rsidR="00410990">
        <w:rPr>
          <w:rFonts w:ascii="Calibri" w:hAnsi="Calibri"/>
          <w:noProof/>
          <w:lang w:val="ro-RO" w:eastAsia="ro-RO"/>
        </w:rPr>
        <w:t>ul</w:t>
      </w:r>
      <w:r w:rsidRPr="00B3348C">
        <w:rPr>
          <w:rFonts w:ascii="Calibri" w:hAnsi="Calibri"/>
          <w:noProof/>
          <w:lang w:val="ro-RO" w:eastAsia="ro-RO"/>
        </w:rPr>
        <w:t xml:space="preserve"> de realizare faţă de nivelul programului trimestrial de încasări </w:t>
      </w:r>
      <w:r w:rsidR="00410990">
        <w:rPr>
          <w:rFonts w:ascii="Calibri" w:hAnsi="Calibri"/>
          <w:noProof/>
          <w:lang w:val="ro-RO" w:eastAsia="ro-RO"/>
        </w:rPr>
        <w:t xml:space="preserve">fiind de </w:t>
      </w:r>
      <w:r w:rsidR="007D1B4B" w:rsidRPr="00B3348C">
        <w:rPr>
          <w:rFonts w:ascii="Calibri" w:hAnsi="Calibri"/>
          <w:noProof/>
          <w:lang w:val="ro-RO" w:eastAsia="ro-RO"/>
        </w:rPr>
        <w:t>6</w:t>
      </w:r>
      <w:r w:rsidR="00DD713F">
        <w:rPr>
          <w:rFonts w:ascii="Calibri" w:hAnsi="Calibri"/>
          <w:noProof/>
          <w:lang w:val="ro-RO" w:eastAsia="ro-RO"/>
        </w:rPr>
        <w:t>3</w:t>
      </w:r>
      <w:r w:rsidR="007D1B4B" w:rsidRPr="00B3348C">
        <w:rPr>
          <w:rFonts w:ascii="Calibri" w:hAnsi="Calibri"/>
          <w:noProof/>
          <w:lang w:val="ro-RO" w:eastAsia="ro-RO"/>
        </w:rPr>
        <w:t>,</w:t>
      </w:r>
      <w:r w:rsidR="00DD713F">
        <w:rPr>
          <w:rFonts w:ascii="Calibri" w:hAnsi="Calibri"/>
          <w:noProof/>
          <w:lang w:val="ro-RO" w:eastAsia="ro-RO"/>
        </w:rPr>
        <w:t>2</w:t>
      </w:r>
      <w:r w:rsidR="00C26E73" w:rsidRPr="00B3348C">
        <w:rPr>
          <w:rFonts w:ascii="Calibri" w:hAnsi="Calibri"/>
          <w:noProof/>
          <w:lang w:val="ro-RO" w:eastAsia="ro-RO"/>
        </w:rPr>
        <w:t>%</w:t>
      </w:r>
      <w:r w:rsidRPr="00B3348C">
        <w:rPr>
          <w:rFonts w:ascii="Calibri" w:hAnsi="Calibri"/>
          <w:noProof/>
          <w:lang w:val="ro-RO" w:eastAsia="ro-RO"/>
        </w:rPr>
        <w:t>.</w:t>
      </w:r>
      <w:r w:rsidR="00594C63" w:rsidRPr="00B3348C">
        <w:rPr>
          <w:rFonts w:ascii="Calibri" w:hAnsi="Calibri"/>
          <w:noProof/>
          <w:lang w:val="ro-RO" w:eastAsia="ro-RO"/>
        </w:rPr>
        <w:t xml:space="preserve"> </w:t>
      </w: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4E2438" w:rsidRDefault="004E2438" w:rsidP="00410990">
      <w:pPr>
        <w:pStyle w:val="NormalWeb"/>
        <w:spacing w:line="276" w:lineRule="auto"/>
        <w:rPr>
          <w:rFonts w:ascii="Calibri" w:hAnsi="Calibri"/>
          <w:noProof/>
          <w:lang w:val="ro-RO" w:eastAsia="ro-RO"/>
        </w:rPr>
      </w:pPr>
    </w:p>
    <w:p w:rsidR="00723CEA" w:rsidRPr="00B3348C" w:rsidRDefault="00723CEA" w:rsidP="00FC44BB">
      <w:pPr>
        <w:numPr>
          <w:ilvl w:val="0"/>
          <w:numId w:val="8"/>
        </w:numPr>
        <w:tabs>
          <w:tab w:val="left" w:pos="851"/>
        </w:tabs>
        <w:spacing w:after="0"/>
        <w:ind w:left="0" w:firstLine="567"/>
        <w:jc w:val="both"/>
        <w:rPr>
          <w:rFonts w:cs="Arial"/>
          <w:sz w:val="24"/>
          <w:szCs w:val="24"/>
          <w:lang w:val="ro-RO"/>
        </w:rPr>
      </w:pPr>
      <w:r w:rsidRPr="00B3348C">
        <w:rPr>
          <w:rFonts w:cs="Arial"/>
          <w:b/>
          <w:bCs/>
          <w:sz w:val="24"/>
          <w:szCs w:val="24"/>
          <w:lang w:val="ro-RO"/>
        </w:rPr>
        <w:t xml:space="preserve">Cheltuielile bugetului general consolidat </w:t>
      </w:r>
      <w:r w:rsidRPr="00B3348C">
        <w:rPr>
          <w:rFonts w:cs="Arial"/>
          <w:sz w:val="24"/>
          <w:szCs w:val="24"/>
          <w:lang w:val="ro-RO"/>
        </w:rPr>
        <w:t xml:space="preserve">(Anexa nr. 2) au fost în sumă de </w:t>
      </w:r>
      <w:r w:rsidR="00410990">
        <w:rPr>
          <w:rFonts w:cs="Arial"/>
          <w:sz w:val="24"/>
          <w:szCs w:val="24"/>
          <w:lang w:val="ro-RO"/>
        </w:rPr>
        <w:t>65.508,9</w:t>
      </w:r>
      <w:r w:rsidR="007D1B4B" w:rsidRPr="00B3348C">
        <w:rPr>
          <w:rFonts w:cs="Arial"/>
          <w:sz w:val="24"/>
          <w:szCs w:val="24"/>
          <w:lang w:val="ro-RO"/>
        </w:rPr>
        <w:t xml:space="preserve"> </w:t>
      </w:r>
      <w:r w:rsidR="00D41777" w:rsidRPr="00B3348C">
        <w:rPr>
          <w:rFonts w:cs="Arial"/>
          <w:sz w:val="24"/>
          <w:szCs w:val="24"/>
          <w:lang w:val="ro-RO"/>
        </w:rPr>
        <w:t>milioane</w:t>
      </w:r>
      <w:r w:rsidRPr="00B3348C">
        <w:rPr>
          <w:rFonts w:cs="Arial"/>
          <w:sz w:val="24"/>
          <w:szCs w:val="24"/>
          <w:lang w:val="ro-RO"/>
        </w:rPr>
        <w:t xml:space="preserve"> lei şi au reprezentat </w:t>
      </w:r>
      <w:r w:rsidR="00410990">
        <w:rPr>
          <w:rFonts w:cs="Arial"/>
          <w:sz w:val="24"/>
          <w:szCs w:val="24"/>
          <w:lang w:val="ro-RO"/>
        </w:rPr>
        <w:t>8,0</w:t>
      </w:r>
      <w:r w:rsidRPr="00B3348C">
        <w:rPr>
          <w:rFonts w:cs="Arial"/>
          <w:sz w:val="24"/>
          <w:szCs w:val="24"/>
          <w:lang w:val="ro-RO"/>
        </w:rPr>
        <w:t xml:space="preserve">% ca pondere în PIB, </w:t>
      </w:r>
      <w:r w:rsidR="0048554E" w:rsidRPr="00B3348C">
        <w:rPr>
          <w:rFonts w:cs="Arial"/>
          <w:sz w:val="24"/>
          <w:szCs w:val="24"/>
          <w:lang w:val="ro-RO"/>
        </w:rPr>
        <w:t xml:space="preserve">în creștere cu </w:t>
      </w:r>
      <w:r w:rsidR="00410990">
        <w:rPr>
          <w:rFonts w:cs="Arial"/>
          <w:sz w:val="24"/>
          <w:szCs w:val="24"/>
          <w:lang w:val="ro-RO"/>
        </w:rPr>
        <w:t>9,8</w:t>
      </w:r>
      <w:r w:rsidRPr="00B3348C">
        <w:rPr>
          <w:rFonts w:cs="Arial"/>
          <w:sz w:val="24"/>
          <w:szCs w:val="24"/>
          <w:lang w:val="ro-RO"/>
        </w:rPr>
        <w:t xml:space="preserve">% </w:t>
      </w:r>
      <w:r w:rsidR="0048554E" w:rsidRPr="00B3348C">
        <w:rPr>
          <w:rFonts w:cs="Arial"/>
          <w:sz w:val="24"/>
          <w:szCs w:val="24"/>
          <w:lang w:val="ro-RO"/>
        </w:rPr>
        <w:t xml:space="preserve">față de </w:t>
      </w:r>
      <w:r w:rsidR="00B5265B" w:rsidRPr="00B3348C">
        <w:rPr>
          <w:rFonts w:cs="Arial"/>
          <w:sz w:val="24"/>
          <w:szCs w:val="24"/>
          <w:lang w:val="ro-RO"/>
        </w:rPr>
        <w:t>nivelul celor efectuate în</w:t>
      </w:r>
      <w:r w:rsidRPr="00B3348C">
        <w:rPr>
          <w:rFonts w:cs="Arial"/>
          <w:sz w:val="24"/>
          <w:szCs w:val="24"/>
          <w:lang w:val="ro-RO"/>
        </w:rPr>
        <w:t xml:space="preserve"> </w:t>
      </w:r>
      <w:r w:rsidR="00FC6093" w:rsidRPr="00B3348C">
        <w:rPr>
          <w:rFonts w:cs="Arial"/>
          <w:sz w:val="24"/>
          <w:szCs w:val="24"/>
          <w:lang w:val="ro-RO"/>
        </w:rPr>
        <w:t>aceeași</w:t>
      </w:r>
      <w:r w:rsidRPr="00B3348C">
        <w:rPr>
          <w:rFonts w:cs="Arial"/>
          <w:sz w:val="24"/>
          <w:szCs w:val="24"/>
          <w:lang w:val="ro-RO"/>
        </w:rPr>
        <w:t xml:space="preserve"> perioadă a anului precedent</w:t>
      </w:r>
      <w:r w:rsidR="00DF14F6" w:rsidRPr="00B3348C">
        <w:rPr>
          <w:rFonts w:cs="Arial"/>
          <w:sz w:val="24"/>
          <w:szCs w:val="24"/>
          <w:lang w:val="ro-RO"/>
        </w:rPr>
        <w:t xml:space="preserve"> </w:t>
      </w:r>
      <w:r w:rsidR="007D1B4B" w:rsidRPr="00B3348C">
        <w:rPr>
          <w:rFonts w:cs="Arial"/>
          <w:sz w:val="24"/>
          <w:szCs w:val="24"/>
          <w:lang w:val="ro-RO"/>
        </w:rPr>
        <w:t xml:space="preserve">și cu 0,2 puncte procentuale ca </w:t>
      </w:r>
      <w:r w:rsidR="00DF14F6" w:rsidRPr="00B3348C">
        <w:rPr>
          <w:rFonts w:cs="Arial"/>
          <w:sz w:val="24"/>
          <w:szCs w:val="24"/>
          <w:lang w:val="ro-RO"/>
        </w:rPr>
        <w:t>pondere în PIB</w:t>
      </w:r>
      <w:r w:rsidRPr="00B3348C">
        <w:rPr>
          <w:rFonts w:cs="Arial"/>
          <w:sz w:val="24"/>
          <w:szCs w:val="24"/>
          <w:lang w:val="ro-RO"/>
        </w:rPr>
        <w:t xml:space="preserve">. </w:t>
      </w:r>
    </w:p>
    <w:p w:rsidR="007D1B4B" w:rsidRPr="00B3348C" w:rsidRDefault="00723CEA" w:rsidP="00FC44BB">
      <w:pPr>
        <w:tabs>
          <w:tab w:val="left" w:pos="567"/>
        </w:tabs>
        <w:spacing w:after="0"/>
        <w:ind w:right="6" w:firstLine="567"/>
        <w:jc w:val="both"/>
        <w:rPr>
          <w:rFonts w:cs="Arial"/>
          <w:sz w:val="24"/>
          <w:szCs w:val="24"/>
          <w:lang w:val="ro-RO"/>
        </w:rPr>
      </w:pPr>
      <w:r w:rsidRPr="00B3348C">
        <w:rPr>
          <w:rFonts w:cs="Arial"/>
          <w:sz w:val="24"/>
          <w:szCs w:val="24"/>
          <w:lang w:val="ro-RO"/>
        </w:rPr>
        <w:t xml:space="preserve">Comparativ cu </w:t>
      </w:r>
      <w:r w:rsidR="00FC6093" w:rsidRPr="00B3348C">
        <w:rPr>
          <w:rFonts w:cs="Arial"/>
          <w:sz w:val="24"/>
          <w:szCs w:val="24"/>
          <w:lang w:val="ro-RO"/>
        </w:rPr>
        <w:t>ținta</w:t>
      </w:r>
      <w:r w:rsidRPr="00B3348C">
        <w:rPr>
          <w:rFonts w:cs="Arial"/>
          <w:sz w:val="24"/>
          <w:szCs w:val="24"/>
          <w:lang w:val="ro-RO"/>
        </w:rPr>
        <w:t xml:space="preserve"> trimestrială, cheltuielile</w:t>
      </w:r>
      <w:r w:rsidR="00E60ED4" w:rsidRPr="00B3348C">
        <w:rPr>
          <w:rFonts w:cs="Arial"/>
          <w:sz w:val="24"/>
          <w:szCs w:val="24"/>
          <w:lang w:val="ro-RO"/>
        </w:rPr>
        <w:t xml:space="preserve"> totale</w:t>
      </w:r>
      <w:r w:rsidR="00476764" w:rsidRPr="00B3348C">
        <w:rPr>
          <w:rFonts w:cs="Arial"/>
          <w:sz w:val="24"/>
          <w:szCs w:val="24"/>
          <w:lang w:val="ro-RO"/>
        </w:rPr>
        <w:t xml:space="preserve"> </w:t>
      </w:r>
      <w:r w:rsidR="0058720A" w:rsidRPr="00B3348C">
        <w:rPr>
          <w:rFonts w:cs="Arial"/>
          <w:sz w:val="24"/>
          <w:szCs w:val="24"/>
          <w:lang w:val="ro-RO"/>
        </w:rPr>
        <w:t xml:space="preserve">ale bugetului general consolidat sau efectuat în proporție de </w:t>
      </w:r>
      <w:r w:rsidR="00410990">
        <w:rPr>
          <w:rFonts w:cs="Arial"/>
          <w:sz w:val="24"/>
          <w:szCs w:val="24"/>
          <w:lang w:val="ro-RO"/>
        </w:rPr>
        <w:t>92,9</w:t>
      </w:r>
      <w:r w:rsidR="0058720A" w:rsidRPr="00B3348C">
        <w:rPr>
          <w:rFonts w:cs="Arial"/>
          <w:sz w:val="24"/>
          <w:szCs w:val="24"/>
          <w:lang w:val="ro-RO"/>
        </w:rPr>
        <w:t>%</w:t>
      </w:r>
      <w:r w:rsidR="007D1B4B" w:rsidRPr="00B3348C">
        <w:rPr>
          <w:rFonts w:cs="Arial"/>
          <w:sz w:val="24"/>
          <w:szCs w:val="24"/>
          <w:lang w:val="ro-RO"/>
        </w:rPr>
        <w:t xml:space="preserve">, </w:t>
      </w:r>
      <w:r w:rsidR="0058720A" w:rsidRPr="00B3348C">
        <w:rPr>
          <w:rFonts w:cs="Arial"/>
          <w:sz w:val="24"/>
          <w:szCs w:val="24"/>
          <w:lang w:val="ro-RO"/>
        </w:rPr>
        <w:t xml:space="preserve">ceea ce reprezintă o diminuare </w:t>
      </w:r>
      <w:r w:rsidRPr="00B3348C">
        <w:rPr>
          <w:rFonts w:cs="Arial"/>
          <w:sz w:val="24"/>
          <w:szCs w:val="24"/>
          <w:lang w:val="ro-RO"/>
        </w:rPr>
        <w:t xml:space="preserve">cu </w:t>
      </w:r>
      <w:r w:rsidR="00410990" w:rsidRPr="00410990">
        <w:rPr>
          <w:rFonts w:cs="Arial"/>
          <w:bCs/>
          <w:sz w:val="24"/>
          <w:szCs w:val="24"/>
        </w:rPr>
        <w:t>-4.997,4</w:t>
      </w:r>
      <w:r w:rsidR="00410990">
        <w:rPr>
          <w:rFonts w:cs="Arial"/>
          <w:bCs/>
          <w:sz w:val="24"/>
          <w:szCs w:val="24"/>
        </w:rPr>
        <w:t xml:space="preserve"> </w:t>
      </w:r>
      <w:r w:rsidR="00387CE2" w:rsidRPr="00B3348C">
        <w:rPr>
          <w:rFonts w:cs="Arial"/>
          <w:sz w:val="24"/>
          <w:szCs w:val="24"/>
          <w:lang w:val="ro-RO"/>
        </w:rPr>
        <w:t>milioane lei</w:t>
      </w:r>
      <w:r w:rsidR="0058720A" w:rsidRPr="00B3348C">
        <w:rPr>
          <w:rFonts w:cs="Arial"/>
          <w:sz w:val="24"/>
          <w:szCs w:val="24"/>
          <w:lang w:val="ro-RO"/>
        </w:rPr>
        <w:t>.</w:t>
      </w:r>
      <w:r w:rsidRPr="00B3348C">
        <w:rPr>
          <w:rFonts w:cs="Arial"/>
          <w:sz w:val="24"/>
          <w:szCs w:val="24"/>
          <w:lang w:val="ro-RO"/>
        </w:rPr>
        <w:t xml:space="preserve"> </w:t>
      </w:r>
    </w:p>
    <w:p w:rsidR="00FC44BB" w:rsidRPr="00B3348C" w:rsidRDefault="00FC44BB" w:rsidP="00FC44BB">
      <w:pPr>
        <w:tabs>
          <w:tab w:val="left" w:pos="567"/>
        </w:tabs>
        <w:spacing w:after="0"/>
        <w:ind w:right="6" w:firstLine="567"/>
        <w:jc w:val="both"/>
        <w:rPr>
          <w:rFonts w:cs="Arial"/>
          <w:sz w:val="24"/>
          <w:szCs w:val="24"/>
          <w:lang w:val="ro-RO"/>
        </w:rPr>
      </w:pPr>
    </w:p>
    <w:p w:rsidR="00FC44BB" w:rsidRPr="00B3348C" w:rsidRDefault="00FC44BB" w:rsidP="00FC44BB">
      <w:pPr>
        <w:tabs>
          <w:tab w:val="left" w:pos="567"/>
        </w:tabs>
        <w:spacing w:after="0"/>
        <w:ind w:right="6" w:firstLine="567"/>
        <w:jc w:val="both"/>
        <w:rPr>
          <w:rFonts w:cs="Arial"/>
          <w:sz w:val="24"/>
          <w:szCs w:val="24"/>
          <w:lang w:val="ro-RO"/>
        </w:rPr>
      </w:pPr>
    </w:p>
    <w:p w:rsidR="00FC44BB" w:rsidRPr="00B3348C" w:rsidRDefault="00FC44BB" w:rsidP="00FC44BB">
      <w:pPr>
        <w:tabs>
          <w:tab w:val="left" w:pos="567"/>
        </w:tabs>
        <w:spacing w:after="0"/>
        <w:ind w:right="6" w:firstLine="567"/>
        <w:jc w:val="both"/>
        <w:rPr>
          <w:rFonts w:cs="Arial"/>
          <w:sz w:val="24"/>
          <w:szCs w:val="24"/>
          <w:lang w:val="ro-RO"/>
        </w:rPr>
      </w:pPr>
    </w:p>
    <w:p w:rsidR="00723CEA" w:rsidRPr="00B3348C" w:rsidRDefault="00410990" w:rsidP="007D1B4B">
      <w:pPr>
        <w:tabs>
          <w:tab w:val="left" w:pos="567"/>
        </w:tabs>
        <w:ind w:right="6"/>
        <w:jc w:val="both"/>
        <w:rPr>
          <w:rFonts w:cs="Arial"/>
          <w:b/>
          <w:bCs/>
          <w:sz w:val="24"/>
          <w:szCs w:val="24"/>
          <w:lang w:val="ro-RO"/>
        </w:rPr>
      </w:pPr>
      <w:r>
        <w:rPr>
          <w:rFonts w:cs="Arial"/>
          <w:b/>
          <w:bCs/>
          <w:noProof/>
          <w:sz w:val="24"/>
          <w:szCs w:val="24"/>
          <w:lang w:val="ro-RO" w:eastAsia="ro-RO"/>
        </w:rPr>
        <w:drawing>
          <wp:inline distT="0" distB="0" distL="0" distR="0" wp14:anchorId="62F5FCCE">
            <wp:extent cx="5956300" cy="30403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3040380"/>
                    </a:xfrm>
                    <a:prstGeom prst="rect">
                      <a:avLst/>
                    </a:prstGeom>
                    <a:noFill/>
                  </pic:spPr>
                </pic:pic>
              </a:graphicData>
            </a:graphic>
          </wp:inline>
        </w:drawing>
      </w:r>
    </w:p>
    <w:p w:rsidR="00723CEA" w:rsidRPr="00B3348C" w:rsidRDefault="00723CEA" w:rsidP="007A18AF">
      <w:pPr>
        <w:tabs>
          <w:tab w:val="left" w:pos="567"/>
        </w:tabs>
        <w:ind w:right="6"/>
        <w:jc w:val="both"/>
        <w:rPr>
          <w:rFonts w:cs="Arial"/>
          <w:b/>
          <w:bCs/>
          <w:sz w:val="24"/>
          <w:szCs w:val="24"/>
          <w:lang w:val="ro-RO"/>
        </w:rPr>
      </w:pPr>
    </w:p>
    <w:p w:rsidR="009B4381" w:rsidRPr="00B3348C" w:rsidRDefault="00723CEA" w:rsidP="00F93DC5">
      <w:pPr>
        <w:ind w:firstLine="737"/>
        <w:jc w:val="both"/>
        <w:rPr>
          <w:rFonts w:cs="Arial"/>
          <w:sz w:val="24"/>
          <w:szCs w:val="24"/>
          <w:lang w:val="ro-RO"/>
        </w:rPr>
      </w:pPr>
      <w:r w:rsidRPr="00B3348C">
        <w:rPr>
          <w:rFonts w:cs="Arial"/>
          <w:sz w:val="24"/>
          <w:szCs w:val="24"/>
          <w:lang w:val="ro-RO"/>
        </w:rPr>
        <w:t xml:space="preserve">Cheltuielile de personal, prezentate detaliat în Anexele nr. 3 şi 4 au fost în sumă de </w:t>
      </w:r>
      <w:r w:rsidR="00D424F0">
        <w:rPr>
          <w:rFonts w:cs="Arial"/>
          <w:sz w:val="24"/>
          <w:szCs w:val="24"/>
          <w:lang w:val="ro-RO"/>
        </w:rPr>
        <w:t>17.097,2</w:t>
      </w:r>
      <w:r w:rsidRPr="00B3348C">
        <w:rPr>
          <w:rFonts w:cs="Arial"/>
          <w:sz w:val="24"/>
          <w:szCs w:val="24"/>
          <w:lang w:val="ro-RO"/>
        </w:rPr>
        <w:t xml:space="preserve"> mili</w:t>
      </w:r>
      <w:r w:rsidR="00387CE2" w:rsidRPr="00B3348C">
        <w:rPr>
          <w:rFonts w:cs="Arial"/>
          <w:sz w:val="24"/>
          <w:szCs w:val="24"/>
          <w:lang w:val="ro-RO"/>
        </w:rPr>
        <w:t>oane</w:t>
      </w:r>
      <w:r w:rsidRPr="00B3348C">
        <w:rPr>
          <w:rFonts w:cs="Arial"/>
          <w:sz w:val="24"/>
          <w:szCs w:val="24"/>
          <w:lang w:val="ro-RO"/>
        </w:rPr>
        <w:t xml:space="preserve"> lei (</w:t>
      </w:r>
      <w:r w:rsidR="0058720A" w:rsidRPr="00B3348C">
        <w:rPr>
          <w:rFonts w:cs="Arial"/>
          <w:sz w:val="24"/>
          <w:szCs w:val="24"/>
          <w:lang w:val="ro-RO"/>
        </w:rPr>
        <w:t>2</w:t>
      </w:r>
      <w:r w:rsidR="00D424F0">
        <w:rPr>
          <w:rFonts w:cs="Arial"/>
          <w:sz w:val="24"/>
          <w:szCs w:val="24"/>
          <w:lang w:val="ro-RO"/>
        </w:rPr>
        <w:t>,1</w:t>
      </w:r>
      <w:r w:rsidRPr="00B3348C">
        <w:rPr>
          <w:rFonts w:cs="Arial"/>
          <w:sz w:val="24"/>
          <w:szCs w:val="24"/>
          <w:lang w:val="ro-RO"/>
        </w:rPr>
        <w:t xml:space="preserve">% din PIB) şi s-au </w:t>
      </w:r>
      <w:r w:rsidR="00CC64FB" w:rsidRPr="00B3348C">
        <w:rPr>
          <w:rFonts w:cs="Arial"/>
          <w:sz w:val="24"/>
          <w:szCs w:val="24"/>
          <w:lang w:val="ro-RO"/>
        </w:rPr>
        <w:t>efectuat</w:t>
      </w:r>
      <w:r w:rsidRPr="00B3348C">
        <w:rPr>
          <w:rFonts w:cs="Arial"/>
          <w:sz w:val="24"/>
          <w:szCs w:val="24"/>
          <w:lang w:val="ro-RO"/>
        </w:rPr>
        <w:t xml:space="preserve"> în </w:t>
      </w:r>
      <w:r w:rsidR="00FC6093" w:rsidRPr="00B3348C">
        <w:rPr>
          <w:rFonts w:cs="Arial"/>
          <w:sz w:val="24"/>
          <w:szCs w:val="24"/>
          <w:lang w:val="ro-RO"/>
        </w:rPr>
        <w:t>proporție</w:t>
      </w:r>
      <w:r w:rsidRPr="00B3348C">
        <w:rPr>
          <w:rFonts w:cs="Arial"/>
          <w:sz w:val="24"/>
          <w:szCs w:val="24"/>
          <w:lang w:val="ro-RO"/>
        </w:rPr>
        <w:t xml:space="preserve"> de </w:t>
      </w:r>
      <w:r w:rsidR="00D424F0">
        <w:rPr>
          <w:rFonts w:cs="Arial"/>
          <w:sz w:val="24"/>
          <w:szCs w:val="24"/>
          <w:lang w:val="ro-RO"/>
        </w:rPr>
        <w:t>101,6</w:t>
      </w:r>
      <w:r w:rsidRPr="00B3348C">
        <w:rPr>
          <w:rFonts w:cs="Arial"/>
          <w:sz w:val="24"/>
          <w:szCs w:val="24"/>
          <w:lang w:val="ro-RO"/>
        </w:rPr>
        <w:t xml:space="preserve">% </w:t>
      </w:r>
      <w:r w:rsidR="00FC6093" w:rsidRPr="00B3348C">
        <w:rPr>
          <w:rFonts w:cs="Arial"/>
          <w:sz w:val="24"/>
          <w:szCs w:val="24"/>
          <w:lang w:val="ro-RO"/>
        </w:rPr>
        <w:t>față</w:t>
      </w:r>
      <w:r w:rsidRPr="00B3348C">
        <w:rPr>
          <w:rFonts w:cs="Arial"/>
          <w:sz w:val="24"/>
          <w:szCs w:val="24"/>
          <w:lang w:val="ro-RO"/>
        </w:rPr>
        <w:t xml:space="preserve"> de </w:t>
      </w:r>
      <w:r w:rsidR="0058720A" w:rsidRPr="00B3348C">
        <w:rPr>
          <w:rFonts w:cs="Arial"/>
          <w:sz w:val="24"/>
          <w:szCs w:val="24"/>
          <w:lang w:val="ro-RO"/>
        </w:rPr>
        <w:t xml:space="preserve">nivelul estimat a se efectua în trimestrul </w:t>
      </w:r>
      <w:r w:rsidR="00D424F0">
        <w:rPr>
          <w:rFonts w:cs="Arial"/>
          <w:sz w:val="24"/>
          <w:szCs w:val="24"/>
          <w:lang w:val="ro-RO"/>
        </w:rPr>
        <w:t>al I</w:t>
      </w:r>
      <w:r w:rsidR="0058720A" w:rsidRPr="00B3348C">
        <w:rPr>
          <w:rFonts w:cs="Arial"/>
          <w:sz w:val="24"/>
          <w:szCs w:val="24"/>
          <w:lang w:val="ro-RO"/>
        </w:rPr>
        <w:t>I</w:t>
      </w:r>
      <w:r w:rsidR="00D424F0">
        <w:rPr>
          <w:rFonts w:cs="Arial"/>
          <w:sz w:val="24"/>
          <w:szCs w:val="24"/>
          <w:lang w:val="ro-RO"/>
        </w:rPr>
        <w:t>-lea al anului</w:t>
      </w:r>
      <w:r w:rsidR="0058720A" w:rsidRPr="00B3348C">
        <w:rPr>
          <w:rFonts w:cs="Arial"/>
          <w:sz w:val="24"/>
          <w:szCs w:val="24"/>
          <w:lang w:val="ro-RO"/>
        </w:rPr>
        <w:t xml:space="preserve"> 2017</w:t>
      </w:r>
      <w:r w:rsidRPr="00B3348C">
        <w:rPr>
          <w:rFonts w:cs="Arial"/>
          <w:sz w:val="24"/>
          <w:szCs w:val="24"/>
          <w:lang w:val="ro-RO"/>
        </w:rPr>
        <w:t xml:space="preserve">. La bugetul de stat </w:t>
      </w:r>
      <w:r w:rsidR="00CA19D3" w:rsidRPr="00B3348C">
        <w:rPr>
          <w:rFonts w:cs="Arial"/>
          <w:sz w:val="24"/>
          <w:szCs w:val="24"/>
          <w:lang w:val="ro-RO"/>
        </w:rPr>
        <w:t xml:space="preserve">nivelul </w:t>
      </w:r>
      <w:r w:rsidRPr="00B3348C">
        <w:rPr>
          <w:rFonts w:cs="Arial"/>
          <w:sz w:val="24"/>
          <w:szCs w:val="24"/>
          <w:lang w:val="ro-RO"/>
        </w:rPr>
        <w:t xml:space="preserve">cheltuielilor de personal a fost de </w:t>
      </w:r>
      <w:r w:rsidR="0058720A" w:rsidRPr="00B3348C">
        <w:rPr>
          <w:rFonts w:cs="Arial"/>
          <w:sz w:val="24"/>
          <w:szCs w:val="24"/>
          <w:lang w:val="ro-RO"/>
        </w:rPr>
        <w:t>9</w:t>
      </w:r>
      <w:r w:rsidR="00D424F0">
        <w:rPr>
          <w:rFonts w:cs="Arial"/>
          <w:sz w:val="24"/>
          <w:szCs w:val="24"/>
          <w:lang w:val="ro-RO"/>
        </w:rPr>
        <w:t>6</w:t>
      </w:r>
      <w:r w:rsidR="0058720A" w:rsidRPr="00B3348C">
        <w:rPr>
          <w:rFonts w:cs="Arial"/>
          <w:sz w:val="24"/>
          <w:szCs w:val="24"/>
          <w:lang w:val="ro-RO"/>
        </w:rPr>
        <w:t>,</w:t>
      </w:r>
      <w:r w:rsidR="00D424F0">
        <w:rPr>
          <w:rFonts w:cs="Arial"/>
          <w:sz w:val="24"/>
          <w:szCs w:val="24"/>
          <w:lang w:val="ro-RO"/>
        </w:rPr>
        <w:t>3</w:t>
      </w:r>
      <w:r w:rsidRPr="00B3348C">
        <w:rPr>
          <w:rFonts w:cs="Arial"/>
          <w:sz w:val="24"/>
          <w:szCs w:val="24"/>
          <w:lang w:val="ro-RO"/>
        </w:rPr>
        <w:t xml:space="preserve">% </w:t>
      </w:r>
      <w:r w:rsidR="0060745B" w:rsidRPr="00B3348C">
        <w:rPr>
          <w:rFonts w:cs="Arial"/>
          <w:sz w:val="24"/>
          <w:szCs w:val="24"/>
          <w:lang w:val="ro-RO"/>
        </w:rPr>
        <w:t>față de programul trimestrial</w:t>
      </w:r>
      <w:r w:rsidR="00CA19D3" w:rsidRPr="00B3348C">
        <w:rPr>
          <w:rFonts w:cs="Arial"/>
          <w:sz w:val="24"/>
          <w:szCs w:val="24"/>
          <w:lang w:val="ro-RO"/>
        </w:rPr>
        <w:t xml:space="preserve">. </w:t>
      </w:r>
      <w:r w:rsidR="006E57F9" w:rsidRPr="00B3348C">
        <w:rPr>
          <w:rFonts w:cs="Arial"/>
          <w:sz w:val="24"/>
          <w:szCs w:val="24"/>
          <w:lang w:val="ro-RO"/>
        </w:rPr>
        <w:t xml:space="preserve">Comparativ cu aceeași perioadă a anului anterior cheltuielile de personal au înregistrat o creștere cu </w:t>
      </w:r>
      <w:r w:rsidR="00D424F0">
        <w:rPr>
          <w:rFonts w:cs="Arial"/>
          <w:sz w:val="24"/>
          <w:szCs w:val="24"/>
          <w:lang w:val="ro-RO"/>
        </w:rPr>
        <w:t>22,6</w:t>
      </w:r>
      <w:r w:rsidR="006E57F9" w:rsidRPr="00B3348C">
        <w:rPr>
          <w:rFonts w:cs="Arial"/>
          <w:sz w:val="24"/>
          <w:szCs w:val="24"/>
          <w:lang w:val="ro-RO"/>
        </w:rPr>
        <w:t xml:space="preserve">%, </w:t>
      </w:r>
      <w:r w:rsidR="009B4381" w:rsidRPr="00B3348C">
        <w:rPr>
          <w:rFonts w:cs="Arial"/>
          <w:sz w:val="24"/>
          <w:szCs w:val="24"/>
          <w:lang w:val="ro-RO"/>
        </w:rPr>
        <w:t>fiind determinate de majorările salariale acordate în a doua parte a anului 2016, respectiv aplicarea, începând cu luna august 2016, a prevederile O.U.G. nr. 20/2016 pentru modificarea şi completarea Ordonanței de urgență a Guvernului nr. 57/2015 privind salarizarea personalului plătit din fonduri publice în anul 2016, prorogarea unor termene, precum şi unele măsuri fiscal-bugetare şi pentru modificarea şi completarea unor acte normative, precum și de creșterile salariale acordate in 2017, respectiv creșterea cu 15 % a salariilor din sănătate și educație începând cu 1 ianuarie 2017, a personalului plătit din fonduri publice din instituțiile şi autoritățile publice ale administrației publice locale care beneficiază de majorarea cu 20% începând cu 1 februarie 2017, majorarea cu 50% a salariului brut şi a sporurilor pentru personalul din instituțiile publice de spectacole sau concerte începând cu 1 februarie 2017</w:t>
      </w:r>
      <w:r w:rsidR="006375CD" w:rsidRPr="00B3348C">
        <w:rPr>
          <w:rFonts w:cs="Arial"/>
          <w:sz w:val="24"/>
          <w:szCs w:val="24"/>
          <w:lang w:val="ro-RO"/>
        </w:rPr>
        <w:t xml:space="preserve">, </w:t>
      </w:r>
      <w:r w:rsidR="006375CD" w:rsidRPr="00B3348C">
        <w:rPr>
          <w:sz w:val="24"/>
          <w:szCs w:val="24"/>
          <w:lang w:val="ro-RO"/>
        </w:rPr>
        <w:t>precum și majorării de la 1 februarie 2017 a salariului de bază minim brut pe țară de la 1250 lei la 1450 lei.</w:t>
      </w:r>
    </w:p>
    <w:p w:rsidR="00A55369" w:rsidRPr="00F93DC5" w:rsidRDefault="00723CEA" w:rsidP="00F93DC5">
      <w:pPr>
        <w:spacing w:after="0"/>
        <w:ind w:firstLine="720"/>
        <w:contextualSpacing/>
        <w:jc w:val="both"/>
        <w:rPr>
          <w:rFonts w:cs="Arial"/>
          <w:bCs/>
          <w:sz w:val="24"/>
          <w:szCs w:val="24"/>
          <w:lang w:val="ro-RO" w:eastAsia="zh-CN"/>
        </w:rPr>
      </w:pPr>
      <w:r w:rsidRPr="00B3348C">
        <w:rPr>
          <w:rFonts w:cs="Arial"/>
          <w:b/>
          <w:bCs/>
          <w:sz w:val="24"/>
          <w:szCs w:val="24"/>
          <w:lang w:val="ro-RO"/>
        </w:rPr>
        <w:t xml:space="preserve">Cheltuielile cu bunuri şi servicii </w:t>
      </w:r>
      <w:r w:rsidRPr="00B3348C">
        <w:rPr>
          <w:rFonts w:cs="Arial"/>
          <w:sz w:val="24"/>
          <w:szCs w:val="24"/>
          <w:lang w:val="ro-RO"/>
        </w:rPr>
        <w:t xml:space="preserve">au reprezentat </w:t>
      </w:r>
      <w:r w:rsidR="00D424F0">
        <w:rPr>
          <w:rFonts w:cs="Arial"/>
          <w:sz w:val="24"/>
          <w:szCs w:val="24"/>
          <w:lang w:val="ro-RO"/>
        </w:rPr>
        <w:t>1,2</w:t>
      </w:r>
      <w:r w:rsidR="009B4381" w:rsidRPr="00B3348C">
        <w:rPr>
          <w:rFonts w:cs="Arial"/>
          <w:sz w:val="24"/>
          <w:szCs w:val="24"/>
          <w:lang w:val="ro-RO"/>
        </w:rPr>
        <w:t>% din PIB şi s-au efectuat</w:t>
      </w:r>
      <w:r w:rsidRPr="00B3348C">
        <w:rPr>
          <w:rFonts w:cs="Arial"/>
          <w:sz w:val="24"/>
          <w:szCs w:val="24"/>
          <w:lang w:val="ro-RO"/>
        </w:rPr>
        <w:t xml:space="preserve"> în </w:t>
      </w:r>
      <w:r w:rsidR="00FC6093" w:rsidRPr="00B3348C">
        <w:rPr>
          <w:rFonts w:cs="Arial"/>
          <w:sz w:val="24"/>
          <w:szCs w:val="24"/>
          <w:lang w:val="ro-RO"/>
        </w:rPr>
        <w:t>proporție</w:t>
      </w:r>
      <w:r w:rsidRPr="00B3348C">
        <w:rPr>
          <w:rFonts w:cs="Arial"/>
          <w:sz w:val="24"/>
          <w:szCs w:val="24"/>
          <w:lang w:val="ro-RO"/>
        </w:rPr>
        <w:t xml:space="preserve"> de </w:t>
      </w:r>
      <w:r w:rsidR="00D424F0">
        <w:rPr>
          <w:rFonts w:cs="Arial"/>
          <w:sz w:val="24"/>
          <w:szCs w:val="24"/>
          <w:lang w:val="ro-RO"/>
        </w:rPr>
        <w:t>92,6</w:t>
      </w:r>
      <w:r w:rsidR="00DD5707" w:rsidRPr="00B3348C">
        <w:rPr>
          <w:rFonts w:cs="Arial"/>
          <w:sz w:val="24"/>
          <w:szCs w:val="24"/>
          <w:lang w:val="ro-RO"/>
        </w:rPr>
        <w:t>%</w:t>
      </w:r>
      <w:r w:rsidRPr="00B3348C">
        <w:rPr>
          <w:rFonts w:cs="Arial"/>
          <w:sz w:val="24"/>
          <w:szCs w:val="24"/>
          <w:lang w:val="ro-RO"/>
        </w:rPr>
        <w:t xml:space="preserve"> </w:t>
      </w:r>
      <w:r w:rsidR="00FC6093" w:rsidRPr="00B3348C">
        <w:rPr>
          <w:rFonts w:cs="Arial"/>
          <w:sz w:val="24"/>
          <w:szCs w:val="24"/>
          <w:lang w:val="ro-RO"/>
        </w:rPr>
        <w:t>față</w:t>
      </w:r>
      <w:r w:rsidRPr="00B3348C">
        <w:rPr>
          <w:rFonts w:cs="Arial"/>
          <w:sz w:val="24"/>
          <w:szCs w:val="24"/>
          <w:lang w:val="ro-RO"/>
        </w:rPr>
        <w:t xml:space="preserve"> de programul trimestrial. </w:t>
      </w:r>
      <w:r w:rsidR="00DD5707" w:rsidRPr="00B3348C">
        <w:rPr>
          <w:rFonts w:cs="Arial"/>
          <w:sz w:val="24"/>
          <w:szCs w:val="24"/>
          <w:lang w:val="ro-RO"/>
        </w:rPr>
        <w:t xml:space="preserve">Comparativ cu nivelul estimat a se efectua pentru trimestrul </w:t>
      </w:r>
      <w:r w:rsidR="00DD5707" w:rsidRPr="00AD3E8F">
        <w:rPr>
          <w:rFonts w:cs="Arial"/>
          <w:sz w:val="24"/>
          <w:szCs w:val="24"/>
          <w:lang w:val="ro-RO"/>
        </w:rPr>
        <w:t>I</w:t>
      </w:r>
      <w:r w:rsidR="00E10CDC" w:rsidRPr="00AD3E8F">
        <w:rPr>
          <w:rFonts w:cs="Arial"/>
          <w:sz w:val="24"/>
          <w:szCs w:val="24"/>
          <w:lang w:val="ro-RO"/>
        </w:rPr>
        <w:t>I</w:t>
      </w:r>
      <w:r w:rsidR="00DD5707" w:rsidRPr="00AD3E8F">
        <w:rPr>
          <w:rFonts w:cs="Arial"/>
          <w:sz w:val="24"/>
          <w:szCs w:val="24"/>
          <w:lang w:val="ro-RO"/>
        </w:rPr>
        <w:t xml:space="preserve"> cheltuielile cu bunuri și servicii s-au redus în termeni nominali cu </w:t>
      </w:r>
      <w:r w:rsidR="00D424F0" w:rsidRPr="00AD3E8F">
        <w:rPr>
          <w:rFonts w:cs="Arial"/>
          <w:sz w:val="24"/>
          <w:szCs w:val="24"/>
          <w:lang w:val="ro-RO"/>
        </w:rPr>
        <w:t>773,3</w:t>
      </w:r>
      <w:r w:rsidR="00DD5707" w:rsidRPr="00AD3E8F">
        <w:rPr>
          <w:rFonts w:cs="Arial"/>
          <w:sz w:val="24"/>
          <w:szCs w:val="24"/>
          <w:lang w:val="ro-RO"/>
        </w:rPr>
        <w:t xml:space="preserve"> milioane lei.</w:t>
      </w:r>
      <w:r w:rsidR="00A55369" w:rsidRPr="00AD3E8F">
        <w:rPr>
          <w:rFonts w:cs="Arial"/>
          <w:bCs/>
          <w:sz w:val="24"/>
          <w:szCs w:val="24"/>
          <w:lang w:val="ro-RO" w:eastAsia="zh-CN"/>
        </w:rPr>
        <w:t xml:space="preserve"> Cheltuielile cu bunuri şi servicii</w:t>
      </w:r>
      <w:r w:rsidR="004E2438">
        <w:rPr>
          <w:rFonts w:cs="Arial"/>
          <w:bCs/>
          <w:sz w:val="24"/>
          <w:szCs w:val="24"/>
          <w:lang w:val="ro-RO" w:eastAsia="zh-CN"/>
        </w:rPr>
        <w:t xml:space="preserve"> au</w:t>
      </w:r>
      <w:r w:rsidR="00A55369" w:rsidRPr="00AD3E8F">
        <w:rPr>
          <w:rFonts w:cs="Arial"/>
          <w:bCs/>
          <w:sz w:val="24"/>
          <w:szCs w:val="24"/>
          <w:lang w:val="ro-RO" w:eastAsia="zh-CN"/>
        </w:rPr>
        <w:t xml:space="preserve"> </w:t>
      </w:r>
      <w:r w:rsidR="00D424F0" w:rsidRPr="00AD3E8F">
        <w:rPr>
          <w:rFonts w:cs="Arial"/>
          <w:bCs/>
          <w:sz w:val="24"/>
          <w:szCs w:val="24"/>
          <w:lang w:val="ro-RO" w:eastAsia="zh-CN"/>
        </w:rPr>
        <w:t xml:space="preserve">crescut </w:t>
      </w:r>
      <w:r w:rsidR="00A55369" w:rsidRPr="00AD3E8F">
        <w:rPr>
          <w:rFonts w:cs="Arial"/>
          <w:bCs/>
          <w:sz w:val="24"/>
          <w:szCs w:val="24"/>
          <w:lang w:val="ro-RO" w:eastAsia="zh-CN"/>
        </w:rPr>
        <w:t xml:space="preserve">cu </w:t>
      </w:r>
      <w:r w:rsidR="00D424F0" w:rsidRPr="00AD3E8F">
        <w:rPr>
          <w:rFonts w:cs="Arial"/>
          <w:bCs/>
          <w:sz w:val="24"/>
          <w:szCs w:val="24"/>
          <w:lang w:val="ro-RO" w:eastAsia="zh-CN"/>
        </w:rPr>
        <w:t>4,</w:t>
      </w:r>
      <w:r w:rsidR="00AD3E8F" w:rsidRPr="00AD3E8F">
        <w:rPr>
          <w:rFonts w:cs="Arial"/>
          <w:bCs/>
          <w:sz w:val="24"/>
          <w:szCs w:val="24"/>
          <w:lang w:val="ro-RO" w:eastAsia="zh-CN"/>
        </w:rPr>
        <w:t>4</w:t>
      </w:r>
      <w:r w:rsidR="00A55369" w:rsidRPr="00AD3E8F">
        <w:rPr>
          <w:rFonts w:cs="Arial"/>
          <w:bCs/>
          <w:sz w:val="24"/>
          <w:szCs w:val="24"/>
          <w:lang w:val="ro-RO" w:eastAsia="zh-CN"/>
        </w:rPr>
        <w:t>% față de</w:t>
      </w:r>
      <w:r w:rsidR="00A55369" w:rsidRPr="00F93DC5">
        <w:rPr>
          <w:rFonts w:cs="Arial"/>
          <w:bCs/>
          <w:sz w:val="24"/>
          <w:szCs w:val="24"/>
          <w:lang w:val="ro-RO" w:eastAsia="zh-CN"/>
        </w:rPr>
        <w:t xml:space="preserve"> aceeași perioadă a anului precedent, </w:t>
      </w:r>
      <w:r w:rsidR="008F5FA7" w:rsidRPr="00F93DC5">
        <w:rPr>
          <w:rFonts w:cs="Arial"/>
          <w:bCs/>
          <w:sz w:val="24"/>
          <w:szCs w:val="24"/>
          <w:lang w:val="ro-RO" w:eastAsia="zh-CN"/>
        </w:rPr>
        <w:t xml:space="preserve">pe fondul creșterii plăților </w:t>
      </w:r>
      <w:r w:rsidR="00A55369" w:rsidRPr="00F93DC5">
        <w:rPr>
          <w:rFonts w:cs="Arial"/>
          <w:bCs/>
          <w:sz w:val="24"/>
          <w:szCs w:val="24"/>
          <w:lang w:val="ro-RO" w:eastAsia="zh-CN"/>
        </w:rPr>
        <w:t>la bugetul de stat (</w:t>
      </w:r>
      <w:r w:rsidR="008F5FA7" w:rsidRPr="00F93DC5">
        <w:rPr>
          <w:rFonts w:cs="Arial"/>
          <w:bCs/>
          <w:sz w:val="24"/>
          <w:szCs w:val="24"/>
          <w:lang w:val="ro-RO" w:eastAsia="zh-CN"/>
        </w:rPr>
        <w:t>+3,9</w:t>
      </w:r>
      <w:r w:rsidR="00A55369" w:rsidRPr="00F93DC5">
        <w:rPr>
          <w:rFonts w:cs="Arial"/>
          <w:bCs/>
          <w:sz w:val="24"/>
          <w:szCs w:val="24"/>
          <w:lang w:val="ro-RO" w:eastAsia="zh-CN"/>
        </w:rPr>
        <w:t>%)</w:t>
      </w:r>
      <w:r w:rsidR="008F5FA7" w:rsidRPr="00F93DC5">
        <w:rPr>
          <w:rFonts w:cs="Arial"/>
          <w:bCs/>
          <w:sz w:val="24"/>
          <w:szCs w:val="24"/>
          <w:lang w:val="ro-RO" w:eastAsia="zh-CN"/>
        </w:rPr>
        <w:t xml:space="preserve">, </w:t>
      </w:r>
      <w:r w:rsidR="00A55369" w:rsidRPr="00F93DC5">
        <w:rPr>
          <w:rFonts w:cs="Arial"/>
          <w:bCs/>
          <w:sz w:val="24"/>
          <w:szCs w:val="24"/>
          <w:lang w:val="ro-RO" w:eastAsia="zh-CN"/>
        </w:rPr>
        <w:t xml:space="preserve">la </w:t>
      </w:r>
      <w:r w:rsidR="00A55369" w:rsidRPr="00F93DC5">
        <w:rPr>
          <w:rFonts w:cs="Arial"/>
          <w:sz w:val="24"/>
          <w:szCs w:val="24"/>
          <w:lang w:val="ro-RO" w:eastAsia="zh-CN"/>
        </w:rPr>
        <w:t xml:space="preserve">nivelul administrațiilor locale </w:t>
      </w:r>
      <w:r w:rsidR="00A55369" w:rsidRPr="00F93DC5">
        <w:rPr>
          <w:rFonts w:cs="Arial"/>
          <w:bCs/>
          <w:sz w:val="24"/>
          <w:szCs w:val="24"/>
          <w:lang w:val="ro-RO" w:eastAsia="zh-CN"/>
        </w:rPr>
        <w:t>(</w:t>
      </w:r>
      <w:r w:rsidR="008F5FA7" w:rsidRPr="00F93DC5">
        <w:rPr>
          <w:rFonts w:cs="Arial"/>
          <w:bCs/>
          <w:sz w:val="24"/>
          <w:szCs w:val="24"/>
          <w:lang w:val="ro-RO" w:eastAsia="zh-CN"/>
        </w:rPr>
        <w:t>+5</w:t>
      </w:r>
      <w:r w:rsidR="00A55369" w:rsidRPr="00F93DC5">
        <w:rPr>
          <w:rFonts w:cs="Arial"/>
          <w:bCs/>
          <w:sz w:val="24"/>
          <w:szCs w:val="24"/>
          <w:lang w:val="ro-RO" w:eastAsia="zh-CN"/>
        </w:rPr>
        <w:t>,5%)</w:t>
      </w:r>
      <w:r w:rsidR="00664538">
        <w:rPr>
          <w:rFonts w:cs="Arial"/>
          <w:bCs/>
          <w:sz w:val="24"/>
          <w:szCs w:val="24"/>
          <w:lang w:val="ro-RO" w:eastAsia="zh-CN"/>
        </w:rPr>
        <w:t>,</w:t>
      </w:r>
      <w:r w:rsidR="00C8592D">
        <w:rPr>
          <w:rFonts w:cs="Arial"/>
          <w:bCs/>
          <w:sz w:val="24"/>
          <w:szCs w:val="24"/>
          <w:lang w:val="ro-RO" w:eastAsia="zh-CN"/>
        </w:rPr>
        <w:t xml:space="preserve"> </w:t>
      </w:r>
      <w:r w:rsidR="008F5FA7" w:rsidRPr="00F93DC5">
        <w:rPr>
          <w:rFonts w:cs="Arial"/>
          <w:bCs/>
          <w:sz w:val="24"/>
          <w:szCs w:val="24"/>
          <w:lang w:val="ro-RO" w:eastAsia="zh-CN"/>
        </w:rPr>
        <w:t>precum și la Fondul Național unic de asigurări sociale de sănătate(+8,6%)</w:t>
      </w:r>
      <w:r w:rsidR="00A55369" w:rsidRPr="00F93DC5">
        <w:rPr>
          <w:rFonts w:cs="Arial"/>
          <w:bCs/>
          <w:sz w:val="24"/>
          <w:szCs w:val="24"/>
          <w:lang w:val="ro-RO" w:eastAsia="zh-CN"/>
        </w:rPr>
        <w:t>.</w:t>
      </w:r>
    </w:p>
    <w:p w:rsidR="00723CEA" w:rsidRPr="00B3348C" w:rsidRDefault="00723CEA" w:rsidP="00F93DC5">
      <w:pPr>
        <w:spacing w:before="120" w:after="120"/>
        <w:ind w:right="6" w:firstLine="720"/>
        <w:jc w:val="both"/>
        <w:rPr>
          <w:rFonts w:cs="Arial"/>
          <w:sz w:val="24"/>
          <w:szCs w:val="24"/>
          <w:lang w:val="ro-RO"/>
        </w:rPr>
      </w:pPr>
      <w:r w:rsidRPr="00B3348C">
        <w:rPr>
          <w:rFonts w:cs="Arial"/>
          <w:b/>
          <w:bCs/>
          <w:sz w:val="24"/>
          <w:szCs w:val="24"/>
          <w:lang w:val="ro-RO"/>
        </w:rPr>
        <w:t>Cheltuielile cu dobânzile</w:t>
      </w:r>
      <w:r w:rsidRPr="00B3348C">
        <w:rPr>
          <w:rFonts w:cs="Arial"/>
          <w:sz w:val="24"/>
          <w:szCs w:val="24"/>
          <w:lang w:val="ro-RO"/>
        </w:rPr>
        <w:t xml:space="preserve"> au fost în termeni nominali de </w:t>
      </w:r>
      <w:r w:rsidR="00D424F0">
        <w:rPr>
          <w:rFonts w:cs="Arial"/>
          <w:sz w:val="24"/>
          <w:szCs w:val="24"/>
          <w:lang w:val="ro-RO"/>
        </w:rPr>
        <w:t>3.757,0</w:t>
      </w:r>
      <w:r w:rsidR="00DD5707" w:rsidRPr="00B3348C">
        <w:rPr>
          <w:rFonts w:cs="Arial"/>
          <w:sz w:val="24"/>
          <w:szCs w:val="24"/>
          <w:lang w:val="ro-RO"/>
        </w:rPr>
        <w:t xml:space="preserve"> </w:t>
      </w:r>
      <w:r w:rsidRPr="00B3348C">
        <w:rPr>
          <w:rFonts w:cs="Arial"/>
          <w:sz w:val="24"/>
          <w:szCs w:val="24"/>
          <w:lang w:val="ro-RO"/>
        </w:rPr>
        <w:t>mili</w:t>
      </w:r>
      <w:r w:rsidR="00ED63FB" w:rsidRPr="00B3348C">
        <w:rPr>
          <w:rFonts w:cs="Arial"/>
          <w:sz w:val="24"/>
          <w:szCs w:val="24"/>
          <w:lang w:val="ro-RO"/>
        </w:rPr>
        <w:t>oan</w:t>
      </w:r>
      <w:r w:rsidRPr="00B3348C">
        <w:rPr>
          <w:rFonts w:cs="Arial"/>
          <w:sz w:val="24"/>
          <w:szCs w:val="24"/>
          <w:lang w:val="ro-RO"/>
        </w:rPr>
        <w:t>e</w:t>
      </w:r>
      <w:r w:rsidR="00D7489B" w:rsidRPr="00B3348C">
        <w:rPr>
          <w:rFonts w:cs="Arial"/>
          <w:sz w:val="24"/>
          <w:szCs w:val="24"/>
          <w:lang w:val="ro-RO"/>
        </w:rPr>
        <w:t xml:space="preserve"> </w:t>
      </w:r>
      <w:r w:rsidRPr="00B3348C">
        <w:rPr>
          <w:rFonts w:cs="Arial"/>
          <w:sz w:val="24"/>
          <w:szCs w:val="24"/>
          <w:lang w:val="ro-RO"/>
        </w:rPr>
        <w:t>lei (0,</w:t>
      </w:r>
      <w:r w:rsidR="00D424F0">
        <w:rPr>
          <w:rFonts w:cs="Arial"/>
          <w:sz w:val="24"/>
          <w:szCs w:val="24"/>
          <w:lang w:val="ro-RO"/>
        </w:rPr>
        <w:t>5</w:t>
      </w:r>
      <w:r w:rsidR="0044681A" w:rsidRPr="00B3348C">
        <w:rPr>
          <w:rFonts w:cs="Arial"/>
          <w:sz w:val="24"/>
          <w:szCs w:val="24"/>
          <w:lang w:val="ro-RO"/>
        </w:rPr>
        <w:t xml:space="preserve">% din PIB) și s-au efectuat în proporție de </w:t>
      </w:r>
      <w:r w:rsidR="00D424F0">
        <w:rPr>
          <w:rFonts w:cs="Arial"/>
          <w:sz w:val="24"/>
          <w:szCs w:val="24"/>
          <w:lang w:val="ro-RO"/>
        </w:rPr>
        <w:t>95,2</w:t>
      </w:r>
      <w:r w:rsidR="00DD5707" w:rsidRPr="00B3348C">
        <w:rPr>
          <w:rFonts w:cs="Arial"/>
          <w:sz w:val="24"/>
          <w:szCs w:val="24"/>
          <w:lang w:val="ro-RO"/>
        </w:rPr>
        <w:t>%</w:t>
      </w:r>
      <w:r w:rsidR="0044681A" w:rsidRPr="00B3348C">
        <w:rPr>
          <w:rFonts w:cs="Arial"/>
          <w:sz w:val="24"/>
          <w:szCs w:val="24"/>
          <w:lang w:val="ro-RO"/>
        </w:rPr>
        <w:t xml:space="preserve"> din programul trimestrial</w:t>
      </w:r>
      <w:r w:rsidR="00D424F0">
        <w:rPr>
          <w:rFonts w:cs="Arial"/>
          <w:sz w:val="24"/>
          <w:szCs w:val="24"/>
          <w:lang w:val="ro-RO"/>
        </w:rPr>
        <w:t>.</w:t>
      </w:r>
      <w:r w:rsidR="00F16D6F" w:rsidRPr="00B3348C">
        <w:rPr>
          <w:rFonts w:cs="Arial"/>
          <w:sz w:val="24"/>
          <w:szCs w:val="24"/>
          <w:lang w:val="ro-RO"/>
        </w:rPr>
        <w:t xml:space="preserve"> </w:t>
      </w:r>
    </w:p>
    <w:p w:rsidR="000C3DB1" w:rsidRPr="00B3348C" w:rsidRDefault="006E57F9" w:rsidP="00FC44BB">
      <w:pPr>
        <w:spacing w:after="0"/>
        <w:ind w:right="6" w:firstLine="720"/>
        <w:jc w:val="both"/>
        <w:rPr>
          <w:rFonts w:cs="Arial"/>
          <w:bCs/>
          <w:color w:val="000000"/>
          <w:sz w:val="24"/>
          <w:szCs w:val="24"/>
          <w:lang w:val="ro-RO"/>
        </w:rPr>
      </w:pPr>
      <w:r w:rsidRPr="00B3348C">
        <w:rPr>
          <w:rFonts w:cs="Arial"/>
          <w:b/>
          <w:bCs/>
          <w:color w:val="000000"/>
          <w:sz w:val="24"/>
          <w:szCs w:val="24"/>
          <w:lang w:val="ro-RO"/>
        </w:rPr>
        <w:t>Cheltuielile cu subvențiile</w:t>
      </w:r>
      <w:r w:rsidRPr="00B3348C">
        <w:rPr>
          <w:rFonts w:cs="Arial"/>
          <w:bCs/>
          <w:color w:val="000000"/>
          <w:sz w:val="24"/>
          <w:szCs w:val="24"/>
          <w:lang w:val="ro-RO"/>
        </w:rPr>
        <w:t xml:space="preserve"> au fost în sumă de 1</w:t>
      </w:r>
      <w:r w:rsidR="000C3DB1" w:rsidRPr="00B3348C">
        <w:rPr>
          <w:rFonts w:cs="Arial"/>
          <w:bCs/>
          <w:color w:val="000000"/>
          <w:sz w:val="24"/>
          <w:szCs w:val="24"/>
          <w:lang w:val="ro-RO"/>
        </w:rPr>
        <w:t>.</w:t>
      </w:r>
      <w:r w:rsidR="00D424F0">
        <w:rPr>
          <w:rFonts w:cs="Arial"/>
          <w:bCs/>
          <w:color w:val="000000"/>
          <w:sz w:val="24"/>
          <w:szCs w:val="24"/>
          <w:lang w:val="ro-RO"/>
        </w:rPr>
        <w:t>640,4</w:t>
      </w:r>
      <w:r w:rsidRPr="00B3348C">
        <w:rPr>
          <w:rFonts w:cs="Arial"/>
          <w:bCs/>
          <w:color w:val="000000"/>
          <w:sz w:val="24"/>
          <w:szCs w:val="24"/>
          <w:lang w:val="ro-RO"/>
        </w:rPr>
        <w:t xml:space="preserve"> milioane lei, au reprezentat 0,2% din PIB și s-au efectuat în proporție de </w:t>
      </w:r>
      <w:r w:rsidR="00D424F0">
        <w:rPr>
          <w:rFonts w:cs="Arial"/>
          <w:bCs/>
          <w:color w:val="000000"/>
          <w:sz w:val="24"/>
          <w:szCs w:val="24"/>
          <w:lang w:val="ro-RO"/>
        </w:rPr>
        <w:t>122,6</w:t>
      </w:r>
      <w:r w:rsidRPr="00B3348C">
        <w:rPr>
          <w:rFonts w:cs="Arial"/>
          <w:bCs/>
          <w:color w:val="000000"/>
          <w:sz w:val="24"/>
          <w:szCs w:val="24"/>
          <w:lang w:val="ro-RO"/>
        </w:rPr>
        <w:t>% comparativ cu programul trimestrial</w:t>
      </w:r>
      <w:r w:rsidR="00D424F0">
        <w:rPr>
          <w:rFonts w:cs="Arial"/>
          <w:bCs/>
          <w:color w:val="000000"/>
          <w:sz w:val="24"/>
          <w:szCs w:val="24"/>
          <w:lang w:val="ro-RO"/>
        </w:rPr>
        <w:t xml:space="preserve"> recuperând astfel decalajul înregistrat față de program în trimestrul I</w:t>
      </w:r>
      <w:r w:rsidRPr="00B3348C">
        <w:rPr>
          <w:rFonts w:cs="Arial"/>
          <w:bCs/>
          <w:color w:val="000000"/>
          <w:sz w:val="24"/>
          <w:szCs w:val="24"/>
          <w:lang w:val="ro-RO"/>
        </w:rPr>
        <w:t>.</w:t>
      </w:r>
    </w:p>
    <w:p w:rsidR="00845E18" w:rsidRPr="00B3348C" w:rsidRDefault="00723CEA" w:rsidP="00FC44BB">
      <w:pPr>
        <w:spacing w:before="120" w:after="0"/>
        <w:ind w:right="6" w:firstLine="720"/>
        <w:jc w:val="both"/>
        <w:rPr>
          <w:rFonts w:cs="Arial"/>
          <w:color w:val="FF0000"/>
          <w:sz w:val="24"/>
          <w:szCs w:val="24"/>
          <w:highlight w:val="yellow"/>
          <w:lang w:val="ro-RO"/>
        </w:rPr>
      </w:pPr>
      <w:r w:rsidRPr="00B3348C">
        <w:rPr>
          <w:rFonts w:cs="Arial"/>
          <w:b/>
          <w:bCs/>
          <w:sz w:val="24"/>
          <w:szCs w:val="24"/>
          <w:lang w:val="ro-RO"/>
        </w:rPr>
        <w:t xml:space="preserve">Cheltuielile cu </w:t>
      </w:r>
      <w:r w:rsidR="00FC6093" w:rsidRPr="00B3348C">
        <w:rPr>
          <w:rFonts w:cs="Arial"/>
          <w:b/>
          <w:bCs/>
          <w:sz w:val="24"/>
          <w:szCs w:val="24"/>
          <w:lang w:val="ro-RO"/>
        </w:rPr>
        <w:t>asistența</w:t>
      </w:r>
      <w:r w:rsidRPr="00B3348C">
        <w:rPr>
          <w:rFonts w:cs="Arial"/>
          <w:b/>
          <w:bCs/>
          <w:sz w:val="24"/>
          <w:szCs w:val="24"/>
          <w:lang w:val="ro-RO"/>
        </w:rPr>
        <w:t xml:space="preserve"> socială</w:t>
      </w:r>
      <w:r w:rsidRPr="00B3348C">
        <w:rPr>
          <w:rFonts w:cs="Arial"/>
          <w:sz w:val="24"/>
          <w:szCs w:val="24"/>
          <w:lang w:val="ro-RO"/>
        </w:rPr>
        <w:t xml:space="preserve"> au reprezentat 2,</w:t>
      </w:r>
      <w:r w:rsidR="006E57F9" w:rsidRPr="00B3348C">
        <w:rPr>
          <w:rFonts w:cs="Arial"/>
          <w:sz w:val="24"/>
          <w:szCs w:val="24"/>
          <w:lang w:val="ro-RO"/>
        </w:rPr>
        <w:t>7</w:t>
      </w:r>
      <w:r w:rsidRPr="00B3348C">
        <w:rPr>
          <w:rFonts w:cs="Arial"/>
          <w:sz w:val="24"/>
          <w:szCs w:val="24"/>
          <w:lang w:val="ro-RO"/>
        </w:rPr>
        <w:t xml:space="preserve">% din PIB şi s-au efectuat în </w:t>
      </w:r>
      <w:r w:rsidR="00FC6093" w:rsidRPr="00B3348C">
        <w:rPr>
          <w:rFonts w:cs="Arial"/>
          <w:sz w:val="24"/>
          <w:szCs w:val="24"/>
          <w:lang w:val="ro-RO"/>
        </w:rPr>
        <w:t>proporție</w:t>
      </w:r>
      <w:r w:rsidRPr="00B3348C">
        <w:rPr>
          <w:rFonts w:cs="Arial"/>
          <w:sz w:val="24"/>
          <w:szCs w:val="24"/>
          <w:lang w:val="ro-RO"/>
        </w:rPr>
        <w:t xml:space="preserve"> de </w:t>
      </w:r>
      <w:r w:rsidR="009038D7" w:rsidRPr="00B3348C">
        <w:rPr>
          <w:rFonts w:cs="Arial"/>
          <w:sz w:val="24"/>
          <w:szCs w:val="24"/>
          <w:lang w:val="ro-RO"/>
        </w:rPr>
        <w:t>98,9</w:t>
      </w:r>
      <w:r w:rsidRPr="00B3348C">
        <w:rPr>
          <w:rFonts w:cs="Arial"/>
          <w:sz w:val="24"/>
          <w:szCs w:val="24"/>
          <w:lang w:val="ro-RO"/>
        </w:rPr>
        <w:t xml:space="preserve">% </w:t>
      </w:r>
      <w:r w:rsidR="00FC6093" w:rsidRPr="00B3348C">
        <w:rPr>
          <w:rFonts w:cs="Arial"/>
          <w:sz w:val="24"/>
          <w:szCs w:val="24"/>
          <w:lang w:val="ro-RO"/>
        </w:rPr>
        <w:t>față</w:t>
      </w:r>
      <w:r w:rsidRPr="00B3348C">
        <w:rPr>
          <w:rFonts w:cs="Arial"/>
          <w:sz w:val="24"/>
          <w:szCs w:val="24"/>
          <w:lang w:val="ro-RO"/>
        </w:rPr>
        <w:t xml:space="preserve"> de programul trimestrial</w:t>
      </w:r>
      <w:r w:rsidR="00ED63FB" w:rsidRPr="00B3348C">
        <w:rPr>
          <w:rFonts w:cs="Arial"/>
          <w:sz w:val="24"/>
          <w:szCs w:val="24"/>
          <w:lang w:val="ro-RO"/>
        </w:rPr>
        <w:t>.</w:t>
      </w:r>
      <w:r w:rsidR="009038D7" w:rsidRPr="00B3348C">
        <w:rPr>
          <w:rFonts w:cs="Arial"/>
          <w:sz w:val="24"/>
          <w:szCs w:val="24"/>
          <w:lang w:val="ro-RO"/>
        </w:rPr>
        <w:t xml:space="preserve"> Comparativ cu anul anterior cheltuielile cu asistența socială au crescut în termeni nominali cu </w:t>
      </w:r>
      <w:r w:rsidR="00D424F0">
        <w:rPr>
          <w:rFonts w:cs="Arial"/>
          <w:sz w:val="24"/>
          <w:szCs w:val="24"/>
          <w:lang w:val="ro-RO"/>
        </w:rPr>
        <w:t>10,0</w:t>
      </w:r>
      <w:r w:rsidR="004836E2" w:rsidRPr="00B3348C">
        <w:rPr>
          <w:rFonts w:cs="Arial"/>
          <w:sz w:val="24"/>
          <w:szCs w:val="24"/>
          <w:lang w:val="ro-RO"/>
        </w:rPr>
        <w:t xml:space="preserve">%, iar ca procent în PIB </w:t>
      </w:r>
      <w:r w:rsidR="00D424F0">
        <w:rPr>
          <w:rFonts w:cs="Arial"/>
          <w:sz w:val="24"/>
          <w:szCs w:val="24"/>
          <w:lang w:val="ro-RO"/>
        </w:rPr>
        <w:t>s-au situat la același nivel</w:t>
      </w:r>
      <w:r w:rsidR="004836E2" w:rsidRPr="00B3348C">
        <w:rPr>
          <w:rFonts w:cs="Arial"/>
          <w:sz w:val="24"/>
          <w:szCs w:val="24"/>
          <w:lang w:val="ro-RO"/>
        </w:rPr>
        <w:t>.</w:t>
      </w:r>
    </w:p>
    <w:p w:rsidR="00F93DC5" w:rsidRDefault="00D23750" w:rsidP="00F93DC5">
      <w:pPr>
        <w:spacing w:after="120"/>
        <w:ind w:right="6" w:firstLine="720"/>
        <w:jc w:val="both"/>
        <w:rPr>
          <w:rFonts w:cs="Arial"/>
          <w:sz w:val="24"/>
          <w:szCs w:val="24"/>
          <w:lang w:val="ro-RO"/>
        </w:rPr>
      </w:pPr>
      <w:r w:rsidRPr="00B3348C">
        <w:rPr>
          <w:rFonts w:cs="Arial"/>
          <w:sz w:val="24"/>
          <w:szCs w:val="24"/>
          <w:lang w:val="ro-RO"/>
        </w:rPr>
        <w:t>Evoluția cheltuielile cu asistența socială comparativ cu acee</w:t>
      </w:r>
      <w:r w:rsidR="008013F9" w:rsidRPr="00B3348C">
        <w:rPr>
          <w:rFonts w:cs="Arial"/>
          <w:sz w:val="24"/>
          <w:szCs w:val="24"/>
          <w:lang w:val="ro-RO"/>
        </w:rPr>
        <w:t>a</w:t>
      </w:r>
      <w:r w:rsidRPr="00B3348C">
        <w:rPr>
          <w:rFonts w:cs="Arial"/>
          <w:sz w:val="24"/>
          <w:szCs w:val="24"/>
          <w:lang w:val="ro-RO"/>
        </w:rPr>
        <w:t>și perioadă a anului precedent a fost influențată, în principal, de majorarea cu 5,25% a punctului de pensie de la 1 ianuarie 2017</w:t>
      </w:r>
      <w:r w:rsidR="008013F9" w:rsidRPr="00B3348C">
        <w:rPr>
          <w:rStyle w:val="FootnoteReference"/>
          <w:rFonts w:cs="Arial"/>
          <w:sz w:val="24"/>
          <w:szCs w:val="24"/>
          <w:lang w:val="ro-RO"/>
        </w:rPr>
        <w:footnoteReference w:id="10"/>
      </w:r>
      <w:r w:rsidRPr="00B3348C">
        <w:rPr>
          <w:rFonts w:cs="Arial"/>
          <w:sz w:val="24"/>
          <w:szCs w:val="24"/>
          <w:lang w:val="ro-RO"/>
        </w:rPr>
        <w:t xml:space="preserve">, precum și alte măsuri ce au fost aprobate în timpul anului 2016 care au </w:t>
      </w:r>
      <w:r w:rsidR="008013F9" w:rsidRPr="00B3348C">
        <w:rPr>
          <w:rFonts w:cs="Arial"/>
          <w:sz w:val="24"/>
          <w:szCs w:val="24"/>
          <w:lang w:val="ro-RO"/>
        </w:rPr>
        <w:t xml:space="preserve">condus la </w:t>
      </w:r>
      <w:r w:rsidRPr="00B3348C">
        <w:rPr>
          <w:rFonts w:cs="Arial"/>
          <w:sz w:val="24"/>
          <w:szCs w:val="24"/>
          <w:lang w:val="ro-RO"/>
        </w:rPr>
        <w:t>sporirea cheltuielilor sociale cum sunt: creșterea numărului de beneficiari de ajutor social prin excluderea alocației de stat pentru copii din veniturile familiei la stabilirea ajutorului social (VMG); majorarea indemnizației acordate adultului cu handicap vizual grav prin majorarea cu 25% a salariului net al asistentului social debutant cu studii medii din unitățile de asistență socială din sectorul bugetar, altele decât cele cu paturi, și majorarea numărului de persoane încadrate în diverse tipuri de handicap; majorarea și modificarea modalității de stabilire a indemnizației lunare pentru creșterea copilului și stimulentul de inserție; pensii de serviciu pentru grefieri, personal aeronautic, funcționari publici parlamentari, auditori ai Curții de Conturi.</w:t>
      </w:r>
    </w:p>
    <w:p w:rsidR="008F5FA7" w:rsidRDefault="00FC6093" w:rsidP="00F93DC5">
      <w:pPr>
        <w:spacing w:after="120"/>
        <w:ind w:right="6" w:firstLine="720"/>
        <w:jc w:val="both"/>
        <w:rPr>
          <w:rFonts w:cs="Arial"/>
          <w:sz w:val="24"/>
          <w:szCs w:val="24"/>
          <w:lang w:val="ro-RO"/>
        </w:rPr>
      </w:pPr>
      <w:r w:rsidRPr="00B3348C">
        <w:rPr>
          <w:rFonts w:cs="Arial"/>
          <w:b/>
          <w:bCs/>
          <w:sz w:val="24"/>
          <w:szCs w:val="24"/>
          <w:lang w:val="ro-RO"/>
        </w:rPr>
        <w:t>Plățile</w:t>
      </w:r>
      <w:r w:rsidR="00723CEA" w:rsidRPr="00B3348C">
        <w:rPr>
          <w:rFonts w:cs="Arial"/>
          <w:b/>
          <w:bCs/>
          <w:sz w:val="24"/>
          <w:szCs w:val="24"/>
          <w:lang w:val="ro-RO"/>
        </w:rPr>
        <w:t xml:space="preserve"> pentru proiectele cu </w:t>
      </w:r>
      <w:r w:rsidRPr="00B3348C">
        <w:rPr>
          <w:rFonts w:cs="Arial"/>
          <w:b/>
          <w:bCs/>
          <w:sz w:val="24"/>
          <w:szCs w:val="24"/>
          <w:lang w:val="ro-RO"/>
        </w:rPr>
        <w:t>finanțare</w:t>
      </w:r>
      <w:r w:rsidR="008F5FA7">
        <w:rPr>
          <w:rFonts w:cs="Arial"/>
          <w:b/>
          <w:bCs/>
          <w:sz w:val="24"/>
          <w:szCs w:val="24"/>
          <w:lang w:val="ro-RO"/>
        </w:rPr>
        <w:t xml:space="preserve"> din fonduri UE </w:t>
      </w:r>
      <w:r w:rsidR="008F5FA7" w:rsidRPr="00C8592D">
        <w:rPr>
          <w:rFonts w:cs="Arial"/>
          <w:bCs/>
          <w:sz w:val="24"/>
          <w:szCs w:val="24"/>
          <w:lang w:val="ro-RO"/>
        </w:rPr>
        <w:t>au însumat</w:t>
      </w:r>
      <w:r w:rsidR="008F5FA7">
        <w:rPr>
          <w:rFonts w:cs="Arial"/>
          <w:b/>
          <w:bCs/>
          <w:sz w:val="24"/>
          <w:szCs w:val="24"/>
          <w:lang w:val="ro-RO"/>
        </w:rPr>
        <w:t xml:space="preserve"> </w:t>
      </w:r>
      <w:r w:rsidR="008F5FA7" w:rsidRPr="008F5FA7">
        <w:rPr>
          <w:rFonts w:cs="Arial"/>
          <w:b/>
          <w:bCs/>
          <w:sz w:val="24"/>
          <w:szCs w:val="24"/>
        </w:rPr>
        <w:t>3.371,4</w:t>
      </w:r>
      <w:r w:rsidR="008F5FA7">
        <w:rPr>
          <w:rFonts w:cs="Arial"/>
          <w:b/>
          <w:bCs/>
          <w:sz w:val="24"/>
          <w:szCs w:val="24"/>
        </w:rPr>
        <w:t xml:space="preserve"> </w:t>
      </w:r>
      <w:r w:rsidR="008F5FA7" w:rsidRPr="00664538">
        <w:rPr>
          <w:rFonts w:cs="Arial"/>
          <w:b/>
          <w:bCs/>
          <w:sz w:val="24"/>
          <w:szCs w:val="24"/>
          <w:lang w:val="ro-RO"/>
        </w:rPr>
        <w:t>milioane</w:t>
      </w:r>
      <w:r w:rsidR="008F5FA7">
        <w:rPr>
          <w:rFonts w:cs="Arial"/>
          <w:b/>
          <w:bCs/>
          <w:sz w:val="24"/>
          <w:szCs w:val="24"/>
        </w:rPr>
        <w:t xml:space="preserve"> lei, </w:t>
      </w:r>
      <w:r w:rsidR="008F5FA7" w:rsidRPr="00C8592D">
        <w:rPr>
          <w:rFonts w:cs="Arial"/>
          <w:bCs/>
          <w:sz w:val="24"/>
          <w:szCs w:val="24"/>
        </w:rPr>
        <w:t>au</w:t>
      </w:r>
      <w:r w:rsidR="008F5FA7">
        <w:rPr>
          <w:rFonts w:cs="Arial"/>
          <w:b/>
          <w:bCs/>
          <w:sz w:val="24"/>
          <w:szCs w:val="24"/>
        </w:rPr>
        <w:t xml:space="preserve"> </w:t>
      </w:r>
      <w:r w:rsidR="00723CEA" w:rsidRPr="00B3348C">
        <w:rPr>
          <w:rFonts w:cs="Arial"/>
          <w:sz w:val="24"/>
          <w:szCs w:val="24"/>
          <w:lang w:val="ro-RO"/>
        </w:rPr>
        <w:t>reprezentat 0,</w:t>
      </w:r>
      <w:r w:rsidR="003062B0" w:rsidRPr="00B3348C">
        <w:rPr>
          <w:rFonts w:cs="Arial"/>
          <w:sz w:val="24"/>
          <w:szCs w:val="24"/>
          <w:lang w:val="ro-RO"/>
        </w:rPr>
        <w:t>4</w:t>
      </w:r>
      <w:r w:rsidR="00723CEA" w:rsidRPr="00B3348C">
        <w:rPr>
          <w:rFonts w:cs="Arial"/>
          <w:sz w:val="24"/>
          <w:szCs w:val="24"/>
          <w:lang w:val="ro-RO"/>
        </w:rPr>
        <w:t xml:space="preserve">% din PIB şi s-au efectuat în </w:t>
      </w:r>
      <w:r w:rsidRPr="00B3348C">
        <w:rPr>
          <w:rFonts w:cs="Arial"/>
          <w:sz w:val="24"/>
          <w:szCs w:val="24"/>
          <w:lang w:val="ro-RO"/>
        </w:rPr>
        <w:t>proporție</w:t>
      </w:r>
      <w:r w:rsidR="00723CEA" w:rsidRPr="00B3348C">
        <w:rPr>
          <w:rFonts w:cs="Arial"/>
          <w:sz w:val="24"/>
          <w:szCs w:val="24"/>
          <w:lang w:val="ro-RO"/>
        </w:rPr>
        <w:t xml:space="preserve"> de </w:t>
      </w:r>
      <w:r w:rsidR="00D424F0">
        <w:rPr>
          <w:rFonts w:cs="Arial"/>
          <w:sz w:val="24"/>
          <w:szCs w:val="24"/>
          <w:lang w:val="ro-RO"/>
        </w:rPr>
        <w:t>65,5</w:t>
      </w:r>
      <w:r w:rsidR="008C1908" w:rsidRPr="00B3348C">
        <w:rPr>
          <w:rFonts w:cs="Arial"/>
          <w:sz w:val="24"/>
          <w:szCs w:val="24"/>
          <w:lang w:val="ro-RO"/>
        </w:rPr>
        <w:t xml:space="preserve">%, majoritatea plăților realizate fiind pentru proiectele finanțate din cadrul bugetar </w:t>
      </w:r>
      <w:r w:rsidR="008013F9" w:rsidRPr="00B3348C">
        <w:rPr>
          <w:rFonts w:cs="Arial"/>
          <w:sz w:val="24"/>
          <w:szCs w:val="24"/>
          <w:lang w:val="ro-RO"/>
        </w:rPr>
        <w:t>2014</w:t>
      </w:r>
      <w:r w:rsidR="008C1908" w:rsidRPr="00B3348C">
        <w:rPr>
          <w:rFonts w:cs="Arial"/>
          <w:sz w:val="24"/>
          <w:szCs w:val="24"/>
          <w:lang w:val="ro-RO"/>
        </w:rPr>
        <w:t>-</w:t>
      </w:r>
      <w:r w:rsidR="008013F9" w:rsidRPr="00B3348C">
        <w:rPr>
          <w:rFonts w:cs="Arial"/>
          <w:sz w:val="24"/>
          <w:szCs w:val="24"/>
          <w:lang w:val="ro-RO"/>
        </w:rPr>
        <w:t>2020</w:t>
      </w:r>
      <w:r w:rsidR="00664538">
        <w:rPr>
          <w:rFonts w:cs="Arial"/>
          <w:sz w:val="24"/>
          <w:szCs w:val="24"/>
          <w:lang w:val="ro-RO"/>
        </w:rPr>
        <w:t xml:space="preserve"> </w:t>
      </w:r>
      <w:r w:rsidR="008F5FA7">
        <w:rPr>
          <w:rFonts w:cs="Arial"/>
          <w:sz w:val="24"/>
          <w:szCs w:val="24"/>
          <w:lang w:val="ro-RO"/>
        </w:rPr>
        <w:t>(3.081,3 milioane lei)</w:t>
      </w:r>
      <w:r w:rsidR="008013F9" w:rsidRPr="00B3348C">
        <w:rPr>
          <w:rFonts w:cs="Arial"/>
          <w:sz w:val="24"/>
          <w:szCs w:val="24"/>
          <w:lang w:val="ro-RO"/>
        </w:rPr>
        <w:t>.</w:t>
      </w:r>
      <w:r w:rsidR="008C1908" w:rsidRPr="00B3348C">
        <w:rPr>
          <w:rFonts w:cs="Arial"/>
          <w:sz w:val="24"/>
          <w:szCs w:val="24"/>
          <w:lang w:val="ro-RO"/>
        </w:rPr>
        <w:t xml:space="preserve"> </w:t>
      </w:r>
    </w:p>
    <w:p w:rsidR="00712780" w:rsidRPr="00B3348C" w:rsidRDefault="00712780" w:rsidP="00F93DC5">
      <w:pPr>
        <w:spacing w:before="240"/>
        <w:ind w:right="6" w:firstLine="709"/>
        <w:jc w:val="both"/>
        <w:rPr>
          <w:rFonts w:cs="Arial"/>
          <w:sz w:val="24"/>
          <w:szCs w:val="24"/>
          <w:lang w:val="ro-RO"/>
        </w:rPr>
      </w:pPr>
      <w:r w:rsidRPr="00B3348C">
        <w:rPr>
          <w:rFonts w:cs="Arial"/>
          <w:b/>
          <w:sz w:val="24"/>
          <w:szCs w:val="24"/>
          <w:lang w:val="ro-RO"/>
        </w:rPr>
        <w:t xml:space="preserve">Cheltuielile de capital </w:t>
      </w:r>
      <w:r w:rsidRPr="00B3348C">
        <w:rPr>
          <w:rFonts w:cs="Arial"/>
          <w:sz w:val="24"/>
          <w:szCs w:val="24"/>
          <w:lang w:val="ro-RO"/>
        </w:rPr>
        <w:t>au reprezentat 0,</w:t>
      </w:r>
      <w:r w:rsidR="008F5FA7">
        <w:rPr>
          <w:rFonts w:cs="Arial"/>
          <w:sz w:val="24"/>
          <w:szCs w:val="24"/>
          <w:lang w:val="ro-RO"/>
        </w:rPr>
        <w:t>4</w:t>
      </w:r>
      <w:r w:rsidR="00664538">
        <w:rPr>
          <w:rFonts w:cs="Arial"/>
          <w:sz w:val="24"/>
          <w:szCs w:val="24"/>
          <w:lang w:val="ro-RO"/>
        </w:rPr>
        <w:t>% din PIB ș</w:t>
      </w:r>
      <w:r w:rsidRPr="00B3348C">
        <w:rPr>
          <w:rFonts w:cs="Arial"/>
          <w:sz w:val="24"/>
          <w:szCs w:val="24"/>
          <w:lang w:val="ro-RO"/>
        </w:rPr>
        <w:t>i s-au efectuat în proporție de 6</w:t>
      </w:r>
      <w:r w:rsidR="008F5FA7">
        <w:rPr>
          <w:rFonts w:cs="Arial"/>
          <w:sz w:val="24"/>
          <w:szCs w:val="24"/>
          <w:lang w:val="ro-RO"/>
        </w:rPr>
        <w:t>4</w:t>
      </w:r>
      <w:r w:rsidRPr="00B3348C">
        <w:rPr>
          <w:rFonts w:cs="Arial"/>
          <w:sz w:val="24"/>
          <w:szCs w:val="24"/>
          <w:lang w:val="ro-RO"/>
        </w:rPr>
        <w:t>,</w:t>
      </w:r>
      <w:r w:rsidR="008F5FA7">
        <w:rPr>
          <w:rFonts w:cs="Arial"/>
          <w:sz w:val="24"/>
          <w:szCs w:val="24"/>
          <w:lang w:val="ro-RO"/>
        </w:rPr>
        <w:t>4</w:t>
      </w:r>
      <w:r w:rsidRPr="00B3348C">
        <w:rPr>
          <w:rFonts w:cs="Arial"/>
          <w:sz w:val="24"/>
          <w:szCs w:val="24"/>
          <w:lang w:val="ro-RO"/>
        </w:rPr>
        <w:t>% comparativ cu programul trimestrial.</w:t>
      </w:r>
      <w:r w:rsidR="00F93DC5">
        <w:rPr>
          <w:rFonts w:cs="Arial"/>
          <w:sz w:val="24"/>
          <w:szCs w:val="24"/>
          <w:lang w:val="ro-RO"/>
        </w:rPr>
        <w:t xml:space="preserve"> </w:t>
      </w:r>
      <w:r w:rsidR="008F5FA7">
        <w:rPr>
          <w:rFonts w:cs="Arial"/>
          <w:sz w:val="24"/>
          <w:szCs w:val="24"/>
          <w:lang w:val="ro-RO"/>
        </w:rPr>
        <w:t>Comparativ cu aceeași perioadă a anului anterior plățile aferente cheltuielilor de capital au scăzut cu 13,3%.</w:t>
      </w:r>
    </w:p>
    <w:p w:rsidR="009A2435" w:rsidRPr="00B3348C" w:rsidRDefault="00723CEA" w:rsidP="00FC44BB">
      <w:pPr>
        <w:spacing w:before="240"/>
        <w:ind w:right="6" w:firstLine="709"/>
        <w:jc w:val="both"/>
        <w:rPr>
          <w:rFonts w:cs="Arial"/>
          <w:sz w:val="24"/>
          <w:szCs w:val="24"/>
          <w:lang w:val="ro-RO"/>
        </w:rPr>
      </w:pPr>
      <w:r w:rsidRPr="00B3348C">
        <w:rPr>
          <w:rFonts w:cs="Arial"/>
          <w:sz w:val="24"/>
          <w:szCs w:val="24"/>
          <w:lang w:val="ro-RO"/>
        </w:rPr>
        <w:t xml:space="preserve">Cheltuielile pentru </w:t>
      </w:r>
      <w:r w:rsidR="00FC6093" w:rsidRPr="00B3348C">
        <w:rPr>
          <w:rFonts w:cs="Arial"/>
          <w:sz w:val="24"/>
          <w:szCs w:val="24"/>
          <w:lang w:val="ro-RO"/>
        </w:rPr>
        <w:t>investiții</w:t>
      </w:r>
      <w:r w:rsidRPr="00B3348C">
        <w:rPr>
          <w:rFonts w:cs="Arial"/>
          <w:sz w:val="24"/>
          <w:szCs w:val="24"/>
          <w:lang w:val="ro-RO"/>
        </w:rPr>
        <w:t xml:space="preserve"> (includ cheltuielile de capital, precum şi cele aferente programelor de dezvoltare </w:t>
      </w:r>
      <w:r w:rsidR="00FC6093" w:rsidRPr="00B3348C">
        <w:rPr>
          <w:rFonts w:cs="Arial"/>
          <w:sz w:val="24"/>
          <w:szCs w:val="24"/>
          <w:lang w:val="ro-RO"/>
        </w:rPr>
        <w:t>finanțate</w:t>
      </w:r>
      <w:r w:rsidRPr="00B3348C">
        <w:rPr>
          <w:rFonts w:cs="Arial"/>
          <w:sz w:val="24"/>
          <w:szCs w:val="24"/>
          <w:lang w:val="ro-RO"/>
        </w:rPr>
        <w:t xml:space="preserve"> din surse interne şi externe) în trimestrul</w:t>
      </w:r>
      <w:r w:rsidR="008F5FA7">
        <w:rPr>
          <w:rFonts w:cs="Arial"/>
          <w:sz w:val="24"/>
          <w:szCs w:val="24"/>
          <w:lang w:val="ro-RO"/>
        </w:rPr>
        <w:t xml:space="preserve"> al </w:t>
      </w:r>
      <w:r w:rsidRPr="00B3348C">
        <w:rPr>
          <w:rFonts w:cs="Arial"/>
          <w:sz w:val="24"/>
          <w:szCs w:val="24"/>
          <w:lang w:val="ro-RO"/>
        </w:rPr>
        <w:t xml:space="preserve"> </w:t>
      </w:r>
      <w:r w:rsidR="008F5FA7">
        <w:rPr>
          <w:rFonts w:cs="Arial"/>
          <w:sz w:val="24"/>
          <w:szCs w:val="24"/>
          <w:lang w:val="ro-RO"/>
        </w:rPr>
        <w:t>I</w:t>
      </w:r>
      <w:r w:rsidRPr="00B3348C">
        <w:rPr>
          <w:rFonts w:cs="Arial"/>
          <w:sz w:val="24"/>
          <w:szCs w:val="24"/>
          <w:lang w:val="ro-RO"/>
        </w:rPr>
        <w:t>I</w:t>
      </w:r>
      <w:r w:rsidR="008F5FA7">
        <w:rPr>
          <w:rFonts w:cs="Arial"/>
          <w:sz w:val="24"/>
          <w:szCs w:val="24"/>
          <w:lang w:val="ro-RO"/>
        </w:rPr>
        <w:t>-lea</w:t>
      </w:r>
      <w:r w:rsidRPr="00B3348C">
        <w:rPr>
          <w:rFonts w:cs="Arial"/>
          <w:sz w:val="24"/>
          <w:szCs w:val="24"/>
          <w:lang w:val="ro-RO"/>
        </w:rPr>
        <w:t xml:space="preserve"> al anului </w:t>
      </w:r>
      <w:r w:rsidR="002277FA" w:rsidRPr="00B3348C">
        <w:rPr>
          <w:rFonts w:cs="Arial"/>
          <w:sz w:val="24"/>
          <w:szCs w:val="24"/>
          <w:lang w:val="ro-RO"/>
        </w:rPr>
        <w:t>2017</w:t>
      </w:r>
      <w:r w:rsidR="003062B0" w:rsidRPr="00B3348C">
        <w:rPr>
          <w:rFonts w:cs="Arial"/>
          <w:sz w:val="24"/>
          <w:szCs w:val="24"/>
          <w:lang w:val="ro-RO"/>
        </w:rPr>
        <w:t xml:space="preserve"> </w:t>
      </w:r>
      <w:r w:rsidRPr="00B3348C">
        <w:rPr>
          <w:rFonts w:cs="Arial"/>
          <w:sz w:val="24"/>
          <w:szCs w:val="24"/>
          <w:lang w:val="ro-RO"/>
        </w:rPr>
        <w:t xml:space="preserve">au totalizat în termeni nominali </w:t>
      </w:r>
      <w:r w:rsidR="00812C3F" w:rsidRPr="00812C3F">
        <w:rPr>
          <w:rFonts w:cs="Arial"/>
          <w:sz w:val="24"/>
          <w:szCs w:val="24"/>
        </w:rPr>
        <w:t>4.340,4</w:t>
      </w:r>
      <w:r w:rsidR="00812C3F">
        <w:rPr>
          <w:rFonts w:cs="Arial"/>
          <w:sz w:val="24"/>
          <w:szCs w:val="24"/>
        </w:rPr>
        <w:t xml:space="preserve"> </w:t>
      </w:r>
      <w:r w:rsidR="00247BC7" w:rsidRPr="00B3348C">
        <w:rPr>
          <w:rFonts w:cs="Arial"/>
          <w:sz w:val="24"/>
          <w:szCs w:val="24"/>
          <w:lang w:val="ro-RO"/>
        </w:rPr>
        <w:t>milioan</w:t>
      </w:r>
      <w:r w:rsidR="009A2435" w:rsidRPr="00B3348C">
        <w:rPr>
          <w:rFonts w:cs="Arial"/>
          <w:sz w:val="24"/>
          <w:szCs w:val="24"/>
          <w:lang w:val="ro-RO"/>
        </w:rPr>
        <w:t>e lei, respectiv 0,</w:t>
      </w:r>
      <w:r w:rsidR="00812C3F">
        <w:rPr>
          <w:rFonts w:cs="Arial"/>
          <w:sz w:val="24"/>
          <w:szCs w:val="24"/>
          <w:lang w:val="ro-RO"/>
        </w:rPr>
        <w:t>5</w:t>
      </w:r>
      <w:r w:rsidR="009A2435" w:rsidRPr="00B3348C">
        <w:rPr>
          <w:rFonts w:cs="Arial"/>
          <w:sz w:val="24"/>
          <w:szCs w:val="24"/>
          <w:lang w:val="ro-RO"/>
        </w:rPr>
        <w:t>% din PIB</w:t>
      </w:r>
      <w:r w:rsidR="00712780" w:rsidRPr="00B3348C">
        <w:rPr>
          <w:rFonts w:cs="Arial"/>
          <w:sz w:val="24"/>
          <w:szCs w:val="24"/>
          <w:lang w:val="ro-RO"/>
        </w:rPr>
        <w:t>.</w:t>
      </w:r>
      <w:r w:rsidR="00247BC7" w:rsidRPr="00B3348C">
        <w:rPr>
          <w:rFonts w:cs="Arial"/>
          <w:sz w:val="24"/>
          <w:szCs w:val="24"/>
          <w:lang w:val="ro-RO"/>
        </w:rPr>
        <w:t xml:space="preserve">  </w:t>
      </w:r>
      <w:r w:rsidR="00812C3F">
        <w:rPr>
          <w:rFonts w:cs="Arial"/>
          <w:sz w:val="24"/>
          <w:szCs w:val="24"/>
          <w:lang w:val="ro-RO"/>
        </w:rPr>
        <w:t>Comparativ cu aceeași perioadă a anului precedent cheltuielile cu investiții s-au redus în perioada analizată cu 34,5%.</w:t>
      </w:r>
    </w:p>
    <w:p w:rsidR="00664538" w:rsidRDefault="009A2435" w:rsidP="009A2435">
      <w:pPr>
        <w:spacing w:before="240"/>
        <w:ind w:right="6" w:firstLine="540"/>
        <w:jc w:val="both"/>
        <w:rPr>
          <w:rFonts w:cs="Arial"/>
          <w:sz w:val="24"/>
          <w:szCs w:val="24"/>
          <w:lang w:val="ro-RO"/>
        </w:rPr>
      </w:pPr>
      <w:r w:rsidRPr="00F93DC5">
        <w:rPr>
          <w:rFonts w:cs="Arial"/>
          <w:b/>
          <w:sz w:val="24"/>
          <w:szCs w:val="24"/>
          <w:lang w:val="ro-RO"/>
        </w:rPr>
        <w:t>Din analiza execuț</w:t>
      </w:r>
      <w:r w:rsidR="0082036C" w:rsidRPr="00F93DC5">
        <w:rPr>
          <w:rFonts w:cs="Arial"/>
          <w:b/>
          <w:sz w:val="24"/>
          <w:szCs w:val="24"/>
          <w:lang w:val="ro-RO"/>
        </w:rPr>
        <w:t xml:space="preserve">iei bugetare pe </w:t>
      </w:r>
      <w:r w:rsidR="00D244DE" w:rsidRPr="00F93DC5">
        <w:rPr>
          <w:rFonts w:cs="Arial"/>
          <w:b/>
          <w:sz w:val="24"/>
          <w:szCs w:val="24"/>
          <w:lang w:val="ro-RO"/>
        </w:rPr>
        <w:t xml:space="preserve">trimestru al </w:t>
      </w:r>
      <w:r w:rsidR="0082036C" w:rsidRPr="00F93DC5">
        <w:rPr>
          <w:rFonts w:cs="Arial"/>
          <w:b/>
          <w:sz w:val="24"/>
          <w:szCs w:val="24"/>
          <w:lang w:val="ro-RO"/>
        </w:rPr>
        <w:t xml:space="preserve">II –lea al </w:t>
      </w:r>
      <w:r w:rsidR="00D244DE" w:rsidRPr="00F93DC5">
        <w:rPr>
          <w:rFonts w:cs="Arial"/>
          <w:b/>
          <w:sz w:val="24"/>
          <w:szCs w:val="24"/>
          <w:lang w:val="ro-RO"/>
        </w:rPr>
        <w:t xml:space="preserve">anului </w:t>
      </w:r>
      <w:r w:rsidR="002277FA" w:rsidRPr="00F93DC5">
        <w:rPr>
          <w:rFonts w:cs="Arial"/>
          <w:b/>
          <w:sz w:val="24"/>
          <w:szCs w:val="24"/>
          <w:lang w:val="ro-RO"/>
        </w:rPr>
        <w:t>2017</w:t>
      </w:r>
      <w:r w:rsidR="00D244DE" w:rsidRPr="00F93DC5">
        <w:rPr>
          <w:rFonts w:cs="Arial"/>
          <w:b/>
          <w:sz w:val="24"/>
          <w:szCs w:val="24"/>
          <w:lang w:val="ro-RO"/>
        </w:rPr>
        <w:t xml:space="preserve"> putem concluziona</w:t>
      </w:r>
      <w:r w:rsidR="00D244DE" w:rsidRPr="00B3348C">
        <w:rPr>
          <w:rFonts w:cs="Arial"/>
          <w:sz w:val="24"/>
          <w:szCs w:val="24"/>
          <w:lang w:val="ro-RO"/>
        </w:rPr>
        <w:t xml:space="preserve"> că </w:t>
      </w:r>
      <w:r w:rsidR="00476764" w:rsidRPr="00B3348C">
        <w:rPr>
          <w:rFonts w:cs="Arial"/>
          <w:sz w:val="24"/>
          <w:szCs w:val="24"/>
          <w:lang w:val="ro-RO"/>
        </w:rPr>
        <w:t xml:space="preserve">nivelul </w:t>
      </w:r>
      <w:r w:rsidR="00DA1CBA" w:rsidRPr="00B3348C">
        <w:rPr>
          <w:rFonts w:cs="Arial"/>
          <w:sz w:val="24"/>
          <w:szCs w:val="24"/>
          <w:lang w:val="ro-RO"/>
        </w:rPr>
        <w:t xml:space="preserve">încasărilor </w:t>
      </w:r>
      <w:r w:rsidR="00D244DE" w:rsidRPr="00B3348C">
        <w:rPr>
          <w:rFonts w:cs="Arial"/>
          <w:sz w:val="24"/>
          <w:szCs w:val="24"/>
          <w:lang w:val="ro-RO"/>
        </w:rPr>
        <w:t xml:space="preserve">bugetare </w:t>
      </w:r>
      <w:r w:rsidR="00476764" w:rsidRPr="00B3348C">
        <w:rPr>
          <w:rFonts w:cs="Arial"/>
          <w:sz w:val="24"/>
          <w:szCs w:val="24"/>
          <w:lang w:val="ro-RO"/>
        </w:rPr>
        <w:t xml:space="preserve">este </w:t>
      </w:r>
      <w:r w:rsidR="000F14C8" w:rsidRPr="00B3348C">
        <w:rPr>
          <w:rFonts w:cs="Arial"/>
          <w:sz w:val="24"/>
          <w:szCs w:val="24"/>
          <w:lang w:val="ro-RO"/>
        </w:rPr>
        <w:t xml:space="preserve">sub nivelul programului trimestrial </w:t>
      </w:r>
      <w:r w:rsidR="00476764" w:rsidRPr="00B3348C">
        <w:rPr>
          <w:rFonts w:cs="Arial"/>
          <w:sz w:val="24"/>
          <w:szCs w:val="24"/>
          <w:lang w:val="ro-RO"/>
        </w:rPr>
        <w:t>datorită g</w:t>
      </w:r>
      <w:r w:rsidR="000F14C8" w:rsidRPr="00B3348C">
        <w:rPr>
          <w:rFonts w:cs="Arial"/>
          <w:sz w:val="24"/>
          <w:szCs w:val="24"/>
          <w:lang w:val="ro-RO"/>
        </w:rPr>
        <w:t>radul scăzut de absorbție al sumelor primite de la UE</w:t>
      </w:r>
      <w:r w:rsidR="0082036C">
        <w:rPr>
          <w:rFonts w:cs="Arial"/>
          <w:sz w:val="24"/>
          <w:szCs w:val="24"/>
          <w:lang w:val="ro-RO"/>
        </w:rPr>
        <w:t xml:space="preserve"> și </w:t>
      </w:r>
      <w:r w:rsidR="003A30EB" w:rsidRPr="00B3348C">
        <w:rPr>
          <w:rFonts w:cs="Arial"/>
          <w:sz w:val="24"/>
          <w:szCs w:val="24"/>
          <w:lang w:val="ro-RO"/>
        </w:rPr>
        <w:t>a performanței sub nivelul programat al</w:t>
      </w:r>
      <w:r w:rsidR="001270D6" w:rsidRPr="00B3348C">
        <w:rPr>
          <w:rFonts w:cs="Arial"/>
          <w:sz w:val="24"/>
          <w:szCs w:val="24"/>
          <w:lang w:val="ro-RO"/>
        </w:rPr>
        <w:t xml:space="preserve"> </w:t>
      </w:r>
      <w:r w:rsidR="001B0D19" w:rsidRPr="00B3348C">
        <w:rPr>
          <w:rFonts w:cs="Arial"/>
          <w:sz w:val="24"/>
          <w:szCs w:val="24"/>
          <w:lang w:val="ro-RO"/>
        </w:rPr>
        <w:t>venituri</w:t>
      </w:r>
      <w:r w:rsidR="0082036C">
        <w:rPr>
          <w:rFonts w:cs="Arial"/>
          <w:sz w:val="24"/>
          <w:szCs w:val="24"/>
          <w:lang w:val="ro-RO"/>
        </w:rPr>
        <w:t>lor</w:t>
      </w:r>
      <w:r w:rsidR="001B0D19" w:rsidRPr="00B3348C">
        <w:rPr>
          <w:rFonts w:cs="Arial"/>
          <w:sz w:val="24"/>
          <w:szCs w:val="24"/>
          <w:lang w:val="ro-RO"/>
        </w:rPr>
        <w:t xml:space="preserve"> fiscale</w:t>
      </w:r>
      <w:r w:rsidR="0082036C">
        <w:rPr>
          <w:rFonts w:cs="Arial"/>
          <w:sz w:val="24"/>
          <w:szCs w:val="24"/>
          <w:lang w:val="ro-RO"/>
        </w:rPr>
        <w:t>.</w:t>
      </w:r>
    </w:p>
    <w:p w:rsidR="003A30EB" w:rsidRPr="00B3348C" w:rsidRDefault="00D244DE" w:rsidP="009A2435">
      <w:pPr>
        <w:spacing w:before="240"/>
        <w:ind w:right="6" w:firstLine="540"/>
        <w:jc w:val="both"/>
        <w:rPr>
          <w:rFonts w:cs="Arial"/>
          <w:sz w:val="24"/>
          <w:szCs w:val="24"/>
          <w:lang w:val="ro-RO"/>
        </w:rPr>
      </w:pPr>
      <w:r w:rsidRPr="00B3348C">
        <w:rPr>
          <w:rFonts w:cs="Arial"/>
          <w:sz w:val="24"/>
          <w:szCs w:val="24"/>
          <w:lang w:val="ro-RO"/>
        </w:rPr>
        <w:t xml:space="preserve">Cheltuielile bugetare efectuate în </w:t>
      </w:r>
      <w:r w:rsidR="0082036C">
        <w:rPr>
          <w:rFonts w:cs="Arial"/>
          <w:sz w:val="24"/>
          <w:szCs w:val="24"/>
          <w:lang w:val="ro-RO"/>
        </w:rPr>
        <w:t>trimestru al</w:t>
      </w:r>
      <w:r w:rsidR="0082036C" w:rsidRPr="0082036C">
        <w:rPr>
          <w:rFonts w:cs="Arial"/>
          <w:sz w:val="24"/>
          <w:szCs w:val="24"/>
          <w:lang w:val="ro-RO"/>
        </w:rPr>
        <w:t xml:space="preserve"> II –lea al anului 2017 </w:t>
      </w:r>
      <w:r w:rsidRPr="00B3348C">
        <w:rPr>
          <w:rFonts w:cs="Arial"/>
          <w:sz w:val="24"/>
          <w:szCs w:val="24"/>
          <w:lang w:val="ro-RO"/>
        </w:rPr>
        <w:t xml:space="preserve">s-au situat sub nivelul </w:t>
      </w:r>
      <w:r w:rsidR="00DD7169" w:rsidRPr="00B3348C">
        <w:rPr>
          <w:rFonts w:cs="Arial"/>
          <w:sz w:val="24"/>
          <w:szCs w:val="24"/>
          <w:lang w:val="ro-RO"/>
        </w:rPr>
        <w:t xml:space="preserve">programat </w:t>
      </w:r>
      <w:r w:rsidR="003A30EB" w:rsidRPr="00B3348C">
        <w:rPr>
          <w:rFonts w:cs="Arial"/>
          <w:sz w:val="24"/>
          <w:szCs w:val="24"/>
          <w:lang w:val="ro-RO"/>
        </w:rPr>
        <w:t xml:space="preserve">în cazul majorității </w:t>
      </w:r>
      <w:r w:rsidRPr="00B3348C">
        <w:rPr>
          <w:rFonts w:cs="Arial"/>
          <w:sz w:val="24"/>
          <w:szCs w:val="24"/>
          <w:lang w:val="ro-RO"/>
        </w:rPr>
        <w:t>titluril</w:t>
      </w:r>
      <w:r w:rsidR="003A30EB" w:rsidRPr="00B3348C">
        <w:rPr>
          <w:rFonts w:cs="Arial"/>
          <w:sz w:val="24"/>
          <w:szCs w:val="24"/>
          <w:lang w:val="ro-RO"/>
        </w:rPr>
        <w:t>or</w:t>
      </w:r>
      <w:r w:rsidRPr="00B3348C">
        <w:rPr>
          <w:rFonts w:cs="Arial"/>
          <w:sz w:val="24"/>
          <w:szCs w:val="24"/>
          <w:lang w:val="ro-RO"/>
        </w:rPr>
        <w:t xml:space="preserve"> de cheltuieli, niveluri mult </w:t>
      </w:r>
      <w:r w:rsidR="00AC4FB2" w:rsidRPr="00B3348C">
        <w:rPr>
          <w:rFonts w:cs="Arial"/>
          <w:sz w:val="24"/>
          <w:szCs w:val="24"/>
          <w:lang w:val="ro-RO"/>
        </w:rPr>
        <w:t xml:space="preserve">sub cele estimate înregistrându-se </w:t>
      </w:r>
      <w:r w:rsidR="003E1605" w:rsidRPr="00B3348C">
        <w:rPr>
          <w:rFonts w:cs="Arial"/>
          <w:sz w:val="24"/>
          <w:szCs w:val="24"/>
          <w:lang w:val="ro-RO"/>
        </w:rPr>
        <w:t>în cazul</w:t>
      </w:r>
      <w:r w:rsidR="00AC4FB2" w:rsidRPr="00B3348C">
        <w:rPr>
          <w:rFonts w:cs="Arial"/>
          <w:sz w:val="24"/>
          <w:szCs w:val="24"/>
          <w:lang w:val="ro-RO"/>
        </w:rPr>
        <w:t xml:space="preserve"> cheltuielil</w:t>
      </w:r>
      <w:r w:rsidR="003E1605" w:rsidRPr="00B3348C">
        <w:rPr>
          <w:rFonts w:cs="Arial"/>
          <w:sz w:val="24"/>
          <w:szCs w:val="24"/>
          <w:lang w:val="ro-RO"/>
        </w:rPr>
        <w:t>or</w:t>
      </w:r>
      <w:r w:rsidR="006E6AB5" w:rsidRPr="00B3348C">
        <w:rPr>
          <w:rFonts w:cs="Arial"/>
          <w:sz w:val="24"/>
          <w:szCs w:val="24"/>
          <w:lang w:val="ro-RO"/>
        </w:rPr>
        <w:t xml:space="preserve"> </w:t>
      </w:r>
      <w:r w:rsidR="003A30EB" w:rsidRPr="00B3348C">
        <w:rPr>
          <w:rFonts w:cs="Arial"/>
          <w:sz w:val="24"/>
          <w:szCs w:val="24"/>
          <w:lang w:val="ro-RO"/>
        </w:rPr>
        <w:t>de capital</w:t>
      </w:r>
      <w:r w:rsidR="003E1605" w:rsidRPr="00B3348C">
        <w:rPr>
          <w:rFonts w:cs="Arial"/>
          <w:sz w:val="24"/>
          <w:szCs w:val="24"/>
          <w:lang w:val="ro-RO"/>
        </w:rPr>
        <w:t>,</w:t>
      </w:r>
      <w:r w:rsidR="00DC77C1" w:rsidRPr="00B3348C">
        <w:rPr>
          <w:rFonts w:cs="Arial"/>
          <w:sz w:val="24"/>
          <w:szCs w:val="24"/>
          <w:lang w:val="ro-RO"/>
        </w:rPr>
        <w:t xml:space="preserve"> </w:t>
      </w:r>
      <w:r w:rsidR="003E1605" w:rsidRPr="00B3348C">
        <w:rPr>
          <w:rFonts w:cs="Arial"/>
          <w:sz w:val="24"/>
          <w:szCs w:val="24"/>
          <w:lang w:val="ro-RO"/>
        </w:rPr>
        <w:t>a</w:t>
      </w:r>
      <w:r w:rsidR="00DC77C1" w:rsidRPr="00B3348C">
        <w:rPr>
          <w:rFonts w:cs="Arial"/>
          <w:sz w:val="24"/>
          <w:szCs w:val="24"/>
          <w:lang w:val="ro-RO"/>
        </w:rPr>
        <w:t xml:space="preserve"> cheltuielil</w:t>
      </w:r>
      <w:r w:rsidR="003E1605" w:rsidRPr="00B3348C">
        <w:rPr>
          <w:rFonts w:cs="Arial"/>
          <w:sz w:val="24"/>
          <w:szCs w:val="24"/>
          <w:lang w:val="ro-RO"/>
        </w:rPr>
        <w:t>or</w:t>
      </w:r>
      <w:r w:rsidR="00DC77C1" w:rsidRPr="00B3348C">
        <w:rPr>
          <w:rFonts w:cs="Arial"/>
          <w:sz w:val="24"/>
          <w:szCs w:val="24"/>
          <w:lang w:val="ro-RO"/>
        </w:rPr>
        <w:t xml:space="preserve"> cu </w:t>
      </w:r>
      <w:r w:rsidR="0082036C">
        <w:rPr>
          <w:rFonts w:cs="Arial"/>
          <w:sz w:val="24"/>
          <w:szCs w:val="24"/>
          <w:lang w:val="ro-RO"/>
        </w:rPr>
        <w:t>transferurile între unități ale administrației publice</w:t>
      </w:r>
      <w:r w:rsidR="006E6AB5" w:rsidRPr="00B3348C">
        <w:rPr>
          <w:rFonts w:cs="Arial"/>
          <w:sz w:val="24"/>
          <w:szCs w:val="24"/>
          <w:lang w:val="ro-RO"/>
        </w:rPr>
        <w:t>,</w:t>
      </w:r>
      <w:r w:rsidR="003A30EB" w:rsidRPr="00B3348C">
        <w:rPr>
          <w:rFonts w:cs="Arial"/>
          <w:sz w:val="24"/>
          <w:szCs w:val="24"/>
          <w:lang w:val="ro-RO"/>
        </w:rPr>
        <w:t xml:space="preserve"> </w:t>
      </w:r>
      <w:r w:rsidR="0082036C">
        <w:rPr>
          <w:rFonts w:cs="Arial"/>
          <w:sz w:val="24"/>
          <w:szCs w:val="24"/>
          <w:lang w:val="ro-RO"/>
        </w:rPr>
        <w:t>a cheltuielilor aferente programelor cu finanțare rambursabilă</w:t>
      </w:r>
      <w:r w:rsidR="00664538">
        <w:rPr>
          <w:rFonts w:cs="Arial"/>
          <w:sz w:val="24"/>
          <w:szCs w:val="24"/>
          <w:lang w:val="ro-RO"/>
        </w:rPr>
        <w:t>,</w:t>
      </w:r>
      <w:r w:rsidR="0082036C">
        <w:rPr>
          <w:rFonts w:cs="Arial"/>
          <w:sz w:val="24"/>
          <w:szCs w:val="24"/>
          <w:lang w:val="ro-RO"/>
        </w:rPr>
        <w:t xml:space="preserve"> </w:t>
      </w:r>
      <w:r w:rsidR="003A30EB" w:rsidRPr="00B3348C">
        <w:rPr>
          <w:rFonts w:cs="Arial"/>
          <w:sz w:val="24"/>
          <w:szCs w:val="24"/>
          <w:lang w:val="ro-RO"/>
        </w:rPr>
        <w:t>precum și a cheltuielilor aferente proiectelor cu finanțare din fonduri externe nerambursabile</w:t>
      </w:r>
      <w:r w:rsidR="00DC77C1" w:rsidRPr="00B3348C">
        <w:rPr>
          <w:rFonts w:cs="Arial"/>
          <w:sz w:val="24"/>
          <w:szCs w:val="24"/>
          <w:lang w:val="ro-RO"/>
        </w:rPr>
        <w:t xml:space="preserve">. </w:t>
      </w:r>
    </w:p>
    <w:p w:rsidR="000F14C8" w:rsidRPr="00B3348C" w:rsidRDefault="00DB6DDF" w:rsidP="009A2435">
      <w:pPr>
        <w:spacing w:before="240"/>
        <w:ind w:right="6" w:firstLine="540"/>
        <w:jc w:val="both"/>
        <w:rPr>
          <w:rFonts w:cs="Arial"/>
          <w:sz w:val="24"/>
          <w:szCs w:val="24"/>
          <w:lang w:val="ro-RO"/>
        </w:rPr>
      </w:pPr>
      <w:r w:rsidRPr="00B3348C">
        <w:rPr>
          <w:rFonts w:cs="Arial"/>
          <w:sz w:val="24"/>
          <w:szCs w:val="24"/>
          <w:lang w:val="ro-RO"/>
        </w:rPr>
        <w:t>E</w:t>
      </w:r>
      <w:r w:rsidR="002D23DB" w:rsidRPr="00B3348C">
        <w:rPr>
          <w:rFonts w:cs="Arial"/>
          <w:sz w:val="24"/>
          <w:szCs w:val="24"/>
          <w:lang w:val="ro-RO"/>
        </w:rPr>
        <w:t xml:space="preserve">ste necesar </w:t>
      </w:r>
      <w:r w:rsidR="0047211C" w:rsidRPr="00B3348C">
        <w:rPr>
          <w:rFonts w:cs="Arial"/>
          <w:sz w:val="24"/>
          <w:szCs w:val="24"/>
          <w:lang w:val="ro-RO"/>
        </w:rPr>
        <w:t xml:space="preserve">ca la nivelul ordonatorilor principali de credite să fie </w:t>
      </w:r>
      <w:r w:rsidRPr="00B3348C">
        <w:rPr>
          <w:rFonts w:cs="Arial"/>
          <w:sz w:val="24"/>
          <w:szCs w:val="24"/>
          <w:lang w:val="ro-RO"/>
        </w:rPr>
        <w:t>luate</w:t>
      </w:r>
      <w:r w:rsidR="0047211C" w:rsidRPr="00B3348C">
        <w:rPr>
          <w:rFonts w:cs="Arial"/>
          <w:sz w:val="24"/>
          <w:szCs w:val="24"/>
          <w:lang w:val="ro-RO"/>
        </w:rPr>
        <w:t xml:space="preserve"> măsuri </w:t>
      </w:r>
      <w:r w:rsidR="003C679B">
        <w:rPr>
          <w:rFonts w:cs="Arial"/>
          <w:sz w:val="24"/>
          <w:szCs w:val="24"/>
          <w:lang w:val="ro-RO"/>
        </w:rPr>
        <w:t>pentru</w:t>
      </w:r>
      <w:r w:rsidR="002D23DB" w:rsidRPr="00B3348C">
        <w:rPr>
          <w:rFonts w:cs="Arial"/>
          <w:sz w:val="24"/>
          <w:szCs w:val="24"/>
          <w:lang w:val="ro-RO"/>
        </w:rPr>
        <w:t xml:space="preserve"> creșterea gradului de absorbție a fondurilor externe nerambursabile.</w:t>
      </w:r>
      <w:r w:rsidR="000F14C8" w:rsidRPr="00B3348C">
        <w:rPr>
          <w:rFonts w:cs="Arial"/>
          <w:sz w:val="24"/>
          <w:szCs w:val="24"/>
          <w:lang w:val="ro-RO"/>
        </w:rPr>
        <w:t xml:space="preserve"> </w:t>
      </w:r>
    </w:p>
    <w:p w:rsidR="003A30EB" w:rsidRPr="00B3348C" w:rsidRDefault="003A30EB" w:rsidP="009A2435">
      <w:pPr>
        <w:spacing w:before="240"/>
        <w:ind w:right="6" w:firstLine="540"/>
        <w:jc w:val="both"/>
        <w:rPr>
          <w:rFonts w:cs="Arial"/>
          <w:sz w:val="24"/>
          <w:szCs w:val="24"/>
          <w:lang w:val="ro-RO"/>
        </w:rPr>
      </w:pPr>
      <w:r w:rsidRPr="00B3348C">
        <w:rPr>
          <w:rFonts w:cs="Arial"/>
          <w:sz w:val="24"/>
          <w:szCs w:val="24"/>
          <w:lang w:val="ro-RO"/>
        </w:rPr>
        <w:t>De asemenea</w:t>
      </w:r>
      <w:r w:rsidR="000B0D84" w:rsidRPr="00B3348C">
        <w:rPr>
          <w:rFonts w:cs="Arial"/>
          <w:sz w:val="24"/>
          <w:szCs w:val="24"/>
          <w:lang w:val="ro-RO"/>
        </w:rPr>
        <w:t>,</w:t>
      </w:r>
      <w:r w:rsidRPr="00B3348C">
        <w:rPr>
          <w:rFonts w:cs="Arial"/>
          <w:sz w:val="24"/>
          <w:szCs w:val="24"/>
          <w:lang w:val="ro-RO"/>
        </w:rPr>
        <w:t xml:space="preserve"> </w:t>
      </w:r>
      <w:r w:rsidR="00BC25C8" w:rsidRPr="00BC25C8">
        <w:rPr>
          <w:rFonts w:cs="Arial"/>
          <w:sz w:val="24"/>
          <w:szCs w:val="24"/>
          <w:lang w:val="ro-RO"/>
        </w:rPr>
        <w:t>A</w:t>
      </w:r>
      <w:r w:rsidR="00BC25C8">
        <w:rPr>
          <w:rFonts w:cs="Arial"/>
          <w:sz w:val="24"/>
          <w:szCs w:val="24"/>
          <w:lang w:val="ro-RO"/>
        </w:rPr>
        <w:t xml:space="preserve">genția </w:t>
      </w:r>
      <w:r w:rsidR="00BC25C8" w:rsidRPr="00BC25C8">
        <w:rPr>
          <w:rFonts w:cs="Arial"/>
          <w:sz w:val="24"/>
          <w:szCs w:val="24"/>
          <w:lang w:val="ro-RO"/>
        </w:rPr>
        <w:t>N</w:t>
      </w:r>
      <w:r w:rsidR="00BC25C8">
        <w:rPr>
          <w:rFonts w:cs="Arial"/>
          <w:sz w:val="24"/>
          <w:szCs w:val="24"/>
          <w:lang w:val="ro-RO"/>
        </w:rPr>
        <w:t xml:space="preserve">ațională de </w:t>
      </w:r>
      <w:r w:rsidR="00BC25C8" w:rsidRPr="00BC25C8">
        <w:rPr>
          <w:rFonts w:cs="Arial"/>
          <w:sz w:val="24"/>
          <w:szCs w:val="24"/>
          <w:lang w:val="ro-RO"/>
        </w:rPr>
        <w:t>A</w:t>
      </w:r>
      <w:r w:rsidR="00BC25C8">
        <w:rPr>
          <w:rFonts w:cs="Arial"/>
          <w:sz w:val="24"/>
          <w:szCs w:val="24"/>
          <w:lang w:val="ro-RO"/>
        </w:rPr>
        <w:t xml:space="preserve">dministrare </w:t>
      </w:r>
      <w:r w:rsidR="00BC25C8" w:rsidRPr="00BC25C8">
        <w:rPr>
          <w:rFonts w:cs="Arial"/>
          <w:sz w:val="24"/>
          <w:szCs w:val="24"/>
          <w:lang w:val="ro-RO"/>
        </w:rPr>
        <w:t>F</w:t>
      </w:r>
      <w:r w:rsidR="00BC25C8">
        <w:rPr>
          <w:rFonts w:cs="Arial"/>
          <w:sz w:val="24"/>
          <w:szCs w:val="24"/>
          <w:lang w:val="ro-RO"/>
        </w:rPr>
        <w:t>iscală trebuie să aibă în vedere asigurarea implementării măsurilor asumate în prezent</w:t>
      </w:r>
      <w:r w:rsidR="009D09ED">
        <w:rPr>
          <w:rFonts w:cs="Arial"/>
          <w:sz w:val="24"/>
          <w:szCs w:val="24"/>
          <w:lang w:val="ro-RO"/>
        </w:rPr>
        <w:t xml:space="preserve"> pentru</w:t>
      </w:r>
      <w:r w:rsidR="00BC25C8">
        <w:rPr>
          <w:rFonts w:cs="Arial"/>
          <w:sz w:val="24"/>
          <w:szCs w:val="24"/>
          <w:lang w:val="ro-RO"/>
        </w:rPr>
        <w:t xml:space="preserve"> </w:t>
      </w:r>
      <w:r w:rsidR="009D09ED">
        <w:rPr>
          <w:rFonts w:cs="Arial"/>
          <w:sz w:val="24"/>
          <w:szCs w:val="24"/>
          <w:lang w:val="ro-RO"/>
        </w:rPr>
        <w:t>asigurarea realizării</w:t>
      </w:r>
      <w:r w:rsidR="00D16457">
        <w:rPr>
          <w:rFonts w:cs="Arial"/>
          <w:sz w:val="24"/>
          <w:szCs w:val="24"/>
          <w:lang w:val="ro-RO"/>
        </w:rPr>
        <w:t xml:space="preserve"> planului de încasări</w:t>
      </w:r>
      <w:r w:rsidR="009D09ED">
        <w:rPr>
          <w:rFonts w:cs="Arial"/>
          <w:sz w:val="24"/>
          <w:szCs w:val="24"/>
          <w:lang w:val="ro-RO"/>
        </w:rPr>
        <w:t xml:space="preserve"> stabilit pe baza legii bugetului de stat și a legii bugetului asigurărilor sociale de stat</w:t>
      </w:r>
      <w:r w:rsidR="003C679B">
        <w:rPr>
          <w:rFonts w:cs="Arial"/>
          <w:sz w:val="24"/>
          <w:szCs w:val="24"/>
          <w:lang w:val="ro-RO"/>
        </w:rPr>
        <w:t>, precum și recuperarea sume nerealizate pe primele trimestre</w:t>
      </w:r>
      <w:r w:rsidR="0043224A" w:rsidRPr="00B3348C">
        <w:rPr>
          <w:rFonts w:cs="Arial"/>
          <w:sz w:val="24"/>
          <w:szCs w:val="24"/>
          <w:lang w:val="ro-RO"/>
        </w:rPr>
        <w:t xml:space="preserve">.   </w:t>
      </w:r>
    </w:p>
    <w:p w:rsidR="00DB6DDF" w:rsidRPr="00B3348C" w:rsidRDefault="00DB6DDF" w:rsidP="009A2435">
      <w:pPr>
        <w:spacing w:before="240"/>
        <w:ind w:right="6" w:firstLine="540"/>
        <w:jc w:val="both"/>
        <w:rPr>
          <w:rFonts w:cs="Arial"/>
          <w:sz w:val="24"/>
          <w:szCs w:val="24"/>
          <w:lang w:val="ro-RO"/>
        </w:rPr>
      </w:pPr>
    </w:p>
    <w:sectPr w:rsidR="00DB6DDF" w:rsidRPr="00B3348C" w:rsidSect="00382BD2">
      <w:footerReference w:type="even" r:id="rId12"/>
      <w:footerReference w:type="default" r:id="rId13"/>
      <w:pgSz w:w="12240" w:h="15840"/>
      <w:pgMar w:top="1135" w:right="1440"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2C" w:rsidRDefault="00CB272C" w:rsidP="009A6592">
      <w:pPr>
        <w:spacing w:after="0" w:line="240" w:lineRule="auto"/>
      </w:pPr>
      <w:r>
        <w:separator/>
      </w:r>
    </w:p>
  </w:endnote>
  <w:endnote w:type="continuationSeparator" w:id="0">
    <w:p w:rsidR="00CB272C" w:rsidRDefault="00CB272C" w:rsidP="009A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17" w:rsidRDefault="00D56217" w:rsidP="00767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6217" w:rsidRDefault="00D56217" w:rsidP="00D562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17" w:rsidRDefault="00D56217" w:rsidP="00767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CA1">
      <w:rPr>
        <w:rStyle w:val="PageNumber"/>
        <w:noProof/>
      </w:rPr>
      <w:t>8</w:t>
    </w:r>
    <w:r>
      <w:rPr>
        <w:rStyle w:val="PageNumber"/>
      </w:rPr>
      <w:fldChar w:fldCharType="end"/>
    </w:r>
  </w:p>
  <w:p w:rsidR="00723CEA" w:rsidRDefault="00723CEA" w:rsidP="00D56217">
    <w:pPr>
      <w:pStyle w:val="Footer"/>
      <w:ind w:right="360"/>
      <w:jc w:val="right"/>
    </w:pPr>
  </w:p>
  <w:p w:rsidR="00723CEA" w:rsidRDefault="00723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2C" w:rsidRDefault="00CB272C" w:rsidP="009A6592">
      <w:pPr>
        <w:spacing w:after="0" w:line="240" w:lineRule="auto"/>
      </w:pPr>
      <w:r>
        <w:separator/>
      </w:r>
    </w:p>
  </w:footnote>
  <w:footnote w:type="continuationSeparator" w:id="0">
    <w:p w:rsidR="00CB272C" w:rsidRDefault="00CB272C" w:rsidP="009A6592">
      <w:pPr>
        <w:spacing w:after="0" w:line="240" w:lineRule="auto"/>
      </w:pPr>
      <w:r>
        <w:continuationSeparator/>
      </w:r>
    </w:p>
  </w:footnote>
  <w:footnote w:id="1">
    <w:p w:rsidR="00E6638E" w:rsidRPr="002D63D4" w:rsidRDefault="00E6638E" w:rsidP="002D63D4">
      <w:pPr>
        <w:pStyle w:val="ListParagraph"/>
        <w:shd w:val="clear" w:color="auto" w:fill="FFFFFF"/>
        <w:tabs>
          <w:tab w:val="left" w:pos="851"/>
          <w:tab w:val="left" w:pos="1276"/>
        </w:tabs>
        <w:spacing w:after="0"/>
        <w:ind w:left="1276"/>
        <w:jc w:val="both"/>
        <w:rPr>
          <w:rFonts w:cs="Arial"/>
          <w:sz w:val="20"/>
          <w:szCs w:val="20"/>
          <w:lang w:val="ro-RO"/>
        </w:rPr>
      </w:pPr>
      <w:r w:rsidRPr="002D63D4">
        <w:rPr>
          <w:rFonts w:ascii="Times New Roman" w:eastAsia="Calibri" w:hAnsi="Times New Roman" w:cs="Times New Roman"/>
          <w:sz w:val="20"/>
          <w:szCs w:val="20"/>
          <w:vertAlign w:val="superscript"/>
          <w:lang w:val="ro-RO" w:eastAsia="x-none"/>
        </w:rPr>
        <w:footnoteRef/>
      </w:r>
      <w:r w:rsidRPr="002D63D4">
        <w:rPr>
          <w:rFonts w:ascii="Times New Roman" w:eastAsia="Calibri" w:hAnsi="Times New Roman" w:cs="Times New Roman"/>
          <w:sz w:val="20"/>
          <w:szCs w:val="20"/>
          <w:lang w:val="ro-RO" w:eastAsia="x-none"/>
        </w:rPr>
        <w:t xml:space="preserve"> </w:t>
      </w:r>
      <w:r w:rsidRPr="002D63D4">
        <w:rPr>
          <w:rFonts w:cs="Arial"/>
          <w:sz w:val="20"/>
          <w:szCs w:val="20"/>
          <w:lang w:val="ro-RO"/>
        </w:rPr>
        <w:t xml:space="preserve">Legea 2/20017 pentru modificarea şi completarea Legii nr. 227/2015 privind Codul fiscal şi pentru modificarea Legii nr. 95/2006 privind reforma în domeniul </w:t>
      </w:r>
      <w:r w:rsidR="002D63D4" w:rsidRPr="002D63D4">
        <w:rPr>
          <w:rFonts w:cs="Arial"/>
          <w:sz w:val="20"/>
          <w:szCs w:val="20"/>
          <w:lang w:val="ro-RO"/>
        </w:rPr>
        <w:t>sănătății</w:t>
      </w:r>
    </w:p>
  </w:footnote>
  <w:footnote w:id="2">
    <w:p w:rsidR="00A15582" w:rsidRPr="002D63D4" w:rsidRDefault="00A15582" w:rsidP="002D63D4">
      <w:pPr>
        <w:pStyle w:val="ListParagraph"/>
        <w:shd w:val="clear" w:color="auto" w:fill="FFFFFF"/>
        <w:tabs>
          <w:tab w:val="left" w:pos="851"/>
          <w:tab w:val="left" w:pos="1276"/>
        </w:tabs>
        <w:spacing w:after="0"/>
        <w:ind w:left="1276"/>
        <w:jc w:val="both"/>
        <w:rPr>
          <w:rFonts w:cs="Arial"/>
          <w:sz w:val="20"/>
          <w:szCs w:val="20"/>
          <w:lang w:val="ro-RO"/>
        </w:rPr>
      </w:pPr>
      <w:r w:rsidRPr="002D63D4">
        <w:rPr>
          <w:rFonts w:cs="Arial"/>
          <w:sz w:val="20"/>
          <w:szCs w:val="20"/>
          <w:lang w:val="ro-RO"/>
        </w:rPr>
        <w:footnoteRef/>
      </w:r>
      <w:r w:rsidRPr="002D63D4">
        <w:rPr>
          <w:rFonts w:cs="Arial"/>
          <w:sz w:val="20"/>
          <w:szCs w:val="20"/>
          <w:lang w:val="ro-RO"/>
        </w:rPr>
        <w:t xml:space="preserve"> Perioada martie - mai 2016/martie - mai 2017</w:t>
      </w:r>
    </w:p>
  </w:footnote>
  <w:footnote w:id="3">
    <w:p w:rsidR="00A15582" w:rsidRPr="002D63D4" w:rsidRDefault="00A15582" w:rsidP="002D63D4">
      <w:pPr>
        <w:pStyle w:val="ListParagraph"/>
        <w:shd w:val="clear" w:color="auto" w:fill="FFFFFF"/>
        <w:tabs>
          <w:tab w:val="left" w:pos="851"/>
          <w:tab w:val="left" w:pos="1276"/>
        </w:tabs>
        <w:spacing w:after="0"/>
        <w:ind w:left="1276"/>
        <w:jc w:val="both"/>
        <w:rPr>
          <w:rFonts w:cs="Arial"/>
          <w:sz w:val="20"/>
          <w:szCs w:val="20"/>
          <w:lang w:val="ro-RO"/>
        </w:rPr>
      </w:pPr>
      <w:r w:rsidRPr="002D63D4">
        <w:rPr>
          <w:rFonts w:cs="Arial"/>
          <w:sz w:val="20"/>
          <w:szCs w:val="20"/>
          <w:lang w:val="ro-RO"/>
        </w:rPr>
        <w:footnoteRef/>
      </w:r>
      <w:r w:rsidRPr="002D63D4">
        <w:rPr>
          <w:rFonts w:cs="Arial"/>
          <w:sz w:val="20"/>
          <w:szCs w:val="20"/>
          <w:lang w:val="ro-RO"/>
        </w:rPr>
        <w:t xml:space="preserve"> Perioada martie -mai20</w:t>
      </w:r>
      <w:r w:rsidR="00927F6E" w:rsidRPr="002D63D4">
        <w:rPr>
          <w:rFonts w:cs="Arial"/>
          <w:sz w:val="20"/>
          <w:szCs w:val="20"/>
          <w:lang w:val="ro-RO"/>
        </w:rPr>
        <w:t>1</w:t>
      </w:r>
      <w:r w:rsidRPr="002D63D4">
        <w:rPr>
          <w:rFonts w:cs="Arial"/>
          <w:sz w:val="20"/>
          <w:szCs w:val="20"/>
          <w:lang w:val="ro-RO"/>
        </w:rPr>
        <w:t>6/martie - mai 2017</w:t>
      </w:r>
    </w:p>
  </w:footnote>
  <w:footnote w:id="4">
    <w:p w:rsidR="00944E3A" w:rsidRPr="002D63D4" w:rsidRDefault="00944E3A" w:rsidP="002D63D4">
      <w:pPr>
        <w:pStyle w:val="ListParagraph"/>
        <w:shd w:val="clear" w:color="auto" w:fill="FFFFFF"/>
        <w:tabs>
          <w:tab w:val="left" w:pos="851"/>
          <w:tab w:val="left" w:pos="1276"/>
        </w:tabs>
        <w:spacing w:after="0"/>
        <w:ind w:left="1276"/>
        <w:jc w:val="both"/>
        <w:rPr>
          <w:rFonts w:cs="Arial"/>
          <w:sz w:val="20"/>
          <w:szCs w:val="20"/>
          <w:lang w:val="ro-RO"/>
        </w:rPr>
      </w:pPr>
      <w:r w:rsidRPr="002D63D4">
        <w:rPr>
          <w:rFonts w:cs="Arial"/>
          <w:sz w:val="20"/>
          <w:szCs w:val="20"/>
          <w:lang w:val="ro-RO"/>
        </w:rPr>
        <w:footnoteRef/>
      </w:r>
      <w:r w:rsidRPr="002D63D4">
        <w:rPr>
          <w:rFonts w:cs="Arial"/>
          <w:sz w:val="20"/>
          <w:szCs w:val="20"/>
          <w:lang w:val="ro-RO"/>
        </w:rPr>
        <w:t xml:space="preserve"> INS- Comunicat de presă nr.167/2017 privind </w:t>
      </w:r>
      <w:r w:rsidR="002D63D4" w:rsidRPr="002D63D4">
        <w:rPr>
          <w:rFonts w:cs="Arial"/>
          <w:sz w:val="20"/>
          <w:szCs w:val="20"/>
          <w:lang w:val="ro-RO"/>
        </w:rPr>
        <w:t>comerțul</w:t>
      </w:r>
      <w:r w:rsidRPr="002D63D4">
        <w:rPr>
          <w:rFonts w:cs="Arial"/>
          <w:sz w:val="20"/>
          <w:szCs w:val="20"/>
          <w:lang w:val="ro-RO"/>
        </w:rPr>
        <w:t xml:space="preserve"> și serviciile</w:t>
      </w:r>
    </w:p>
  </w:footnote>
  <w:footnote w:id="5">
    <w:p w:rsidR="00944E3A" w:rsidRPr="002D63D4" w:rsidRDefault="00944E3A" w:rsidP="006A244F">
      <w:pPr>
        <w:pStyle w:val="FootnoteText"/>
        <w:spacing w:after="0" w:line="240" w:lineRule="auto"/>
        <w:ind w:left="720" w:firstLine="556"/>
        <w:jc w:val="both"/>
        <w:rPr>
          <w:rFonts w:cs="Arial"/>
          <w:lang w:val="ro-RO"/>
        </w:rPr>
      </w:pPr>
      <w:r w:rsidRPr="002D63D4">
        <w:rPr>
          <w:rFonts w:cs="Arial"/>
          <w:lang w:val="ro-RO"/>
        </w:rPr>
        <w:footnoteRef/>
      </w:r>
      <w:r w:rsidRPr="002D63D4">
        <w:rPr>
          <w:rFonts w:cs="Arial"/>
          <w:lang w:val="ro-RO"/>
        </w:rPr>
        <w:t xml:space="preserve"> INS- Comunicat de presă nr.174/2017 privind </w:t>
      </w:r>
      <w:r w:rsidR="006A244F" w:rsidRPr="002D63D4">
        <w:rPr>
          <w:rFonts w:cs="Arial"/>
          <w:lang w:val="ro-RO"/>
        </w:rPr>
        <w:t>comerțul</w:t>
      </w:r>
      <w:r w:rsidRPr="002D63D4">
        <w:rPr>
          <w:rFonts w:cs="Arial"/>
          <w:lang w:val="ro-RO"/>
        </w:rPr>
        <w:t xml:space="preserve"> </w:t>
      </w:r>
      <w:r w:rsidR="006A244F" w:rsidRPr="002D63D4">
        <w:rPr>
          <w:rFonts w:cs="Arial"/>
          <w:lang w:val="ro-RO"/>
        </w:rPr>
        <w:t>internațional</w:t>
      </w:r>
      <w:r w:rsidRPr="002D63D4">
        <w:rPr>
          <w:rFonts w:cs="Arial"/>
          <w:lang w:val="ro-RO"/>
        </w:rPr>
        <w:t xml:space="preserve"> de bunuri</w:t>
      </w:r>
      <w:r w:rsidR="00927F6E" w:rsidRPr="002D63D4">
        <w:rPr>
          <w:rFonts w:cs="Arial"/>
          <w:lang w:val="ro-RO"/>
        </w:rPr>
        <w:t xml:space="preserve"> perioada aprilie-mai 2017/aprilie- mai 2016</w:t>
      </w:r>
    </w:p>
  </w:footnote>
  <w:footnote w:id="6">
    <w:p w:rsidR="00D2782F" w:rsidRPr="00461DA8" w:rsidRDefault="00D2782F" w:rsidP="00461DA8">
      <w:pPr>
        <w:shd w:val="clear" w:color="auto" w:fill="FFFFFF"/>
        <w:tabs>
          <w:tab w:val="left" w:pos="851"/>
          <w:tab w:val="left" w:pos="1276"/>
        </w:tabs>
        <w:spacing w:after="0"/>
        <w:jc w:val="both"/>
        <w:rPr>
          <w:rFonts w:asciiTheme="minorHAnsi" w:eastAsia="Calibri" w:hAnsiTheme="minorHAnsi" w:cs="Times New Roman"/>
          <w:sz w:val="20"/>
          <w:szCs w:val="20"/>
          <w:vertAlign w:val="superscript"/>
          <w:lang w:val="ro-RO" w:eastAsia="x-none"/>
        </w:rPr>
      </w:pPr>
      <w:r w:rsidRPr="00461DA8">
        <w:rPr>
          <w:rFonts w:asciiTheme="minorHAnsi" w:eastAsia="Calibri" w:hAnsiTheme="minorHAnsi"/>
          <w:sz w:val="20"/>
          <w:szCs w:val="20"/>
          <w:lang w:val="ro-RO"/>
        </w:rPr>
        <w:footnoteRef/>
      </w:r>
      <w:r w:rsidRPr="00461DA8">
        <w:rPr>
          <w:rFonts w:asciiTheme="minorHAnsi" w:eastAsia="Calibri" w:hAnsiTheme="minorHAnsi" w:cs="Times New Roman"/>
          <w:sz w:val="20"/>
          <w:szCs w:val="20"/>
          <w:vertAlign w:val="superscript"/>
          <w:lang w:val="ro-RO" w:eastAsia="x-none"/>
        </w:rPr>
        <w:t xml:space="preserve"> </w:t>
      </w:r>
      <w:r w:rsidR="00461DA8">
        <w:rPr>
          <w:rFonts w:asciiTheme="minorHAnsi" w:eastAsia="Calibri" w:hAnsiTheme="minorHAnsi" w:cs="Times New Roman"/>
          <w:sz w:val="20"/>
          <w:szCs w:val="20"/>
          <w:vertAlign w:val="superscript"/>
          <w:lang w:val="ro-RO" w:eastAsia="x-none"/>
        </w:rPr>
        <w:t xml:space="preserve"> </w:t>
      </w:r>
      <w:r w:rsidR="000A0097" w:rsidRPr="00461DA8">
        <w:rPr>
          <w:rFonts w:asciiTheme="minorHAnsi" w:eastAsia="Calibri" w:hAnsiTheme="minorHAnsi" w:cs="Times New Roman"/>
          <w:sz w:val="20"/>
          <w:szCs w:val="20"/>
          <w:lang w:val="ro-RO" w:eastAsia="x-none"/>
        </w:rPr>
        <w:t>c</w:t>
      </w:r>
      <w:r w:rsidR="0047211C" w:rsidRPr="00461DA8">
        <w:rPr>
          <w:rFonts w:asciiTheme="minorHAnsi" w:eastAsia="Calibri" w:hAnsiTheme="minorHAnsi" w:cs="Times New Roman"/>
          <w:sz w:val="20"/>
          <w:szCs w:val="20"/>
          <w:lang w:val="ro-RO" w:eastAsia="x-none"/>
        </w:rPr>
        <w:t>omparativ cu acee</w:t>
      </w:r>
      <w:r w:rsidRPr="00461DA8">
        <w:rPr>
          <w:rFonts w:asciiTheme="minorHAnsi" w:eastAsia="Calibri" w:hAnsiTheme="minorHAnsi" w:cs="Times New Roman"/>
          <w:sz w:val="20"/>
          <w:szCs w:val="20"/>
          <w:lang w:val="ro-RO" w:eastAsia="x-none"/>
        </w:rPr>
        <w:t>ași perioadă a anului precedent, Comunicat de presă INS nr.</w:t>
      </w:r>
      <w:r w:rsidR="00C26E73" w:rsidRPr="00461DA8">
        <w:rPr>
          <w:rFonts w:asciiTheme="minorHAnsi" w:eastAsia="Calibri" w:hAnsiTheme="minorHAnsi" w:cs="Times New Roman"/>
          <w:sz w:val="20"/>
          <w:szCs w:val="20"/>
          <w:lang w:val="ro-RO" w:eastAsia="x-none"/>
        </w:rPr>
        <w:t>86</w:t>
      </w:r>
      <w:r w:rsidRPr="00461DA8">
        <w:rPr>
          <w:rFonts w:asciiTheme="minorHAnsi" w:eastAsia="Calibri" w:hAnsiTheme="minorHAnsi" w:cs="Times New Roman"/>
          <w:sz w:val="20"/>
          <w:szCs w:val="20"/>
          <w:lang w:val="ro-RO" w:eastAsia="x-none"/>
        </w:rPr>
        <w:t>/</w:t>
      </w:r>
      <w:r w:rsidR="00C26E73" w:rsidRPr="00461DA8">
        <w:rPr>
          <w:rFonts w:asciiTheme="minorHAnsi" w:eastAsia="Calibri" w:hAnsiTheme="minorHAnsi" w:cs="Times New Roman"/>
          <w:sz w:val="20"/>
          <w:szCs w:val="20"/>
          <w:lang w:val="ro-RO" w:eastAsia="x-none"/>
        </w:rPr>
        <w:t xml:space="preserve">10 </w:t>
      </w:r>
      <w:r w:rsidRPr="00461DA8">
        <w:rPr>
          <w:rFonts w:asciiTheme="minorHAnsi" w:eastAsia="Calibri" w:hAnsiTheme="minorHAnsi" w:cs="Times New Roman"/>
          <w:sz w:val="20"/>
          <w:szCs w:val="20"/>
          <w:lang w:val="ro-RO" w:eastAsia="x-none"/>
        </w:rPr>
        <w:t xml:space="preserve">aprilie </w:t>
      </w:r>
      <w:r w:rsidR="002277FA" w:rsidRPr="00461DA8">
        <w:rPr>
          <w:rFonts w:asciiTheme="minorHAnsi" w:eastAsia="Calibri" w:hAnsiTheme="minorHAnsi" w:cs="Times New Roman"/>
          <w:sz w:val="20"/>
          <w:szCs w:val="20"/>
          <w:lang w:val="ro-RO" w:eastAsia="x-none"/>
        </w:rPr>
        <w:t>2017</w:t>
      </w:r>
    </w:p>
  </w:footnote>
  <w:footnote w:id="7">
    <w:p w:rsidR="00927F6E" w:rsidRPr="00461DA8" w:rsidRDefault="00927F6E" w:rsidP="00461DA8">
      <w:pPr>
        <w:shd w:val="clear" w:color="auto" w:fill="FFFFFF"/>
        <w:tabs>
          <w:tab w:val="left" w:pos="851"/>
          <w:tab w:val="left" w:pos="1276"/>
        </w:tabs>
        <w:spacing w:after="0"/>
        <w:jc w:val="both"/>
        <w:rPr>
          <w:rFonts w:asciiTheme="minorHAnsi" w:eastAsia="Calibri" w:hAnsiTheme="minorHAnsi" w:cs="Times New Roman"/>
          <w:sz w:val="20"/>
          <w:szCs w:val="20"/>
          <w:lang w:val="ro-RO" w:eastAsia="x-none"/>
        </w:rPr>
      </w:pPr>
      <w:r w:rsidRPr="00461DA8">
        <w:rPr>
          <w:rFonts w:asciiTheme="minorHAnsi" w:eastAsia="Calibri" w:hAnsiTheme="minorHAnsi"/>
          <w:sz w:val="20"/>
          <w:szCs w:val="20"/>
          <w:lang w:val="ro-RO"/>
        </w:rPr>
        <w:footnoteRef/>
      </w:r>
      <w:r w:rsidRPr="00461DA8">
        <w:rPr>
          <w:rFonts w:asciiTheme="minorHAnsi" w:eastAsia="Calibri" w:hAnsiTheme="minorHAnsi" w:cs="Times New Roman"/>
          <w:sz w:val="20"/>
          <w:szCs w:val="20"/>
          <w:vertAlign w:val="superscript"/>
          <w:lang w:val="ro-RO" w:eastAsia="x-none"/>
        </w:rPr>
        <w:t xml:space="preserve"> </w:t>
      </w:r>
      <w:r w:rsidR="00461DA8">
        <w:rPr>
          <w:rFonts w:asciiTheme="minorHAnsi" w:eastAsia="Calibri" w:hAnsiTheme="minorHAnsi" w:cs="Times New Roman"/>
          <w:sz w:val="20"/>
          <w:szCs w:val="20"/>
          <w:vertAlign w:val="superscript"/>
          <w:lang w:val="ro-RO" w:eastAsia="x-none"/>
        </w:rPr>
        <w:t xml:space="preserve"> </w:t>
      </w:r>
      <w:r w:rsidRPr="00461DA8">
        <w:rPr>
          <w:rFonts w:asciiTheme="minorHAnsi" w:eastAsia="Calibri" w:hAnsiTheme="minorHAnsi" w:cs="Times New Roman"/>
          <w:sz w:val="20"/>
          <w:szCs w:val="20"/>
          <w:lang w:val="ro-RO" w:eastAsia="x-none"/>
        </w:rPr>
        <w:t>Perioada martie - mai 2016/martie - mai 2017</w:t>
      </w:r>
    </w:p>
  </w:footnote>
  <w:footnote w:id="8">
    <w:p w:rsidR="00927F6E" w:rsidRPr="00461DA8" w:rsidRDefault="00927F6E" w:rsidP="00461DA8">
      <w:pPr>
        <w:shd w:val="clear" w:color="auto" w:fill="FFFFFF"/>
        <w:tabs>
          <w:tab w:val="left" w:pos="851"/>
          <w:tab w:val="left" w:pos="1276"/>
        </w:tabs>
        <w:spacing w:after="0"/>
        <w:jc w:val="both"/>
        <w:rPr>
          <w:rFonts w:asciiTheme="minorHAnsi" w:eastAsia="Calibri" w:hAnsiTheme="minorHAnsi" w:cs="Times New Roman"/>
          <w:sz w:val="20"/>
          <w:szCs w:val="20"/>
          <w:lang w:val="ro-RO" w:eastAsia="x-none"/>
        </w:rPr>
      </w:pPr>
      <w:r w:rsidRPr="00461DA8">
        <w:rPr>
          <w:rFonts w:asciiTheme="minorHAnsi" w:eastAsia="Calibri" w:hAnsiTheme="minorHAnsi"/>
          <w:sz w:val="20"/>
          <w:szCs w:val="20"/>
          <w:lang w:val="ro-RO"/>
        </w:rPr>
        <w:footnoteRef/>
      </w:r>
      <w:r w:rsidRPr="00461DA8">
        <w:rPr>
          <w:rFonts w:asciiTheme="minorHAnsi" w:eastAsia="Calibri" w:hAnsiTheme="minorHAnsi" w:cs="Times New Roman"/>
          <w:sz w:val="20"/>
          <w:szCs w:val="20"/>
          <w:vertAlign w:val="superscript"/>
          <w:lang w:val="ro-RO" w:eastAsia="x-none"/>
        </w:rPr>
        <w:t xml:space="preserve"> </w:t>
      </w:r>
      <w:r w:rsidR="00461DA8">
        <w:rPr>
          <w:rFonts w:asciiTheme="minorHAnsi" w:eastAsia="Calibri" w:hAnsiTheme="minorHAnsi" w:cs="Times New Roman"/>
          <w:sz w:val="20"/>
          <w:szCs w:val="20"/>
          <w:vertAlign w:val="superscript"/>
          <w:lang w:val="ro-RO" w:eastAsia="x-none"/>
        </w:rPr>
        <w:t xml:space="preserve"> </w:t>
      </w:r>
      <w:r w:rsidRPr="00461DA8">
        <w:rPr>
          <w:rFonts w:asciiTheme="minorHAnsi" w:eastAsia="Calibri" w:hAnsiTheme="minorHAnsi" w:cs="Times New Roman"/>
          <w:sz w:val="20"/>
          <w:szCs w:val="20"/>
          <w:lang w:val="ro-RO" w:eastAsia="x-none"/>
        </w:rPr>
        <w:t>Perioada martie -mai2016/martie - mai 2017</w:t>
      </w:r>
    </w:p>
  </w:footnote>
  <w:footnote w:id="9">
    <w:p w:rsidR="00927F6E" w:rsidRPr="00461DA8" w:rsidRDefault="00927F6E" w:rsidP="00461DA8">
      <w:pPr>
        <w:shd w:val="clear" w:color="auto" w:fill="FFFFFF"/>
        <w:tabs>
          <w:tab w:val="left" w:pos="851"/>
          <w:tab w:val="left" w:pos="1276"/>
        </w:tabs>
        <w:spacing w:after="0"/>
        <w:jc w:val="both"/>
        <w:rPr>
          <w:rStyle w:val="FootnoteReference"/>
          <w:rFonts w:asciiTheme="minorHAnsi" w:hAnsiTheme="minorHAnsi"/>
          <w:sz w:val="20"/>
          <w:szCs w:val="20"/>
          <w:lang w:val="ro-RO"/>
        </w:rPr>
      </w:pPr>
      <w:r w:rsidRPr="00461DA8">
        <w:rPr>
          <w:rFonts w:asciiTheme="minorHAnsi" w:eastAsia="Calibri" w:hAnsiTheme="minorHAnsi"/>
          <w:sz w:val="20"/>
          <w:szCs w:val="20"/>
          <w:lang w:val="ro-RO"/>
        </w:rPr>
        <w:footnoteRef/>
      </w:r>
      <w:r w:rsidRPr="00461DA8">
        <w:rPr>
          <w:rFonts w:asciiTheme="minorHAnsi" w:eastAsia="Calibri" w:hAnsiTheme="minorHAnsi" w:cs="Times New Roman"/>
          <w:sz w:val="20"/>
          <w:szCs w:val="20"/>
          <w:lang w:val="ro-RO" w:eastAsia="x-none"/>
        </w:rPr>
        <w:t xml:space="preserve"> ORDONANŢĂ   Nr. 64/2001 din 30 august 2001 privind repartizarea profitului la </w:t>
      </w:r>
      <w:r w:rsidR="00461DA8" w:rsidRPr="00461DA8">
        <w:rPr>
          <w:rFonts w:asciiTheme="minorHAnsi" w:eastAsia="Calibri" w:hAnsiTheme="minorHAnsi" w:cs="Times New Roman"/>
          <w:sz w:val="20"/>
          <w:szCs w:val="20"/>
          <w:lang w:val="ro-RO" w:eastAsia="x-none"/>
        </w:rPr>
        <w:t>societățile</w:t>
      </w:r>
      <w:r w:rsidRPr="00461DA8">
        <w:rPr>
          <w:rFonts w:asciiTheme="minorHAnsi" w:eastAsia="Calibri" w:hAnsiTheme="minorHAnsi" w:cs="Times New Roman"/>
          <w:sz w:val="20"/>
          <w:szCs w:val="20"/>
          <w:lang w:val="ro-RO" w:eastAsia="x-none"/>
        </w:rPr>
        <w:t xml:space="preserve"> </w:t>
      </w:r>
      <w:r w:rsidR="00461DA8" w:rsidRPr="00461DA8">
        <w:rPr>
          <w:rFonts w:asciiTheme="minorHAnsi" w:eastAsia="Calibri" w:hAnsiTheme="minorHAnsi" w:cs="Times New Roman"/>
          <w:sz w:val="20"/>
          <w:szCs w:val="20"/>
          <w:lang w:val="ro-RO" w:eastAsia="x-none"/>
        </w:rPr>
        <w:t>naționale</w:t>
      </w:r>
      <w:r w:rsidRPr="00461DA8">
        <w:rPr>
          <w:rFonts w:asciiTheme="minorHAnsi" w:eastAsia="Calibri" w:hAnsiTheme="minorHAnsi" w:cs="Times New Roman"/>
          <w:sz w:val="20"/>
          <w:szCs w:val="20"/>
          <w:lang w:val="ro-RO" w:eastAsia="x-none"/>
        </w:rPr>
        <w:t xml:space="preserve">, companiile </w:t>
      </w:r>
      <w:r w:rsidR="00461DA8" w:rsidRPr="00461DA8">
        <w:rPr>
          <w:rFonts w:asciiTheme="minorHAnsi" w:eastAsia="Calibri" w:hAnsiTheme="minorHAnsi" w:cs="Times New Roman"/>
          <w:sz w:val="20"/>
          <w:szCs w:val="20"/>
          <w:lang w:val="ro-RO" w:eastAsia="x-none"/>
        </w:rPr>
        <w:t>naționale</w:t>
      </w:r>
      <w:r w:rsidRPr="00461DA8">
        <w:rPr>
          <w:rFonts w:asciiTheme="minorHAnsi" w:eastAsia="Calibri" w:hAnsiTheme="minorHAnsi" w:cs="Times New Roman"/>
          <w:sz w:val="20"/>
          <w:szCs w:val="20"/>
          <w:lang w:val="ro-RO" w:eastAsia="x-none"/>
        </w:rPr>
        <w:t xml:space="preserve"> şi </w:t>
      </w:r>
      <w:r w:rsidR="00461DA8" w:rsidRPr="00461DA8">
        <w:rPr>
          <w:rFonts w:asciiTheme="minorHAnsi" w:eastAsia="Calibri" w:hAnsiTheme="minorHAnsi" w:cs="Times New Roman"/>
          <w:sz w:val="20"/>
          <w:szCs w:val="20"/>
          <w:lang w:val="ro-RO" w:eastAsia="x-none"/>
        </w:rPr>
        <w:t>societățile</w:t>
      </w:r>
      <w:r w:rsidRPr="00461DA8">
        <w:rPr>
          <w:rFonts w:asciiTheme="minorHAnsi" w:eastAsia="Calibri" w:hAnsiTheme="minorHAnsi" w:cs="Times New Roman"/>
          <w:sz w:val="20"/>
          <w:szCs w:val="20"/>
          <w:lang w:val="ro-RO" w:eastAsia="x-none"/>
        </w:rPr>
        <w:t xml:space="preserve"> comerciale cu capital integral sau majoritar de stat, precum şi la regiile autonome, modificată prin </w:t>
      </w:r>
      <w:r w:rsidR="00461DA8" w:rsidRPr="00461DA8">
        <w:rPr>
          <w:rFonts w:asciiTheme="minorHAnsi" w:eastAsia="Calibri" w:hAnsiTheme="minorHAnsi" w:cs="Times New Roman"/>
          <w:sz w:val="20"/>
          <w:szCs w:val="20"/>
          <w:lang w:val="ro-RO" w:eastAsia="x-none"/>
        </w:rPr>
        <w:t>Ordonanța</w:t>
      </w:r>
      <w:r w:rsidRPr="00461DA8">
        <w:rPr>
          <w:rFonts w:asciiTheme="minorHAnsi" w:eastAsia="Calibri" w:hAnsiTheme="minorHAnsi" w:cs="Times New Roman"/>
          <w:sz w:val="20"/>
          <w:szCs w:val="20"/>
          <w:lang w:val="ro-RO" w:eastAsia="x-none"/>
        </w:rPr>
        <w:t xml:space="preserve"> de </w:t>
      </w:r>
      <w:r w:rsidR="00461DA8" w:rsidRPr="00461DA8">
        <w:rPr>
          <w:rFonts w:asciiTheme="minorHAnsi" w:eastAsia="Calibri" w:hAnsiTheme="minorHAnsi" w:cs="Times New Roman"/>
          <w:sz w:val="20"/>
          <w:szCs w:val="20"/>
          <w:lang w:val="ro-RO" w:eastAsia="x-none"/>
        </w:rPr>
        <w:t>urgență</w:t>
      </w:r>
      <w:r w:rsidRPr="00461DA8">
        <w:rPr>
          <w:rFonts w:asciiTheme="minorHAnsi" w:eastAsia="Calibri" w:hAnsiTheme="minorHAnsi" w:cs="Times New Roman"/>
          <w:sz w:val="20"/>
          <w:szCs w:val="20"/>
          <w:lang w:val="ro-RO" w:eastAsia="x-none"/>
        </w:rPr>
        <w:t xml:space="preserve"> a Guvernului nr. 29/2017</w:t>
      </w:r>
      <w:r w:rsidRPr="00461DA8">
        <w:rPr>
          <w:rStyle w:val="FootnoteReference"/>
          <w:rFonts w:asciiTheme="minorHAnsi" w:hAnsiTheme="minorHAnsi"/>
          <w:sz w:val="20"/>
          <w:szCs w:val="20"/>
          <w:lang w:val="ro-RO"/>
        </w:rPr>
        <w:t>.</w:t>
      </w:r>
    </w:p>
  </w:footnote>
  <w:footnote w:id="10">
    <w:p w:rsidR="008013F9" w:rsidRPr="00845E18" w:rsidRDefault="008013F9">
      <w:pPr>
        <w:pStyle w:val="FootnoteText"/>
        <w:rPr>
          <w:lang w:val="ro-RO"/>
        </w:rPr>
      </w:pPr>
      <w:r>
        <w:rPr>
          <w:rStyle w:val="FootnoteReference"/>
        </w:rPr>
        <w:footnoteRef/>
      </w:r>
      <w:r>
        <w:t xml:space="preserve"> </w:t>
      </w:r>
      <w:r w:rsidRPr="000B0D84">
        <w:rPr>
          <w:lang w:val="ro-RO"/>
        </w:rPr>
        <w:t>Potrivit prevederilor Ordonanței</w:t>
      </w:r>
      <w:r>
        <w:rPr>
          <w:lang w:val="ro-RO"/>
        </w:rPr>
        <w:t xml:space="preserve"> de urgență a Guvernului nr.99/2016, cu modificările și completările ulterioare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F4458"/>
    <w:multiLevelType w:val="hybridMultilevel"/>
    <w:tmpl w:val="527A91FC"/>
    <w:lvl w:ilvl="0" w:tplc="0418000D">
      <w:start w:val="1"/>
      <w:numFmt w:val="bullet"/>
      <w:lvlText w:val=""/>
      <w:lvlJc w:val="left"/>
      <w:pPr>
        <w:ind w:left="1980" w:hanging="360"/>
      </w:pPr>
      <w:rPr>
        <w:rFonts w:ascii="Wingdings" w:hAnsi="Wingdings"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1">
    <w:nsid w:val="0A4D59FF"/>
    <w:multiLevelType w:val="hybridMultilevel"/>
    <w:tmpl w:val="1ACC72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1552119"/>
    <w:multiLevelType w:val="hybridMultilevel"/>
    <w:tmpl w:val="D374B5AE"/>
    <w:lvl w:ilvl="0" w:tplc="7E9825C0">
      <w:start w:val="1"/>
      <w:numFmt w:val="bullet"/>
      <w:lvlText w:val=""/>
      <w:lvlJc w:val="left"/>
      <w:pPr>
        <w:ind w:left="1260" w:hanging="360"/>
      </w:pPr>
      <w:rPr>
        <w:rFonts w:ascii="Wingdings" w:hAnsi="Wingdings"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29B71F9"/>
    <w:multiLevelType w:val="hybridMultilevel"/>
    <w:tmpl w:val="E080148A"/>
    <w:lvl w:ilvl="0" w:tplc="0409000D">
      <w:start w:val="1"/>
      <w:numFmt w:val="bullet"/>
      <w:lvlText w:val=""/>
      <w:lvlJc w:val="left"/>
      <w:pPr>
        <w:ind w:left="1996" w:hanging="360"/>
      </w:pPr>
      <w:rPr>
        <w:rFonts w:ascii="Wingdings" w:hAnsi="Wingdings" w:hint="default"/>
      </w:rPr>
    </w:lvl>
    <w:lvl w:ilvl="1" w:tplc="04090003">
      <w:start w:val="1"/>
      <w:numFmt w:val="bullet"/>
      <w:lvlText w:val="o"/>
      <w:lvlJc w:val="left"/>
      <w:pPr>
        <w:ind w:left="2716" w:hanging="360"/>
      </w:pPr>
      <w:rPr>
        <w:rFonts w:ascii="Courier New" w:hAnsi="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hint="default"/>
      </w:rPr>
    </w:lvl>
    <w:lvl w:ilvl="8" w:tplc="04090005">
      <w:start w:val="1"/>
      <w:numFmt w:val="bullet"/>
      <w:lvlText w:val=""/>
      <w:lvlJc w:val="left"/>
      <w:pPr>
        <w:ind w:left="7756" w:hanging="360"/>
      </w:pPr>
      <w:rPr>
        <w:rFonts w:ascii="Wingdings" w:hAnsi="Wingdings" w:hint="default"/>
      </w:rPr>
    </w:lvl>
  </w:abstractNum>
  <w:abstractNum w:abstractNumId="4">
    <w:nsid w:val="1BB535F6"/>
    <w:multiLevelType w:val="hybridMultilevel"/>
    <w:tmpl w:val="C03EA7D6"/>
    <w:lvl w:ilvl="0" w:tplc="0418000D">
      <w:start w:val="1"/>
      <w:numFmt w:val="bullet"/>
      <w:lvlText w:val=""/>
      <w:lvlJc w:val="left"/>
      <w:pPr>
        <w:ind w:left="1979" w:hanging="360"/>
      </w:pPr>
      <w:rPr>
        <w:rFonts w:ascii="Wingdings" w:hAnsi="Wingdings" w:hint="default"/>
      </w:rPr>
    </w:lvl>
    <w:lvl w:ilvl="1" w:tplc="04180003" w:tentative="1">
      <w:start w:val="1"/>
      <w:numFmt w:val="bullet"/>
      <w:lvlText w:val="o"/>
      <w:lvlJc w:val="left"/>
      <w:pPr>
        <w:ind w:left="2699" w:hanging="360"/>
      </w:pPr>
      <w:rPr>
        <w:rFonts w:ascii="Courier New" w:hAnsi="Courier New" w:cs="Courier New" w:hint="default"/>
      </w:rPr>
    </w:lvl>
    <w:lvl w:ilvl="2" w:tplc="04180005" w:tentative="1">
      <w:start w:val="1"/>
      <w:numFmt w:val="bullet"/>
      <w:lvlText w:val=""/>
      <w:lvlJc w:val="left"/>
      <w:pPr>
        <w:ind w:left="3419" w:hanging="360"/>
      </w:pPr>
      <w:rPr>
        <w:rFonts w:ascii="Wingdings" w:hAnsi="Wingdings" w:hint="default"/>
      </w:rPr>
    </w:lvl>
    <w:lvl w:ilvl="3" w:tplc="04180001" w:tentative="1">
      <w:start w:val="1"/>
      <w:numFmt w:val="bullet"/>
      <w:lvlText w:val=""/>
      <w:lvlJc w:val="left"/>
      <w:pPr>
        <w:ind w:left="4139" w:hanging="360"/>
      </w:pPr>
      <w:rPr>
        <w:rFonts w:ascii="Symbol" w:hAnsi="Symbol" w:hint="default"/>
      </w:rPr>
    </w:lvl>
    <w:lvl w:ilvl="4" w:tplc="04180003" w:tentative="1">
      <w:start w:val="1"/>
      <w:numFmt w:val="bullet"/>
      <w:lvlText w:val="o"/>
      <w:lvlJc w:val="left"/>
      <w:pPr>
        <w:ind w:left="4859" w:hanging="360"/>
      </w:pPr>
      <w:rPr>
        <w:rFonts w:ascii="Courier New" w:hAnsi="Courier New" w:cs="Courier New" w:hint="default"/>
      </w:rPr>
    </w:lvl>
    <w:lvl w:ilvl="5" w:tplc="04180005" w:tentative="1">
      <w:start w:val="1"/>
      <w:numFmt w:val="bullet"/>
      <w:lvlText w:val=""/>
      <w:lvlJc w:val="left"/>
      <w:pPr>
        <w:ind w:left="5579" w:hanging="360"/>
      </w:pPr>
      <w:rPr>
        <w:rFonts w:ascii="Wingdings" w:hAnsi="Wingdings" w:hint="default"/>
      </w:rPr>
    </w:lvl>
    <w:lvl w:ilvl="6" w:tplc="04180001" w:tentative="1">
      <w:start w:val="1"/>
      <w:numFmt w:val="bullet"/>
      <w:lvlText w:val=""/>
      <w:lvlJc w:val="left"/>
      <w:pPr>
        <w:ind w:left="6299" w:hanging="360"/>
      </w:pPr>
      <w:rPr>
        <w:rFonts w:ascii="Symbol" w:hAnsi="Symbol" w:hint="default"/>
      </w:rPr>
    </w:lvl>
    <w:lvl w:ilvl="7" w:tplc="04180003" w:tentative="1">
      <w:start w:val="1"/>
      <w:numFmt w:val="bullet"/>
      <w:lvlText w:val="o"/>
      <w:lvlJc w:val="left"/>
      <w:pPr>
        <w:ind w:left="7019" w:hanging="360"/>
      </w:pPr>
      <w:rPr>
        <w:rFonts w:ascii="Courier New" w:hAnsi="Courier New" w:cs="Courier New" w:hint="default"/>
      </w:rPr>
    </w:lvl>
    <w:lvl w:ilvl="8" w:tplc="04180005" w:tentative="1">
      <w:start w:val="1"/>
      <w:numFmt w:val="bullet"/>
      <w:lvlText w:val=""/>
      <w:lvlJc w:val="left"/>
      <w:pPr>
        <w:ind w:left="7739" w:hanging="360"/>
      </w:pPr>
      <w:rPr>
        <w:rFonts w:ascii="Wingdings" w:hAnsi="Wingdings" w:hint="default"/>
      </w:rPr>
    </w:lvl>
  </w:abstractNum>
  <w:abstractNum w:abstractNumId="5">
    <w:nsid w:val="2EDA1D12"/>
    <w:multiLevelType w:val="hybridMultilevel"/>
    <w:tmpl w:val="9F5E652A"/>
    <w:lvl w:ilvl="0" w:tplc="7A7434B2">
      <w:start w:val="1"/>
      <w:numFmt w:val="decimal"/>
      <w:lvlText w:val="%1."/>
      <w:lvlJc w:val="left"/>
      <w:pPr>
        <w:ind w:left="1501" w:hanging="360"/>
      </w:pPr>
      <w:rPr>
        <w:rFonts w:cs="Times New Roman"/>
        <w:b/>
        <w:color w:val="auto"/>
      </w:rPr>
    </w:lvl>
    <w:lvl w:ilvl="1" w:tplc="04090019">
      <w:start w:val="1"/>
      <w:numFmt w:val="lowerLetter"/>
      <w:lvlText w:val="%2."/>
      <w:lvlJc w:val="left"/>
      <w:pPr>
        <w:ind w:left="2221" w:hanging="360"/>
      </w:pPr>
      <w:rPr>
        <w:rFonts w:cs="Times New Roman"/>
      </w:rPr>
    </w:lvl>
    <w:lvl w:ilvl="2" w:tplc="0409001B">
      <w:start w:val="1"/>
      <w:numFmt w:val="lowerRoman"/>
      <w:lvlText w:val="%3."/>
      <w:lvlJc w:val="right"/>
      <w:pPr>
        <w:ind w:left="2941" w:hanging="180"/>
      </w:pPr>
      <w:rPr>
        <w:rFonts w:cs="Times New Roman"/>
      </w:rPr>
    </w:lvl>
    <w:lvl w:ilvl="3" w:tplc="0409000F">
      <w:start w:val="1"/>
      <w:numFmt w:val="decimal"/>
      <w:lvlText w:val="%4."/>
      <w:lvlJc w:val="left"/>
      <w:pPr>
        <w:ind w:left="3661" w:hanging="360"/>
      </w:pPr>
      <w:rPr>
        <w:rFonts w:cs="Times New Roman"/>
      </w:rPr>
    </w:lvl>
    <w:lvl w:ilvl="4" w:tplc="04090019">
      <w:start w:val="1"/>
      <w:numFmt w:val="lowerLetter"/>
      <w:lvlText w:val="%5."/>
      <w:lvlJc w:val="left"/>
      <w:pPr>
        <w:ind w:left="4381" w:hanging="360"/>
      </w:pPr>
      <w:rPr>
        <w:rFonts w:cs="Times New Roman"/>
      </w:rPr>
    </w:lvl>
    <w:lvl w:ilvl="5" w:tplc="0409001B">
      <w:start w:val="1"/>
      <w:numFmt w:val="lowerRoman"/>
      <w:lvlText w:val="%6."/>
      <w:lvlJc w:val="right"/>
      <w:pPr>
        <w:ind w:left="5101" w:hanging="180"/>
      </w:pPr>
      <w:rPr>
        <w:rFonts w:cs="Times New Roman"/>
      </w:rPr>
    </w:lvl>
    <w:lvl w:ilvl="6" w:tplc="0409000F">
      <w:start w:val="1"/>
      <w:numFmt w:val="decimal"/>
      <w:lvlText w:val="%7."/>
      <w:lvlJc w:val="left"/>
      <w:pPr>
        <w:ind w:left="5821" w:hanging="360"/>
      </w:pPr>
      <w:rPr>
        <w:rFonts w:cs="Times New Roman"/>
      </w:rPr>
    </w:lvl>
    <w:lvl w:ilvl="7" w:tplc="04090019">
      <w:start w:val="1"/>
      <w:numFmt w:val="lowerLetter"/>
      <w:lvlText w:val="%8."/>
      <w:lvlJc w:val="left"/>
      <w:pPr>
        <w:ind w:left="6541" w:hanging="360"/>
      </w:pPr>
      <w:rPr>
        <w:rFonts w:cs="Times New Roman"/>
      </w:rPr>
    </w:lvl>
    <w:lvl w:ilvl="8" w:tplc="0409001B">
      <w:start w:val="1"/>
      <w:numFmt w:val="lowerRoman"/>
      <w:lvlText w:val="%9."/>
      <w:lvlJc w:val="right"/>
      <w:pPr>
        <w:ind w:left="7261" w:hanging="180"/>
      </w:pPr>
      <w:rPr>
        <w:rFonts w:cs="Times New Roman"/>
      </w:rPr>
    </w:lvl>
  </w:abstractNum>
  <w:abstractNum w:abstractNumId="6">
    <w:nsid w:val="35EB2437"/>
    <w:multiLevelType w:val="hybridMultilevel"/>
    <w:tmpl w:val="27CC315E"/>
    <w:lvl w:ilvl="0" w:tplc="0409000F">
      <w:start w:val="1"/>
      <w:numFmt w:val="decimal"/>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7">
    <w:nsid w:val="41186AAF"/>
    <w:multiLevelType w:val="hybridMultilevel"/>
    <w:tmpl w:val="89DC3728"/>
    <w:lvl w:ilvl="0" w:tplc="00286350">
      <w:numFmt w:val="bullet"/>
      <w:lvlText w:val="-"/>
      <w:lvlJc w:val="left"/>
      <w:pPr>
        <w:tabs>
          <w:tab w:val="num" w:pos="1605"/>
        </w:tabs>
        <w:ind w:left="1605" w:hanging="885"/>
      </w:pPr>
      <w:rPr>
        <w:rFonts w:ascii="Arial" w:eastAsia="Times New Roman" w:hAnsi="Arial"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3">
      <w:start w:val="1"/>
      <w:numFmt w:val="bullet"/>
      <w:lvlText w:val="o"/>
      <w:lvlJc w:val="left"/>
      <w:pPr>
        <w:tabs>
          <w:tab w:val="num" w:pos="3960"/>
        </w:tabs>
        <w:ind w:left="3960" w:hanging="360"/>
      </w:pPr>
      <w:rPr>
        <w:rFonts w:ascii="Courier New" w:hAnsi="Courier New" w:hint="default"/>
      </w:rPr>
    </w:lvl>
    <w:lvl w:ilvl="5" w:tplc="04180005">
      <w:start w:val="1"/>
      <w:numFmt w:val="bullet"/>
      <w:lvlText w:val=""/>
      <w:lvlJc w:val="left"/>
      <w:pPr>
        <w:tabs>
          <w:tab w:val="num" w:pos="4680"/>
        </w:tabs>
        <w:ind w:left="4680" w:hanging="360"/>
      </w:pPr>
      <w:rPr>
        <w:rFonts w:ascii="Wingdings" w:hAnsi="Wingdings" w:hint="default"/>
      </w:rPr>
    </w:lvl>
    <w:lvl w:ilvl="6" w:tplc="04180001">
      <w:start w:val="1"/>
      <w:numFmt w:val="bullet"/>
      <w:lvlText w:val=""/>
      <w:lvlJc w:val="left"/>
      <w:pPr>
        <w:tabs>
          <w:tab w:val="num" w:pos="5400"/>
        </w:tabs>
        <w:ind w:left="5400" w:hanging="360"/>
      </w:pPr>
      <w:rPr>
        <w:rFonts w:ascii="Symbol" w:hAnsi="Symbol" w:hint="default"/>
      </w:rPr>
    </w:lvl>
    <w:lvl w:ilvl="7" w:tplc="04180003">
      <w:start w:val="1"/>
      <w:numFmt w:val="bullet"/>
      <w:lvlText w:val="o"/>
      <w:lvlJc w:val="left"/>
      <w:pPr>
        <w:tabs>
          <w:tab w:val="num" w:pos="6120"/>
        </w:tabs>
        <w:ind w:left="6120" w:hanging="360"/>
      </w:pPr>
      <w:rPr>
        <w:rFonts w:ascii="Courier New" w:hAnsi="Courier New" w:hint="default"/>
      </w:rPr>
    </w:lvl>
    <w:lvl w:ilvl="8" w:tplc="04180005">
      <w:start w:val="1"/>
      <w:numFmt w:val="bullet"/>
      <w:lvlText w:val=""/>
      <w:lvlJc w:val="left"/>
      <w:pPr>
        <w:tabs>
          <w:tab w:val="num" w:pos="6840"/>
        </w:tabs>
        <w:ind w:left="6840" w:hanging="360"/>
      </w:pPr>
      <w:rPr>
        <w:rFonts w:ascii="Wingdings" w:hAnsi="Wingdings" w:hint="default"/>
      </w:rPr>
    </w:lvl>
  </w:abstractNum>
  <w:abstractNum w:abstractNumId="8">
    <w:nsid w:val="4478634E"/>
    <w:multiLevelType w:val="hybridMultilevel"/>
    <w:tmpl w:val="59744544"/>
    <w:lvl w:ilvl="0" w:tplc="0418000D">
      <w:start w:val="1"/>
      <w:numFmt w:val="bullet"/>
      <w:lvlText w:val=""/>
      <w:lvlJc w:val="left"/>
      <w:pPr>
        <w:ind w:left="1260" w:hanging="360"/>
      </w:pPr>
      <w:rPr>
        <w:rFonts w:ascii="Wingdings" w:hAnsi="Wingdings"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47FD7BFD"/>
    <w:multiLevelType w:val="hybridMultilevel"/>
    <w:tmpl w:val="EDFC6B28"/>
    <w:lvl w:ilvl="0" w:tplc="04180001">
      <w:start w:val="1"/>
      <w:numFmt w:val="bullet"/>
      <w:lvlText w:val=""/>
      <w:lvlJc w:val="left"/>
      <w:pPr>
        <w:ind w:left="1980" w:hanging="360"/>
      </w:pPr>
      <w:rPr>
        <w:rFonts w:ascii="Symbol" w:hAnsi="Symbol"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10">
    <w:nsid w:val="645C6C60"/>
    <w:multiLevelType w:val="hybridMultilevel"/>
    <w:tmpl w:val="E3FCFA00"/>
    <w:lvl w:ilvl="0" w:tplc="603EB578">
      <w:start w:val="81"/>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6B0A2FB9"/>
    <w:multiLevelType w:val="hybridMultilevel"/>
    <w:tmpl w:val="BC8A71F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7"/>
  </w:num>
  <w:num w:numId="6">
    <w:abstractNumId w:val="5"/>
  </w:num>
  <w:num w:numId="7">
    <w:abstractNumId w:val="0"/>
  </w:num>
  <w:num w:numId="8">
    <w:abstractNumId w:val="11"/>
  </w:num>
  <w:num w:numId="9">
    <w:abstractNumId w:val="1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7E"/>
    <w:rsid w:val="00000C07"/>
    <w:rsid w:val="000039CA"/>
    <w:rsid w:val="00004EF8"/>
    <w:rsid w:val="00006BAD"/>
    <w:rsid w:val="00007EBC"/>
    <w:rsid w:val="00011D23"/>
    <w:rsid w:val="0001527A"/>
    <w:rsid w:val="0002169C"/>
    <w:rsid w:val="000353BF"/>
    <w:rsid w:val="00042BDB"/>
    <w:rsid w:val="00066848"/>
    <w:rsid w:val="00084CD6"/>
    <w:rsid w:val="000A0097"/>
    <w:rsid w:val="000A7673"/>
    <w:rsid w:val="000B0D84"/>
    <w:rsid w:val="000B5D2C"/>
    <w:rsid w:val="000C3DB1"/>
    <w:rsid w:val="000D4B6A"/>
    <w:rsid w:val="000E461B"/>
    <w:rsid w:val="000E6845"/>
    <w:rsid w:val="000F14C8"/>
    <w:rsid w:val="000F2BC2"/>
    <w:rsid w:val="000F2CD1"/>
    <w:rsid w:val="00100569"/>
    <w:rsid w:val="0010639F"/>
    <w:rsid w:val="0011383F"/>
    <w:rsid w:val="0011627B"/>
    <w:rsid w:val="0012381D"/>
    <w:rsid w:val="001270D6"/>
    <w:rsid w:val="001314A8"/>
    <w:rsid w:val="0013451D"/>
    <w:rsid w:val="00136FE8"/>
    <w:rsid w:val="00161E92"/>
    <w:rsid w:val="00162D94"/>
    <w:rsid w:val="00163905"/>
    <w:rsid w:val="0017729E"/>
    <w:rsid w:val="00194EF4"/>
    <w:rsid w:val="00195C08"/>
    <w:rsid w:val="001A3B67"/>
    <w:rsid w:val="001B0D19"/>
    <w:rsid w:val="001B453F"/>
    <w:rsid w:val="001C3C42"/>
    <w:rsid w:val="001C4770"/>
    <w:rsid w:val="001D09E4"/>
    <w:rsid w:val="001D7B5D"/>
    <w:rsid w:val="001E4530"/>
    <w:rsid w:val="001E5F48"/>
    <w:rsid w:val="001E75EB"/>
    <w:rsid w:val="001F7CA1"/>
    <w:rsid w:val="00211587"/>
    <w:rsid w:val="0022407E"/>
    <w:rsid w:val="002277FA"/>
    <w:rsid w:val="00231711"/>
    <w:rsid w:val="0024678C"/>
    <w:rsid w:val="00247BC7"/>
    <w:rsid w:val="002816EC"/>
    <w:rsid w:val="00284623"/>
    <w:rsid w:val="0028672C"/>
    <w:rsid w:val="00286843"/>
    <w:rsid w:val="00291C91"/>
    <w:rsid w:val="002933F5"/>
    <w:rsid w:val="002959DE"/>
    <w:rsid w:val="002A4B86"/>
    <w:rsid w:val="002B0059"/>
    <w:rsid w:val="002B3D2F"/>
    <w:rsid w:val="002C009C"/>
    <w:rsid w:val="002C0D64"/>
    <w:rsid w:val="002C5E3B"/>
    <w:rsid w:val="002C5F6E"/>
    <w:rsid w:val="002C6989"/>
    <w:rsid w:val="002D23DB"/>
    <w:rsid w:val="002D35E9"/>
    <w:rsid w:val="002D63D4"/>
    <w:rsid w:val="002E2A03"/>
    <w:rsid w:val="002F2CE3"/>
    <w:rsid w:val="00305ECB"/>
    <w:rsid w:val="003062B0"/>
    <w:rsid w:val="0031054C"/>
    <w:rsid w:val="00314B7D"/>
    <w:rsid w:val="0031630D"/>
    <w:rsid w:val="003318E4"/>
    <w:rsid w:val="003331C3"/>
    <w:rsid w:val="00344017"/>
    <w:rsid w:val="00345CD2"/>
    <w:rsid w:val="00347317"/>
    <w:rsid w:val="0036024A"/>
    <w:rsid w:val="003618C9"/>
    <w:rsid w:val="00376A19"/>
    <w:rsid w:val="00382BD2"/>
    <w:rsid w:val="00386FED"/>
    <w:rsid w:val="00387CE2"/>
    <w:rsid w:val="0039727B"/>
    <w:rsid w:val="003A30EB"/>
    <w:rsid w:val="003A4C4E"/>
    <w:rsid w:val="003A7CFB"/>
    <w:rsid w:val="003B0F77"/>
    <w:rsid w:val="003B1186"/>
    <w:rsid w:val="003B5EFC"/>
    <w:rsid w:val="003C5F80"/>
    <w:rsid w:val="003C679B"/>
    <w:rsid w:val="003E0433"/>
    <w:rsid w:val="003E0D41"/>
    <w:rsid w:val="003E1605"/>
    <w:rsid w:val="003E3267"/>
    <w:rsid w:val="003F2F8D"/>
    <w:rsid w:val="00400231"/>
    <w:rsid w:val="00407EA1"/>
    <w:rsid w:val="00410990"/>
    <w:rsid w:val="004168D7"/>
    <w:rsid w:val="004221B7"/>
    <w:rsid w:val="004225D7"/>
    <w:rsid w:val="00426AE5"/>
    <w:rsid w:val="0043224A"/>
    <w:rsid w:val="0043798A"/>
    <w:rsid w:val="0044532E"/>
    <w:rsid w:val="0044681A"/>
    <w:rsid w:val="004502F4"/>
    <w:rsid w:val="00451DE7"/>
    <w:rsid w:val="004536CE"/>
    <w:rsid w:val="004554E8"/>
    <w:rsid w:val="00461DA8"/>
    <w:rsid w:val="0046479F"/>
    <w:rsid w:val="0046711F"/>
    <w:rsid w:val="0047211C"/>
    <w:rsid w:val="00476764"/>
    <w:rsid w:val="0048352F"/>
    <w:rsid w:val="004836E2"/>
    <w:rsid w:val="0048554E"/>
    <w:rsid w:val="00492705"/>
    <w:rsid w:val="004947CD"/>
    <w:rsid w:val="00497A0F"/>
    <w:rsid w:val="004A25D1"/>
    <w:rsid w:val="004B4692"/>
    <w:rsid w:val="004C2C14"/>
    <w:rsid w:val="004D04C5"/>
    <w:rsid w:val="004D34B3"/>
    <w:rsid w:val="004E2438"/>
    <w:rsid w:val="004F238A"/>
    <w:rsid w:val="004F5D21"/>
    <w:rsid w:val="0050293C"/>
    <w:rsid w:val="0050417C"/>
    <w:rsid w:val="005129DC"/>
    <w:rsid w:val="00531EB0"/>
    <w:rsid w:val="00533FCF"/>
    <w:rsid w:val="00535675"/>
    <w:rsid w:val="00545DBE"/>
    <w:rsid w:val="005613B1"/>
    <w:rsid w:val="0056206B"/>
    <w:rsid w:val="0058720A"/>
    <w:rsid w:val="00594C63"/>
    <w:rsid w:val="005A19C0"/>
    <w:rsid w:val="005B3138"/>
    <w:rsid w:val="005B5229"/>
    <w:rsid w:val="005B6FE8"/>
    <w:rsid w:val="005C67E8"/>
    <w:rsid w:val="005C7B9A"/>
    <w:rsid w:val="005E1109"/>
    <w:rsid w:val="005E32EA"/>
    <w:rsid w:val="005F5D00"/>
    <w:rsid w:val="0060322A"/>
    <w:rsid w:val="006069DD"/>
    <w:rsid w:val="0060745B"/>
    <w:rsid w:val="0061108E"/>
    <w:rsid w:val="00617926"/>
    <w:rsid w:val="00621FBA"/>
    <w:rsid w:val="006375CD"/>
    <w:rsid w:val="006434B3"/>
    <w:rsid w:val="006469B3"/>
    <w:rsid w:val="0065671D"/>
    <w:rsid w:val="00656AED"/>
    <w:rsid w:val="00657B74"/>
    <w:rsid w:val="00664538"/>
    <w:rsid w:val="00666B61"/>
    <w:rsid w:val="006719AC"/>
    <w:rsid w:val="00693D34"/>
    <w:rsid w:val="006A244F"/>
    <w:rsid w:val="006A3025"/>
    <w:rsid w:val="006A4A94"/>
    <w:rsid w:val="006A4B21"/>
    <w:rsid w:val="006A6050"/>
    <w:rsid w:val="006D6527"/>
    <w:rsid w:val="006E57F9"/>
    <w:rsid w:val="006E6290"/>
    <w:rsid w:val="006E6AB5"/>
    <w:rsid w:val="007007EB"/>
    <w:rsid w:val="007021F0"/>
    <w:rsid w:val="00702A8D"/>
    <w:rsid w:val="00712780"/>
    <w:rsid w:val="00715442"/>
    <w:rsid w:val="00723CEA"/>
    <w:rsid w:val="00733624"/>
    <w:rsid w:val="0073762D"/>
    <w:rsid w:val="00747FF1"/>
    <w:rsid w:val="0075041C"/>
    <w:rsid w:val="00755037"/>
    <w:rsid w:val="00757286"/>
    <w:rsid w:val="007679B5"/>
    <w:rsid w:val="007715AC"/>
    <w:rsid w:val="00777332"/>
    <w:rsid w:val="00784C71"/>
    <w:rsid w:val="00790AAA"/>
    <w:rsid w:val="007937DD"/>
    <w:rsid w:val="007A18AF"/>
    <w:rsid w:val="007A2410"/>
    <w:rsid w:val="007A3F28"/>
    <w:rsid w:val="007B3798"/>
    <w:rsid w:val="007B44CA"/>
    <w:rsid w:val="007C011A"/>
    <w:rsid w:val="007C265F"/>
    <w:rsid w:val="007C68E7"/>
    <w:rsid w:val="007D1B4B"/>
    <w:rsid w:val="007D3FAA"/>
    <w:rsid w:val="007D6C9F"/>
    <w:rsid w:val="007E7CF0"/>
    <w:rsid w:val="008013F9"/>
    <w:rsid w:val="00805C08"/>
    <w:rsid w:val="00806E23"/>
    <w:rsid w:val="00812C3F"/>
    <w:rsid w:val="0082036C"/>
    <w:rsid w:val="00826E53"/>
    <w:rsid w:val="008361AB"/>
    <w:rsid w:val="00837004"/>
    <w:rsid w:val="00845E18"/>
    <w:rsid w:val="0085590D"/>
    <w:rsid w:val="00862EB4"/>
    <w:rsid w:val="00863A4C"/>
    <w:rsid w:val="00864599"/>
    <w:rsid w:val="00864B92"/>
    <w:rsid w:val="00864D9B"/>
    <w:rsid w:val="00865E30"/>
    <w:rsid w:val="00867F24"/>
    <w:rsid w:val="008878BE"/>
    <w:rsid w:val="008A1921"/>
    <w:rsid w:val="008B0E54"/>
    <w:rsid w:val="008C1908"/>
    <w:rsid w:val="008C796C"/>
    <w:rsid w:val="008F27E7"/>
    <w:rsid w:val="008F5FA7"/>
    <w:rsid w:val="009038D7"/>
    <w:rsid w:val="009150BA"/>
    <w:rsid w:val="009212A3"/>
    <w:rsid w:val="0092162F"/>
    <w:rsid w:val="00927F6E"/>
    <w:rsid w:val="00935FDE"/>
    <w:rsid w:val="00937AF4"/>
    <w:rsid w:val="009427F1"/>
    <w:rsid w:val="00944E3A"/>
    <w:rsid w:val="00946EE7"/>
    <w:rsid w:val="00947EC0"/>
    <w:rsid w:val="00950D69"/>
    <w:rsid w:val="00956A5A"/>
    <w:rsid w:val="009633C3"/>
    <w:rsid w:val="009660B3"/>
    <w:rsid w:val="00974614"/>
    <w:rsid w:val="00974C41"/>
    <w:rsid w:val="00976937"/>
    <w:rsid w:val="0098174B"/>
    <w:rsid w:val="00983541"/>
    <w:rsid w:val="00984B81"/>
    <w:rsid w:val="00986370"/>
    <w:rsid w:val="0099715A"/>
    <w:rsid w:val="009A2435"/>
    <w:rsid w:val="009A6592"/>
    <w:rsid w:val="009A74F6"/>
    <w:rsid w:val="009B0C96"/>
    <w:rsid w:val="009B4381"/>
    <w:rsid w:val="009D09ED"/>
    <w:rsid w:val="009D38B2"/>
    <w:rsid w:val="009D4504"/>
    <w:rsid w:val="009D62B1"/>
    <w:rsid w:val="009E2E1D"/>
    <w:rsid w:val="009F11FF"/>
    <w:rsid w:val="00A00800"/>
    <w:rsid w:val="00A01D68"/>
    <w:rsid w:val="00A02831"/>
    <w:rsid w:val="00A10574"/>
    <w:rsid w:val="00A15582"/>
    <w:rsid w:val="00A24800"/>
    <w:rsid w:val="00A31310"/>
    <w:rsid w:val="00A36020"/>
    <w:rsid w:val="00A412D7"/>
    <w:rsid w:val="00A43F38"/>
    <w:rsid w:val="00A45C7F"/>
    <w:rsid w:val="00A544C8"/>
    <w:rsid w:val="00A55369"/>
    <w:rsid w:val="00A674A4"/>
    <w:rsid w:val="00A72074"/>
    <w:rsid w:val="00A7494A"/>
    <w:rsid w:val="00A76162"/>
    <w:rsid w:val="00A874CE"/>
    <w:rsid w:val="00A950E5"/>
    <w:rsid w:val="00AB1813"/>
    <w:rsid w:val="00AB2212"/>
    <w:rsid w:val="00AC30EA"/>
    <w:rsid w:val="00AC4FB2"/>
    <w:rsid w:val="00AD1D26"/>
    <w:rsid w:val="00AD2D45"/>
    <w:rsid w:val="00AD3E8F"/>
    <w:rsid w:val="00AD4B91"/>
    <w:rsid w:val="00AE4195"/>
    <w:rsid w:val="00AF1CD2"/>
    <w:rsid w:val="00AF4CD8"/>
    <w:rsid w:val="00AF6EFD"/>
    <w:rsid w:val="00B04C2B"/>
    <w:rsid w:val="00B117ED"/>
    <w:rsid w:val="00B150D4"/>
    <w:rsid w:val="00B16F2B"/>
    <w:rsid w:val="00B306E4"/>
    <w:rsid w:val="00B32E03"/>
    <w:rsid w:val="00B3348C"/>
    <w:rsid w:val="00B35B34"/>
    <w:rsid w:val="00B5265B"/>
    <w:rsid w:val="00B530BF"/>
    <w:rsid w:val="00B65834"/>
    <w:rsid w:val="00B709FC"/>
    <w:rsid w:val="00B76A35"/>
    <w:rsid w:val="00B80B37"/>
    <w:rsid w:val="00B83D9C"/>
    <w:rsid w:val="00B85424"/>
    <w:rsid w:val="00BC25C8"/>
    <w:rsid w:val="00BC314F"/>
    <w:rsid w:val="00BC5FE5"/>
    <w:rsid w:val="00BD2F37"/>
    <w:rsid w:val="00BF37E9"/>
    <w:rsid w:val="00BF5394"/>
    <w:rsid w:val="00BF7831"/>
    <w:rsid w:val="00C07DC8"/>
    <w:rsid w:val="00C12D12"/>
    <w:rsid w:val="00C17970"/>
    <w:rsid w:val="00C25185"/>
    <w:rsid w:val="00C25576"/>
    <w:rsid w:val="00C26E73"/>
    <w:rsid w:val="00C32F84"/>
    <w:rsid w:val="00C477EF"/>
    <w:rsid w:val="00C47919"/>
    <w:rsid w:val="00C6260B"/>
    <w:rsid w:val="00C72604"/>
    <w:rsid w:val="00C745B8"/>
    <w:rsid w:val="00C83FAC"/>
    <w:rsid w:val="00C8592D"/>
    <w:rsid w:val="00C9349E"/>
    <w:rsid w:val="00C957C1"/>
    <w:rsid w:val="00CA19D3"/>
    <w:rsid w:val="00CA1F93"/>
    <w:rsid w:val="00CA2423"/>
    <w:rsid w:val="00CA7EB5"/>
    <w:rsid w:val="00CB272C"/>
    <w:rsid w:val="00CC380F"/>
    <w:rsid w:val="00CC42FF"/>
    <w:rsid w:val="00CC64FB"/>
    <w:rsid w:val="00CD10F8"/>
    <w:rsid w:val="00CD4283"/>
    <w:rsid w:val="00CD702B"/>
    <w:rsid w:val="00CE0327"/>
    <w:rsid w:val="00CE0F32"/>
    <w:rsid w:val="00CE1F6B"/>
    <w:rsid w:val="00CE4A35"/>
    <w:rsid w:val="00CE70BF"/>
    <w:rsid w:val="00CE7BB3"/>
    <w:rsid w:val="00CF39F8"/>
    <w:rsid w:val="00CF6BEB"/>
    <w:rsid w:val="00D16457"/>
    <w:rsid w:val="00D23750"/>
    <w:rsid w:val="00D244DE"/>
    <w:rsid w:val="00D2782F"/>
    <w:rsid w:val="00D32BB2"/>
    <w:rsid w:val="00D36196"/>
    <w:rsid w:val="00D36DBF"/>
    <w:rsid w:val="00D41777"/>
    <w:rsid w:val="00D424F0"/>
    <w:rsid w:val="00D521F8"/>
    <w:rsid w:val="00D54720"/>
    <w:rsid w:val="00D56217"/>
    <w:rsid w:val="00D57F5E"/>
    <w:rsid w:val="00D7489B"/>
    <w:rsid w:val="00D814E3"/>
    <w:rsid w:val="00D85C59"/>
    <w:rsid w:val="00DA1CBA"/>
    <w:rsid w:val="00DA5A36"/>
    <w:rsid w:val="00DB5AD0"/>
    <w:rsid w:val="00DB6DDF"/>
    <w:rsid w:val="00DC2CBC"/>
    <w:rsid w:val="00DC2F6C"/>
    <w:rsid w:val="00DC7264"/>
    <w:rsid w:val="00DC73BD"/>
    <w:rsid w:val="00DC77C1"/>
    <w:rsid w:val="00DD06F3"/>
    <w:rsid w:val="00DD5707"/>
    <w:rsid w:val="00DD713F"/>
    <w:rsid w:val="00DD7169"/>
    <w:rsid w:val="00DF06C5"/>
    <w:rsid w:val="00DF14F6"/>
    <w:rsid w:val="00DF19DA"/>
    <w:rsid w:val="00DF5763"/>
    <w:rsid w:val="00E0436D"/>
    <w:rsid w:val="00E06B99"/>
    <w:rsid w:val="00E10CDC"/>
    <w:rsid w:val="00E113FA"/>
    <w:rsid w:val="00E15CD1"/>
    <w:rsid w:val="00E27763"/>
    <w:rsid w:val="00E3158A"/>
    <w:rsid w:val="00E34EFA"/>
    <w:rsid w:val="00E35D6C"/>
    <w:rsid w:val="00E60ED4"/>
    <w:rsid w:val="00E65219"/>
    <w:rsid w:val="00E6638E"/>
    <w:rsid w:val="00E73693"/>
    <w:rsid w:val="00E92E8F"/>
    <w:rsid w:val="00EC0776"/>
    <w:rsid w:val="00EC21BB"/>
    <w:rsid w:val="00EC337E"/>
    <w:rsid w:val="00ED1206"/>
    <w:rsid w:val="00ED63FB"/>
    <w:rsid w:val="00ED6659"/>
    <w:rsid w:val="00ED7266"/>
    <w:rsid w:val="00EE62B6"/>
    <w:rsid w:val="00EF3C9A"/>
    <w:rsid w:val="00F00ADB"/>
    <w:rsid w:val="00F00B48"/>
    <w:rsid w:val="00F05249"/>
    <w:rsid w:val="00F16D6F"/>
    <w:rsid w:val="00F20AF7"/>
    <w:rsid w:val="00F408B3"/>
    <w:rsid w:val="00F417EC"/>
    <w:rsid w:val="00F54D55"/>
    <w:rsid w:val="00F565AB"/>
    <w:rsid w:val="00F638FD"/>
    <w:rsid w:val="00F704CC"/>
    <w:rsid w:val="00F83174"/>
    <w:rsid w:val="00F8620C"/>
    <w:rsid w:val="00F93DC5"/>
    <w:rsid w:val="00FA49E3"/>
    <w:rsid w:val="00FA6432"/>
    <w:rsid w:val="00FA69F3"/>
    <w:rsid w:val="00FC3568"/>
    <w:rsid w:val="00FC44BB"/>
    <w:rsid w:val="00FC4CB9"/>
    <w:rsid w:val="00FC5073"/>
    <w:rsid w:val="00FC6093"/>
    <w:rsid w:val="00FD138F"/>
    <w:rsid w:val="00FE6F60"/>
    <w:rsid w:val="00FF4995"/>
    <w:rsid w:val="00FF5A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015B8-3320-4750-B51C-3817275D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07"/>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240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407E"/>
    <w:rPr>
      <w:rFonts w:ascii="Tahoma" w:hAnsi="Tahoma" w:cs="Tahoma"/>
      <w:sz w:val="16"/>
      <w:szCs w:val="16"/>
    </w:rPr>
  </w:style>
  <w:style w:type="paragraph" w:styleId="NormalWeb">
    <w:name w:val="Normal (Web)"/>
    <w:basedOn w:val="Normal"/>
    <w:uiPriority w:val="99"/>
    <w:rsid w:val="0022407E"/>
    <w:pPr>
      <w:spacing w:before="100" w:beforeAutospacing="1" w:after="100" w:afterAutospacing="1" w:line="240" w:lineRule="auto"/>
      <w:ind w:firstLine="709"/>
      <w:jc w:val="both"/>
    </w:pPr>
    <w:rPr>
      <w:rFonts w:ascii="Arial" w:hAnsi="Arial" w:cs="Arial"/>
      <w:color w:val="000000"/>
      <w:sz w:val="24"/>
      <w:szCs w:val="24"/>
    </w:rPr>
  </w:style>
  <w:style w:type="paragraph" w:styleId="ListParagraph">
    <w:name w:val="List Paragraph"/>
    <w:basedOn w:val="Normal"/>
    <w:uiPriority w:val="99"/>
    <w:qFormat/>
    <w:rsid w:val="009633C3"/>
    <w:pPr>
      <w:ind w:left="720"/>
    </w:pPr>
  </w:style>
  <w:style w:type="paragraph" w:styleId="Header">
    <w:name w:val="header"/>
    <w:basedOn w:val="Normal"/>
    <w:link w:val="HeaderChar"/>
    <w:uiPriority w:val="99"/>
    <w:semiHidden/>
    <w:rsid w:val="009A6592"/>
    <w:pPr>
      <w:tabs>
        <w:tab w:val="center" w:pos="4680"/>
        <w:tab w:val="right" w:pos="9360"/>
      </w:tabs>
      <w:spacing w:after="0" w:line="240" w:lineRule="auto"/>
    </w:pPr>
  </w:style>
  <w:style w:type="character" w:customStyle="1" w:styleId="HeaderChar">
    <w:name w:val="Header Char"/>
    <w:link w:val="Header"/>
    <w:uiPriority w:val="99"/>
    <w:semiHidden/>
    <w:locked/>
    <w:rsid w:val="009A6592"/>
    <w:rPr>
      <w:rFonts w:cs="Times New Roman"/>
    </w:rPr>
  </w:style>
  <w:style w:type="paragraph" w:styleId="Footer">
    <w:name w:val="footer"/>
    <w:basedOn w:val="Normal"/>
    <w:link w:val="FooterChar"/>
    <w:uiPriority w:val="99"/>
    <w:rsid w:val="009A6592"/>
    <w:pPr>
      <w:tabs>
        <w:tab w:val="center" w:pos="4680"/>
        <w:tab w:val="right" w:pos="9360"/>
      </w:tabs>
      <w:spacing w:after="0" w:line="240" w:lineRule="auto"/>
    </w:pPr>
  </w:style>
  <w:style w:type="character" w:customStyle="1" w:styleId="FooterChar">
    <w:name w:val="Footer Char"/>
    <w:link w:val="Footer"/>
    <w:uiPriority w:val="99"/>
    <w:locked/>
    <w:rsid w:val="009A6592"/>
    <w:rPr>
      <w:rFonts w:cs="Times New Roman"/>
    </w:rPr>
  </w:style>
  <w:style w:type="paragraph" w:customStyle="1" w:styleId="CaracterCaracterCharCharCaracterCaracter">
    <w:name w:val="Caracter Caracter Char Char Caracter Caracter"/>
    <w:basedOn w:val="Normal"/>
    <w:uiPriority w:val="99"/>
    <w:rsid w:val="004B4692"/>
    <w:pPr>
      <w:spacing w:after="0" w:line="240" w:lineRule="auto"/>
    </w:pPr>
    <w:rPr>
      <w:rFonts w:cs="Times New Roman"/>
      <w:sz w:val="24"/>
      <w:szCs w:val="24"/>
      <w:lang w:val="pl-PL" w:eastAsia="pl-PL"/>
    </w:rPr>
  </w:style>
  <w:style w:type="paragraph" w:customStyle="1" w:styleId="CaracterCaracterCharCharCaracterCaracterCharCharCaracterCaracterCaracterCaracterCaracterCaracterCharChar">
    <w:name w:val="Caracter Caracter Char Char Caracter Caracter Char Char Caracter Caracter Caracter Caracter Caracter Caracter Char Char"/>
    <w:basedOn w:val="Normal"/>
    <w:uiPriority w:val="99"/>
    <w:rsid w:val="00386FED"/>
    <w:pPr>
      <w:spacing w:after="0" w:line="240" w:lineRule="auto"/>
    </w:pPr>
    <w:rPr>
      <w:rFonts w:cs="Times New Roman"/>
      <w:sz w:val="24"/>
      <w:szCs w:val="24"/>
      <w:lang w:val="pl-PL" w:eastAsia="pl-PL"/>
    </w:rPr>
  </w:style>
  <w:style w:type="paragraph" w:customStyle="1" w:styleId="CaracterCaracterCharCharCaracterCaracter2">
    <w:name w:val="Caracter Caracter Char Char Caracter Caracter2"/>
    <w:basedOn w:val="Normal"/>
    <w:uiPriority w:val="99"/>
    <w:rsid w:val="00BD2F37"/>
    <w:pPr>
      <w:spacing w:after="0" w:line="240" w:lineRule="auto"/>
    </w:pPr>
    <w:rPr>
      <w:rFonts w:cs="Times New Roman"/>
      <w:sz w:val="24"/>
      <w:szCs w:val="24"/>
      <w:lang w:val="pl-PL" w:eastAsia="pl-PL"/>
    </w:rPr>
  </w:style>
  <w:style w:type="paragraph" w:customStyle="1" w:styleId="CaracterCaracterCharCharCaracterCaracter1">
    <w:name w:val="Caracter Caracter Char Char Caracter Caracter1"/>
    <w:basedOn w:val="Normal"/>
    <w:uiPriority w:val="99"/>
    <w:rsid w:val="0001527A"/>
    <w:pPr>
      <w:spacing w:after="0" w:line="240" w:lineRule="auto"/>
    </w:pPr>
    <w:rPr>
      <w:rFonts w:cs="Times New Roman"/>
      <w:sz w:val="24"/>
      <w:szCs w:val="24"/>
      <w:lang w:val="pl-PL" w:eastAsia="pl-PL"/>
    </w:rPr>
  </w:style>
  <w:style w:type="character" w:styleId="PageNumber">
    <w:name w:val="page number"/>
    <w:basedOn w:val="DefaultParagraphFont"/>
    <w:rsid w:val="00D56217"/>
  </w:style>
  <w:style w:type="character" w:styleId="CommentReference">
    <w:name w:val="annotation reference"/>
    <w:uiPriority w:val="99"/>
    <w:semiHidden/>
    <w:unhideWhenUsed/>
    <w:rsid w:val="003A7CFB"/>
    <w:rPr>
      <w:sz w:val="16"/>
      <w:szCs w:val="16"/>
    </w:rPr>
  </w:style>
  <w:style w:type="paragraph" w:styleId="CommentText">
    <w:name w:val="annotation text"/>
    <w:basedOn w:val="Normal"/>
    <w:link w:val="CommentTextChar"/>
    <w:uiPriority w:val="99"/>
    <w:semiHidden/>
    <w:unhideWhenUsed/>
    <w:rsid w:val="003A7CFB"/>
    <w:rPr>
      <w:sz w:val="20"/>
      <w:szCs w:val="20"/>
    </w:rPr>
  </w:style>
  <w:style w:type="character" w:customStyle="1" w:styleId="CommentTextChar">
    <w:name w:val="Comment Text Char"/>
    <w:link w:val="CommentText"/>
    <w:uiPriority w:val="99"/>
    <w:semiHidden/>
    <w:rsid w:val="003A7CFB"/>
    <w:rPr>
      <w:rFonts w:cs="Calibri"/>
      <w:lang w:val="en-US" w:eastAsia="en-US"/>
    </w:rPr>
  </w:style>
  <w:style w:type="paragraph" w:styleId="CommentSubject">
    <w:name w:val="annotation subject"/>
    <w:basedOn w:val="CommentText"/>
    <w:next w:val="CommentText"/>
    <w:link w:val="CommentSubjectChar"/>
    <w:uiPriority w:val="99"/>
    <w:semiHidden/>
    <w:unhideWhenUsed/>
    <w:rsid w:val="003A7CFB"/>
    <w:rPr>
      <w:b/>
      <w:bCs/>
    </w:rPr>
  </w:style>
  <w:style w:type="character" w:customStyle="1" w:styleId="CommentSubjectChar">
    <w:name w:val="Comment Subject Char"/>
    <w:link w:val="CommentSubject"/>
    <w:uiPriority w:val="99"/>
    <w:semiHidden/>
    <w:rsid w:val="003A7CFB"/>
    <w:rPr>
      <w:rFonts w:cs="Calibri"/>
      <w:b/>
      <w:bCs/>
      <w:lang w:val="en-US" w:eastAsia="en-US"/>
    </w:rPr>
  </w:style>
  <w:style w:type="paragraph" w:styleId="Revision">
    <w:name w:val="Revision"/>
    <w:hidden/>
    <w:uiPriority w:val="99"/>
    <w:semiHidden/>
    <w:rsid w:val="003A7CFB"/>
    <w:rPr>
      <w:rFonts w:cs="Calibri"/>
      <w:sz w:val="22"/>
      <w:szCs w:val="22"/>
      <w:lang w:val="en-US" w:eastAsia="en-US"/>
    </w:rPr>
  </w:style>
  <w:style w:type="paragraph" w:styleId="EndnoteText">
    <w:name w:val="endnote text"/>
    <w:basedOn w:val="Normal"/>
    <w:link w:val="EndnoteTextChar"/>
    <w:uiPriority w:val="99"/>
    <w:semiHidden/>
    <w:unhideWhenUsed/>
    <w:rsid w:val="003A7CFB"/>
    <w:rPr>
      <w:sz w:val="20"/>
      <w:szCs w:val="20"/>
    </w:rPr>
  </w:style>
  <w:style w:type="character" w:customStyle="1" w:styleId="EndnoteTextChar">
    <w:name w:val="Endnote Text Char"/>
    <w:link w:val="EndnoteText"/>
    <w:uiPriority w:val="99"/>
    <w:semiHidden/>
    <w:rsid w:val="003A7CFB"/>
    <w:rPr>
      <w:rFonts w:cs="Calibri"/>
      <w:lang w:val="en-US" w:eastAsia="en-US"/>
    </w:rPr>
  </w:style>
  <w:style w:type="character" w:styleId="EndnoteReference">
    <w:name w:val="endnote reference"/>
    <w:uiPriority w:val="99"/>
    <w:semiHidden/>
    <w:unhideWhenUsed/>
    <w:rsid w:val="003A7CFB"/>
    <w:rPr>
      <w:vertAlign w:val="superscript"/>
    </w:rPr>
  </w:style>
  <w:style w:type="paragraph" w:styleId="FootnoteText">
    <w:name w:val="footnote text"/>
    <w:aliases w:val="Footnote Text Char Char Char Char Char Char Char Char Char,Fußnotentext Char,Schriftart: 9 pt,Schriftart: 10 pt,Schriftart: 8 pt,WB-Fußnotentext,Reference,Fußnote,fn,Footnote Text Char Char1,Footnote Text Char1 Char Ch"/>
    <w:basedOn w:val="Normal"/>
    <w:link w:val="FootnoteTextChar"/>
    <w:uiPriority w:val="99"/>
    <w:unhideWhenUsed/>
    <w:rsid w:val="003A7CFB"/>
    <w:rPr>
      <w:sz w:val="20"/>
      <w:szCs w:val="20"/>
    </w:rPr>
  </w:style>
  <w:style w:type="character" w:customStyle="1" w:styleId="FootnoteTextChar">
    <w:name w:val="Footnote Text Char"/>
    <w:aliases w:val="Footnote Text Char Char Char Char Char Char Char Char Char Char1,Fußnotentext Char Char1,Schriftart: 9 pt Char1,Schriftart: 10 pt Char1,Schriftart: 8 pt Char1,WB-Fußnotentext Char1,Reference Char1,Fußnote Char1,fn Char1"/>
    <w:link w:val="FootnoteText"/>
    <w:uiPriority w:val="99"/>
    <w:semiHidden/>
    <w:rsid w:val="003A7CFB"/>
    <w:rPr>
      <w:rFonts w:cs="Calibri"/>
      <w:lang w:val="en-US" w:eastAsia="en-US"/>
    </w:rPr>
  </w:style>
  <w:style w:type="character" w:styleId="FootnoteReference">
    <w:name w:val="footnote reference"/>
    <w:aliases w:val="SUPERS,BVI fnr,Footnote symbol,numar nota subsol,Footnote Reference Number,Footnote Reference_LVL6,Footnote Reference_LVL61,Footnote Reference_LVL62,Footnote Reference_LVL63,Footnote Reference_LVL64,16 Point,Superscript 6 Point,BVI"/>
    <w:link w:val="SUPERSChar1"/>
    <w:unhideWhenUsed/>
    <w:rsid w:val="003A7CFB"/>
    <w:rPr>
      <w:vertAlign w:val="superscript"/>
    </w:rPr>
  </w:style>
  <w:style w:type="paragraph" w:customStyle="1" w:styleId="CharCharCaracterCaracterCharChar1CaracterCaracter">
    <w:name w:val="Char Char Caracter Caracter Char Char1 Caracter Caracter"/>
    <w:basedOn w:val="Normal"/>
    <w:rsid w:val="00B76A35"/>
    <w:pPr>
      <w:spacing w:after="0" w:line="240" w:lineRule="auto"/>
    </w:pPr>
    <w:rPr>
      <w:rFonts w:ascii="Times New Roman" w:hAnsi="Times New Roman" w:cs="Times New Roman"/>
      <w:sz w:val="24"/>
      <w:szCs w:val="24"/>
      <w:lang w:val="pl-PL" w:eastAsia="pl-PL"/>
    </w:rPr>
  </w:style>
  <w:style w:type="character" w:customStyle="1" w:styleId="FootnoteTextChar1">
    <w:name w:val="Footnote Text Char1"/>
    <w:aliases w:val="Footnote Text Char Char Char Char Char Char Char Char Char Char,Fußnotentext Char Char,Schriftart: 9 pt Char,Schriftart: 10 pt Char,Schriftart: 8 pt Char,WB-Fußnotentext Char,Reference Char,Fußnote Char,fn Char"/>
    <w:locked/>
    <w:rsid w:val="00545DBE"/>
    <w:rPr>
      <w:rFonts w:ascii="Times New Roman" w:eastAsia="Calibri" w:hAnsi="Times New Roman" w:cs="Times New Roman"/>
      <w:sz w:val="20"/>
      <w:szCs w:val="20"/>
      <w:lang w:val="en-GB" w:eastAsia="x-none"/>
    </w:rPr>
  </w:style>
  <w:style w:type="paragraph" w:customStyle="1" w:styleId="SUPERSChar1">
    <w:name w:val="SUPERS Char1"/>
    <w:aliases w:val="BVI fnr Char1,Footnote symbol Char1,numar nota subsol Char,Footnote Reference Number Char,Footnote Reference_LVL6 Char,Footnote Reference_LVL61 Char,Footnote Reference_LVL62 Char,Footnote Reference_LVL63 Ch"/>
    <w:basedOn w:val="Normal"/>
    <w:next w:val="Normal"/>
    <w:link w:val="FootnoteReference"/>
    <w:rsid w:val="00545DBE"/>
    <w:pPr>
      <w:spacing w:after="160" w:line="240" w:lineRule="exact"/>
    </w:pPr>
    <w:rPr>
      <w:rFonts w:cs="Times New Roman"/>
      <w:sz w:val="20"/>
      <w:szCs w:val="20"/>
      <w:vertAlign w:val="superscript"/>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9772">
      <w:bodyDiv w:val="1"/>
      <w:marLeft w:val="0"/>
      <w:marRight w:val="0"/>
      <w:marTop w:val="0"/>
      <w:marBottom w:val="0"/>
      <w:divBdr>
        <w:top w:val="none" w:sz="0" w:space="0" w:color="auto"/>
        <w:left w:val="none" w:sz="0" w:space="0" w:color="auto"/>
        <w:bottom w:val="none" w:sz="0" w:space="0" w:color="auto"/>
        <w:right w:val="none" w:sz="0" w:space="0" w:color="auto"/>
      </w:divBdr>
    </w:div>
    <w:div w:id="246229768">
      <w:bodyDiv w:val="1"/>
      <w:marLeft w:val="0"/>
      <w:marRight w:val="0"/>
      <w:marTop w:val="0"/>
      <w:marBottom w:val="0"/>
      <w:divBdr>
        <w:top w:val="none" w:sz="0" w:space="0" w:color="auto"/>
        <w:left w:val="none" w:sz="0" w:space="0" w:color="auto"/>
        <w:bottom w:val="none" w:sz="0" w:space="0" w:color="auto"/>
        <w:right w:val="none" w:sz="0" w:space="0" w:color="auto"/>
      </w:divBdr>
    </w:div>
    <w:div w:id="357439097">
      <w:bodyDiv w:val="1"/>
      <w:marLeft w:val="0"/>
      <w:marRight w:val="0"/>
      <w:marTop w:val="0"/>
      <w:marBottom w:val="0"/>
      <w:divBdr>
        <w:top w:val="none" w:sz="0" w:space="0" w:color="auto"/>
        <w:left w:val="none" w:sz="0" w:space="0" w:color="auto"/>
        <w:bottom w:val="none" w:sz="0" w:space="0" w:color="auto"/>
        <w:right w:val="none" w:sz="0" w:space="0" w:color="auto"/>
      </w:divBdr>
    </w:div>
    <w:div w:id="601649235">
      <w:bodyDiv w:val="1"/>
      <w:marLeft w:val="0"/>
      <w:marRight w:val="0"/>
      <w:marTop w:val="0"/>
      <w:marBottom w:val="0"/>
      <w:divBdr>
        <w:top w:val="none" w:sz="0" w:space="0" w:color="auto"/>
        <w:left w:val="none" w:sz="0" w:space="0" w:color="auto"/>
        <w:bottom w:val="none" w:sz="0" w:space="0" w:color="auto"/>
        <w:right w:val="none" w:sz="0" w:space="0" w:color="auto"/>
      </w:divBdr>
    </w:div>
    <w:div w:id="715931957">
      <w:bodyDiv w:val="1"/>
      <w:marLeft w:val="0"/>
      <w:marRight w:val="0"/>
      <w:marTop w:val="0"/>
      <w:marBottom w:val="0"/>
      <w:divBdr>
        <w:top w:val="none" w:sz="0" w:space="0" w:color="auto"/>
        <w:left w:val="none" w:sz="0" w:space="0" w:color="auto"/>
        <w:bottom w:val="none" w:sz="0" w:space="0" w:color="auto"/>
        <w:right w:val="none" w:sz="0" w:space="0" w:color="auto"/>
      </w:divBdr>
    </w:div>
    <w:div w:id="718824813">
      <w:marLeft w:val="0"/>
      <w:marRight w:val="0"/>
      <w:marTop w:val="0"/>
      <w:marBottom w:val="0"/>
      <w:divBdr>
        <w:top w:val="none" w:sz="0" w:space="0" w:color="auto"/>
        <w:left w:val="none" w:sz="0" w:space="0" w:color="auto"/>
        <w:bottom w:val="none" w:sz="0" w:space="0" w:color="auto"/>
        <w:right w:val="none" w:sz="0" w:space="0" w:color="auto"/>
      </w:divBdr>
    </w:div>
    <w:div w:id="789739253">
      <w:bodyDiv w:val="1"/>
      <w:marLeft w:val="0"/>
      <w:marRight w:val="0"/>
      <w:marTop w:val="0"/>
      <w:marBottom w:val="0"/>
      <w:divBdr>
        <w:top w:val="none" w:sz="0" w:space="0" w:color="auto"/>
        <w:left w:val="none" w:sz="0" w:space="0" w:color="auto"/>
        <w:bottom w:val="none" w:sz="0" w:space="0" w:color="auto"/>
        <w:right w:val="none" w:sz="0" w:space="0" w:color="auto"/>
      </w:divBdr>
    </w:div>
    <w:div w:id="909969594">
      <w:bodyDiv w:val="1"/>
      <w:marLeft w:val="0"/>
      <w:marRight w:val="0"/>
      <w:marTop w:val="0"/>
      <w:marBottom w:val="0"/>
      <w:divBdr>
        <w:top w:val="none" w:sz="0" w:space="0" w:color="auto"/>
        <w:left w:val="none" w:sz="0" w:space="0" w:color="auto"/>
        <w:bottom w:val="none" w:sz="0" w:space="0" w:color="auto"/>
        <w:right w:val="none" w:sz="0" w:space="0" w:color="auto"/>
      </w:divBdr>
    </w:div>
    <w:div w:id="1121728183">
      <w:bodyDiv w:val="1"/>
      <w:marLeft w:val="0"/>
      <w:marRight w:val="0"/>
      <w:marTop w:val="0"/>
      <w:marBottom w:val="0"/>
      <w:divBdr>
        <w:top w:val="none" w:sz="0" w:space="0" w:color="auto"/>
        <w:left w:val="none" w:sz="0" w:space="0" w:color="auto"/>
        <w:bottom w:val="none" w:sz="0" w:space="0" w:color="auto"/>
        <w:right w:val="none" w:sz="0" w:space="0" w:color="auto"/>
      </w:divBdr>
    </w:div>
    <w:div w:id="1199512080">
      <w:bodyDiv w:val="1"/>
      <w:marLeft w:val="0"/>
      <w:marRight w:val="0"/>
      <w:marTop w:val="0"/>
      <w:marBottom w:val="0"/>
      <w:divBdr>
        <w:top w:val="none" w:sz="0" w:space="0" w:color="auto"/>
        <w:left w:val="none" w:sz="0" w:space="0" w:color="auto"/>
        <w:bottom w:val="none" w:sz="0" w:space="0" w:color="auto"/>
        <w:right w:val="none" w:sz="0" w:space="0" w:color="auto"/>
      </w:divBdr>
    </w:div>
    <w:div w:id="1625698858">
      <w:bodyDiv w:val="1"/>
      <w:marLeft w:val="0"/>
      <w:marRight w:val="0"/>
      <w:marTop w:val="0"/>
      <w:marBottom w:val="0"/>
      <w:divBdr>
        <w:top w:val="none" w:sz="0" w:space="0" w:color="auto"/>
        <w:left w:val="none" w:sz="0" w:space="0" w:color="auto"/>
        <w:bottom w:val="none" w:sz="0" w:space="0" w:color="auto"/>
        <w:right w:val="none" w:sz="0" w:space="0" w:color="auto"/>
      </w:divBdr>
    </w:div>
    <w:div w:id="1849170479">
      <w:bodyDiv w:val="1"/>
      <w:marLeft w:val="0"/>
      <w:marRight w:val="0"/>
      <w:marTop w:val="0"/>
      <w:marBottom w:val="0"/>
      <w:divBdr>
        <w:top w:val="none" w:sz="0" w:space="0" w:color="auto"/>
        <w:left w:val="none" w:sz="0" w:space="0" w:color="auto"/>
        <w:bottom w:val="none" w:sz="0" w:space="0" w:color="auto"/>
        <w:right w:val="none" w:sz="0" w:space="0" w:color="auto"/>
      </w:divBdr>
    </w:div>
    <w:div w:id="21201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C6CE9-0CE1-447A-8ADA-EE389A86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2118</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MFP</Company>
  <LinksUpToDate>false</LinksUpToDate>
  <CharactersWithSpaces>13978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32645493</dc:creator>
  <cp:keywords/>
  <dc:description/>
  <cp:lastModifiedBy>FLORIN-ANDREI DAIA</cp:lastModifiedBy>
  <cp:revision>5</cp:revision>
  <cp:lastPrinted>2017-07-31T14:35:00Z</cp:lastPrinted>
  <dcterms:created xsi:type="dcterms:W3CDTF">2017-08-01T10:23:00Z</dcterms:created>
  <dcterms:modified xsi:type="dcterms:W3CDTF">2017-08-01T11:54:00Z</dcterms:modified>
</cp:coreProperties>
</file>