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6024E4"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6024E4">
        <w:rPr>
          <w:rFonts w:ascii="Tahoma" w:hAnsi="Tahoma" w:cs="Tahoma"/>
          <w:b/>
          <w:caps/>
          <w:color w:val="0070C0"/>
          <w:sz w:val="24"/>
          <w:szCs w:val="24"/>
        </w:rPr>
        <w:t>RAPORT PRIVIND EXECU</w:t>
      </w:r>
      <w:r w:rsidR="003F4E84" w:rsidRPr="006024E4">
        <w:rPr>
          <w:rFonts w:ascii="Tahoma" w:hAnsi="Tahoma" w:cs="Tahoma"/>
          <w:b/>
          <w:caps/>
          <w:color w:val="0070C0"/>
          <w:sz w:val="24"/>
          <w:szCs w:val="24"/>
        </w:rPr>
        <w:t>ția buget</w:t>
      </w:r>
      <w:r w:rsidRPr="006024E4">
        <w:rPr>
          <w:rFonts w:ascii="Tahoma" w:hAnsi="Tahoma" w:cs="Tahoma"/>
          <w:b/>
          <w:caps/>
          <w:color w:val="0070C0"/>
          <w:sz w:val="24"/>
          <w:szCs w:val="24"/>
        </w:rPr>
        <w:t>ARĂ</w:t>
      </w:r>
    </w:p>
    <w:p w:rsidR="00CF55E5" w:rsidRPr="006024E4" w:rsidRDefault="004E0339"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6024E4">
        <w:rPr>
          <w:rFonts w:ascii="Tahoma" w:hAnsi="Tahoma" w:cs="Tahoma"/>
          <w:b/>
          <w:caps/>
          <w:color w:val="0070C0"/>
          <w:sz w:val="24"/>
          <w:szCs w:val="24"/>
        </w:rPr>
        <w:t xml:space="preserve"> PE AL </w:t>
      </w:r>
      <w:r w:rsidR="00A43712" w:rsidRPr="006024E4">
        <w:rPr>
          <w:rFonts w:ascii="Tahoma" w:hAnsi="Tahoma" w:cs="Tahoma"/>
          <w:b/>
          <w:caps/>
          <w:color w:val="0070C0"/>
          <w:sz w:val="24"/>
          <w:szCs w:val="24"/>
        </w:rPr>
        <w:t>Tre</w:t>
      </w:r>
      <w:r w:rsidRPr="006024E4">
        <w:rPr>
          <w:rFonts w:ascii="Tahoma" w:hAnsi="Tahoma" w:cs="Tahoma"/>
          <w:b/>
          <w:caps/>
          <w:color w:val="0070C0"/>
          <w:sz w:val="24"/>
          <w:szCs w:val="24"/>
        </w:rPr>
        <w:t>ILEA</w:t>
      </w:r>
      <w:r w:rsidR="00CF55E5" w:rsidRPr="006024E4">
        <w:rPr>
          <w:rFonts w:ascii="Tahoma" w:hAnsi="Tahoma" w:cs="Tahoma"/>
          <w:b/>
          <w:caps/>
          <w:color w:val="0070C0"/>
          <w:sz w:val="24"/>
          <w:szCs w:val="24"/>
        </w:rPr>
        <w:t xml:space="preserve"> TRIMESTRU </w:t>
      </w:r>
    </w:p>
    <w:p w:rsidR="003F4E84" w:rsidRPr="006024E4"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6024E4">
        <w:rPr>
          <w:rFonts w:ascii="Tahoma" w:hAnsi="Tahoma" w:cs="Tahoma"/>
          <w:b/>
          <w:caps/>
          <w:color w:val="0070C0"/>
          <w:sz w:val="24"/>
          <w:szCs w:val="24"/>
        </w:rPr>
        <w:t>AL ANULUI 202</w:t>
      </w:r>
      <w:r w:rsidR="00363C11" w:rsidRPr="006024E4">
        <w:rPr>
          <w:rFonts w:ascii="Tahoma" w:hAnsi="Tahoma" w:cs="Tahoma"/>
          <w:b/>
          <w:caps/>
          <w:color w:val="0070C0"/>
          <w:sz w:val="24"/>
          <w:szCs w:val="24"/>
        </w:rPr>
        <w:t>2</w:t>
      </w:r>
    </w:p>
    <w:p w:rsidR="003F4E84" w:rsidRPr="006024E4" w:rsidRDefault="00526E8B" w:rsidP="00C9727F">
      <w:pPr>
        <w:spacing w:after="120" w:line="240" w:lineRule="auto"/>
        <w:jc w:val="right"/>
        <w:rPr>
          <w:rFonts w:ascii="Tahoma" w:hAnsi="Tahoma" w:cs="Tahoma"/>
          <w:b/>
          <w:color w:val="0070C0"/>
          <w:sz w:val="24"/>
          <w:szCs w:val="24"/>
        </w:rPr>
      </w:pPr>
      <w:r w:rsidRPr="006024E4">
        <w:rPr>
          <w:rFonts w:ascii="Tahoma" w:hAnsi="Tahoma" w:cs="Tahoma"/>
          <w:b/>
          <w:color w:val="0070C0"/>
          <w:sz w:val="24"/>
          <w:szCs w:val="24"/>
        </w:rPr>
        <w:br/>
      </w:r>
    </w:p>
    <w:p w:rsidR="002D6103" w:rsidRPr="006024E4" w:rsidRDefault="002D6103" w:rsidP="00C9727F">
      <w:pPr>
        <w:spacing w:after="120" w:line="240" w:lineRule="auto"/>
        <w:jc w:val="right"/>
        <w:rPr>
          <w:rFonts w:ascii="Tahoma" w:hAnsi="Tahoma" w:cs="Tahoma"/>
          <w:b/>
          <w:color w:val="0070C0"/>
          <w:sz w:val="24"/>
          <w:szCs w:val="24"/>
        </w:rPr>
      </w:pPr>
    </w:p>
    <w:p w:rsidR="00061787" w:rsidRPr="006024E4" w:rsidRDefault="005D6D51" w:rsidP="00652C7B">
      <w:pPr>
        <w:shd w:val="clear" w:color="auto" w:fill="E2EFD9" w:themeFill="accent6" w:themeFillTint="33"/>
        <w:spacing w:after="120" w:line="276" w:lineRule="auto"/>
        <w:jc w:val="both"/>
        <w:rPr>
          <w:rFonts w:ascii="Tahoma" w:hAnsi="Tahoma" w:cs="Tahoma"/>
          <w:bCs/>
          <w:sz w:val="24"/>
          <w:szCs w:val="24"/>
        </w:rPr>
      </w:pPr>
      <w:r w:rsidRPr="006024E4">
        <w:rPr>
          <w:rFonts w:ascii="Tahoma" w:hAnsi="Tahoma" w:cs="Tahoma"/>
          <w:bCs/>
          <w:sz w:val="24"/>
          <w:szCs w:val="24"/>
        </w:rPr>
        <w:t xml:space="preserve">În </w:t>
      </w:r>
      <w:r w:rsidR="000C523D" w:rsidRPr="006024E4">
        <w:rPr>
          <w:rFonts w:ascii="Tahoma" w:hAnsi="Tahoma" w:cs="Tahoma"/>
          <w:bCs/>
          <w:sz w:val="24"/>
          <w:szCs w:val="24"/>
        </w:rPr>
        <w:t xml:space="preserve">al </w:t>
      </w:r>
      <w:r w:rsidR="00A43712" w:rsidRPr="006024E4">
        <w:rPr>
          <w:rFonts w:ascii="Tahoma" w:hAnsi="Tahoma" w:cs="Tahoma"/>
          <w:bCs/>
          <w:sz w:val="24"/>
          <w:szCs w:val="24"/>
        </w:rPr>
        <w:t>treilea</w:t>
      </w:r>
      <w:r w:rsidR="000C523D" w:rsidRPr="006024E4">
        <w:rPr>
          <w:rFonts w:ascii="Tahoma" w:hAnsi="Tahoma" w:cs="Tahoma"/>
          <w:bCs/>
          <w:sz w:val="24"/>
          <w:szCs w:val="24"/>
        </w:rPr>
        <w:t xml:space="preserve"> </w:t>
      </w:r>
      <w:r w:rsidRPr="006024E4">
        <w:rPr>
          <w:rFonts w:ascii="Tahoma" w:hAnsi="Tahoma" w:cs="Tahoma"/>
          <w:bCs/>
          <w:sz w:val="24"/>
          <w:szCs w:val="24"/>
        </w:rPr>
        <w:t>trimestru al anului 202</w:t>
      </w:r>
      <w:r w:rsidR="006913E2" w:rsidRPr="006024E4">
        <w:rPr>
          <w:rFonts w:ascii="Tahoma" w:hAnsi="Tahoma" w:cs="Tahoma"/>
          <w:bCs/>
          <w:sz w:val="24"/>
          <w:szCs w:val="24"/>
        </w:rPr>
        <w:t>2</w:t>
      </w:r>
      <w:r w:rsidR="002F2CFC" w:rsidRPr="006024E4">
        <w:rPr>
          <w:rFonts w:ascii="Tahoma" w:hAnsi="Tahoma" w:cs="Tahoma"/>
          <w:bCs/>
          <w:sz w:val="24"/>
          <w:szCs w:val="24"/>
        </w:rPr>
        <w:t>,</w:t>
      </w:r>
      <w:r w:rsidRPr="006024E4">
        <w:rPr>
          <w:rFonts w:ascii="Tahoma" w:hAnsi="Tahoma" w:cs="Tahoma"/>
          <w:bCs/>
          <w:sz w:val="24"/>
          <w:szCs w:val="24"/>
        </w:rPr>
        <w:t xml:space="preserve"> bugetul general consolidat a înregistrat un </w:t>
      </w:r>
      <w:r w:rsidRPr="006024E4">
        <w:rPr>
          <w:rFonts w:ascii="Tahoma" w:hAnsi="Tahoma" w:cs="Tahoma"/>
          <w:b/>
          <w:bCs/>
          <w:sz w:val="24"/>
          <w:szCs w:val="24"/>
        </w:rPr>
        <w:t>deficit</w:t>
      </w:r>
      <w:r w:rsidRPr="006024E4">
        <w:rPr>
          <w:rFonts w:ascii="Tahoma" w:hAnsi="Tahoma" w:cs="Tahoma"/>
          <w:bCs/>
          <w:sz w:val="24"/>
          <w:szCs w:val="24"/>
        </w:rPr>
        <w:t xml:space="preserve"> în valoare de </w:t>
      </w:r>
      <w:r w:rsidR="00A43712" w:rsidRPr="006024E4">
        <w:rPr>
          <w:rFonts w:ascii="Tahoma" w:hAnsi="Tahoma" w:cs="Tahoma"/>
          <w:b/>
          <w:bCs/>
          <w:sz w:val="24"/>
          <w:szCs w:val="24"/>
        </w:rPr>
        <w:t>18,19</w:t>
      </w:r>
      <w:r w:rsidRPr="006024E4">
        <w:rPr>
          <w:rFonts w:ascii="Tahoma" w:hAnsi="Tahoma" w:cs="Tahoma"/>
          <w:b/>
          <w:bCs/>
          <w:sz w:val="24"/>
          <w:szCs w:val="24"/>
        </w:rPr>
        <w:t xml:space="preserve"> </w:t>
      </w:r>
      <w:r w:rsidR="00602503" w:rsidRPr="006024E4">
        <w:rPr>
          <w:rFonts w:ascii="Tahoma" w:hAnsi="Tahoma" w:cs="Tahoma"/>
          <w:b/>
          <w:bCs/>
          <w:sz w:val="24"/>
          <w:szCs w:val="24"/>
        </w:rPr>
        <w:t>miliarde</w:t>
      </w:r>
      <w:r w:rsidR="00713D80" w:rsidRPr="006024E4">
        <w:rPr>
          <w:rFonts w:ascii="Tahoma" w:hAnsi="Tahoma" w:cs="Tahoma"/>
          <w:b/>
          <w:bCs/>
          <w:sz w:val="24"/>
          <w:szCs w:val="24"/>
        </w:rPr>
        <w:t xml:space="preserve"> </w:t>
      </w:r>
      <w:r w:rsidRPr="006024E4">
        <w:rPr>
          <w:rFonts w:ascii="Tahoma" w:hAnsi="Tahoma" w:cs="Tahoma"/>
          <w:b/>
          <w:bCs/>
          <w:sz w:val="24"/>
          <w:szCs w:val="24"/>
        </w:rPr>
        <w:t>lei (</w:t>
      </w:r>
      <w:r w:rsidR="00A43712" w:rsidRPr="006024E4">
        <w:rPr>
          <w:rFonts w:ascii="Tahoma" w:hAnsi="Tahoma" w:cs="Tahoma"/>
          <w:b/>
          <w:bCs/>
          <w:sz w:val="24"/>
          <w:szCs w:val="24"/>
        </w:rPr>
        <w:t>1,33</w:t>
      </w:r>
      <w:r w:rsidRPr="006024E4">
        <w:rPr>
          <w:rFonts w:ascii="Tahoma" w:hAnsi="Tahoma" w:cs="Tahoma"/>
          <w:b/>
          <w:bCs/>
          <w:sz w:val="24"/>
          <w:szCs w:val="24"/>
        </w:rPr>
        <w:t>% din PIB)</w:t>
      </w:r>
      <w:r w:rsidR="00C9727F" w:rsidRPr="006024E4">
        <w:rPr>
          <w:rFonts w:ascii="Tahoma" w:hAnsi="Tahoma" w:cs="Tahoma"/>
          <w:bCs/>
          <w:sz w:val="24"/>
          <w:szCs w:val="24"/>
        </w:rPr>
        <w:t>,</w:t>
      </w:r>
      <w:r w:rsidR="007C6A86" w:rsidRPr="006024E4">
        <w:rPr>
          <w:rFonts w:ascii="Tahoma" w:hAnsi="Tahoma" w:cs="Tahoma"/>
          <w:bCs/>
          <w:sz w:val="24"/>
          <w:szCs w:val="24"/>
        </w:rPr>
        <w:t xml:space="preserve"> </w:t>
      </w:r>
      <w:r w:rsidR="003B2858" w:rsidRPr="006024E4">
        <w:rPr>
          <w:rFonts w:ascii="Tahoma" w:hAnsi="Tahoma" w:cs="Tahoma"/>
          <w:bCs/>
          <w:sz w:val="24"/>
          <w:szCs w:val="24"/>
        </w:rPr>
        <w:t xml:space="preserve">față de </w:t>
      </w:r>
      <w:r w:rsidRPr="006024E4">
        <w:rPr>
          <w:rFonts w:ascii="Tahoma" w:hAnsi="Tahoma" w:cs="Tahoma"/>
          <w:bCs/>
          <w:sz w:val="24"/>
          <w:szCs w:val="24"/>
        </w:rPr>
        <w:t xml:space="preserve">nivelul prognozat </w:t>
      </w:r>
      <w:r w:rsidR="007C6A86" w:rsidRPr="006024E4">
        <w:rPr>
          <w:rFonts w:ascii="Tahoma" w:hAnsi="Tahoma" w:cs="Tahoma"/>
          <w:bCs/>
          <w:sz w:val="24"/>
          <w:szCs w:val="24"/>
        </w:rPr>
        <w:t xml:space="preserve">pentru perioada analizată de </w:t>
      </w:r>
      <w:r w:rsidR="00A43712" w:rsidRPr="006024E4">
        <w:rPr>
          <w:rFonts w:ascii="Tahoma" w:hAnsi="Tahoma" w:cs="Tahoma"/>
          <w:bCs/>
          <w:sz w:val="24"/>
          <w:szCs w:val="24"/>
        </w:rPr>
        <w:t>31,67</w:t>
      </w:r>
      <w:r w:rsidRPr="006024E4">
        <w:rPr>
          <w:rFonts w:ascii="Tahoma" w:hAnsi="Tahoma" w:cs="Tahoma"/>
          <w:bCs/>
          <w:sz w:val="24"/>
          <w:szCs w:val="24"/>
        </w:rPr>
        <w:t xml:space="preserve"> </w:t>
      </w:r>
      <w:r w:rsidR="00602503" w:rsidRPr="006024E4">
        <w:rPr>
          <w:rFonts w:ascii="Tahoma" w:hAnsi="Tahoma" w:cs="Tahoma"/>
          <w:bCs/>
          <w:sz w:val="24"/>
          <w:szCs w:val="24"/>
        </w:rPr>
        <w:t>miliarde</w:t>
      </w:r>
      <w:r w:rsidR="00713D80" w:rsidRPr="006024E4">
        <w:rPr>
          <w:rFonts w:ascii="Tahoma" w:hAnsi="Tahoma" w:cs="Tahoma"/>
          <w:bCs/>
          <w:sz w:val="24"/>
          <w:szCs w:val="24"/>
        </w:rPr>
        <w:t xml:space="preserve"> </w:t>
      </w:r>
      <w:r w:rsidRPr="006024E4">
        <w:rPr>
          <w:rFonts w:ascii="Tahoma" w:hAnsi="Tahoma" w:cs="Tahoma"/>
          <w:bCs/>
          <w:sz w:val="24"/>
          <w:szCs w:val="24"/>
        </w:rPr>
        <w:t>lei (</w:t>
      </w:r>
      <w:r w:rsidR="00A43712" w:rsidRPr="006024E4">
        <w:rPr>
          <w:rFonts w:ascii="Tahoma" w:hAnsi="Tahoma" w:cs="Tahoma"/>
          <w:bCs/>
          <w:sz w:val="24"/>
          <w:szCs w:val="24"/>
        </w:rPr>
        <w:t>2,3</w:t>
      </w:r>
      <w:r w:rsidR="000C523D" w:rsidRPr="006024E4">
        <w:rPr>
          <w:rFonts w:ascii="Tahoma" w:hAnsi="Tahoma" w:cs="Tahoma"/>
          <w:bCs/>
          <w:sz w:val="24"/>
          <w:szCs w:val="24"/>
        </w:rPr>
        <w:t>1</w:t>
      </w:r>
      <w:r w:rsidRPr="006024E4">
        <w:rPr>
          <w:rFonts w:ascii="Tahoma" w:hAnsi="Tahoma" w:cs="Tahoma"/>
          <w:bCs/>
          <w:sz w:val="24"/>
          <w:szCs w:val="24"/>
        </w:rPr>
        <w:t>% din PIB).</w:t>
      </w:r>
    </w:p>
    <w:p w:rsidR="00F24FA0" w:rsidRPr="006024E4" w:rsidRDefault="00F24FA0" w:rsidP="007C6A86">
      <w:pPr>
        <w:spacing w:line="360" w:lineRule="auto"/>
        <w:jc w:val="both"/>
        <w:rPr>
          <w:rFonts w:ascii="Tahoma" w:hAnsi="Tahoma" w:cs="Tahoma"/>
          <w:b/>
          <w:color w:val="767171" w:themeColor="background2" w:themeShade="80"/>
          <w:sz w:val="24"/>
          <w:szCs w:val="24"/>
        </w:rPr>
      </w:pPr>
    </w:p>
    <w:p w:rsidR="00F972DC" w:rsidRPr="006024E4"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6024E4">
        <w:rPr>
          <w:rFonts w:ascii="Tahoma" w:hAnsi="Tahoma" w:cs="Tahoma"/>
          <w:b/>
          <w:caps/>
          <w:color w:val="0070C0"/>
          <w:sz w:val="24"/>
          <w:szCs w:val="24"/>
        </w:rPr>
        <w:t>veniturile bugetului general consolidat</w:t>
      </w:r>
    </w:p>
    <w:p w:rsidR="000F1E3F" w:rsidRPr="006024E4" w:rsidRDefault="000F1E3F" w:rsidP="000F1E3F">
      <w:pPr>
        <w:spacing w:after="120" w:line="240" w:lineRule="auto"/>
        <w:rPr>
          <w:rFonts w:ascii="Tahoma" w:hAnsi="Tahoma" w:cs="Tahoma"/>
          <w:b/>
          <w:color w:val="0070C0"/>
          <w:sz w:val="24"/>
          <w:szCs w:val="24"/>
        </w:rPr>
      </w:pPr>
    </w:p>
    <w:p w:rsidR="009A320D" w:rsidRPr="006024E4" w:rsidRDefault="00CF55E5" w:rsidP="002D6103">
      <w:pPr>
        <w:shd w:val="clear" w:color="auto" w:fill="E7E6E6" w:themeFill="background2"/>
        <w:spacing w:after="120" w:line="276" w:lineRule="auto"/>
        <w:jc w:val="both"/>
        <w:rPr>
          <w:rFonts w:ascii="Tahoma" w:hAnsi="Tahoma" w:cs="Tahoma"/>
          <w:sz w:val="24"/>
          <w:szCs w:val="24"/>
        </w:rPr>
      </w:pPr>
      <w:r w:rsidRPr="006024E4">
        <w:rPr>
          <w:rFonts w:ascii="Tahoma" w:hAnsi="Tahoma" w:cs="Tahoma"/>
          <w:b/>
          <w:sz w:val="24"/>
          <w:szCs w:val="24"/>
        </w:rPr>
        <w:t>Veniturile bugetului general</w:t>
      </w:r>
      <w:r w:rsidR="009D16DA" w:rsidRPr="006024E4">
        <w:rPr>
          <w:rFonts w:ascii="Tahoma" w:hAnsi="Tahoma" w:cs="Tahoma"/>
          <w:b/>
          <w:sz w:val="24"/>
          <w:szCs w:val="24"/>
        </w:rPr>
        <w:t xml:space="preserve"> consolidat</w:t>
      </w:r>
      <w:r w:rsidR="007A3AFD" w:rsidRPr="006024E4">
        <w:rPr>
          <w:rFonts w:ascii="Tahoma" w:hAnsi="Tahoma" w:cs="Tahoma"/>
          <w:sz w:val="24"/>
          <w:szCs w:val="24"/>
        </w:rPr>
        <w:t xml:space="preserve"> au însumat </w:t>
      </w:r>
      <w:r w:rsidR="00A43712" w:rsidRPr="006024E4">
        <w:rPr>
          <w:rFonts w:ascii="Tahoma" w:hAnsi="Tahoma" w:cs="Tahoma"/>
          <w:sz w:val="24"/>
          <w:szCs w:val="24"/>
        </w:rPr>
        <w:t>114,79</w:t>
      </w:r>
      <w:r w:rsidR="009D16DA" w:rsidRPr="006024E4">
        <w:rPr>
          <w:rFonts w:ascii="Tahoma" w:hAnsi="Tahoma" w:cs="Tahoma"/>
          <w:sz w:val="24"/>
          <w:szCs w:val="24"/>
        </w:rPr>
        <w:t xml:space="preserve"> </w:t>
      </w:r>
      <w:r w:rsidR="00602503" w:rsidRPr="006024E4">
        <w:rPr>
          <w:rFonts w:ascii="Tahoma" w:hAnsi="Tahoma" w:cs="Tahoma"/>
          <w:sz w:val="24"/>
          <w:szCs w:val="24"/>
        </w:rPr>
        <w:t>miliarde</w:t>
      </w:r>
      <w:r w:rsidR="00713D80" w:rsidRPr="006024E4">
        <w:rPr>
          <w:rFonts w:ascii="Tahoma" w:hAnsi="Tahoma" w:cs="Tahoma"/>
          <w:sz w:val="24"/>
          <w:szCs w:val="24"/>
        </w:rPr>
        <w:t xml:space="preserve"> </w:t>
      </w:r>
      <w:r w:rsidR="009D16DA" w:rsidRPr="006024E4">
        <w:rPr>
          <w:rFonts w:ascii="Tahoma" w:hAnsi="Tahoma" w:cs="Tahoma"/>
          <w:sz w:val="24"/>
          <w:szCs w:val="24"/>
        </w:rPr>
        <w:t>lei (</w:t>
      </w:r>
      <w:r w:rsidR="000C523D" w:rsidRPr="006024E4">
        <w:rPr>
          <w:rFonts w:ascii="Tahoma" w:hAnsi="Tahoma" w:cs="Tahoma"/>
          <w:sz w:val="24"/>
          <w:szCs w:val="24"/>
        </w:rPr>
        <w:t>8,</w:t>
      </w:r>
      <w:r w:rsidR="00A43712" w:rsidRPr="006024E4">
        <w:rPr>
          <w:rFonts w:ascii="Tahoma" w:hAnsi="Tahoma" w:cs="Tahoma"/>
          <w:sz w:val="24"/>
          <w:szCs w:val="24"/>
        </w:rPr>
        <w:t>4</w:t>
      </w:r>
      <w:r w:rsidR="009D16DA" w:rsidRPr="006024E4">
        <w:rPr>
          <w:rFonts w:ascii="Tahoma" w:hAnsi="Tahoma" w:cs="Tahoma"/>
          <w:sz w:val="24"/>
          <w:szCs w:val="24"/>
        </w:rPr>
        <w:t>% din PIB)</w:t>
      </w:r>
      <w:r w:rsidR="002F2CFC" w:rsidRPr="006024E4">
        <w:rPr>
          <w:rFonts w:ascii="Tahoma" w:hAnsi="Tahoma" w:cs="Tahoma"/>
          <w:sz w:val="24"/>
          <w:szCs w:val="24"/>
        </w:rPr>
        <w:t xml:space="preserve"> în </w:t>
      </w:r>
      <w:r w:rsidR="000C523D" w:rsidRPr="006024E4">
        <w:rPr>
          <w:rFonts w:ascii="Tahoma" w:hAnsi="Tahoma" w:cs="Tahoma"/>
          <w:sz w:val="24"/>
          <w:szCs w:val="24"/>
        </w:rPr>
        <w:t xml:space="preserve">al </w:t>
      </w:r>
      <w:r w:rsidR="00A43712" w:rsidRPr="006024E4">
        <w:rPr>
          <w:rFonts w:ascii="Tahoma" w:hAnsi="Tahoma" w:cs="Tahoma"/>
          <w:sz w:val="24"/>
          <w:szCs w:val="24"/>
        </w:rPr>
        <w:t>tre</w:t>
      </w:r>
      <w:r w:rsidR="000C523D" w:rsidRPr="006024E4">
        <w:rPr>
          <w:rFonts w:ascii="Tahoma" w:hAnsi="Tahoma" w:cs="Tahoma"/>
          <w:sz w:val="24"/>
          <w:szCs w:val="24"/>
        </w:rPr>
        <w:t xml:space="preserve">ilea trimestru al </w:t>
      </w:r>
      <w:r w:rsidR="002F2CFC" w:rsidRPr="006024E4">
        <w:rPr>
          <w:rFonts w:ascii="Tahoma" w:hAnsi="Tahoma" w:cs="Tahoma"/>
          <w:sz w:val="24"/>
          <w:szCs w:val="24"/>
        </w:rPr>
        <w:t>anului</w:t>
      </w:r>
      <w:r w:rsidR="00602503" w:rsidRPr="006024E4">
        <w:rPr>
          <w:rFonts w:ascii="Tahoma" w:hAnsi="Tahoma" w:cs="Tahoma"/>
          <w:sz w:val="24"/>
          <w:szCs w:val="24"/>
        </w:rPr>
        <w:t xml:space="preserve"> 2022</w:t>
      </w:r>
      <w:r w:rsidR="002F2CFC" w:rsidRPr="006024E4">
        <w:rPr>
          <w:rFonts w:ascii="Tahoma" w:hAnsi="Tahoma" w:cs="Tahoma"/>
          <w:sz w:val="24"/>
          <w:szCs w:val="24"/>
        </w:rPr>
        <w:t>,</w:t>
      </w:r>
      <w:r w:rsidR="007A3AFD" w:rsidRPr="006024E4">
        <w:rPr>
          <w:rFonts w:ascii="Tahoma" w:hAnsi="Tahoma" w:cs="Tahoma"/>
          <w:sz w:val="24"/>
          <w:szCs w:val="24"/>
        </w:rPr>
        <w:t xml:space="preserve"> cu </w:t>
      </w:r>
      <w:r w:rsidR="00A43712" w:rsidRPr="006024E4">
        <w:rPr>
          <w:rFonts w:ascii="Tahoma" w:hAnsi="Tahoma" w:cs="Tahoma"/>
          <w:sz w:val="24"/>
          <w:szCs w:val="24"/>
        </w:rPr>
        <w:t>3,45</w:t>
      </w:r>
      <w:r w:rsidR="009D16DA" w:rsidRPr="006024E4">
        <w:rPr>
          <w:rFonts w:ascii="Tahoma" w:hAnsi="Tahoma" w:cs="Tahoma"/>
          <w:sz w:val="24"/>
          <w:szCs w:val="24"/>
        </w:rPr>
        <w:t xml:space="preserve"> </w:t>
      </w:r>
      <w:r w:rsidR="00602503" w:rsidRPr="006024E4">
        <w:rPr>
          <w:rFonts w:ascii="Tahoma" w:hAnsi="Tahoma" w:cs="Tahoma"/>
          <w:sz w:val="24"/>
          <w:szCs w:val="24"/>
        </w:rPr>
        <w:t>miliarde</w:t>
      </w:r>
      <w:r w:rsidR="00713D80" w:rsidRPr="006024E4">
        <w:rPr>
          <w:rFonts w:ascii="Tahoma" w:hAnsi="Tahoma" w:cs="Tahoma"/>
          <w:sz w:val="24"/>
          <w:szCs w:val="24"/>
        </w:rPr>
        <w:t xml:space="preserve"> </w:t>
      </w:r>
      <w:r w:rsidR="009D16DA" w:rsidRPr="006024E4">
        <w:rPr>
          <w:rFonts w:ascii="Tahoma" w:hAnsi="Tahoma" w:cs="Tahoma"/>
          <w:sz w:val="24"/>
          <w:szCs w:val="24"/>
        </w:rPr>
        <w:t xml:space="preserve">lei sub nivelul prognozat, </w:t>
      </w:r>
      <w:r w:rsidR="00733F08" w:rsidRPr="006024E4">
        <w:rPr>
          <w:rFonts w:ascii="Tahoma" w:hAnsi="Tahoma" w:cs="Tahoma"/>
          <w:sz w:val="24"/>
          <w:szCs w:val="24"/>
        </w:rPr>
        <w:t xml:space="preserve">reflectând un </w:t>
      </w:r>
      <w:r w:rsidR="009D16DA" w:rsidRPr="006024E4">
        <w:rPr>
          <w:rFonts w:ascii="Tahoma" w:hAnsi="Tahoma" w:cs="Tahoma"/>
          <w:sz w:val="24"/>
          <w:szCs w:val="24"/>
        </w:rPr>
        <w:t xml:space="preserve">grad de realizare a programului de încasări de </w:t>
      </w:r>
      <w:r w:rsidR="00A43712" w:rsidRPr="006024E4">
        <w:rPr>
          <w:rFonts w:ascii="Tahoma" w:hAnsi="Tahoma" w:cs="Tahoma"/>
          <w:sz w:val="24"/>
          <w:szCs w:val="24"/>
        </w:rPr>
        <w:t>97,1</w:t>
      </w:r>
      <w:r w:rsidR="009D16DA" w:rsidRPr="006024E4">
        <w:rPr>
          <w:rFonts w:ascii="Tahoma" w:hAnsi="Tahoma" w:cs="Tahoma"/>
          <w:sz w:val="24"/>
          <w:szCs w:val="24"/>
        </w:rPr>
        <w:t>%</w:t>
      </w:r>
      <w:r w:rsidR="002F2CFC" w:rsidRPr="006024E4">
        <w:rPr>
          <w:rFonts w:ascii="Tahoma" w:hAnsi="Tahoma" w:cs="Tahoma"/>
          <w:sz w:val="24"/>
          <w:szCs w:val="24"/>
        </w:rPr>
        <w:t>.</w:t>
      </w:r>
      <w:r w:rsidR="00BD76A9" w:rsidRPr="006024E4">
        <w:rPr>
          <w:rFonts w:ascii="Tahoma" w:hAnsi="Tahoma" w:cs="Tahoma"/>
          <w:sz w:val="24"/>
          <w:szCs w:val="24"/>
        </w:rPr>
        <w:t xml:space="preserve"> </w:t>
      </w:r>
    </w:p>
    <w:p w:rsidR="000E43DF" w:rsidRPr="006024E4" w:rsidRDefault="000E43DF" w:rsidP="002D6103">
      <w:pPr>
        <w:shd w:val="clear" w:color="auto" w:fill="E7E6E6" w:themeFill="background2"/>
        <w:tabs>
          <w:tab w:val="left" w:pos="810"/>
          <w:tab w:val="left" w:pos="1134"/>
        </w:tabs>
        <w:spacing w:before="120" w:after="120" w:line="276" w:lineRule="auto"/>
        <w:jc w:val="both"/>
        <w:rPr>
          <w:rFonts w:ascii="Tahoma" w:hAnsi="Tahoma" w:cs="Tahoma"/>
          <w:bCs/>
          <w:sz w:val="24"/>
          <w:szCs w:val="24"/>
        </w:rPr>
      </w:pPr>
      <w:r w:rsidRPr="006024E4">
        <w:rPr>
          <w:rFonts w:ascii="Tahoma" w:hAnsi="Tahoma" w:cs="Tahoma"/>
          <w:bCs/>
          <w:sz w:val="24"/>
          <w:szCs w:val="24"/>
        </w:rPr>
        <w:t xml:space="preserve">Veniturile bugetului general consolidat </w:t>
      </w:r>
      <w:r w:rsidR="002D6103" w:rsidRPr="006024E4">
        <w:rPr>
          <w:rFonts w:ascii="Tahoma" w:hAnsi="Tahoma" w:cs="Tahoma"/>
          <w:bCs/>
          <w:sz w:val="24"/>
          <w:szCs w:val="24"/>
        </w:rPr>
        <w:t xml:space="preserve">s-au situat sub </w:t>
      </w:r>
      <w:r w:rsidRPr="006024E4">
        <w:rPr>
          <w:rFonts w:ascii="Tahoma" w:hAnsi="Tahoma" w:cs="Tahoma"/>
          <w:bCs/>
          <w:sz w:val="24"/>
          <w:szCs w:val="24"/>
        </w:rPr>
        <w:t>nivelul prog</w:t>
      </w:r>
      <w:r w:rsidR="002D6103" w:rsidRPr="006024E4">
        <w:rPr>
          <w:rFonts w:ascii="Tahoma" w:hAnsi="Tahoma" w:cs="Tahoma"/>
          <w:bCs/>
          <w:sz w:val="24"/>
          <w:szCs w:val="24"/>
        </w:rPr>
        <w:t>ramat</w:t>
      </w:r>
      <w:r w:rsidRPr="006024E4">
        <w:rPr>
          <w:rFonts w:ascii="Tahoma" w:hAnsi="Tahoma" w:cs="Tahoma"/>
          <w:bCs/>
          <w:sz w:val="24"/>
          <w:szCs w:val="24"/>
        </w:rPr>
        <w:t xml:space="preserve"> pentru perioada analizată ca urmare a evoluției veniturilor din fonduri externe rambursabile și în special a sumelor aferente asistenței financiare nerambursabile a PNRR dar și a veniturilor din economia internă ce nu au reușit să atingă nivelul programat.</w:t>
      </w:r>
    </w:p>
    <w:p w:rsidR="00024773" w:rsidRPr="006024E4" w:rsidRDefault="00DD52A5" w:rsidP="00602503">
      <w:pPr>
        <w:tabs>
          <w:tab w:val="left" w:pos="810"/>
          <w:tab w:val="left" w:pos="1134"/>
        </w:tabs>
        <w:spacing w:before="120" w:after="120" w:line="276" w:lineRule="auto"/>
        <w:jc w:val="both"/>
        <w:rPr>
          <w:rFonts w:ascii="Tahoma" w:hAnsi="Tahoma" w:cs="Tahoma"/>
          <w:bCs/>
          <w:sz w:val="24"/>
          <w:szCs w:val="24"/>
        </w:rPr>
      </w:pPr>
      <w:r w:rsidRPr="006024E4">
        <w:rPr>
          <w:rFonts w:ascii="Tahoma" w:hAnsi="Tahoma" w:cs="Tahoma"/>
          <w:bCs/>
          <w:sz w:val="24"/>
          <w:szCs w:val="24"/>
        </w:rPr>
        <w:t xml:space="preserve">Comparativ cu </w:t>
      </w:r>
      <w:r w:rsidR="00A43712" w:rsidRPr="006024E4">
        <w:rPr>
          <w:rFonts w:ascii="Tahoma" w:hAnsi="Tahoma" w:cs="Tahoma"/>
          <w:bCs/>
          <w:sz w:val="24"/>
          <w:szCs w:val="24"/>
        </w:rPr>
        <w:t>perioada similară a anului anterior</w:t>
      </w:r>
      <w:r w:rsidRPr="006024E4">
        <w:rPr>
          <w:rFonts w:ascii="Tahoma" w:hAnsi="Tahoma" w:cs="Tahoma"/>
          <w:bCs/>
          <w:sz w:val="24"/>
          <w:szCs w:val="24"/>
        </w:rPr>
        <w:t xml:space="preserve">, </w:t>
      </w:r>
      <w:r w:rsidR="002F2CFC" w:rsidRPr="006024E4">
        <w:rPr>
          <w:rFonts w:ascii="Tahoma" w:hAnsi="Tahoma" w:cs="Tahoma"/>
          <w:bCs/>
          <w:sz w:val="24"/>
          <w:szCs w:val="24"/>
        </w:rPr>
        <w:t xml:space="preserve">veniturile </w:t>
      </w:r>
      <w:r w:rsidR="00197545" w:rsidRPr="006024E4">
        <w:rPr>
          <w:rFonts w:ascii="Tahoma" w:hAnsi="Tahoma" w:cs="Tahoma"/>
          <w:bCs/>
          <w:sz w:val="24"/>
          <w:szCs w:val="24"/>
        </w:rPr>
        <w:t xml:space="preserve">bugetului general consolidat </w:t>
      </w:r>
      <w:r w:rsidR="002F2CFC" w:rsidRPr="006024E4">
        <w:rPr>
          <w:rFonts w:ascii="Tahoma" w:hAnsi="Tahoma" w:cs="Tahoma"/>
          <w:bCs/>
          <w:sz w:val="24"/>
          <w:szCs w:val="24"/>
        </w:rPr>
        <w:t xml:space="preserve">au </w:t>
      </w:r>
      <w:r w:rsidR="00197545" w:rsidRPr="006024E4">
        <w:rPr>
          <w:rFonts w:ascii="Tahoma" w:hAnsi="Tahoma" w:cs="Tahoma"/>
          <w:bCs/>
          <w:sz w:val="24"/>
          <w:szCs w:val="24"/>
        </w:rPr>
        <w:t>crescut</w:t>
      </w:r>
      <w:r w:rsidR="002F2CFC" w:rsidRPr="006024E4">
        <w:rPr>
          <w:rFonts w:ascii="Tahoma" w:hAnsi="Tahoma" w:cs="Tahoma"/>
          <w:bCs/>
          <w:sz w:val="24"/>
          <w:szCs w:val="24"/>
        </w:rPr>
        <w:t xml:space="preserve"> </w:t>
      </w:r>
      <w:r w:rsidR="00197545" w:rsidRPr="006024E4">
        <w:rPr>
          <w:rFonts w:ascii="Tahoma" w:hAnsi="Tahoma" w:cs="Tahoma"/>
          <w:bCs/>
          <w:sz w:val="24"/>
          <w:szCs w:val="24"/>
        </w:rPr>
        <w:t xml:space="preserve">în termeni nominali </w:t>
      </w:r>
      <w:r w:rsidR="009D16DA" w:rsidRPr="006024E4">
        <w:rPr>
          <w:rFonts w:ascii="Tahoma" w:hAnsi="Tahoma" w:cs="Tahoma"/>
          <w:bCs/>
          <w:sz w:val="24"/>
          <w:szCs w:val="24"/>
        </w:rPr>
        <w:t xml:space="preserve">cu </w:t>
      </w:r>
      <w:r w:rsidR="00A43712" w:rsidRPr="006024E4">
        <w:rPr>
          <w:rFonts w:ascii="Tahoma" w:hAnsi="Tahoma" w:cs="Tahoma"/>
          <w:bCs/>
          <w:sz w:val="24"/>
          <w:szCs w:val="24"/>
        </w:rPr>
        <w:t>22,1</w:t>
      </w:r>
      <w:r w:rsidR="009D16DA" w:rsidRPr="006024E4">
        <w:rPr>
          <w:rFonts w:ascii="Tahoma" w:hAnsi="Tahoma" w:cs="Tahoma"/>
          <w:bCs/>
          <w:sz w:val="24"/>
          <w:szCs w:val="24"/>
        </w:rPr>
        <w:t>%,</w:t>
      </w:r>
      <w:r w:rsidR="00197545" w:rsidRPr="006024E4">
        <w:rPr>
          <w:rFonts w:ascii="Tahoma" w:hAnsi="Tahoma" w:cs="Tahoma"/>
          <w:bCs/>
          <w:sz w:val="24"/>
          <w:szCs w:val="24"/>
        </w:rPr>
        <w:t xml:space="preserve"> iar ca procent în PIB cu 0,</w:t>
      </w:r>
      <w:r w:rsidR="00A43712" w:rsidRPr="006024E4">
        <w:rPr>
          <w:rFonts w:ascii="Tahoma" w:hAnsi="Tahoma" w:cs="Tahoma"/>
          <w:bCs/>
          <w:sz w:val="24"/>
          <w:szCs w:val="24"/>
        </w:rPr>
        <w:t>4</w:t>
      </w:r>
      <w:r w:rsidR="00197545" w:rsidRPr="006024E4">
        <w:rPr>
          <w:rFonts w:ascii="Tahoma" w:hAnsi="Tahoma" w:cs="Tahoma"/>
          <w:bCs/>
          <w:sz w:val="24"/>
          <w:szCs w:val="24"/>
        </w:rPr>
        <w:t xml:space="preserve"> puncte procentuale de la </w:t>
      </w:r>
      <w:r w:rsidR="00A43712" w:rsidRPr="006024E4">
        <w:rPr>
          <w:rFonts w:ascii="Tahoma" w:hAnsi="Tahoma" w:cs="Tahoma"/>
          <w:bCs/>
          <w:sz w:val="24"/>
          <w:szCs w:val="24"/>
        </w:rPr>
        <w:t>8,0</w:t>
      </w:r>
      <w:r w:rsidR="00197545" w:rsidRPr="006024E4">
        <w:rPr>
          <w:rFonts w:ascii="Tahoma" w:hAnsi="Tahoma" w:cs="Tahoma"/>
          <w:bCs/>
          <w:sz w:val="24"/>
          <w:szCs w:val="24"/>
        </w:rPr>
        <w:t xml:space="preserve">% din PIB cât au fost în </w:t>
      </w:r>
      <w:r w:rsidR="00775DB8" w:rsidRPr="006024E4">
        <w:rPr>
          <w:rFonts w:ascii="Tahoma" w:hAnsi="Tahoma" w:cs="Tahoma"/>
          <w:bCs/>
          <w:sz w:val="24"/>
          <w:szCs w:val="24"/>
        </w:rPr>
        <w:t xml:space="preserve">al </w:t>
      </w:r>
      <w:r w:rsidR="00A43712" w:rsidRPr="006024E4">
        <w:rPr>
          <w:rFonts w:ascii="Tahoma" w:hAnsi="Tahoma" w:cs="Tahoma"/>
          <w:bCs/>
          <w:sz w:val="24"/>
          <w:szCs w:val="24"/>
        </w:rPr>
        <w:t>tre</w:t>
      </w:r>
      <w:r w:rsidR="00775DB8" w:rsidRPr="006024E4">
        <w:rPr>
          <w:rFonts w:ascii="Tahoma" w:hAnsi="Tahoma" w:cs="Tahoma"/>
          <w:bCs/>
          <w:sz w:val="24"/>
          <w:szCs w:val="24"/>
        </w:rPr>
        <w:t xml:space="preserve">ilea </w:t>
      </w:r>
      <w:r w:rsidR="00197545" w:rsidRPr="006024E4">
        <w:rPr>
          <w:rFonts w:ascii="Tahoma" w:hAnsi="Tahoma" w:cs="Tahoma"/>
          <w:bCs/>
          <w:sz w:val="24"/>
          <w:szCs w:val="24"/>
        </w:rPr>
        <w:t>trimestru al anului 202</w:t>
      </w:r>
      <w:r w:rsidR="00602503" w:rsidRPr="006024E4">
        <w:rPr>
          <w:rFonts w:ascii="Tahoma" w:hAnsi="Tahoma" w:cs="Tahoma"/>
          <w:bCs/>
          <w:sz w:val="24"/>
          <w:szCs w:val="24"/>
        </w:rPr>
        <w:t>1</w:t>
      </w:r>
      <w:r w:rsidR="00197545" w:rsidRPr="006024E4">
        <w:rPr>
          <w:rFonts w:ascii="Tahoma" w:hAnsi="Tahoma" w:cs="Tahoma"/>
          <w:bCs/>
          <w:sz w:val="24"/>
          <w:szCs w:val="24"/>
        </w:rPr>
        <w:t xml:space="preserve"> la </w:t>
      </w:r>
      <w:r w:rsidR="00775DB8" w:rsidRPr="006024E4">
        <w:rPr>
          <w:rFonts w:ascii="Tahoma" w:hAnsi="Tahoma" w:cs="Tahoma"/>
          <w:bCs/>
          <w:sz w:val="24"/>
          <w:szCs w:val="24"/>
        </w:rPr>
        <w:t>8,</w:t>
      </w:r>
      <w:r w:rsidR="00A43712" w:rsidRPr="006024E4">
        <w:rPr>
          <w:rFonts w:ascii="Tahoma" w:hAnsi="Tahoma" w:cs="Tahoma"/>
          <w:bCs/>
          <w:sz w:val="24"/>
          <w:szCs w:val="24"/>
        </w:rPr>
        <w:t>4</w:t>
      </w:r>
      <w:r w:rsidR="00197545" w:rsidRPr="006024E4">
        <w:rPr>
          <w:rFonts w:ascii="Tahoma" w:hAnsi="Tahoma" w:cs="Tahoma"/>
          <w:bCs/>
          <w:sz w:val="24"/>
          <w:szCs w:val="24"/>
        </w:rPr>
        <w:t>% din PIB în trimestru</w:t>
      </w:r>
      <w:r w:rsidR="00775DB8" w:rsidRPr="006024E4">
        <w:rPr>
          <w:rFonts w:ascii="Tahoma" w:hAnsi="Tahoma" w:cs="Tahoma"/>
          <w:bCs/>
          <w:sz w:val="24"/>
          <w:szCs w:val="24"/>
        </w:rPr>
        <w:t>l</w:t>
      </w:r>
      <w:r w:rsidR="00197545" w:rsidRPr="006024E4">
        <w:rPr>
          <w:rFonts w:ascii="Tahoma" w:hAnsi="Tahoma" w:cs="Tahoma"/>
          <w:bCs/>
          <w:sz w:val="24"/>
          <w:szCs w:val="24"/>
        </w:rPr>
        <w:t xml:space="preserve"> al </w:t>
      </w:r>
      <w:r w:rsidR="00775DB8" w:rsidRPr="006024E4">
        <w:rPr>
          <w:rFonts w:ascii="Tahoma" w:hAnsi="Tahoma" w:cs="Tahoma"/>
          <w:bCs/>
          <w:sz w:val="24"/>
          <w:szCs w:val="24"/>
        </w:rPr>
        <w:t>II</w:t>
      </w:r>
      <w:r w:rsidR="00A43712" w:rsidRPr="006024E4">
        <w:rPr>
          <w:rFonts w:ascii="Tahoma" w:hAnsi="Tahoma" w:cs="Tahoma"/>
          <w:bCs/>
          <w:sz w:val="24"/>
          <w:szCs w:val="24"/>
        </w:rPr>
        <w:t>I</w:t>
      </w:r>
      <w:r w:rsidR="00775DB8" w:rsidRPr="006024E4">
        <w:rPr>
          <w:rFonts w:ascii="Tahoma" w:hAnsi="Tahoma" w:cs="Tahoma"/>
          <w:bCs/>
          <w:sz w:val="24"/>
          <w:szCs w:val="24"/>
        </w:rPr>
        <w:t xml:space="preserve">- lea al </w:t>
      </w:r>
      <w:r w:rsidR="00197545" w:rsidRPr="006024E4">
        <w:rPr>
          <w:rFonts w:ascii="Tahoma" w:hAnsi="Tahoma" w:cs="Tahoma"/>
          <w:bCs/>
          <w:sz w:val="24"/>
          <w:szCs w:val="24"/>
        </w:rPr>
        <w:t>anului 202</w:t>
      </w:r>
      <w:r w:rsidR="00602503" w:rsidRPr="006024E4">
        <w:rPr>
          <w:rFonts w:ascii="Tahoma" w:hAnsi="Tahoma" w:cs="Tahoma"/>
          <w:bCs/>
          <w:sz w:val="24"/>
          <w:szCs w:val="24"/>
        </w:rPr>
        <w:t>2</w:t>
      </w:r>
      <w:r w:rsidR="00197545" w:rsidRPr="006024E4">
        <w:rPr>
          <w:rFonts w:ascii="Tahoma" w:hAnsi="Tahoma" w:cs="Tahoma"/>
          <w:bCs/>
          <w:sz w:val="24"/>
          <w:szCs w:val="24"/>
        </w:rPr>
        <w:t>.</w:t>
      </w:r>
      <w:r w:rsidR="009D16DA" w:rsidRPr="006024E4">
        <w:rPr>
          <w:rFonts w:ascii="Tahoma" w:hAnsi="Tahoma" w:cs="Tahoma"/>
          <w:bCs/>
          <w:sz w:val="24"/>
          <w:szCs w:val="24"/>
        </w:rPr>
        <w:t xml:space="preserve"> </w:t>
      </w:r>
    </w:p>
    <w:p w:rsidR="00DD52A5" w:rsidRPr="006024E4" w:rsidRDefault="00DD52A5" w:rsidP="00602503">
      <w:pPr>
        <w:tabs>
          <w:tab w:val="left" w:pos="810"/>
          <w:tab w:val="left" w:pos="1134"/>
        </w:tabs>
        <w:spacing w:before="120" w:after="120" w:line="276" w:lineRule="auto"/>
        <w:jc w:val="both"/>
        <w:rPr>
          <w:rFonts w:ascii="Tahoma" w:hAnsi="Tahoma" w:cs="Tahoma"/>
          <w:sz w:val="24"/>
          <w:szCs w:val="24"/>
        </w:rPr>
      </w:pPr>
      <w:r w:rsidRPr="006024E4">
        <w:rPr>
          <w:rFonts w:ascii="Tahoma" w:hAnsi="Tahoma" w:cs="Tahoma"/>
          <w:b/>
          <w:bCs/>
          <w:sz w:val="24"/>
          <w:szCs w:val="24"/>
        </w:rPr>
        <w:t>Veniturile încasate</w:t>
      </w:r>
      <w:r w:rsidRPr="006024E4">
        <w:rPr>
          <w:rFonts w:ascii="Tahoma" w:hAnsi="Tahoma" w:cs="Tahoma"/>
          <w:sz w:val="24"/>
          <w:szCs w:val="24"/>
        </w:rPr>
        <w:t xml:space="preserve"> </w:t>
      </w:r>
      <w:r w:rsidRPr="006024E4">
        <w:rPr>
          <w:rFonts w:ascii="Tahoma" w:hAnsi="Tahoma" w:cs="Tahoma"/>
          <w:b/>
          <w:bCs/>
          <w:sz w:val="24"/>
          <w:szCs w:val="24"/>
        </w:rPr>
        <w:t>din economia internă</w:t>
      </w:r>
      <w:r w:rsidRPr="006024E4">
        <w:rPr>
          <w:rFonts w:ascii="Tahoma" w:hAnsi="Tahoma" w:cs="Tahoma"/>
          <w:sz w:val="24"/>
          <w:szCs w:val="24"/>
        </w:rPr>
        <w:t xml:space="preserve"> (fără fonduri de la Uniunea Europeană) au fost în sumă de </w:t>
      </w:r>
      <w:r w:rsidR="009361EA" w:rsidRPr="006024E4">
        <w:rPr>
          <w:rFonts w:ascii="Tahoma" w:hAnsi="Tahoma" w:cs="Tahoma"/>
          <w:bCs/>
          <w:sz w:val="24"/>
          <w:szCs w:val="24"/>
        </w:rPr>
        <w:t>103,02</w:t>
      </w:r>
      <w:r w:rsidRPr="006024E4">
        <w:rPr>
          <w:rFonts w:ascii="Tahoma" w:hAnsi="Tahoma" w:cs="Tahoma"/>
          <w:bCs/>
          <w:sz w:val="24"/>
          <w:szCs w:val="24"/>
        </w:rPr>
        <w:t xml:space="preserve"> </w:t>
      </w:r>
      <w:r w:rsidR="00602503" w:rsidRPr="006024E4">
        <w:rPr>
          <w:rFonts w:ascii="Tahoma" w:hAnsi="Tahoma" w:cs="Tahoma"/>
          <w:bCs/>
          <w:sz w:val="24"/>
          <w:szCs w:val="24"/>
        </w:rPr>
        <w:t>miliarde</w:t>
      </w:r>
      <w:r w:rsidR="00713D80" w:rsidRPr="006024E4">
        <w:rPr>
          <w:rFonts w:ascii="Tahoma" w:hAnsi="Tahoma" w:cs="Tahoma"/>
          <w:bCs/>
          <w:sz w:val="24"/>
          <w:szCs w:val="24"/>
        </w:rPr>
        <w:t xml:space="preserve"> </w:t>
      </w:r>
      <w:r w:rsidRPr="006024E4">
        <w:rPr>
          <w:rFonts w:ascii="Tahoma" w:hAnsi="Tahoma" w:cs="Tahoma"/>
          <w:bCs/>
          <w:sz w:val="24"/>
          <w:szCs w:val="24"/>
        </w:rPr>
        <w:t>lei,</w:t>
      </w:r>
      <w:r w:rsidRPr="006024E4">
        <w:rPr>
          <w:rFonts w:ascii="Tahoma" w:hAnsi="Tahoma" w:cs="Tahoma"/>
          <w:b/>
          <w:bCs/>
          <w:sz w:val="24"/>
          <w:szCs w:val="24"/>
        </w:rPr>
        <w:t xml:space="preserve"> </w:t>
      </w:r>
      <w:r w:rsidRPr="006024E4">
        <w:rPr>
          <w:rFonts w:ascii="Tahoma" w:hAnsi="Tahoma" w:cs="Tahoma"/>
          <w:sz w:val="24"/>
          <w:szCs w:val="24"/>
        </w:rPr>
        <w:t xml:space="preserve">reprezentând </w:t>
      </w:r>
      <w:r w:rsidR="004D29BD" w:rsidRPr="006024E4">
        <w:rPr>
          <w:rFonts w:ascii="Tahoma" w:hAnsi="Tahoma" w:cs="Tahoma"/>
          <w:sz w:val="24"/>
          <w:szCs w:val="24"/>
        </w:rPr>
        <w:t>7,</w:t>
      </w:r>
      <w:r w:rsidR="009361EA" w:rsidRPr="006024E4">
        <w:rPr>
          <w:rFonts w:ascii="Tahoma" w:hAnsi="Tahoma" w:cs="Tahoma"/>
          <w:sz w:val="24"/>
          <w:szCs w:val="24"/>
        </w:rPr>
        <w:t>5</w:t>
      </w:r>
      <w:r w:rsidRPr="006024E4">
        <w:rPr>
          <w:rFonts w:ascii="Tahoma" w:hAnsi="Tahoma" w:cs="Tahoma"/>
          <w:sz w:val="24"/>
          <w:szCs w:val="24"/>
        </w:rPr>
        <w:t xml:space="preserve">% ca pondere în PIB </w:t>
      </w:r>
      <w:r w:rsidR="009D16DA" w:rsidRPr="006024E4">
        <w:rPr>
          <w:rFonts w:ascii="Tahoma" w:hAnsi="Tahoma" w:cs="Tahoma"/>
          <w:sz w:val="24"/>
          <w:szCs w:val="24"/>
        </w:rPr>
        <w:t>și</w:t>
      </w:r>
      <w:r w:rsidRPr="006024E4">
        <w:rPr>
          <w:rFonts w:ascii="Tahoma" w:hAnsi="Tahoma" w:cs="Tahoma"/>
          <w:sz w:val="24"/>
          <w:szCs w:val="24"/>
        </w:rPr>
        <w:t xml:space="preserve"> un grad de realizare a programului trimestrial de </w:t>
      </w:r>
      <w:r w:rsidR="009361EA" w:rsidRPr="006024E4">
        <w:rPr>
          <w:rFonts w:ascii="Tahoma" w:hAnsi="Tahoma" w:cs="Tahoma"/>
          <w:sz w:val="24"/>
          <w:szCs w:val="24"/>
        </w:rPr>
        <w:t>98,7</w:t>
      </w:r>
      <w:r w:rsidRPr="006024E4">
        <w:rPr>
          <w:rFonts w:ascii="Tahoma" w:hAnsi="Tahoma" w:cs="Tahoma"/>
          <w:sz w:val="24"/>
          <w:szCs w:val="24"/>
        </w:rPr>
        <w:t>%.</w:t>
      </w:r>
    </w:p>
    <w:p w:rsidR="00187781" w:rsidRPr="006024E4" w:rsidRDefault="009361EA" w:rsidP="00187781">
      <w:pPr>
        <w:tabs>
          <w:tab w:val="left" w:pos="810"/>
          <w:tab w:val="left" w:pos="1134"/>
        </w:tabs>
        <w:spacing w:before="240"/>
        <w:jc w:val="both"/>
        <w:rPr>
          <w:rFonts w:ascii="Tahoma" w:hAnsi="Tahoma" w:cs="Tahoma"/>
          <w:sz w:val="24"/>
          <w:szCs w:val="24"/>
        </w:rPr>
      </w:pPr>
      <w:r w:rsidRPr="006024E4">
        <w:rPr>
          <w:rFonts w:ascii="Tahoma" w:hAnsi="Tahoma" w:cs="Tahoma"/>
          <w:noProof/>
          <w:sz w:val="24"/>
          <w:szCs w:val="24"/>
        </w:rPr>
        <w:lastRenderedPageBreak/>
        <w:drawing>
          <wp:inline distT="0" distB="0" distL="0" distR="0" wp14:anchorId="204B2D09">
            <wp:extent cx="6286500" cy="3228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3228975"/>
                    </a:xfrm>
                    <a:prstGeom prst="rect">
                      <a:avLst/>
                    </a:prstGeom>
                    <a:noFill/>
                  </pic:spPr>
                </pic:pic>
              </a:graphicData>
            </a:graphic>
          </wp:inline>
        </w:drawing>
      </w:r>
    </w:p>
    <w:p w:rsidR="00DD52A5" w:rsidRPr="006024E4"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6024E4">
        <w:rPr>
          <w:rFonts w:ascii="Tahoma" w:hAnsi="Tahoma" w:cs="Tahoma"/>
          <w:b/>
          <w:bCs/>
          <w:color w:val="00000A"/>
          <w:lang w:val="ro-RO"/>
        </w:rPr>
        <w:t>Veniturile fiscale</w:t>
      </w:r>
      <w:r w:rsidRPr="006024E4">
        <w:rPr>
          <w:rFonts w:ascii="Tahoma" w:hAnsi="Tahoma" w:cs="Tahoma"/>
          <w:color w:val="00000A"/>
          <w:lang w:val="ro-RO"/>
        </w:rPr>
        <w:t xml:space="preserve"> au </w:t>
      </w:r>
      <w:r w:rsidR="00C06FA2" w:rsidRPr="006024E4">
        <w:rPr>
          <w:rFonts w:ascii="Tahoma" w:hAnsi="Tahoma" w:cs="Tahoma"/>
          <w:color w:val="00000A"/>
          <w:lang w:val="ro-RO"/>
        </w:rPr>
        <w:t>însumat</w:t>
      </w:r>
      <w:r w:rsidRPr="006024E4">
        <w:rPr>
          <w:rFonts w:ascii="Tahoma" w:hAnsi="Tahoma" w:cs="Tahoma"/>
          <w:color w:val="00000A"/>
          <w:lang w:val="ro-RO"/>
        </w:rPr>
        <w:t xml:space="preserve"> </w:t>
      </w:r>
      <w:r w:rsidR="00A33451" w:rsidRPr="006024E4">
        <w:rPr>
          <w:rFonts w:ascii="Tahoma" w:hAnsi="Tahoma" w:cs="Tahoma"/>
          <w:color w:val="00000A"/>
          <w:lang w:val="ro-RO"/>
        </w:rPr>
        <w:t>57,00</w:t>
      </w:r>
      <w:r w:rsidRPr="006024E4">
        <w:rPr>
          <w:rFonts w:ascii="Tahoma" w:hAnsi="Tahoma" w:cs="Tahoma"/>
          <w:color w:val="00000A"/>
          <w:lang w:val="ro-RO"/>
        </w:rPr>
        <w:t xml:space="preserve"> </w:t>
      </w:r>
      <w:r w:rsidR="00602503" w:rsidRPr="006024E4">
        <w:rPr>
          <w:rFonts w:ascii="Tahoma" w:hAnsi="Tahoma" w:cs="Tahoma"/>
          <w:color w:val="00000A"/>
          <w:lang w:val="ro-RO"/>
        </w:rPr>
        <w:t>miliarde</w:t>
      </w:r>
      <w:r w:rsidR="00713D80" w:rsidRPr="006024E4">
        <w:rPr>
          <w:rFonts w:ascii="Tahoma" w:hAnsi="Tahoma" w:cs="Tahoma"/>
          <w:color w:val="00000A"/>
          <w:lang w:val="ro-RO"/>
        </w:rPr>
        <w:t xml:space="preserve"> </w:t>
      </w:r>
      <w:r w:rsidRPr="006024E4">
        <w:rPr>
          <w:rFonts w:ascii="Tahoma" w:hAnsi="Tahoma" w:cs="Tahoma"/>
          <w:color w:val="00000A"/>
          <w:lang w:val="ro-RO"/>
        </w:rPr>
        <w:t xml:space="preserve">lei și s-au realizat în proporție de </w:t>
      </w:r>
      <w:r w:rsidR="00A33451" w:rsidRPr="006024E4">
        <w:rPr>
          <w:rFonts w:ascii="Tahoma" w:hAnsi="Tahoma" w:cs="Tahoma"/>
          <w:color w:val="00000A"/>
          <w:lang w:val="ro-RO"/>
        </w:rPr>
        <w:t>97,2</w:t>
      </w:r>
      <w:r w:rsidR="0034724E" w:rsidRPr="006024E4">
        <w:rPr>
          <w:rFonts w:ascii="Tahoma" w:hAnsi="Tahoma" w:cs="Tahoma"/>
          <w:color w:val="00000A"/>
          <w:lang w:val="ro-RO"/>
        </w:rPr>
        <w:t xml:space="preserve">%. </w:t>
      </w:r>
      <w:r w:rsidR="0034724E" w:rsidRPr="006024E4">
        <w:rPr>
          <w:rFonts w:ascii="Tahoma" w:hAnsi="Tahoma" w:cs="Tahoma"/>
          <w:color w:val="auto"/>
          <w:lang w:val="ro-RO"/>
        </w:rPr>
        <w:t xml:space="preserve">Acestea au reprezentat </w:t>
      </w:r>
      <w:r w:rsidR="00363C11" w:rsidRPr="006024E4">
        <w:rPr>
          <w:rFonts w:ascii="Tahoma" w:hAnsi="Tahoma" w:cs="Tahoma"/>
          <w:color w:val="auto"/>
          <w:lang w:val="ro-RO"/>
        </w:rPr>
        <w:t>4,</w:t>
      </w:r>
      <w:r w:rsidR="00775DB8" w:rsidRPr="006024E4">
        <w:rPr>
          <w:rFonts w:ascii="Tahoma" w:hAnsi="Tahoma" w:cs="Tahoma"/>
          <w:color w:val="auto"/>
          <w:lang w:val="ro-RO"/>
        </w:rPr>
        <w:t>2</w:t>
      </w:r>
      <w:r w:rsidRPr="006024E4">
        <w:rPr>
          <w:rFonts w:ascii="Tahoma" w:hAnsi="Tahoma" w:cs="Tahoma"/>
          <w:color w:val="auto"/>
          <w:lang w:val="ro-RO"/>
        </w:rPr>
        <w:t xml:space="preserve">% din PIB, fiind cu </w:t>
      </w:r>
      <w:r w:rsidR="00A33451" w:rsidRPr="006024E4">
        <w:rPr>
          <w:rFonts w:ascii="Tahoma" w:hAnsi="Tahoma" w:cs="Tahoma"/>
          <w:color w:val="auto"/>
          <w:lang w:val="ro-RO"/>
        </w:rPr>
        <w:t>21,4</w:t>
      </w:r>
      <w:r w:rsidRPr="006024E4">
        <w:rPr>
          <w:rFonts w:ascii="Tahoma" w:hAnsi="Tahoma" w:cs="Tahoma"/>
          <w:color w:val="auto"/>
          <w:lang w:val="ro-RO"/>
        </w:rPr>
        <w:t xml:space="preserve">% mai </w:t>
      </w:r>
      <w:r w:rsidR="0034724E" w:rsidRPr="006024E4">
        <w:rPr>
          <w:rFonts w:ascii="Tahoma" w:hAnsi="Tahoma" w:cs="Tahoma"/>
          <w:color w:val="auto"/>
          <w:lang w:val="ro-RO"/>
        </w:rPr>
        <w:t>mari</w:t>
      </w:r>
      <w:r w:rsidRPr="006024E4">
        <w:rPr>
          <w:rFonts w:ascii="Tahoma" w:hAnsi="Tahoma" w:cs="Tahoma"/>
          <w:color w:val="auto"/>
          <w:lang w:val="ro-RO"/>
        </w:rPr>
        <w:t xml:space="preserve"> comparativ cu încasările </w:t>
      </w:r>
      <w:r w:rsidR="00775DB8" w:rsidRPr="006024E4">
        <w:rPr>
          <w:rFonts w:ascii="Tahoma" w:hAnsi="Tahoma" w:cs="Tahoma"/>
          <w:color w:val="auto"/>
          <w:lang w:val="ro-RO"/>
        </w:rPr>
        <w:t xml:space="preserve">celui de-al </w:t>
      </w:r>
      <w:r w:rsidR="00A33451" w:rsidRPr="006024E4">
        <w:rPr>
          <w:rFonts w:ascii="Tahoma" w:hAnsi="Tahoma" w:cs="Tahoma"/>
          <w:color w:val="auto"/>
          <w:lang w:val="ro-RO"/>
        </w:rPr>
        <w:t>tre</w:t>
      </w:r>
      <w:r w:rsidR="00775DB8" w:rsidRPr="006024E4">
        <w:rPr>
          <w:rFonts w:ascii="Tahoma" w:hAnsi="Tahoma" w:cs="Tahoma"/>
          <w:color w:val="auto"/>
          <w:lang w:val="ro-RO"/>
        </w:rPr>
        <w:t>ilea</w:t>
      </w:r>
      <w:r w:rsidRPr="006024E4">
        <w:rPr>
          <w:rFonts w:ascii="Tahoma" w:hAnsi="Tahoma" w:cs="Tahoma"/>
          <w:color w:val="auto"/>
          <w:lang w:val="ro-RO"/>
        </w:rPr>
        <w:t xml:space="preserve"> trimestru al anului 20</w:t>
      </w:r>
      <w:r w:rsidR="0034724E" w:rsidRPr="006024E4">
        <w:rPr>
          <w:rFonts w:ascii="Tahoma" w:hAnsi="Tahoma" w:cs="Tahoma"/>
          <w:color w:val="auto"/>
          <w:lang w:val="ro-RO"/>
        </w:rPr>
        <w:t>2</w:t>
      </w:r>
      <w:r w:rsidR="006913E2" w:rsidRPr="006024E4">
        <w:rPr>
          <w:rFonts w:ascii="Tahoma" w:hAnsi="Tahoma" w:cs="Tahoma"/>
          <w:color w:val="auto"/>
          <w:lang w:val="ro-RO"/>
        </w:rPr>
        <w:t>1</w:t>
      </w:r>
      <w:r w:rsidRPr="006024E4">
        <w:rPr>
          <w:rFonts w:ascii="Tahoma" w:hAnsi="Tahoma" w:cs="Tahoma"/>
          <w:color w:val="auto"/>
          <w:lang w:val="ro-RO"/>
        </w:rPr>
        <w:t>.</w:t>
      </w:r>
      <w:r w:rsidR="00A33451" w:rsidRPr="006024E4">
        <w:rPr>
          <w:rFonts w:ascii="Tahoma" w:hAnsi="Tahoma" w:cs="Tahoma"/>
          <w:color w:val="auto"/>
          <w:lang w:val="ro-RO"/>
        </w:rPr>
        <w:t xml:space="preserve"> Veniturile fiscale s-au situat sub nivelul programat, în principal, ca urmare a evoluției încasărilor din taxa pe valoarea adăugată și accize ce nu au reușit să atingă nivelul programat pentru perioada analizată.</w:t>
      </w:r>
    </w:p>
    <w:p w:rsidR="00620465" w:rsidRPr="006024E4" w:rsidRDefault="00A33451" w:rsidP="009D16DA">
      <w:pPr>
        <w:pStyle w:val="NormalWeb"/>
        <w:shd w:val="clear" w:color="auto" w:fill="FFFFFF"/>
        <w:tabs>
          <w:tab w:val="left" w:pos="142"/>
        </w:tabs>
        <w:spacing w:before="280"/>
        <w:ind w:right="-57" w:firstLine="0"/>
        <w:rPr>
          <w:rFonts w:ascii="Tahoma" w:hAnsi="Tahoma" w:cs="Tahoma"/>
          <w:color w:val="auto"/>
          <w:lang w:val="ro-RO"/>
        </w:rPr>
      </w:pPr>
      <w:r w:rsidRPr="006024E4">
        <w:rPr>
          <w:rFonts w:ascii="Tahoma" w:hAnsi="Tahoma" w:cs="Tahoma"/>
          <w:noProof/>
          <w:color w:val="auto"/>
          <w:lang w:val="ro-RO"/>
        </w:rPr>
        <w:drawing>
          <wp:inline distT="0" distB="0" distL="0" distR="0" wp14:anchorId="64CB4921">
            <wp:extent cx="6381750" cy="3469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0" cy="3469005"/>
                    </a:xfrm>
                    <a:prstGeom prst="rect">
                      <a:avLst/>
                    </a:prstGeom>
                    <a:noFill/>
                  </pic:spPr>
                </pic:pic>
              </a:graphicData>
            </a:graphic>
          </wp:inline>
        </w:drawing>
      </w:r>
    </w:p>
    <w:p w:rsidR="00DD52A5" w:rsidRPr="006024E4" w:rsidRDefault="00222906" w:rsidP="00660150">
      <w:pPr>
        <w:pStyle w:val="NormalWeb"/>
        <w:shd w:val="clear" w:color="auto" w:fill="FFFFFF"/>
        <w:spacing w:before="120" w:after="120"/>
        <w:ind w:right="-58" w:firstLine="0"/>
        <w:rPr>
          <w:rFonts w:ascii="Tahoma" w:hAnsi="Tahoma" w:cs="Tahoma"/>
          <w:color w:val="00000A"/>
          <w:lang w:val="ro-RO"/>
        </w:rPr>
      </w:pPr>
      <w:r w:rsidRPr="006024E4">
        <w:rPr>
          <w:rFonts w:ascii="Tahoma" w:hAnsi="Tahoma" w:cs="Tahoma"/>
          <w:lang w:val="ro-RO"/>
        </w:rPr>
        <w:lastRenderedPageBreak/>
        <w:t>În</w:t>
      </w:r>
      <w:r w:rsidR="0079445D" w:rsidRPr="006024E4">
        <w:rPr>
          <w:rFonts w:ascii="Tahoma" w:hAnsi="Tahoma" w:cs="Tahoma"/>
          <w:lang w:val="ro-RO"/>
        </w:rPr>
        <w:t xml:space="preserve"> </w:t>
      </w:r>
      <w:r w:rsidR="00355157" w:rsidRPr="006024E4">
        <w:rPr>
          <w:rFonts w:ascii="Tahoma" w:hAnsi="Tahoma" w:cs="Tahoma"/>
          <w:lang w:val="ro-RO"/>
        </w:rPr>
        <w:t xml:space="preserve">al </w:t>
      </w:r>
      <w:r w:rsidR="000E43DF" w:rsidRPr="006024E4">
        <w:rPr>
          <w:rFonts w:ascii="Tahoma" w:hAnsi="Tahoma" w:cs="Tahoma"/>
          <w:lang w:val="ro-RO"/>
        </w:rPr>
        <w:t>tre</w:t>
      </w:r>
      <w:r w:rsidR="00355157" w:rsidRPr="006024E4">
        <w:rPr>
          <w:rFonts w:ascii="Tahoma" w:hAnsi="Tahoma" w:cs="Tahoma"/>
          <w:lang w:val="ro-RO"/>
        </w:rPr>
        <w:t xml:space="preserve">ilea </w:t>
      </w:r>
      <w:r w:rsidR="0079445D" w:rsidRPr="006024E4">
        <w:rPr>
          <w:rFonts w:ascii="Tahoma" w:hAnsi="Tahoma" w:cs="Tahoma"/>
          <w:lang w:val="ro-RO"/>
        </w:rPr>
        <w:t>trimestru</w:t>
      </w:r>
      <w:r w:rsidR="008849D9" w:rsidRPr="006024E4">
        <w:rPr>
          <w:rFonts w:ascii="Tahoma" w:hAnsi="Tahoma" w:cs="Tahoma"/>
          <w:lang w:val="ro-RO"/>
        </w:rPr>
        <w:t xml:space="preserve"> al anului 202</w:t>
      </w:r>
      <w:r w:rsidR="00363C11" w:rsidRPr="006024E4">
        <w:rPr>
          <w:rFonts w:ascii="Tahoma" w:hAnsi="Tahoma" w:cs="Tahoma"/>
          <w:lang w:val="ro-RO"/>
        </w:rPr>
        <w:t>2</w:t>
      </w:r>
      <w:r w:rsidR="0079445D" w:rsidRPr="006024E4">
        <w:rPr>
          <w:rFonts w:ascii="Tahoma" w:hAnsi="Tahoma" w:cs="Tahoma"/>
          <w:lang w:val="ro-RO"/>
        </w:rPr>
        <w:t>, î</w:t>
      </w:r>
      <w:r w:rsidR="00DD52A5" w:rsidRPr="006024E4">
        <w:rPr>
          <w:rFonts w:ascii="Tahoma" w:hAnsi="Tahoma" w:cs="Tahoma"/>
          <w:lang w:val="ro-RO"/>
        </w:rPr>
        <w:t>ncasările pe principalele categorii de impozite</w:t>
      </w:r>
      <w:r w:rsidR="0079445D" w:rsidRPr="006024E4">
        <w:rPr>
          <w:rFonts w:ascii="Tahoma" w:hAnsi="Tahoma" w:cs="Tahoma"/>
          <w:lang w:val="ro-RO"/>
        </w:rPr>
        <w:t xml:space="preserve"> </w:t>
      </w:r>
      <w:r w:rsidR="00DD52A5" w:rsidRPr="006024E4">
        <w:rPr>
          <w:rFonts w:ascii="Tahoma" w:hAnsi="Tahoma" w:cs="Tahoma"/>
          <w:lang w:val="ro-RO"/>
        </w:rPr>
        <w:t>au înregistrat următoarea evoluție:</w:t>
      </w:r>
    </w:p>
    <w:p w:rsidR="002D6103" w:rsidRPr="006024E4" w:rsidRDefault="002D6103" w:rsidP="002D6103">
      <w:pPr>
        <w:tabs>
          <w:tab w:val="left" w:pos="284"/>
        </w:tabs>
        <w:suppressAutoHyphens/>
        <w:autoSpaceDE w:val="0"/>
        <w:autoSpaceDN w:val="0"/>
        <w:adjustRightInd w:val="0"/>
        <w:spacing w:after="120" w:line="276" w:lineRule="auto"/>
        <w:jc w:val="both"/>
        <w:rPr>
          <w:rFonts w:ascii="Tahoma" w:eastAsia="Calibri" w:hAnsi="Tahoma" w:cs="Tahoma"/>
          <w:color w:val="00000A"/>
          <w:kern w:val="1"/>
          <w:sz w:val="24"/>
          <w:szCs w:val="24"/>
        </w:rPr>
      </w:pPr>
      <w:r w:rsidRPr="006024E4">
        <w:rPr>
          <w:rFonts w:ascii="Tahoma" w:eastAsia="SimSun" w:hAnsi="Tahoma" w:cs="Tahoma"/>
          <w:bCs/>
          <w:noProof/>
          <w:color w:val="000000" w:themeColor="text1"/>
          <w:kern w:val="1"/>
          <w:sz w:val="24"/>
          <w:szCs w:val="24"/>
          <w:lang w:eastAsia="ro-RO"/>
        </w:rPr>
        <w:t xml:space="preserve">Încasările din </w:t>
      </w:r>
      <w:r w:rsidRPr="006024E4">
        <w:rPr>
          <w:rFonts w:ascii="Tahoma" w:eastAsia="SimSun" w:hAnsi="Tahoma" w:cs="Tahoma"/>
          <w:b/>
          <w:bCs/>
          <w:noProof/>
          <w:color w:val="000000" w:themeColor="text1"/>
          <w:kern w:val="1"/>
          <w:sz w:val="24"/>
          <w:szCs w:val="24"/>
          <w:lang w:eastAsia="ro-RO"/>
        </w:rPr>
        <w:t>impozitul pe profit</w:t>
      </w:r>
      <w:r w:rsidRPr="006024E4">
        <w:rPr>
          <w:rFonts w:ascii="Tahoma" w:eastAsia="SimSun" w:hAnsi="Tahoma" w:cs="Tahoma"/>
          <w:bCs/>
          <w:noProof/>
          <w:color w:val="000000" w:themeColor="text1"/>
          <w:kern w:val="1"/>
          <w:sz w:val="24"/>
          <w:szCs w:val="24"/>
          <w:lang w:eastAsia="ro-RO"/>
        </w:rPr>
        <w:t xml:space="preserve"> de 7,56 miliarde lei, înregistrează o evoluție pozitivă față de perioada similară a anului 2021 de 44,3% (+2,32 miliarde lei), susținută atât de avansul încasărilor din impozitul pe profit de la agenții economici cu 43,6% (+2,2 miliarde lei), cât și de impozitul pe profit virat de băncile comerciale cu 53,5% (+0,1 miliarde lei). Gradul de realizare este de 98,9% față de programul stabilit.</w:t>
      </w:r>
    </w:p>
    <w:p w:rsidR="002D6103" w:rsidRPr="006024E4" w:rsidRDefault="002D6103" w:rsidP="002D6103">
      <w:pPr>
        <w:tabs>
          <w:tab w:val="left" w:pos="284"/>
        </w:tabs>
        <w:suppressAutoHyphens/>
        <w:autoSpaceDE w:val="0"/>
        <w:autoSpaceDN w:val="0"/>
        <w:adjustRightInd w:val="0"/>
        <w:spacing w:after="120" w:line="276" w:lineRule="auto"/>
        <w:jc w:val="both"/>
        <w:rPr>
          <w:rFonts w:ascii="Tahoma" w:eastAsia="Calibri" w:hAnsi="Tahoma" w:cs="Tahoma"/>
          <w:color w:val="00000A"/>
          <w:kern w:val="1"/>
          <w:sz w:val="24"/>
          <w:szCs w:val="24"/>
        </w:rPr>
      </w:pPr>
      <w:r w:rsidRPr="006024E4">
        <w:rPr>
          <w:rFonts w:ascii="Tahoma" w:eastAsia="Calibri" w:hAnsi="Tahoma" w:cs="Tahoma"/>
          <w:color w:val="00000A"/>
          <w:kern w:val="1"/>
          <w:sz w:val="24"/>
          <w:szCs w:val="24"/>
        </w:rPr>
        <w:t xml:space="preserve">Încasările din </w:t>
      </w:r>
      <w:r w:rsidRPr="006024E4">
        <w:rPr>
          <w:rFonts w:ascii="Tahoma" w:eastAsia="Calibri" w:hAnsi="Tahoma" w:cs="Tahoma"/>
          <w:b/>
          <w:color w:val="00000A"/>
          <w:kern w:val="1"/>
          <w:sz w:val="24"/>
          <w:szCs w:val="24"/>
        </w:rPr>
        <w:t>impozitul pe venit</w:t>
      </w:r>
      <w:r w:rsidRPr="006024E4">
        <w:rPr>
          <w:rFonts w:ascii="Tahoma" w:eastAsia="Calibri" w:hAnsi="Tahoma" w:cs="Tahoma"/>
          <w:color w:val="00000A"/>
          <w:kern w:val="1"/>
          <w:sz w:val="24"/>
          <w:szCs w:val="24"/>
        </w:rPr>
        <w:t xml:space="preserve"> în trimestrul III al anului 2022 au totalizat 7,71 miliarde lei, în creștere cu 15,3% comparativ cu aceeași perioadă a anului precedent, cu un gradul de realizare de 99,9% față de programul stabilit.</w:t>
      </w:r>
      <w:r w:rsidRPr="006024E4">
        <w:rPr>
          <w:rFonts w:ascii="Tahoma" w:eastAsia="Calibri" w:hAnsi="Tahoma" w:cs="Tahoma"/>
          <w:color w:val="00000A"/>
          <w:kern w:val="1"/>
          <w:sz w:val="24"/>
          <w:szCs w:val="24"/>
        </w:rPr>
        <w:tab/>
      </w:r>
      <w:r w:rsidRPr="006024E4">
        <w:rPr>
          <w:rFonts w:ascii="Tahoma" w:eastAsia="Calibri" w:hAnsi="Tahoma" w:cs="Tahoma"/>
          <w:color w:val="00000A"/>
          <w:kern w:val="1"/>
          <w:sz w:val="24"/>
          <w:szCs w:val="24"/>
        </w:rPr>
        <w:tab/>
      </w:r>
      <w:r w:rsidRPr="006024E4">
        <w:rPr>
          <w:rFonts w:ascii="Tahoma" w:eastAsia="Calibri" w:hAnsi="Tahoma" w:cs="Tahoma"/>
          <w:color w:val="00000A"/>
          <w:kern w:val="1"/>
          <w:sz w:val="24"/>
          <w:szCs w:val="24"/>
        </w:rPr>
        <w:tab/>
      </w:r>
      <w:r w:rsidRPr="006024E4">
        <w:rPr>
          <w:rFonts w:ascii="Tahoma" w:eastAsia="Calibri" w:hAnsi="Tahoma" w:cs="Tahoma"/>
          <w:color w:val="00000A"/>
          <w:kern w:val="1"/>
          <w:sz w:val="24"/>
          <w:szCs w:val="24"/>
        </w:rPr>
        <w:tab/>
      </w:r>
    </w:p>
    <w:p w:rsidR="002D6103" w:rsidRPr="006024E4" w:rsidRDefault="002D6103" w:rsidP="002D6103">
      <w:pPr>
        <w:tabs>
          <w:tab w:val="left" w:pos="284"/>
        </w:tabs>
        <w:suppressAutoHyphens/>
        <w:autoSpaceDE w:val="0"/>
        <w:autoSpaceDN w:val="0"/>
        <w:adjustRightInd w:val="0"/>
        <w:spacing w:after="120" w:line="276" w:lineRule="auto"/>
        <w:jc w:val="both"/>
        <w:rPr>
          <w:rFonts w:ascii="Tahoma" w:eastAsia="Calibri" w:hAnsi="Tahoma" w:cs="Tahoma"/>
          <w:kern w:val="1"/>
          <w:sz w:val="24"/>
          <w:szCs w:val="24"/>
        </w:rPr>
      </w:pPr>
      <w:r w:rsidRPr="006024E4">
        <w:rPr>
          <w:rFonts w:ascii="Tahoma" w:eastAsia="Calibri" w:hAnsi="Tahoma" w:cs="Tahoma"/>
          <w:color w:val="00000A"/>
          <w:kern w:val="1"/>
          <w:sz w:val="24"/>
          <w:szCs w:val="24"/>
        </w:rPr>
        <w:t xml:space="preserve">În structură, încasările din impozitul pe venitul din </w:t>
      </w:r>
      <w:r w:rsidRPr="006024E4">
        <w:rPr>
          <w:rFonts w:ascii="Tahoma" w:eastAsia="Calibri" w:hAnsi="Tahoma" w:cs="Tahoma"/>
          <w:kern w:val="1"/>
          <w:sz w:val="24"/>
          <w:szCs w:val="24"/>
        </w:rPr>
        <w:t>salarii</w:t>
      </w:r>
      <w:r w:rsidRPr="006024E4">
        <w:rPr>
          <w:rFonts w:ascii="Tahoma" w:eastAsia="Calibri" w:hAnsi="Tahoma" w:cs="Tahoma"/>
          <w:kern w:val="1"/>
          <w:sz w:val="24"/>
          <w:szCs w:val="24"/>
          <w:vertAlign w:val="superscript"/>
        </w:rPr>
        <w:footnoteReference w:id="1"/>
      </w:r>
      <w:r w:rsidRPr="006024E4">
        <w:rPr>
          <w:rFonts w:ascii="Tahoma" w:eastAsia="Calibri" w:hAnsi="Tahoma" w:cs="Tahoma"/>
          <w:kern w:val="1"/>
          <w:sz w:val="24"/>
          <w:szCs w:val="24"/>
        </w:rPr>
        <w:t xml:space="preserve"> </w:t>
      </w:r>
      <w:r w:rsidRPr="006024E4">
        <w:rPr>
          <w:rFonts w:ascii="Tahoma" w:eastAsia="Calibri" w:hAnsi="Tahoma" w:cs="Tahoma"/>
          <w:color w:val="00000A"/>
          <w:kern w:val="1"/>
          <w:sz w:val="24"/>
          <w:szCs w:val="24"/>
        </w:rPr>
        <w:t xml:space="preserve">înregistrează față de aceeași perioadă a anului 2021 o </w:t>
      </w:r>
      <w:r w:rsidRPr="006024E4">
        <w:rPr>
          <w:rFonts w:ascii="Tahoma" w:eastAsia="Calibri" w:hAnsi="Tahoma" w:cs="Tahoma"/>
          <w:kern w:val="1"/>
          <w:sz w:val="24"/>
          <w:szCs w:val="24"/>
        </w:rPr>
        <w:t>dinamică de 8,8%, sub evoluția fondului brut de salarii de 13%</w:t>
      </w:r>
      <w:r w:rsidRPr="006024E4">
        <w:rPr>
          <w:rFonts w:ascii="Tahoma" w:eastAsia="Calibri" w:hAnsi="Tahoma" w:cs="Tahoma"/>
          <w:kern w:val="1"/>
          <w:sz w:val="24"/>
          <w:szCs w:val="24"/>
          <w:vertAlign w:val="superscript"/>
        </w:rPr>
        <w:footnoteReference w:id="2"/>
      </w:r>
      <w:r w:rsidRPr="006024E4">
        <w:rPr>
          <w:rFonts w:ascii="Tahoma" w:eastAsia="Calibri" w:hAnsi="Tahoma" w:cs="Tahoma"/>
          <w:kern w:val="1"/>
          <w:sz w:val="24"/>
          <w:szCs w:val="24"/>
        </w:rPr>
        <w:t>, fiind influențată și de extinderea facilității acordate salariaților din sectorul agricol și industrie alimentară (efect negativ din scutirea de impozit pe venit din salarii, conform Legii nr. 135/2022</w:t>
      </w:r>
      <w:r w:rsidRPr="006024E4">
        <w:rPr>
          <w:rFonts w:ascii="Tahoma" w:eastAsia="Calibri" w:hAnsi="Tahoma" w:cs="Tahoma"/>
          <w:kern w:val="1"/>
          <w:sz w:val="24"/>
          <w:szCs w:val="24"/>
          <w:vertAlign w:val="superscript"/>
        </w:rPr>
        <w:footnoteReference w:id="3"/>
      </w:r>
      <w:r w:rsidRPr="006024E4">
        <w:rPr>
          <w:rFonts w:ascii="Tahoma" w:eastAsia="Calibri" w:hAnsi="Tahoma" w:cs="Tahoma"/>
          <w:kern w:val="1"/>
          <w:sz w:val="24"/>
          <w:szCs w:val="24"/>
        </w:rPr>
        <w:t>).</w:t>
      </w:r>
    </w:p>
    <w:p w:rsidR="002D6103" w:rsidRPr="006024E4" w:rsidRDefault="002D6103" w:rsidP="002D6103">
      <w:pPr>
        <w:spacing w:after="120" w:line="276" w:lineRule="auto"/>
        <w:jc w:val="both"/>
        <w:rPr>
          <w:rFonts w:ascii="Tahoma" w:eastAsia="Calibri" w:hAnsi="Tahoma" w:cs="Tahoma"/>
          <w:sz w:val="24"/>
          <w:szCs w:val="24"/>
        </w:rPr>
      </w:pPr>
      <w:r w:rsidRPr="006024E4">
        <w:rPr>
          <w:rFonts w:ascii="Tahoma" w:eastAsia="Calibri" w:hAnsi="Tahoma" w:cs="Tahoma"/>
          <w:sz w:val="24"/>
          <w:szCs w:val="24"/>
        </w:rPr>
        <w:t>O evoluție pozitivă a veniturilor din această sursă a fost susținută și de sporul încasărilor din impozitul pe venit aferent declarației unice (+20,6%), impozitul pe veniturile din dividende (+59,9%) și impozitul pe veniturile din pensii (+25,4%, creștere în care este inclusă majorarea valorii punctului de pensie cu 10%</w:t>
      </w:r>
      <w:r w:rsidRPr="006024E4">
        <w:rPr>
          <w:rFonts w:ascii="Tahoma" w:eastAsia="Calibri" w:hAnsi="Tahoma" w:cs="Tahoma"/>
          <w:sz w:val="24"/>
          <w:szCs w:val="24"/>
          <w:vertAlign w:val="superscript"/>
        </w:rPr>
        <w:footnoteReference w:id="4"/>
      </w:r>
      <w:r w:rsidRPr="006024E4">
        <w:rPr>
          <w:rFonts w:ascii="Tahoma" w:eastAsia="Calibri" w:hAnsi="Tahoma" w:cs="Tahoma"/>
          <w:sz w:val="24"/>
          <w:szCs w:val="24"/>
        </w:rPr>
        <w:t>).</w:t>
      </w:r>
    </w:p>
    <w:p w:rsidR="002D538D" w:rsidRPr="006024E4" w:rsidRDefault="00DD52A5" w:rsidP="00F172E4">
      <w:pPr>
        <w:pStyle w:val="NormalWeb"/>
        <w:shd w:val="clear" w:color="auto" w:fill="FFFFFF"/>
        <w:tabs>
          <w:tab w:val="left" w:pos="810"/>
        </w:tabs>
        <w:spacing w:before="120" w:after="120"/>
        <w:ind w:right="-58" w:firstLine="0"/>
        <w:rPr>
          <w:rFonts w:ascii="Tahoma" w:hAnsi="Tahoma" w:cs="Tahoma"/>
          <w:color w:val="auto"/>
          <w:lang w:val="ro-RO"/>
        </w:rPr>
      </w:pPr>
      <w:r w:rsidRPr="006024E4">
        <w:rPr>
          <w:rFonts w:ascii="Tahoma" w:hAnsi="Tahoma" w:cs="Tahoma"/>
          <w:color w:val="auto"/>
          <w:lang w:val="ro-RO"/>
        </w:rPr>
        <w:t xml:space="preserve">Încasările din </w:t>
      </w:r>
      <w:r w:rsidRPr="006024E4">
        <w:rPr>
          <w:rFonts w:ascii="Tahoma" w:hAnsi="Tahoma" w:cs="Tahoma"/>
          <w:b/>
          <w:bCs/>
          <w:color w:val="auto"/>
          <w:lang w:val="ro-RO"/>
        </w:rPr>
        <w:t xml:space="preserve">impozitele </w:t>
      </w:r>
      <w:r w:rsidR="00640FBB" w:rsidRPr="006024E4">
        <w:rPr>
          <w:rFonts w:ascii="Tahoma" w:hAnsi="Tahoma" w:cs="Tahoma"/>
          <w:b/>
          <w:bCs/>
          <w:color w:val="auto"/>
          <w:lang w:val="ro-RO"/>
        </w:rPr>
        <w:t>și</w:t>
      </w:r>
      <w:r w:rsidRPr="006024E4">
        <w:rPr>
          <w:rFonts w:ascii="Tahoma" w:hAnsi="Tahoma" w:cs="Tahoma"/>
          <w:b/>
          <w:bCs/>
          <w:color w:val="auto"/>
          <w:lang w:val="ro-RO"/>
        </w:rPr>
        <w:t xml:space="preserve"> taxele pe proprietate</w:t>
      </w:r>
      <w:r w:rsidRPr="006024E4">
        <w:rPr>
          <w:rFonts w:ascii="Tahoma" w:hAnsi="Tahoma" w:cs="Tahoma"/>
          <w:color w:val="auto"/>
          <w:lang w:val="ro-RO"/>
        </w:rPr>
        <w:t xml:space="preserve"> au însumat </w:t>
      </w:r>
      <w:r w:rsidR="00355157" w:rsidRPr="006024E4">
        <w:rPr>
          <w:rFonts w:ascii="Tahoma" w:hAnsi="Tahoma" w:cs="Tahoma"/>
          <w:color w:val="auto"/>
          <w:lang w:val="ro-RO"/>
        </w:rPr>
        <w:t>0,</w:t>
      </w:r>
      <w:r w:rsidR="002D6103" w:rsidRPr="006024E4">
        <w:rPr>
          <w:rFonts w:ascii="Tahoma" w:hAnsi="Tahoma" w:cs="Tahoma"/>
          <w:color w:val="auto"/>
          <w:lang w:val="ro-RO"/>
        </w:rPr>
        <w:t>86</w:t>
      </w:r>
      <w:r w:rsidRPr="006024E4">
        <w:rPr>
          <w:rFonts w:ascii="Tahoma" w:hAnsi="Tahoma" w:cs="Tahoma"/>
          <w:color w:val="auto"/>
          <w:lang w:val="ro-RO"/>
        </w:rPr>
        <w:t xml:space="preserve"> </w:t>
      </w:r>
      <w:r w:rsidR="00602503" w:rsidRPr="006024E4">
        <w:rPr>
          <w:rFonts w:ascii="Tahoma" w:hAnsi="Tahoma" w:cs="Tahoma"/>
          <w:color w:val="auto"/>
          <w:lang w:val="ro-RO"/>
        </w:rPr>
        <w:t>miliarde</w:t>
      </w:r>
      <w:r w:rsidR="00713D80" w:rsidRPr="006024E4">
        <w:rPr>
          <w:rFonts w:ascii="Tahoma" w:hAnsi="Tahoma" w:cs="Tahoma"/>
          <w:color w:val="auto"/>
          <w:lang w:val="ro-RO"/>
        </w:rPr>
        <w:t xml:space="preserve"> </w:t>
      </w:r>
      <w:r w:rsidRPr="006024E4">
        <w:rPr>
          <w:rFonts w:ascii="Tahoma" w:hAnsi="Tahoma" w:cs="Tahoma"/>
          <w:color w:val="auto"/>
          <w:lang w:val="ro-RO"/>
        </w:rPr>
        <w:t>lei (0,</w:t>
      </w:r>
      <w:r w:rsidR="00355157" w:rsidRPr="006024E4">
        <w:rPr>
          <w:rFonts w:ascii="Tahoma" w:hAnsi="Tahoma" w:cs="Tahoma"/>
          <w:color w:val="auto"/>
          <w:lang w:val="ro-RO"/>
        </w:rPr>
        <w:t>1</w:t>
      </w:r>
      <w:r w:rsidRPr="006024E4">
        <w:rPr>
          <w:rFonts w:ascii="Tahoma" w:hAnsi="Tahoma" w:cs="Tahoma"/>
          <w:color w:val="auto"/>
          <w:lang w:val="ro-RO"/>
        </w:rPr>
        <w:t xml:space="preserve">% din PIB) și s-au realizat în proporție de </w:t>
      </w:r>
      <w:r w:rsidR="002D6103" w:rsidRPr="006024E4">
        <w:rPr>
          <w:rFonts w:ascii="Tahoma" w:hAnsi="Tahoma" w:cs="Tahoma"/>
          <w:color w:val="auto"/>
          <w:lang w:val="ro-RO"/>
        </w:rPr>
        <w:t>88,7</w:t>
      </w:r>
      <w:r w:rsidRPr="006024E4">
        <w:rPr>
          <w:rFonts w:ascii="Tahoma" w:hAnsi="Tahoma" w:cs="Tahoma"/>
          <w:color w:val="auto"/>
          <w:lang w:val="ro-RO"/>
        </w:rPr>
        <w:t xml:space="preserve">%. </w:t>
      </w:r>
      <w:r w:rsidR="0033447D" w:rsidRPr="006024E4">
        <w:rPr>
          <w:rFonts w:ascii="Tahoma" w:hAnsi="Tahoma" w:cs="Tahoma"/>
          <w:color w:val="auto"/>
          <w:lang w:val="ro-RO"/>
        </w:rPr>
        <w:t>Totodată, c</w:t>
      </w:r>
      <w:r w:rsidRPr="006024E4">
        <w:rPr>
          <w:rFonts w:ascii="Tahoma" w:hAnsi="Tahoma" w:cs="Tahoma"/>
          <w:color w:val="auto"/>
          <w:lang w:val="ro-RO"/>
        </w:rPr>
        <w:t>omparativ cu încasările din trimestrul I</w:t>
      </w:r>
      <w:r w:rsidR="009B2ED2" w:rsidRPr="006024E4">
        <w:rPr>
          <w:rFonts w:ascii="Tahoma" w:hAnsi="Tahoma" w:cs="Tahoma"/>
          <w:color w:val="auto"/>
          <w:lang w:val="ro-RO"/>
        </w:rPr>
        <w:t>I</w:t>
      </w:r>
      <w:r w:rsidR="002D6103" w:rsidRPr="006024E4">
        <w:rPr>
          <w:rFonts w:ascii="Tahoma" w:hAnsi="Tahoma" w:cs="Tahoma"/>
          <w:color w:val="auto"/>
          <w:lang w:val="ro-RO"/>
        </w:rPr>
        <w:t>I</w:t>
      </w:r>
      <w:r w:rsidRPr="006024E4">
        <w:rPr>
          <w:rFonts w:ascii="Tahoma" w:hAnsi="Tahoma" w:cs="Tahoma"/>
          <w:color w:val="auto"/>
          <w:lang w:val="ro-RO"/>
        </w:rPr>
        <w:t xml:space="preserve"> 20</w:t>
      </w:r>
      <w:r w:rsidR="00DE15CB" w:rsidRPr="006024E4">
        <w:rPr>
          <w:rFonts w:ascii="Tahoma" w:hAnsi="Tahoma" w:cs="Tahoma"/>
          <w:color w:val="auto"/>
          <w:lang w:val="ro-RO"/>
        </w:rPr>
        <w:t>2</w:t>
      </w:r>
      <w:r w:rsidR="005F1823" w:rsidRPr="006024E4">
        <w:rPr>
          <w:rFonts w:ascii="Tahoma" w:hAnsi="Tahoma" w:cs="Tahoma"/>
          <w:color w:val="auto"/>
          <w:lang w:val="ro-RO"/>
        </w:rPr>
        <w:t>1</w:t>
      </w:r>
      <w:r w:rsidRPr="006024E4">
        <w:rPr>
          <w:rFonts w:ascii="Tahoma" w:hAnsi="Tahoma" w:cs="Tahoma"/>
          <w:color w:val="auto"/>
          <w:lang w:val="ro-RO"/>
        </w:rPr>
        <w:t xml:space="preserve">, acestea </w:t>
      </w:r>
      <w:r w:rsidR="009B2ED2" w:rsidRPr="006024E4">
        <w:rPr>
          <w:rFonts w:ascii="Tahoma" w:hAnsi="Tahoma" w:cs="Tahoma"/>
          <w:color w:val="auto"/>
          <w:lang w:val="ro-RO"/>
        </w:rPr>
        <w:t>s-</w:t>
      </w:r>
      <w:r w:rsidRPr="006024E4">
        <w:rPr>
          <w:rFonts w:ascii="Tahoma" w:hAnsi="Tahoma" w:cs="Tahoma"/>
          <w:color w:val="auto"/>
          <w:lang w:val="ro-RO"/>
        </w:rPr>
        <w:t xml:space="preserve">au </w:t>
      </w:r>
      <w:r w:rsidR="009B2ED2" w:rsidRPr="006024E4">
        <w:rPr>
          <w:rFonts w:ascii="Tahoma" w:hAnsi="Tahoma" w:cs="Tahoma"/>
          <w:color w:val="auto"/>
          <w:lang w:val="ro-RO"/>
        </w:rPr>
        <w:t xml:space="preserve">redus cu </w:t>
      </w:r>
      <w:r w:rsidR="00C87FAE" w:rsidRPr="006024E4">
        <w:rPr>
          <w:rFonts w:ascii="Tahoma" w:hAnsi="Tahoma" w:cs="Tahoma"/>
          <w:color w:val="auto"/>
          <w:lang w:val="ro-RO"/>
        </w:rPr>
        <w:t>8,7</w:t>
      </w:r>
      <w:r w:rsidRPr="006024E4">
        <w:rPr>
          <w:rFonts w:ascii="Tahoma" w:hAnsi="Tahoma" w:cs="Tahoma"/>
          <w:color w:val="auto"/>
          <w:lang w:val="ro-RO"/>
        </w:rPr>
        <w:t>%</w:t>
      </w:r>
      <w:r w:rsidR="005F1823" w:rsidRPr="006024E4">
        <w:rPr>
          <w:rFonts w:ascii="Tahoma" w:hAnsi="Tahoma" w:cs="Tahoma"/>
          <w:color w:val="auto"/>
          <w:lang w:val="ro-RO"/>
        </w:rPr>
        <w:t>.</w:t>
      </w:r>
      <w:r w:rsidR="00F172E4" w:rsidRPr="006024E4">
        <w:rPr>
          <w:rFonts w:asciiTheme="minorHAnsi" w:eastAsia="Calibri" w:hAnsiTheme="minorHAnsi"/>
          <w:color w:val="000000" w:themeColor="text1"/>
          <w:lang w:val="ro-RO"/>
        </w:rPr>
        <w:t xml:space="preserve"> </w:t>
      </w:r>
      <w:r w:rsidR="00F172E4" w:rsidRPr="006024E4">
        <w:rPr>
          <w:rFonts w:ascii="Tahoma" w:hAnsi="Tahoma" w:cs="Tahoma"/>
          <w:color w:val="auto"/>
          <w:lang w:val="ro-RO"/>
        </w:rPr>
        <w:t>Scăderile menționate s-au înregistrat pe fondul unor acte normative prin care se acordă o serie de scutiri de la  plata impozitului pe clădiri, terenuri pentru cooperative agricole și pentru membrii cooperatori (Ordin nr. 190/1157/1460/2021</w:t>
      </w:r>
      <w:r w:rsidR="00F172E4" w:rsidRPr="006024E4">
        <w:rPr>
          <w:rFonts w:ascii="Tahoma" w:hAnsi="Tahoma" w:cs="Tahoma"/>
          <w:color w:val="auto"/>
          <w:vertAlign w:val="superscript"/>
          <w:lang w:val="ro-RO"/>
        </w:rPr>
        <w:footnoteReference w:id="5"/>
      </w:r>
      <w:r w:rsidR="00F172E4" w:rsidRPr="006024E4">
        <w:rPr>
          <w:rFonts w:ascii="Tahoma" w:hAnsi="Tahoma" w:cs="Tahoma"/>
          <w:color w:val="auto"/>
          <w:lang w:val="ro-RO"/>
        </w:rPr>
        <w:t xml:space="preserve">). </w:t>
      </w:r>
    </w:p>
    <w:p w:rsidR="002D538D" w:rsidRPr="006024E4" w:rsidRDefault="002D538D" w:rsidP="002D538D">
      <w:pPr>
        <w:pStyle w:val="NormalWeb"/>
        <w:shd w:val="clear" w:color="auto" w:fill="FFFFFF"/>
        <w:tabs>
          <w:tab w:val="left" w:pos="810"/>
        </w:tabs>
        <w:spacing w:before="120" w:after="120"/>
        <w:ind w:right="-58" w:firstLine="0"/>
        <w:rPr>
          <w:rFonts w:ascii="Tahoma" w:eastAsia="Calibri" w:hAnsi="Tahoma" w:cs="Tahoma"/>
          <w:lang w:val="ro-RO"/>
        </w:rPr>
      </w:pPr>
      <w:r w:rsidRPr="006024E4">
        <w:rPr>
          <w:rFonts w:ascii="Tahoma" w:eastAsia="Calibri" w:hAnsi="Tahoma" w:cs="Tahoma"/>
          <w:lang w:val="ro-RO"/>
        </w:rPr>
        <w:t xml:space="preserve">Încasările din </w:t>
      </w:r>
      <w:r w:rsidRPr="006024E4">
        <w:rPr>
          <w:rFonts w:ascii="Tahoma" w:eastAsia="Calibri" w:hAnsi="Tahoma" w:cs="Tahoma"/>
          <w:b/>
          <w:lang w:val="ro-RO"/>
        </w:rPr>
        <w:t>taxa pe valoarea adăugată</w:t>
      </w:r>
      <w:r w:rsidRPr="006024E4">
        <w:rPr>
          <w:rFonts w:ascii="Tahoma" w:eastAsia="Calibri" w:hAnsi="Tahoma" w:cs="Tahoma"/>
          <w:lang w:val="ro-RO"/>
        </w:rPr>
        <w:t xml:space="preserve"> au fost în sumă de 23,57 miliarde lei, înregistrând o creștere a încasărilor din TVA cu 14,2% (2,94 miliarde lei), comparativ cu încasările aferente trimestrului III 2021, și un grad de realizare al programului trimestrial de 97,1% (-0,71 miliarde lei). </w:t>
      </w:r>
    </w:p>
    <w:p w:rsidR="002D538D" w:rsidRPr="006024E4" w:rsidRDefault="002D538D" w:rsidP="002D538D">
      <w:pPr>
        <w:pStyle w:val="NormalWeb"/>
        <w:shd w:val="clear" w:color="auto" w:fill="FFFFFF"/>
        <w:tabs>
          <w:tab w:val="left" w:pos="810"/>
        </w:tabs>
        <w:spacing w:before="120" w:after="120"/>
        <w:ind w:right="-58" w:firstLine="0"/>
        <w:rPr>
          <w:rFonts w:ascii="Tahoma" w:eastAsia="Calibri" w:hAnsi="Tahoma" w:cs="Tahoma"/>
          <w:lang w:val="ro-RO"/>
        </w:rPr>
      </w:pPr>
      <w:r w:rsidRPr="006024E4">
        <w:rPr>
          <w:rFonts w:ascii="Tahoma" w:eastAsia="Calibri" w:hAnsi="Tahoma" w:cs="Tahoma"/>
          <w:lang w:val="ro-RO"/>
        </w:rPr>
        <w:lastRenderedPageBreak/>
        <w:t>În structură, TVA încasată</w:t>
      </w:r>
      <w:r w:rsidRPr="006024E4">
        <w:rPr>
          <w:rFonts w:ascii="Tahoma" w:eastAsia="Calibri" w:hAnsi="Tahoma" w:cs="Tahoma"/>
          <w:vertAlign w:val="superscript"/>
          <w:lang w:val="ro-RO"/>
        </w:rPr>
        <w:footnoteReference w:id="6"/>
      </w:r>
      <w:r w:rsidRPr="006024E4">
        <w:rPr>
          <w:rFonts w:ascii="Tahoma" w:eastAsia="Calibri" w:hAnsi="Tahoma" w:cs="Tahoma"/>
          <w:lang w:val="ro-RO"/>
        </w:rPr>
        <w:t xml:space="preserve"> s-a majorat cu 15,8% (+4,2 miliarde lei) față de trimestrul III al anului 2021</w:t>
      </w:r>
      <w:r w:rsidRPr="006024E4">
        <w:rPr>
          <w:rFonts w:ascii="Tahoma" w:eastAsia="Calibri" w:hAnsi="Tahoma" w:cs="Tahoma"/>
          <w:vertAlign w:val="superscript"/>
          <w:lang w:val="ro-RO"/>
        </w:rPr>
        <w:footnoteReference w:id="7"/>
      </w:r>
      <w:r w:rsidRPr="006024E4">
        <w:rPr>
          <w:rFonts w:ascii="Tahoma" w:eastAsia="Calibri" w:hAnsi="Tahoma" w:cs="Tahoma"/>
          <w:lang w:val="ro-RO"/>
        </w:rPr>
        <w:t xml:space="preserve">, iar valoarea restituirilor de taxă pe valoare adăugată a crescut cu 20,3% (-1,2 miliarde lei). În al treilea trimestru 2022 media TVA restituită a fost de 2,5 miliarde lei, situându-se peste media de 2,0 miliarde lei înregistrată în perioada similară a anului precedent. </w:t>
      </w:r>
    </w:p>
    <w:p w:rsidR="002D538D" w:rsidRPr="006024E4" w:rsidRDefault="002D538D" w:rsidP="002D538D">
      <w:pPr>
        <w:keepNext/>
        <w:keepLines/>
        <w:tabs>
          <w:tab w:val="left" w:pos="284"/>
        </w:tabs>
        <w:autoSpaceDE w:val="0"/>
        <w:autoSpaceDN w:val="0"/>
        <w:adjustRightInd w:val="0"/>
        <w:spacing w:after="120" w:line="276" w:lineRule="auto"/>
        <w:jc w:val="both"/>
        <w:rPr>
          <w:rFonts w:ascii="Tahoma" w:eastAsia="Calibri" w:hAnsi="Tahoma" w:cs="Tahoma"/>
          <w:sz w:val="24"/>
          <w:szCs w:val="24"/>
        </w:rPr>
      </w:pPr>
      <w:r w:rsidRPr="006024E4">
        <w:rPr>
          <w:rFonts w:ascii="Tahoma" w:eastAsia="Calibri" w:hAnsi="Tahoma" w:cs="Tahoma"/>
          <w:sz w:val="24"/>
          <w:szCs w:val="24"/>
        </w:rPr>
        <w:t>Evoluția volumului cifrei de afaceri din comerțul cu amănuntul</w:t>
      </w:r>
      <w:r w:rsidRPr="006024E4">
        <w:rPr>
          <w:rFonts w:ascii="Tahoma" w:eastAsia="Calibri" w:hAnsi="Tahoma" w:cs="Tahoma"/>
          <w:sz w:val="24"/>
          <w:szCs w:val="24"/>
          <w:vertAlign w:val="superscript"/>
        </w:rPr>
        <w:footnoteReference w:id="8"/>
      </w:r>
      <w:r w:rsidRPr="006024E4">
        <w:rPr>
          <w:rFonts w:ascii="Tahoma" w:eastAsia="Calibri" w:hAnsi="Tahoma" w:cs="Tahoma"/>
          <w:sz w:val="24"/>
          <w:szCs w:val="24"/>
          <w:vertAlign w:val="superscript"/>
        </w:rPr>
        <w:t xml:space="preserve"> </w:t>
      </w:r>
      <w:r w:rsidRPr="006024E4">
        <w:rPr>
          <w:rFonts w:ascii="Tahoma" w:eastAsia="Calibri" w:hAnsi="Tahoma" w:cs="Tahoma"/>
          <w:sz w:val="24"/>
          <w:szCs w:val="24"/>
        </w:rPr>
        <w:t xml:space="preserve">(cu excepția comerțului cu autovehicule și motociclete), serie brută, în perioada 1.I-31.VIII.2022, comparativ cu perioada 1.I-31.VIII.2021, a înregistrat o </w:t>
      </w:r>
      <w:proofErr w:type="spellStart"/>
      <w:r w:rsidRPr="006024E4">
        <w:rPr>
          <w:rFonts w:ascii="Tahoma" w:eastAsia="Calibri" w:hAnsi="Tahoma" w:cs="Tahoma"/>
          <w:sz w:val="24"/>
          <w:szCs w:val="24"/>
        </w:rPr>
        <w:t>creştere</w:t>
      </w:r>
      <w:proofErr w:type="spellEnd"/>
      <w:r w:rsidRPr="006024E4">
        <w:rPr>
          <w:rFonts w:ascii="Tahoma" w:eastAsia="Calibri" w:hAnsi="Tahoma" w:cs="Tahoma"/>
          <w:sz w:val="24"/>
          <w:szCs w:val="24"/>
        </w:rPr>
        <w:t xml:space="preserve">, pe ansamblu, cu 4,8%, datorită </w:t>
      </w:r>
      <w:proofErr w:type="spellStart"/>
      <w:r w:rsidRPr="006024E4">
        <w:rPr>
          <w:rFonts w:ascii="Tahoma" w:eastAsia="Calibri" w:hAnsi="Tahoma" w:cs="Tahoma"/>
          <w:sz w:val="24"/>
          <w:szCs w:val="24"/>
        </w:rPr>
        <w:t>creşterii</w:t>
      </w:r>
      <w:proofErr w:type="spellEnd"/>
      <w:r w:rsidRPr="006024E4">
        <w:rPr>
          <w:rFonts w:ascii="Tahoma" w:eastAsia="Calibri" w:hAnsi="Tahoma" w:cs="Tahoma"/>
          <w:sz w:val="24"/>
          <w:szCs w:val="24"/>
        </w:rPr>
        <w:t xml:space="preserve"> </w:t>
      </w:r>
      <w:proofErr w:type="spellStart"/>
      <w:r w:rsidRPr="006024E4">
        <w:rPr>
          <w:rFonts w:ascii="Tahoma" w:eastAsia="Calibri" w:hAnsi="Tahoma" w:cs="Tahoma"/>
          <w:sz w:val="24"/>
          <w:szCs w:val="24"/>
        </w:rPr>
        <w:t>comerţului</w:t>
      </w:r>
      <w:proofErr w:type="spellEnd"/>
      <w:r w:rsidRPr="006024E4">
        <w:rPr>
          <w:rFonts w:ascii="Tahoma" w:eastAsia="Calibri" w:hAnsi="Tahoma" w:cs="Tahoma"/>
          <w:sz w:val="24"/>
          <w:szCs w:val="24"/>
        </w:rPr>
        <w:t xml:space="preserve"> cu amănuntul al </w:t>
      </w:r>
      <w:proofErr w:type="spellStart"/>
      <w:r w:rsidRPr="006024E4">
        <w:rPr>
          <w:rFonts w:ascii="Tahoma" w:eastAsia="Calibri" w:hAnsi="Tahoma" w:cs="Tahoma"/>
          <w:sz w:val="24"/>
          <w:szCs w:val="24"/>
        </w:rPr>
        <w:t>carburanţilor</w:t>
      </w:r>
      <w:proofErr w:type="spellEnd"/>
      <w:r w:rsidRPr="006024E4">
        <w:rPr>
          <w:rFonts w:ascii="Tahoma" w:eastAsia="Calibri" w:hAnsi="Tahoma" w:cs="Tahoma"/>
          <w:sz w:val="24"/>
          <w:szCs w:val="24"/>
        </w:rPr>
        <w:t xml:space="preserve"> pentru autovehicule în magazine specializate (+8,5%), vânzărilor de produse nealimentare (+5,0%) </w:t>
      </w:r>
      <w:proofErr w:type="spellStart"/>
      <w:r w:rsidRPr="006024E4">
        <w:rPr>
          <w:rFonts w:ascii="Tahoma" w:eastAsia="Calibri" w:hAnsi="Tahoma" w:cs="Tahoma"/>
          <w:sz w:val="24"/>
          <w:szCs w:val="24"/>
        </w:rPr>
        <w:t>şi</w:t>
      </w:r>
      <w:proofErr w:type="spellEnd"/>
      <w:r w:rsidRPr="006024E4">
        <w:rPr>
          <w:rFonts w:ascii="Tahoma" w:eastAsia="Calibri" w:hAnsi="Tahoma" w:cs="Tahoma"/>
          <w:sz w:val="24"/>
          <w:szCs w:val="24"/>
        </w:rPr>
        <w:t xml:space="preserve"> vânzărilor de produse alimentare, băuturi </w:t>
      </w:r>
      <w:proofErr w:type="spellStart"/>
      <w:r w:rsidRPr="006024E4">
        <w:rPr>
          <w:rFonts w:ascii="Tahoma" w:eastAsia="Calibri" w:hAnsi="Tahoma" w:cs="Tahoma"/>
          <w:sz w:val="24"/>
          <w:szCs w:val="24"/>
        </w:rPr>
        <w:t>şi</w:t>
      </w:r>
      <w:proofErr w:type="spellEnd"/>
      <w:r w:rsidRPr="006024E4">
        <w:rPr>
          <w:rFonts w:ascii="Tahoma" w:eastAsia="Calibri" w:hAnsi="Tahoma" w:cs="Tahoma"/>
          <w:sz w:val="24"/>
          <w:szCs w:val="24"/>
        </w:rPr>
        <w:t xml:space="preserve"> tutun (+2,5%). Valoarea schimburilor extra comunitare de bunuri </w:t>
      </w:r>
      <w:r w:rsidRPr="006024E4">
        <w:rPr>
          <w:rFonts w:ascii="Tahoma" w:eastAsia="Calibri" w:hAnsi="Tahoma" w:cs="Tahoma"/>
          <w:sz w:val="24"/>
          <w:szCs w:val="24"/>
          <w:vertAlign w:val="superscript"/>
        </w:rPr>
        <w:footnoteReference w:id="9"/>
      </w:r>
      <w:r w:rsidRPr="006024E4">
        <w:rPr>
          <w:rFonts w:ascii="Tahoma" w:eastAsia="Calibri" w:hAnsi="Tahoma" w:cs="Tahoma"/>
          <w:sz w:val="24"/>
          <w:szCs w:val="24"/>
          <w:vertAlign w:val="superscript"/>
        </w:rPr>
        <w:t xml:space="preserve"> </w:t>
      </w:r>
      <w:r w:rsidRPr="006024E4">
        <w:rPr>
          <w:rFonts w:ascii="Tahoma" w:eastAsia="Calibri" w:hAnsi="Tahoma" w:cs="Tahoma"/>
          <w:sz w:val="24"/>
          <w:szCs w:val="24"/>
        </w:rPr>
        <w:t xml:space="preserve">(Extra-UE27) a crescut cu 44,7% la importuri și cu 29,6% la exporturi (la valori exprimate în lei) în primele 8 luni ale anului 2022 comparativ cu perioada similară a anului precedent. </w:t>
      </w:r>
    </w:p>
    <w:p w:rsidR="002D538D" w:rsidRPr="006024E4" w:rsidRDefault="002D538D" w:rsidP="002D538D">
      <w:pPr>
        <w:tabs>
          <w:tab w:val="left" w:pos="284"/>
        </w:tabs>
        <w:suppressAutoHyphens/>
        <w:autoSpaceDE w:val="0"/>
        <w:autoSpaceDN w:val="0"/>
        <w:adjustRightInd w:val="0"/>
        <w:spacing w:after="0" w:line="276" w:lineRule="auto"/>
        <w:jc w:val="both"/>
        <w:rPr>
          <w:rFonts w:ascii="Tahoma" w:eastAsia="SimSun" w:hAnsi="Tahoma" w:cs="Tahoma"/>
          <w:kern w:val="1"/>
          <w:sz w:val="24"/>
          <w:szCs w:val="24"/>
          <w:lang w:eastAsia="zh-CN"/>
        </w:rPr>
      </w:pPr>
      <w:r w:rsidRPr="006024E4">
        <w:rPr>
          <w:rFonts w:ascii="Tahoma" w:eastAsia="SimSun" w:hAnsi="Tahoma" w:cs="Tahoma"/>
          <w:kern w:val="1"/>
          <w:sz w:val="24"/>
          <w:szCs w:val="24"/>
          <w:lang w:eastAsia="zh-CN"/>
        </w:rPr>
        <w:t xml:space="preserve">Veniturile din </w:t>
      </w:r>
      <w:r w:rsidRPr="006024E4">
        <w:rPr>
          <w:rFonts w:ascii="Tahoma" w:eastAsia="SimSun" w:hAnsi="Tahoma" w:cs="Tahoma"/>
          <w:b/>
          <w:kern w:val="1"/>
          <w:sz w:val="24"/>
          <w:szCs w:val="24"/>
          <w:lang w:eastAsia="zh-CN"/>
        </w:rPr>
        <w:t>accize</w:t>
      </w:r>
      <w:r w:rsidRPr="006024E4">
        <w:rPr>
          <w:rFonts w:ascii="Tahoma" w:eastAsia="SimSun" w:hAnsi="Tahoma" w:cs="Tahoma"/>
          <w:kern w:val="1"/>
          <w:sz w:val="24"/>
          <w:szCs w:val="24"/>
          <w:lang w:eastAsia="zh-CN"/>
        </w:rPr>
        <w:t xml:space="preserve"> au însumat 9,82 miliarde lei, în creștere cu 4,2% (0,39 miliarde lei) față de aceeași perioadă a anului precedent, iar gradul de realizare al programului stabilit pentru această perioadă a fost de 90,0% (-1,1 miliarde lei).</w:t>
      </w:r>
    </w:p>
    <w:p w:rsidR="002D538D" w:rsidRPr="006024E4" w:rsidRDefault="002D538D" w:rsidP="002D538D">
      <w:pPr>
        <w:tabs>
          <w:tab w:val="left" w:pos="284"/>
        </w:tabs>
        <w:suppressAutoHyphens/>
        <w:autoSpaceDE w:val="0"/>
        <w:autoSpaceDN w:val="0"/>
        <w:adjustRightInd w:val="0"/>
        <w:spacing w:after="0" w:line="276" w:lineRule="auto"/>
        <w:jc w:val="both"/>
        <w:rPr>
          <w:rFonts w:ascii="Tahoma" w:eastAsia="SimSun" w:hAnsi="Tahoma" w:cs="Tahoma"/>
          <w:kern w:val="1"/>
          <w:sz w:val="24"/>
          <w:szCs w:val="24"/>
          <w:lang w:eastAsia="zh-CN"/>
        </w:rPr>
      </w:pPr>
      <w:r w:rsidRPr="006024E4">
        <w:rPr>
          <w:rFonts w:ascii="Tahoma" w:eastAsia="SimSun" w:hAnsi="Tahoma" w:cs="Tahoma"/>
          <w:kern w:val="1"/>
          <w:sz w:val="24"/>
          <w:szCs w:val="24"/>
          <w:lang w:eastAsia="zh-CN"/>
        </w:rPr>
        <w:t>În structură, evoluția  accizelor încasate din vânzarea produselor energetice (al cărui nivel a fost majorat de la 1 ianuarie 2022 cu 3,6%),  înregistrează în perioada analizată o diminuare cu 0,8%, pe seama scăderii cu 2,5% a încasărilor din lunile iulie-august 2022.</w:t>
      </w:r>
    </w:p>
    <w:p w:rsidR="002D538D" w:rsidRPr="006024E4" w:rsidRDefault="002D538D" w:rsidP="002D538D">
      <w:pPr>
        <w:tabs>
          <w:tab w:val="left" w:pos="284"/>
        </w:tabs>
        <w:suppressAutoHyphens/>
        <w:autoSpaceDE w:val="0"/>
        <w:autoSpaceDN w:val="0"/>
        <w:adjustRightInd w:val="0"/>
        <w:spacing w:after="0" w:line="276" w:lineRule="auto"/>
        <w:jc w:val="both"/>
        <w:rPr>
          <w:rFonts w:ascii="Tahoma" w:eastAsia="SimSun" w:hAnsi="Tahoma" w:cs="Tahoma"/>
          <w:kern w:val="1"/>
          <w:sz w:val="24"/>
          <w:szCs w:val="24"/>
          <w:lang w:eastAsia="zh-CN"/>
        </w:rPr>
      </w:pPr>
      <w:r w:rsidRPr="006024E4">
        <w:rPr>
          <w:rFonts w:ascii="Tahoma" w:eastAsia="SimSun" w:hAnsi="Tahoma" w:cs="Tahoma"/>
          <w:kern w:val="1"/>
          <w:sz w:val="24"/>
          <w:szCs w:val="24"/>
          <w:lang w:eastAsia="zh-CN"/>
        </w:rPr>
        <w:t>Accizele pentru produsele din tutun cresc cu 9,7% (+0,4 miliarde lei), pe seama avansului încasărilor din lunile iulie-august 2022 de 53,1%, atenuat însă de scăderea cu 51,5%  înregistrată în luna septembrie 2022 când nivelul accizei la țigarete a fost majorat cu 5,5%(de la 563,97 lei/1000 țigarete începând cu data de 1 aprilie 2021 la 594,97 lei/1000 țigarete începând cu data de 1 august 2022</w:t>
      </w:r>
      <w:r w:rsidRPr="006024E4">
        <w:rPr>
          <w:rFonts w:ascii="Tahoma" w:eastAsia="SimSun" w:hAnsi="Tahoma" w:cs="Tahoma"/>
          <w:kern w:val="1"/>
          <w:sz w:val="24"/>
          <w:szCs w:val="24"/>
          <w:vertAlign w:val="superscript"/>
          <w:lang w:eastAsia="zh-CN"/>
        </w:rPr>
        <w:footnoteReference w:id="10"/>
      </w:r>
      <w:r w:rsidRPr="006024E4">
        <w:rPr>
          <w:rFonts w:ascii="Tahoma" w:eastAsia="SimSun" w:hAnsi="Tahoma" w:cs="Tahoma"/>
          <w:kern w:val="1"/>
          <w:sz w:val="24"/>
          <w:szCs w:val="24"/>
          <w:lang w:eastAsia="zh-CN"/>
        </w:rPr>
        <w:t>).</w:t>
      </w:r>
    </w:p>
    <w:p w:rsidR="009670AA" w:rsidRPr="006024E4" w:rsidRDefault="009670AA" w:rsidP="00AA5AD5">
      <w:pPr>
        <w:autoSpaceDE w:val="0"/>
        <w:autoSpaceDN w:val="0"/>
        <w:adjustRightInd w:val="0"/>
        <w:spacing w:after="120" w:line="276" w:lineRule="auto"/>
        <w:jc w:val="both"/>
        <w:rPr>
          <w:rFonts w:ascii="Tahoma" w:hAnsi="Tahoma" w:cs="Tahoma"/>
          <w:bCs/>
          <w:sz w:val="24"/>
          <w:szCs w:val="24"/>
        </w:rPr>
      </w:pPr>
      <w:r w:rsidRPr="006024E4">
        <w:rPr>
          <w:rFonts w:ascii="Tahoma" w:hAnsi="Tahoma" w:cs="Tahoma"/>
          <w:bCs/>
          <w:sz w:val="24"/>
          <w:szCs w:val="24"/>
        </w:rPr>
        <w:t>Încasările din categoria</w:t>
      </w:r>
      <w:r w:rsidRPr="006024E4">
        <w:rPr>
          <w:rFonts w:ascii="Tahoma" w:hAnsi="Tahoma" w:cs="Tahoma"/>
          <w:b/>
          <w:bCs/>
          <w:sz w:val="24"/>
          <w:szCs w:val="24"/>
        </w:rPr>
        <w:t xml:space="preserve"> alte impozite și taxe generale pe bunuri și servicii</w:t>
      </w:r>
      <w:r w:rsidRPr="006024E4">
        <w:rPr>
          <w:rFonts w:ascii="Tahoma" w:hAnsi="Tahoma" w:cs="Tahoma"/>
          <w:bCs/>
          <w:sz w:val="24"/>
          <w:szCs w:val="24"/>
        </w:rPr>
        <w:t xml:space="preserve"> în </w:t>
      </w:r>
      <w:r w:rsidR="00F43AC3" w:rsidRPr="006024E4">
        <w:rPr>
          <w:rFonts w:ascii="Tahoma" w:hAnsi="Tahoma" w:cs="Tahoma"/>
          <w:bCs/>
          <w:sz w:val="24"/>
          <w:szCs w:val="24"/>
        </w:rPr>
        <w:t xml:space="preserve">al </w:t>
      </w:r>
      <w:r w:rsidR="002D538D" w:rsidRPr="006024E4">
        <w:rPr>
          <w:rFonts w:ascii="Tahoma" w:hAnsi="Tahoma" w:cs="Tahoma"/>
          <w:bCs/>
          <w:sz w:val="24"/>
          <w:szCs w:val="24"/>
        </w:rPr>
        <w:t>tre</w:t>
      </w:r>
      <w:r w:rsidR="00F43AC3" w:rsidRPr="006024E4">
        <w:rPr>
          <w:rFonts w:ascii="Tahoma" w:hAnsi="Tahoma" w:cs="Tahoma"/>
          <w:bCs/>
          <w:sz w:val="24"/>
          <w:szCs w:val="24"/>
        </w:rPr>
        <w:t>ilea</w:t>
      </w:r>
      <w:r w:rsidRPr="006024E4">
        <w:rPr>
          <w:rFonts w:ascii="Tahoma" w:hAnsi="Tahoma" w:cs="Tahoma"/>
          <w:bCs/>
          <w:sz w:val="24"/>
          <w:szCs w:val="24"/>
        </w:rPr>
        <w:t xml:space="preserve"> trimestru al anului curent au fost în sumă de </w:t>
      </w:r>
      <w:r w:rsidR="002D538D" w:rsidRPr="006024E4">
        <w:rPr>
          <w:rFonts w:ascii="Tahoma" w:hAnsi="Tahoma" w:cs="Tahoma"/>
          <w:bCs/>
          <w:sz w:val="24"/>
          <w:szCs w:val="24"/>
        </w:rPr>
        <w:t>3,96</w:t>
      </w:r>
      <w:r w:rsidRPr="006024E4">
        <w:rPr>
          <w:rFonts w:ascii="Tahoma" w:hAnsi="Tahoma" w:cs="Tahoma"/>
          <w:bCs/>
          <w:sz w:val="24"/>
          <w:szCs w:val="24"/>
        </w:rPr>
        <w:t xml:space="preserve"> miliarde lei (0,</w:t>
      </w:r>
      <w:r w:rsidR="00F43AC3" w:rsidRPr="006024E4">
        <w:rPr>
          <w:rFonts w:ascii="Tahoma" w:hAnsi="Tahoma" w:cs="Tahoma"/>
          <w:bCs/>
          <w:sz w:val="24"/>
          <w:szCs w:val="24"/>
        </w:rPr>
        <w:t>3</w:t>
      </w:r>
      <w:r w:rsidRPr="006024E4">
        <w:rPr>
          <w:rFonts w:ascii="Tahoma" w:hAnsi="Tahoma" w:cs="Tahoma"/>
          <w:bCs/>
          <w:sz w:val="24"/>
          <w:szCs w:val="24"/>
        </w:rPr>
        <w:t>% din PIB), depășind programul trimestrial</w:t>
      </w:r>
      <w:r w:rsidR="002D538D" w:rsidRPr="006024E4">
        <w:rPr>
          <w:rFonts w:ascii="Tahoma" w:hAnsi="Tahoma" w:cs="Tahoma"/>
          <w:bCs/>
          <w:sz w:val="24"/>
          <w:szCs w:val="24"/>
        </w:rPr>
        <w:t xml:space="preserve"> cu 7</w:t>
      </w:r>
      <w:r w:rsidR="00267006" w:rsidRPr="006024E4">
        <w:rPr>
          <w:rFonts w:ascii="Tahoma" w:hAnsi="Tahoma" w:cs="Tahoma"/>
          <w:bCs/>
          <w:sz w:val="24"/>
          <w:szCs w:val="24"/>
        </w:rPr>
        <w:t>,</w:t>
      </w:r>
      <w:r w:rsidR="002D538D" w:rsidRPr="006024E4">
        <w:rPr>
          <w:rFonts w:ascii="Tahoma" w:hAnsi="Tahoma" w:cs="Tahoma"/>
          <w:bCs/>
          <w:sz w:val="24"/>
          <w:szCs w:val="24"/>
        </w:rPr>
        <w:t>9%(+0,29 miliarde lei)</w:t>
      </w:r>
      <w:r w:rsidRPr="006024E4">
        <w:rPr>
          <w:rFonts w:ascii="Tahoma" w:hAnsi="Tahoma" w:cs="Tahoma"/>
          <w:bCs/>
          <w:sz w:val="24"/>
          <w:szCs w:val="24"/>
        </w:rPr>
        <w:t>.</w:t>
      </w:r>
      <w:r w:rsidR="00AF0A9B" w:rsidRPr="006024E4">
        <w:rPr>
          <w:rFonts w:ascii="Tahoma" w:hAnsi="Tahoma" w:cs="Tahoma"/>
          <w:bCs/>
          <w:sz w:val="24"/>
          <w:szCs w:val="24"/>
        </w:rPr>
        <w:t xml:space="preserve"> Comparativ cu aceeași perioadă a anului anterior încasările au crescut cu </w:t>
      </w:r>
      <w:r w:rsidR="00267006" w:rsidRPr="006024E4">
        <w:rPr>
          <w:rFonts w:ascii="Tahoma" w:hAnsi="Tahoma" w:cs="Tahoma"/>
          <w:bCs/>
          <w:sz w:val="24"/>
          <w:szCs w:val="24"/>
        </w:rPr>
        <w:t>2,79</w:t>
      </w:r>
      <w:r w:rsidR="00AF0A9B" w:rsidRPr="006024E4">
        <w:rPr>
          <w:rFonts w:ascii="Tahoma" w:hAnsi="Tahoma" w:cs="Tahoma"/>
          <w:bCs/>
          <w:sz w:val="24"/>
          <w:szCs w:val="24"/>
        </w:rPr>
        <w:t xml:space="preserve"> miliarde lei</w:t>
      </w:r>
      <w:r w:rsidR="004F7E86" w:rsidRPr="006024E4">
        <w:rPr>
          <w:rFonts w:ascii="Tahoma" w:hAnsi="Tahoma" w:cs="Tahoma"/>
          <w:bCs/>
          <w:sz w:val="24"/>
          <w:szCs w:val="24"/>
        </w:rPr>
        <w:t>,</w:t>
      </w:r>
      <w:r w:rsidR="00AF0A9B" w:rsidRPr="006024E4">
        <w:rPr>
          <w:rFonts w:ascii="Tahoma" w:hAnsi="Tahoma" w:cs="Tahoma"/>
          <w:bCs/>
          <w:sz w:val="24"/>
          <w:szCs w:val="24"/>
        </w:rPr>
        <w:t xml:space="preserve"> iar ca procent în PIB </w:t>
      </w:r>
      <w:r w:rsidR="004F7E86" w:rsidRPr="006024E4">
        <w:rPr>
          <w:rFonts w:ascii="Tahoma" w:hAnsi="Tahoma" w:cs="Tahoma"/>
          <w:bCs/>
          <w:sz w:val="24"/>
          <w:szCs w:val="24"/>
        </w:rPr>
        <w:t>ș</w:t>
      </w:r>
      <w:r w:rsidR="00AF0A9B" w:rsidRPr="006024E4">
        <w:rPr>
          <w:rFonts w:ascii="Tahoma" w:hAnsi="Tahoma" w:cs="Tahoma"/>
          <w:bCs/>
          <w:sz w:val="24"/>
          <w:szCs w:val="24"/>
        </w:rPr>
        <w:t>i-au î</w:t>
      </w:r>
      <w:r w:rsidR="00005DE0" w:rsidRPr="006024E4">
        <w:rPr>
          <w:rFonts w:ascii="Tahoma" w:hAnsi="Tahoma" w:cs="Tahoma"/>
          <w:bCs/>
          <w:sz w:val="24"/>
          <w:szCs w:val="24"/>
        </w:rPr>
        <w:t>m</w:t>
      </w:r>
      <w:r w:rsidR="00AF0A9B" w:rsidRPr="006024E4">
        <w:rPr>
          <w:rFonts w:ascii="Tahoma" w:hAnsi="Tahoma" w:cs="Tahoma"/>
          <w:bCs/>
          <w:sz w:val="24"/>
          <w:szCs w:val="24"/>
        </w:rPr>
        <w:t>bună</w:t>
      </w:r>
      <w:r w:rsidR="00005DE0" w:rsidRPr="006024E4">
        <w:rPr>
          <w:rFonts w:ascii="Tahoma" w:hAnsi="Tahoma" w:cs="Tahoma"/>
          <w:bCs/>
          <w:sz w:val="24"/>
          <w:szCs w:val="24"/>
        </w:rPr>
        <w:t>tă</w:t>
      </w:r>
      <w:r w:rsidR="00AF0A9B" w:rsidRPr="006024E4">
        <w:rPr>
          <w:rFonts w:ascii="Tahoma" w:hAnsi="Tahoma" w:cs="Tahoma"/>
          <w:bCs/>
          <w:sz w:val="24"/>
          <w:szCs w:val="24"/>
        </w:rPr>
        <w:t>țit ponderea cu 0,</w:t>
      </w:r>
      <w:r w:rsidR="00F43AC3" w:rsidRPr="006024E4">
        <w:rPr>
          <w:rFonts w:ascii="Tahoma" w:hAnsi="Tahoma" w:cs="Tahoma"/>
          <w:bCs/>
          <w:sz w:val="24"/>
          <w:szCs w:val="24"/>
        </w:rPr>
        <w:t>2</w:t>
      </w:r>
      <w:r w:rsidR="00AF0A9B" w:rsidRPr="006024E4">
        <w:rPr>
          <w:rFonts w:ascii="Tahoma" w:hAnsi="Tahoma" w:cs="Tahoma"/>
          <w:bCs/>
          <w:sz w:val="24"/>
          <w:szCs w:val="24"/>
        </w:rPr>
        <w:t xml:space="preserve"> puncte procentuale de la 0,1 % din PIB cât au fost în </w:t>
      </w:r>
      <w:r w:rsidR="004F7E86" w:rsidRPr="006024E4">
        <w:rPr>
          <w:rFonts w:ascii="Tahoma" w:hAnsi="Tahoma" w:cs="Tahoma"/>
          <w:bCs/>
          <w:sz w:val="24"/>
          <w:szCs w:val="24"/>
        </w:rPr>
        <w:t>trimestrul</w:t>
      </w:r>
      <w:r w:rsidR="00AF0A9B" w:rsidRPr="006024E4">
        <w:rPr>
          <w:rFonts w:ascii="Tahoma" w:hAnsi="Tahoma" w:cs="Tahoma"/>
          <w:bCs/>
          <w:sz w:val="24"/>
          <w:szCs w:val="24"/>
        </w:rPr>
        <w:t xml:space="preserve"> I</w:t>
      </w:r>
      <w:r w:rsidR="00F43AC3" w:rsidRPr="006024E4">
        <w:rPr>
          <w:rFonts w:ascii="Tahoma" w:hAnsi="Tahoma" w:cs="Tahoma"/>
          <w:bCs/>
          <w:sz w:val="24"/>
          <w:szCs w:val="24"/>
        </w:rPr>
        <w:t>I</w:t>
      </w:r>
      <w:r w:rsidR="00267006" w:rsidRPr="006024E4">
        <w:rPr>
          <w:rFonts w:ascii="Tahoma" w:hAnsi="Tahoma" w:cs="Tahoma"/>
          <w:bCs/>
          <w:sz w:val="24"/>
          <w:szCs w:val="24"/>
        </w:rPr>
        <w:t>I</w:t>
      </w:r>
      <w:r w:rsidR="00AF0A9B" w:rsidRPr="006024E4">
        <w:rPr>
          <w:rFonts w:ascii="Tahoma" w:hAnsi="Tahoma" w:cs="Tahoma"/>
          <w:bCs/>
          <w:sz w:val="24"/>
          <w:szCs w:val="24"/>
        </w:rPr>
        <w:t xml:space="preserve"> 2021 la 0,</w:t>
      </w:r>
      <w:r w:rsidR="00F43AC3" w:rsidRPr="006024E4">
        <w:rPr>
          <w:rFonts w:ascii="Tahoma" w:hAnsi="Tahoma" w:cs="Tahoma"/>
          <w:bCs/>
          <w:sz w:val="24"/>
          <w:szCs w:val="24"/>
        </w:rPr>
        <w:t>3</w:t>
      </w:r>
      <w:r w:rsidR="00AF0A9B" w:rsidRPr="006024E4">
        <w:rPr>
          <w:rFonts w:ascii="Tahoma" w:hAnsi="Tahoma" w:cs="Tahoma"/>
          <w:bCs/>
          <w:sz w:val="24"/>
          <w:szCs w:val="24"/>
        </w:rPr>
        <w:t>% din PIB în perioada analizată.</w:t>
      </w:r>
    </w:p>
    <w:p w:rsidR="00267006" w:rsidRPr="006024E4" w:rsidRDefault="00AF0A9B" w:rsidP="00F172E4">
      <w:pPr>
        <w:autoSpaceDE w:val="0"/>
        <w:autoSpaceDN w:val="0"/>
        <w:adjustRightInd w:val="0"/>
        <w:spacing w:line="276" w:lineRule="auto"/>
        <w:jc w:val="both"/>
        <w:rPr>
          <w:rFonts w:ascii="Tahoma" w:eastAsia="SimSun" w:hAnsi="Tahoma" w:cs="Tahoma"/>
          <w:bCs/>
          <w:kern w:val="1"/>
          <w:sz w:val="24"/>
          <w:szCs w:val="24"/>
          <w:lang w:eastAsia="zh-CN"/>
        </w:rPr>
      </w:pPr>
      <w:r w:rsidRPr="006024E4">
        <w:rPr>
          <w:rFonts w:ascii="Tahoma" w:hAnsi="Tahoma" w:cs="Tahoma"/>
          <w:bCs/>
          <w:sz w:val="24"/>
          <w:szCs w:val="24"/>
        </w:rPr>
        <w:t xml:space="preserve">Evoluția încasărilor atât față de programul trimestrial cât și față de încasările din perioada similară a anului precedent s-a datorat încasărilor înregistrate la bugetul de stat care au </w:t>
      </w:r>
      <w:r w:rsidR="00381013" w:rsidRPr="006024E4">
        <w:rPr>
          <w:rFonts w:ascii="Tahoma" w:hAnsi="Tahoma" w:cs="Tahoma"/>
          <w:bCs/>
          <w:sz w:val="24"/>
          <w:szCs w:val="24"/>
        </w:rPr>
        <w:t>avut</w:t>
      </w:r>
      <w:r w:rsidRPr="006024E4">
        <w:rPr>
          <w:rFonts w:ascii="Tahoma" w:hAnsi="Tahoma" w:cs="Tahoma"/>
          <w:bCs/>
          <w:sz w:val="24"/>
          <w:szCs w:val="24"/>
        </w:rPr>
        <w:t xml:space="preserve"> o</w:t>
      </w:r>
      <w:r w:rsidR="009670AA" w:rsidRPr="006024E4">
        <w:rPr>
          <w:rFonts w:ascii="Tahoma" w:hAnsi="Tahoma" w:cs="Tahoma"/>
          <w:bCs/>
          <w:sz w:val="24"/>
          <w:szCs w:val="24"/>
        </w:rPr>
        <w:t xml:space="preserve"> creștere semnificativă de </w:t>
      </w:r>
      <w:r w:rsidR="00267006" w:rsidRPr="006024E4">
        <w:rPr>
          <w:rFonts w:ascii="Tahoma" w:eastAsia="SimSun" w:hAnsi="Tahoma" w:cs="Tahoma"/>
          <w:bCs/>
          <w:kern w:val="1"/>
          <w:sz w:val="24"/>
          <w:szCs w:val="24"/>
          <w:lang w:eastAsia="zh-CN"/>
        </w:rPr>
        <w:t>2,7</w:t>
      </w:r>
      <w:r w:rsidR="003C6FCF" w:rsidRPr="006024E4">
        <w:rPr>
          <w:rFonts w:ascii="Tahoma" w:eastAsia="SimSun" w:hAnsi="Tahoma" w:cs="Tahoma"/>
          <w:bCs/>
          <w:kern w:val="1"/>
          <w:sz w:val="24"/>
          <w:szCs w:val="24"/>
          <w:lang w:eastAsia="zh-CN"/>
        </w:rPr>
        <w:t xml:space="preserve"> miliarde lei față de anul precedent, </w:t>
      </w:r>
      <w:r w:rsidR="00267006" w:rsidRPr="006024E4">
        <w:rPr>
          <w:rFonts w:ascii="Tahoma" w:hAnsi="Tahoma" w:cs="Tahoma"/>
          <w:bCs/>
          <w:sz w:val="24"/>
          <w:szCs w:val="24"/>
        </w:rPr>
        <w:t xml:space="preserve">pe seama impozitului pe veniturile suplimentare obținute ca urmare a </w:t>
      </w:r>
      <w:proofErr w:type="spellStart"/>
      <w:r w:rsidR="00267006" w:rsidRPr="006024E4">
        <w:rPr>
          <w:rFonts w:ascii="Tahoma" w:hAnsi="Tahoma" w:cs="Tahoma"/>
          <w:bCs/>
          <w:sz w:val="24"/>
          <w:szCs w:val="24"/>
        </w:rPr>
        <w:t>dereglementării</w:t>
      </w:r>
      <w:proofErr w:type="spellEnd"/>
      <w:r w:rsidR="00267006" w:rsidRPr="006024E4">
        <w:rPr>
          <w:rFonts w:ascii="Tahoma" w:hAnsi="Tahoma" w:cs="Tahoma"/>
          <w:bCs/>
          <w:sz w:val="24"/>
          <w:szCs w:val="24"/>
        </w:rPr>
        <w:t xml:space="preserve"> prețurilor din sectorul gazelor </w:t>
      </w:r>
      <w:r w:rsidR="00267006" w:rsidRPr="006024E4">
        <w:rPr>
          <w:rFonts w:ascii="Tahoma" w:hAnsi="Tahoma" w:cs="Tahoma"/>
          <w:bCs/>
          <w:sz w:val="24"/>
          <w:szCs w:val="24"/>
        </w:rPr>
        <w:lastRenderedPageBreak/>
        <w:t xml:space="preserve">naturale (+1,6 miliarde lei) și a impozitului aplicat asupra venitului suplimentar realizat de producătorii de energie electrică în conformitate cu Legea nr.259/2021 (+1,1 miliarde lei). </w:t>
      </w:r>
    </w:p>
    <w:p w:rsidR="009D126E" w:rsidRPr="006024E4" w:rsidRDefault="00DD52A5" w:rsidP="00381013">
      <w:pPr>
        <w:autoSpaceDE w:val="0"/>
        <w:autoSpaceDN w:val="0"/>
        <w:adjustRightInd w:val="0"/>
        <w:spacing w:line="276" w:lineRule="auto"/>
        <w:jc w:val="both"/>
        <w:rPr>
          <w:rFonts w:ascii="Tahoma" w:hAnsi="Tahoma" w:cs="Tahoma"/>
          <w:sz w:val="24"/>
          <w:szCs w:val="24"/>
        </w:rPr>
      </w:pPr>
      <w:r w:rsidRPr="006024E4">
        <w:rPr>
          <w:rFonts w:ascii="Tahoma" w:hAnsi="Tahoma" w:cs="Tahoma"/>
          <w:sz w:val="24"/>
          <w:szCs w:val="24"/>
        </w:rPr>
        <w:t xml:space="preserve">Încasările din </w:t>
      </w:r>
      <w:r w:rsidRPr="006024E4">
        <w:rPr>
          <w:rFonts w:ascii="Tahoma" w:hAnsi="Tahoma" w:cs="Tahoma"/>
          <w:b/>
          <w:sz w:val="24"/>
          <w:szCs w:val="24"/>
        </w:rPr>
        <w:t>taxele pe utilizarea bunurilor</w:t>
      </w:r>
      <w:r w:rsidR="002C3B7D" w:rsidRPr="006024E4">
        <w:rPr>
          <w:rFonts w:ascii="Tahoma" w:hAnsi="Tahoma" w:cs="Tahoma"/>
          <w:b/>
          <w:i/>
          <w:sz w:val="24"/>
          <w:szCs w:val="24"/>
        </w:rPr>
        <w:t xml:space="preserve"> </w:t>
      </w:r>
      <w:r w:rsidR="00502B73" w:rsidRPr="006024E4">
        <w:rPr>
          <w:rFonts w:ascii="Tahoma" w:hAnsi="Tahoma" w:cs="Tahoma"/>
          <w:sz w:val="24"/>
          <w:szCs w:val="24"/>
        </w:rPr>
        <w:t xml:space="preserve">au fost în sumă de </w:t>
      </w:r>
      <w:r w:rsidR="00F43AC3" w:rsidRPr="006024E4">
        <w:rPr>
          <w:rFonts w:ascii="Tahoma" w:hAnsi="Tahoma" w:cs="Tahoma"/>
          <w:sz w:val="24"/>
          <w:szCs w:val="24"/>
        </w:rPr>
        <w:t>1,2</w:t>
      </w:r>
      <w:r w:rsidR="00957BCC" w:rsidRPr="006024E4">
        <w:rPr>
          <w:rFonts w:ascii="Tahoma" w:hAnsi="Tahoma" w:cs="Tahoma"/>
          <w:sz w:val="24"/>
          <w:szCs w:val="24"/>
        </w:rPr>
        <w:t>9</w:t>
      </w:r>
      <w:r w:rsidRPr="006024E4">
        <w:rPr>
          <w:rFonts w:ascii="Tahoma" w:hAnsi="Tahoma" w:cs="Tahoma"/>
          <w:sz w:val="24"/>
          <w:szCs w:val="24"/>
        </w:rPr>
        <w:t xml:space="preserve"> </w:t>
      </w:r>
      <w:r w:rsidR="00602503" w:rsidRPr="006024E4">
        <w:rPr>
          <w:rFonts w:ascii="Tahoma" w:hAnsi="Tahoma" w:cs="Tahoma"/>
          <w:sz w:val="24"/>
          <w:szCs w:val="24"/>
        </w:rPr>
        <w:t>miliarde</w:t>
      </w:r>
      <w:r w:rsidR="00713D80" w:rsidRPr="006024E4">
        <w:rPr>
          <w:rFonts w:ascii="Tahoma" w:hAnsi="Tahoma" w:cs="Tahoma"/>
          <w:sz w:val="24"/>
          <w:szCs w:val="24"/>
        </w:rPr>
        <w:t xml:space="preserve"> </w:t>
      </w:r>
      <w:r w:rsidRPr="006024E4">
        <w:rPr>
          <w:rFonts w:ascii="Tahoma" w:hAnsi="Tahoma" w:cs="Tahoma"/>
          <w:sz w:val="24"/>
          <w:szCs w:val="24"/>
        </w:rPr>
        <w:t xml:space="preserve">lei, </w:t>
      </w:r>
      <w:r w:rsidR="004840C3" w:rsidRPr="006024E4">
        <w:rPr>
          <w:rFonts w:ascii="Tahoma" w:hAnsi="Tahoma" w:cs="Tahoma"/>
          <w:sz w:val="24"/>
          <w:szCs w:val="24"/>
        </w:rPr>
        <w:t xml:space="preserve">cu </w:t>
      </w:r>
      <w:r w:rsidR="00F43AC3" w:rsidRPr="006024E4">
        <w:rPr>
          <w:rFonts w:ascii="Tahoma" w:hAnsi="Tahoma" w:cs="Tahoma"/>
          <w:sz w:val="24"/>
          <w:szCs w:val="24"/>
        </w:rPr>
        <w:t>19,9</w:t>
      </w:r>
      <w:r w:rsidR="004840C3" w:rsidRPr="006024E4">
        <w:rPr>
          <w:rFonts w:ascii="Tahoma" w:hAnsi="Tahoma" w:cs="Tahoma"/>
          <w:sz w:val="24"/>
          <w:szCs w:val="24"/>
        </w:rPr>
        <w:t xml:space="preserve">% mai </w:t>
      </w:r>
      <w:r w:rsidR="00AF0A9B" w:rsidRPr="006024E4">
        <w:rPr>
          <w:rFonts w:ascii="Tahoma" w:hAnsi="Tahoma" w:cs="Tahoma"/>
          <w:sz w:val="24"/>
          <w:szCs w:val="24"/>
        </w:rPr>
        <w:t>mari</w:t>
      </w:r>
      <w:r w:rsidR="004840C3" w:rsidRPr="006024E4">
        <w:rPr>
          <w:rFonts w:ascii="Tahoma" w:hAnsi="Tahoma" w:cs="Tahoma"/>
          <w:sz w:val="24"/>
          <w:szCs w:val="24"/>
        </w:rPr>
        <w:t xml:space="preserve"> </w:t>
      </w:r>
      <w:r w:rsidR="00565196" w:rsidRPr="006024E4">
        <w:rPr>
          <w:rFonts w:ascii="Tahoma" w:hAnsi="Tahoma" w:cs="Tahoma"/>
          <w:sz w:val="24"/>
          <w:szCs w:val="24"/>
        </w:rPr>
        <w:t xml:space="preserve">comparativ cu </w:t>
      </w:r>
      <w:r w:rsidR="00F43AC3" w:rsidRPr="006024E4">
        <w:rPr>
          <w:rFonts w:ascii="Tahoma" w:hAnsi="Tahoma" w:cs="Tahoma"/>
          <w:sz w:val="24"/>
          <w:szCs w:val="24"/>
        </w:rPr>
        <w:t>trimestrul I</w:t>
      </w:r>
      <w:r w:rsidR="005A21C3" w:rsidRPr="006024E4">
        <w:rPr>
          <w:rFonts w:ascii="Tahoma" w:hAnsi="Tahoma" w:cs="Tahoma"/>
          <w:sz w:val="24"/>
          <w:szCs w:val="24"/>
        </w:rPr>
        <w:t>I</w:t>
      </w:r>
      <w:r w:rsidR="00957BCC" w:rsidRPr="006024E4">
        <w:rPr>
          <w:rFonts w:ascii="Tahoma" w:hAnsi="Tahoma" w:cs="Tahoma"/>
          <w:sz w:val="24"/>
          <w:szCs w:val="24"/>
        </w:rPr>
        <w:t>I</w:t>
      </w:r>
      <w:r w:rsidR="00F43AC3" w:rsidRPr="006024E4">
        <w:rPr>
          <w:rFonts w:ascii="Tahoma" w:hAnsi="Tahoma" w:cs="Tahoma"/>
          <w:sz w:val="24"/>
          <w:szCs w:val="24"/>
        </w:rPr>
        <w:t xml:space="preserve"> al</w:t>
      </w:r>
      <w:r w:rsidR="00565196" w:rsidRPr="006024E4">
        <w:rPr>
          <w:rFonts w:ascii="Tahoma" w:hAnsi="Tahoma" w:cs="Tahoma"/>
          <w:sz w:val="24"/>
          <w:szCs w:val="24"/>
        </w:rPr>
        <w:t xml:space="preserve"> anului 20</w:t>
      </w:r>
      <w:r w:rsidR="004840C3" w:rsidRPr="006024E4">
        <w:rPr>
          <w:rFonts w:ascii="Tahoma" w:hAnsi="Tahoma" w:cs="Tahoma"/>
          <w:sz w:val="24"/>
          <w:szCs w:val="24"/>
        </w:rPr>
        <w:t>2</w:t>
      </w:r>
      <w:r w:rsidR="00AF0A9B" w:rsidRPr="006024E4">
        <w:rPr>
          <w:rFonts w:ascii="Tahoma" w:hAnsi="Tahoma" w:cs="Tahoma"/>
          <w:sz w:val="24"/>
          <w:szCs w:val="24"/>
        </w:rPr>
        <w:t>1</w:t>
      </w:r>
      <w:r w:rsidR="00565196" w:rsidRPr="006024E4">
        <w:rPr>
          <w:rFonts w:ascii="Tahoma" w:hAnsi="Tahoma" w:cs="Tahoma"/>
          <w:sz w:val="24"/>
          <w:szCs w:val="24"/>
        </w:rPr>
        <w:t xml:space="preserve">, în principal ca urmare a </w:t>
      </w:r>
      <w:r w:rsidR="009D126E" w:rsidRPr="006024E4">
        <w:rPr>
          <w:rFonts w:ascii="Tahoma" w:hAnsi="Tahoma" w:cs="Tahoma"/>
          <w:sz w:val="24"/>
          <w:szCs w:val="24"/>
        </w:rPr>
        <w:t>evoluției pozitive înregistrate l</w:t>
      </w:r>
      <w:r w:rsidR="00005DE0" w:rsidRPr="006024E4">
        <w:rPr>
          <w:rFonts w:ascii="Tahoma" w:hAnsi="Tahoma" w:cs="Tahoma"/>
          <w:sz w:val="24"/>
          <w:szCs w:val="24"/>
        </w:rPr>
        <w:t>a</w:t>
      </w:r>
      <w:r w:rsidR="009D126E" w:rsidRPr="006024E4">
        <w:rPr>
          <w:rFonts w:ascii="Tahoma" w:hAnsi="Tahoma" w:cs="Tahoma"/>
          <w:sz w:val="24"/>
          <w:szCs w:val="24"/>
        </w:rPr>
        <w:t xml:space="preserve"> bugetul de stat (+</w:t>
      </w:r>
      <w:r w:rsidR="00957BCC" w:rsidRPr="006024E4">
        <w:rPr>
          <w:rFonts w:ascii="Tahoma" w:hAnsi="Tahoma" w:cs="Tahoma"/>
          <w:sz w:val="24"/>
          <w:szCs w:val="24"/>
        </w:rPr>
        <w:t>34,1</w:t>
      </w:r>
      <w:r w:rsidR="009D126E" w:rsidRPr="006024E4">
        <w:rPr>
          <w:rFonts w:ascii="Tahoma" w:hAnsi="Tahoma" w:cs="Tahoma"/>
          <w:sz w:val="24"/>
          <w:szCs w:val="24"/>
        </w:rPr>
        <w:t>%)</w:t>
      </w:r>
      <w:r w:rsidR="00957BCC" w:rsidRPr="006024E4">
        <w:rPr>
          <w:rFonts w:eastAsia="SimSun" w:cs="Liberation Serif"/>
          <w:bCs/>
          <w:kern w:val="1"/>
          <w:sz w:val="24"/>
          <w:szCs w:val="24"/>
          <w:lang w:eastAsia="zh-CN"/>
        </w:rPr>
        <w:t xml:space="preserve"> </w:t>
      </w:r>
      <w:r w:rsidR="00957BCC" w:rsidRPr="006024E4">
        <w:rPr>
          <w:rFonts w:ascii="Tahoma" w:hAnsi="Tahoma" w:cs="Tahoma"/>
          <w:bCs/>
          <w:sz w:val="24"/>
          <w:szCs w:val="24"/>
        </w:rPr>
        <w:t>pe seama majorării veniturilor din taxele pentru jocurile de noroc influențate fiind de efectul măsurilor aprobate prin OG nr. 15/2022</w:t>
      </w:r>
      <w:r w:rsidR="00957BCC" w:rsidRPr="006024E4">
        <w:rPr>
          <w:rFonts w:ascii="Tahoma" w:hAnsi="Tahoma" w:cs="Tahoma"/>
          <w:bCs/>
          <w:sz w:val="24"/>
          <w:szCs w:val="24"/>
          <w:vertAlign w:val="superscript"/>
        </w:rPr>
        <w:footnoteReference w:id="11"/>
      </w:r>
      <w:r w:rsidR="00957BCC" w:rsidRPr="006024E4">
        <w:rPr>
          <w:rFonts w:ascii="Tahoma" w:hAnsi="Tahoma" w:cs="Tahoma"/>
          <w:bCs/>
          <w:sz w:val="24"/>
          <w:szCs w:val="24"/>
        </w:rPr>
        <w:t>.</w:t>
      </w:r>
      <w:r w:rsidR="009D126E" w:rsidRPr="006024E4">
        <w:rPr>
          <w:rFonts w:ascii="Tahoma" w:hAnsi="Tahoma" w:cs="Tahoma"/>
          <w:sz w:val="24"/>
          <w:szCs w:val="24"/>
        </w:rPr>
        <w:t xml:space="preserve"> </w:t>
      </w:r>
      <w:r w:rsidR="00957BCC" w:rsidRPr="006024E4">
        <w:rPr>
          <w:rFonts w:ascii="Tahoma" w:hAnsi="Tahoma" w:cs="Tahoma"/>
          <w:sz w:val="24"/>
          <w:szCs w:val="24"/>
        </w:rPr>
        <w:t>Gradul de realizare al programului de încasări pentru perioada analizată este de 92,4%.</w:t>
      </w:r>
      <w:r w:rsidR="00F172E4" w:rsidRPr="006024E4">
        <w:rPr>
          <w:rFonts w:ascii="Tahoma" w:hAnsi="Tahoma" w:cs="Tahoma"/>
        </w:rPr>
        <w:t xml:space="preserve"> </w:t>
      </w:r>
    </w:p>
    <w:p w:rsidR="00AA5AD5" w:rsidRPr="006024E4" w:rsidRDefault="00DD52A5" w:rsidP="006E597B">
      <w:pPr>
        <w:autoSpaceDE w:val="0"/>
        <w:autoSpaceDN w:val="0"/>
        <w:adjustRightInd w:val="0"/>
        <w:spacing w:after="240" w:line="276" w:lineRule="auto"/>
        <w:jc w:val="both"/>
        <w:rPr>
          <w:rFonts w:ascii="Tahoma" w:hAnsi="Tahoma" w:cs="Tahoma"/>
          <w:sz w:val="24"/>
          <w:szCs w:val="24"/>
        </w:rPr>
      </w:pPr>
      <w:r w:rsidRPr="006024E4">
        <w:rPr>
          <w:rFonts w:ascii="Tahoma" w:hAnsi="Tahoma" w:cs="Tahoma"/>
          <w:sz w:val="24"/>
          <w:szCs w:val="24"/>
        </w:rPr>
        <w:t>Încasările din</w:t>
      </w:r>
      <w:r w:rsidRPr="006024E4">
        <w:rPr>
          <w:rFonts w:ascii="Tahoma" w:hAnsi="Tahoma" w:cs="Tahoma"/>
          <w:b/>
          <w:bCs/>
          <w:sz w:val="24"/>
          <w:szCs w:val="24"/>
        </w:rPr>
        <w:t xml:space="preserve"> impozitul pe comerț exterior </w:t>
      </w:r>
      <w:r w:rsidR="00640FBB" w:rsidRPr="006024E4">
        <w:rPr>
          <w:rFonts w:ascii="Tahoma" w:hAnsi="Tahoma" w:cs="Tahoma"/>
          <w:b/>
          <w:bCs/>
          <w:sz w:val="24"/>
          <w:szCs w:val="24"/>
        </w:rPr>
        <w:t>și</w:t>
      </w:r>
      <w:r w:rsidRPr="006024E4">
        <w:rPr>
          <w:rFonts w:ascii="Tahoma" w:hAnsi="Tahoma" w:cs="Tahoma"/>
          <w:b/>
          <w:bCs/>
          <w:sz w:val="24"/>
          <w:szCs w:val="24"/>
        </w:rPr>
        <w:t xml:space="preserve"> tranzacțiile internaționale</w:t>
      </w:r>
      <w:r w:rsidRPr="006024E4">
        <w:rPr>
          <w:rFonts w:ascii="Tahoma" w:hAnsi="Tahoma" w:cs="Tahoma"/>
          <w:sz w:val="24"/>
          <w:szCs w:val="24"/>
        </w:rPr>
        <w:t xml:space="preserve"> s-au realizat în proporție de </w:t>
      </w:r>
      <w:r w:rsidR="006E597B" w:rsidRPr="006024E4">
        <w:rPr>
          <w:rFonts w:ascii="Tahoma" w:hAnsi="Tahoma" w:cs="Tahoma"/>
          <w:sz w:val="24"/>
          <w:szCs w:val="24"/>
        </w:rPr>
        <w:t>98,</w:t>
      </w:r>
      <w:r w:rsidR="00381013" w:rsidRPr="006024E4">
        <w:rPr>
          <w:rFonts w:ascii="Tahoma" w:hAnsi="Tahoma" w:cs="Tahoma"/>
          <w:sz w:val="24"/>
          <w:szCs w:val="24"/>
        </w:rPr>
        <w:t>7</w:t>
      </w:r>
      <w:r w:rsidRPr="006024E4">
        <w:rPr>
          <w:rFonts w:ascii="Tahoma" w:hAnsi="Tahoma" w:cs="Tahoma"/>
          <w:sz w:val="24"/>
          <w:szCs w:val="24"/>
        </w:rPr>
        <w:t xml:space="preserve">%, </w:t>
      </w:r>
      <w:r w:rsidR="00F43AC3" w:rsidRPr="006024E4">
        <w:rPr>
          <w:rFonts w:ascii="Tahoma" w:hAnsi="Tahoma" w:cs="Tahoma"/>
          <w:sz w:val="24"/>
          <w:szCs w:val="24"/>
        </w:rPr>
        <w:t xml:space="preserve">cu </w:t>
      </w:r>
      <w:r w:rsidR="006E597B" w:rsidRPr="006024E4">
        <w:rPr>
          <w:rFonts w:ascii="Tahoma" w:hAnsi="Tahoma" w:cs="Tahoma"/>
          <w:sz w:val="24"/>
          <w:szCs w:val="24"/>
        </w:rPr>
        <w:t>33,7</w:t>
      </w:r>
      <w:r w:rsidR="00F43AC3" w:rsidRPr="006024E4">
        <w:rPr>
          <w:rFonts w:ascii="Tahoma" w:hAnsi="Tahoma" w:cs="Tahoma"/>
          <w:sz w:val="24"/>
          <w:szCs w:val="24"/>
        </w:rPr>
        <w:t xml:space="preserve">% mai mari comparativ </w:t>
      </w:r>
      <w:r w:rsidR="00FF30AA" w:rsidRPr="006024E4">
        <w:rPr>
          <w:rFonts w:ascii="Tahoma" w:hAnsi="Tahoma" w:cs="Tahoma"/>
          <w:sz w:val="24"/>
          <w:szCs w:val="24"/>
        </w:rPr>
        <w:t>cu trimestrul I</w:t>
      </w:r>
      <w:r w:rsidR="00F43AC3" w:rsidRPr="006024E4">
        <w:rPr>
          <w:rFonts w:ascii="Tahoma" w:hAnsi="Tahoma" w:cs="Tahoma"/>
          <w:sz w:val="24"/>
          <w:szCs w:val="24"/>
        </w:rPr>
        <w:t>I</w:t>
      </w:r>
      <w:r w:rsidR="006E597B" w:rsidRPr="006024E4">
        <w:rPr>
          <w:rFonts w:ascii="Tahoma" w:hAnsi="Tahoma" w:cs="Tahoma"/>
          <w:sz w:val="24"/>
          <w:szCs w:val="24"/>
        </w:rPr>
        <w:t>I</w:t>
      </w:r>
      <w:r w:rsidR="00FF30AA" w:rsidRPr="006024E4">
        <w:rPr>
          <w:rFonts w:ascii="Tahoma" w:hAnsi="Tahoma" w:cs="Tahoma"/>
          <w:sz w:val="24"/>
          <w:szCs w:val="24"/>
        </w:rPr>
        <w:t xml:space="preserve"> 2021</w:t>
      </w:r>
      <w:r w:rsidR="006F01C2" w:rsidRPr="006024E4">
        <w:rPr>
          <w:rFonts w:ascii="Tahoma" w:hAnsi="Tahoma" w:cs="Tahoma"/>
          <w:sz w:val="24"/>
          <w:szCs w:val="24"/>
        </w:rPr>
        <w:t xml:space="preserve"> în condițiile în care </w:t>
      </w:r>
      <w:r w:rsidR="00AA5AD5" w:rsidRPr="006024E4">
        <w:rPr>
          <w:rFonts w:ascii="Tahoma" w:eastAsia="Calibri" w:hAnsi="Tahoma" w:cs="Tahoma"/>
          <w:sz w:val="24"/>
          <w:szCs w:val="24"/>
        </w:rPr>
        <w:t>valoarea schimbur</w:t>
      </w:r>
      <w:r w:rsidR="006E597B" w:rsidRPr="006024E4">
        <w:rPr>
          <w:rFonts w:ascii="Tahoma" w:eastAsia="Calibri" w:hAnsi="Tahoma" w:cs="Tahoma"/>
          <w:sz w:val="24"/>
          <w:szCs w:val="24"/>
        </w:rPr>
        <w:t>ilor extra comunitare de bunuri</w:t>
      </w:r>
      <w:r w:rsidR="006E597B" w:rsidRPr="006024E4">
        <w:rPr>
          <w:rFonts w:ascii="Tahoma" w:eastAsia="Calibri" w:hAnsi="Tahoma" w:cs="Tahoma"/>
          <w:color w:val="00000A"/>
          <w:kern w:val="1"/>
          <w:sz w:val="24"/>
          <w:szCs w:val="24"/>
          <w:vertAlign w:val="superscript"/>
          <w:lang w:eastAsia="zh-CN"/>
        </w:rPr>
        <w:footnoteReference w:id="12"/>
      </w:r>
      <w:r w:rsidR="006E597B" w:rsidRPr="006024E4">
        <w:rPr>
          <w:rFonts w:ascii="Tahoma" w:eastAsia="Calibri" w:hAnsi="Tahoma" w:cs="Tahoma"/>
          <w:color w:val="00000A"/>
          <w:kern w:val="1"/>
          <w:sz w:val="24"/>
          <w:szCs w:val="24"/>
          <w:vertAlign w:val="superscript"/>
          <w:lang w:eastAsia="zh-CN"/>
        </w:rPr>
        <w:t xml:space="preserve"> </w:t>
      </w:r>
      <w:r w:rsidR="006E597B" w:rsidRPr="006024E4">
        <w:rPr>
          <w:rFonts w:ascii="Tahoma" w:eastAsia="Calibri" w:hAnsi="Tahoma" w:cs="Tahoma"/>
          <w:color w:val="00000A"/>
          <w:kern w:val="1"/>
          <w:sz w:val="24"/>
          <w:szCs w:val="24"/>
          <w:lang w:eastAsia="zh-CN"/>
        </w:rPr>
        <w:t>(Extra-UE27) a crescut cu 44,7% la importuri (la valori exprimate în lei) în primele 8 luni ale anului 2022 comparativ cu perioada similară a anului precedent.</w:t>
      </w:r>
      <w:r w:rsidR="00AA5AD5" w:rsidRPr="006024E4">
        <w:rPr>
          <w:rFonts w:ascii="Tahoma" w:hAnsi="Tahoma" w:cs="Tahoma"/>
          <w:sz w:val="24"/>
          <w:szCs w:val="24"/>
        </w:rPr>
        <w:t xml:space="preserve"> </w:t>
      </w:r>
    </w:p>
    <w:p w:rsidR="004F33F6" w:rsidRPr="006024E4" w:rsidRDefault="006E597B" w:rsidP="00AA5AD5">
      <w:pPr>
        <w:autoSpaceDE w:val="0"/>
        <w:autoSpaceDN w:val="0"/>
        <w:adjustRightInd w:val="0"/>
        <w:spacing w:line="276" w:lineRule="auto"/>
        <w:rPr>
          <w:rFonts w:ascii="Tahoma" w:hAnsi="Tahoma" w:cs="Tahoma"/>
          <w:sz w:val="24"/>
          <w:szCs w:val="24"/>
        </w:rPr>
      </w:pPr>
      <w:r w:rsidRPr="006024E4">
        <w:rPr>
          <w:rFonts w:ascii="Tahoma" w:hAnsi="Tahoma" w:cs="Tahoma"/>
          <w:noProof/>
          <w:sz w:val="24"/>
          <w:szCs w:val="24"/>
        </w:rPr>
        <w:drawing>
          <wp:inline distT="0" distB="0" distL="0" distR="0" wp14:anchorId="31624F3F">
            <wp:extent cx="6185535" cy="33147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5535" cy="3314700"/>
                    </a:xfrm>
                    <a:prstGeom prst="rect">
                      <a:avLst/>
                    </a:prstGeom>
                    <a:noFill/>
                  </pic:spPr>
                </pic:pic>
              </a:graphicData>
            </a:graphic>
          </wp:inline>
        </w:drawing>
      </w:r>
    </w:p>
    <w:p w:rsidR="00FF1D8D" w:rsidRPr="006024E4" w:rsidRDefault="009F5BBF" w:rsidP="00ED29A0">
      <w:pPr>
        <w:pStyle w:val="ListParagraph"/>
        <w:spacing w:before="120" w:after="120" w:line="276" w:lineRule="auto"/>
        <w:ind w:left="0"/>
        <w:contextualSpacing w:val="0"/>
        <w:jc w:val="both"/>
        <w:rPr>
          <w:rFonts w:ascii="Tahoma" w:eastAsia="Calibri" w:hAnsi="Tahoma" w:cs="Tahoma"/>
          <w:sz w:val="24"/>
          <w:szCs w:val="24"/>
        </w:rPr>
      </w:pPr>
      <w:r w:rsidRPr="006024E4">
        <w:rPr>
          <w:rFonts w:ascii="Tahoma" w:eastAsia="Calibri" w:hAnsi="Tahoma" w:cs="Tahoma"/>
          <w:b/>
          <w:sz w:val="24"/>
          <w:szCs w:val="24"/>
        </w:rPr>
        <w:t>Contribuțiile sociale</w:t>
      </w:r>
      <w:r w:rsidRPr="006024E4">
        <w:rPr>
          <w:rFonts w:ascii="Tahoma" w:eastAsia="Calibri" w:hAnsi="Tahoma" w:cs="Tahoma"/>
          <w:sz w:val="24"/>
          <w:szCs w:val="24"/>
        </w:rPr>
        <w:t xml:space="preserve"> </w:t>
      </w:r>
      <w:r w:rsidR="00FF1D8D" w:rsidRPr="006024E4">
        <w:rPr>
          <w:rFonts w:ascii="Tahoma" w:eastAsia="Calibri" w:hAnsi="Tahoma" w:cs="Tahoma"/>
          <w:sz w:val="24"/>
          <w:szCs w:val="24"/>
        </w:rPr>
        <w:t xml:space="preserve">realizate în </w:t>
      </w:r>
      <w:r w:rsidR="008A72BF" w:rsidRPr="006024E4">
        <w:rPr>
          <w:rFonts w:ascii="Tahoma" w:eastAsia="Calibri" w:hAnsi="Tahoma" w:cs="Tahoma"/>
          <w:sz w:val="24"/>
          <w:szCs w:val="24"/>
        </w:rPr>
        <w:t xml:space="preserve">al </w:t>
      </w:r>
      <w:r w:rsidR="006E597B" w:rsidRPr="006024E4">
        <w:rPr>
          <w:rFonts w:ascii="Tahoma" w:eastAsia="Calibri" w:hAnsi="Tahoma" w:cs="Tahoma"/>
          <w:sz w:val="24"/>
          <w:szCs w:val="24"/>
        </w:rPr>
        <w:t>tre</w:t>
      </w:r>
      <w:r w:rsidR="008A72BF" w:rsidRPr="006024E4">
        <w:rPr>
          <w:rFonts w:ascii="Tahoma" w:eastAsia="Calibri" w:hAnsi="Tahoma" w:cs="Tahoma"/>
          <w:sz w:val="24"/>
          <w:szCs w:val="24"/>
        </w:rPr>
        <w:t xml:space="preserve">ilea </w:t>
      </w:r>
      <w:r w:rsidR="00FF1D8D" w:rsidRPr="006024E4">
        <w:rPr>
          <w:rFonts w:ascii="Tahoma" w:eastAsia="Calibri" w:hAnsi="Tahoma" w:cs="Tahoma"/>
          <w:sz w:val="24"/>
          <w:szCs w:val="24"/>
        </w:rPr>
        <w:t xml:space="preserve">trimestru al anului 2022 în sumă de </w:t>
      </w:r>
      <w:r w:rsidR="006E597B" w:rsidRPr="006024E4">
        <w:rPr>
          <w:rFonts w:ascii="Tahoma" w:eastAsia="Calibri" w:hAnsi="Tahoma" w:cs="Tahoma"/>
          <w:sz w:val="24"/>
          <w:szCs w:val="24"/>
        </w:rPr>
        <w:t>34,99</w:t>
      </w:r>
      <w:r w:rsidR="00FF1D8D" w:rsidRPr="006024E4">
        <w:rPr>
          <w:rFonts w:ascii="Tahoma" w:eastAsia="Calibri" w:hAnsi="Tahoma" w:cs="Tahoma"/>
          <w:sz w:val="24"/>
          <w:szCs w:val="24"/>
        </w:rPr>
        <w:t xml:space="preserve"> miliarde lei</w:t>
      </w:r>
      <w:r w:rsidR="009D6EDB" w:rsidRPr="006024E4">
        <w:rPr>
          <w:rFonts w:ascii="Tahoma" w:eastAsia="Calibri" w:hAnsi="Tahoma" w:cs="Tahoma"/>
          <w:sz w:val="24"/>
          <w:szCs w:val="24"/>
        </w:rPr>
        <w:t xml:space="preserve"> (2,</w:t>
      </w:r>
      <w:r w:rsidR="006E597B" w:rsidRPr="006024E4">
        <w:rPr>
          <w:rFonts w:ascii="Tahoma" w:eastAsia="Calibri" w:hAnsi="Tahoma" w:cs="Tahoma"/>
          <w:sz w:val="24"/>
          <w:szCs w:val="24"/>
        </w:rPr>
        <w:t>5</w:t>
      </w:r>
      <w:r w:rsidR="009D6EDB" w:rsidRPr="006024E4">
        <w:rPr>
          <w:rFonts w:ascii="Tahoma" w:eastAsia="Calibri" w:hAnsi="Tahoma" w:cs="Tahoma"/>
          <w:sz w:val="24"/>
          <w:szCs w:val="24"/>
        </w:rPr>
        <w:t>% din PIB)</w:t>
      </w:r>
      <w:r w:rsidR="00FF1D8D" w:rsidRPr="006024E4">
        <w:rPr>
          <w:rFonts w:ascii="Tahoma" w:eastAsia="Calibri" w:hAnsi="Tahoma" w:cs="Tahoma"/>
          <w:sz w:val="24"/>
          <w:szCs w:val="24"/>
        </w:rPr>
        <w:t xml:space="preserve">, au crescut cu </w:t>
      </w:r>
      <w:r w:rsidR="006E597B" w:rsidRPr="006024E4">
        <w:rPr>
          <w:rFonts w:ascii="Tahoma" w:eastAsia="Calibri" w:hAnsi="Tahoma" w:cs="Tahoma"/>
          <w:sz w:val="24"/>
          <w:szCs w:val="24"/>
        </w:rPr>
        <w:t>9,5</w:t>
      </w:r>
      <w:r w:rsidR="00FF1D8D" w:rsidRPr="006024E4">
        <w:rPr>
          <w:rFonts w:ascii="Tahoma" w:eastAsia="Calibri" w:hAnsi="Tahoma" w:cs="Tahoma"/>
          <w:sz w:val="24"/>
          <w:szCs w:val="24"/>
        </w:rPr>
        <w:t>% (+</w:t>
      </w:r>
      <w:r w:rsidR="008A72BF" w:rsidRPr="006024E4">
        <w:rPr>
          <w:rFonts w:ascii="Tahoma" w:eastAsia="Calibri" w:hAnsi="Tahoma" w:cs="Tahoma"/>
          <w:sz w:val="24"/>
          <w:szCs w:val="24"/>
        </w:rPr>
        <w:t>3,</w:t>
      </w:r>
      <w:r w:rsidR="006E597B" w:rsidRPr="006024E4">
        <w:rPr>
          <w:rFonts w:ascii="Tahoma" w:eastAsia="Calibri" w:hAnsi="Tahoma" w:cs="Tahoma"/>
          <w:sz w:val="24"/>
          <w:szCs w:val="24"/>
        </w:rPr>
        <w:t>04</w:t>
      </w:r>
      <w:r w:rsidR="00FF1D8D" w:rsidRPr="006024E4">
        <w:rPr>
          <w:rFonts w:ascii="Tahoma" w:eastAsia="Calibri" w:hAnsi="Tahoma" w:cs="Tahoma"/>
          <w:sz w:val="24"/>
          <w:szCs w:val="24"/>
        </w:rPr>
        <w:t xml:space="preserve"> miliarde lei), comparativ cu aceeași perioadă a anului precedent, însă </w:t>
      </w:r>
      <w:r w:rsidR="009D6EDB" w:rsidRPr="006024E4">
        <w:rPr>
          <w:rFonts w:ascii="Tahoma" w:eastAsia="Calibri" w:hAnsi="Tahoma" w:cs="Tahoma"/>
          <w:sz w:val="24"/>
          <w:szCs w:val="24"/>
        </w:rPr>
        <w:t>s-au situat</w:t>
      </w:r>
      <w:r w:rsidR="00FF1D8D" w:rsidRPr="006024E4">
        <w:rPr>
          <w:rFonts w:ascii="Tahoma" w:eastAsia="Calibri" w:hAnsi="Tahoma" w:cs="Tahoma"/>
          <w:sz w:val="24"/>
          <w:szCs w:val="24"/>
        </w:rPr>
        <w:t xml:space="preserve"> </w:t>
      </w:r>
      <w:r w:rsidR="006F01C2" w:rsidRPr="006024E4">
        <w:rPr>
          <w:rFonts w:ascii="Tahoma" w:eastAsia="Calibri" w:hAnsi="Tahoma" w:cs="Tahoma"/>
          <w:sz w:val="24"/>
          <w:szCs w:val="24"/>
        </w:rPr>
        <w:t>sub nivelul evoluției fondului brut de salarii de 13,</w:t>
      </w:r>
      <w:r w:rsidR="006E597B" w:rsidRPr="006024E4">
        <w:rPr>
          <w:rFonts w:ascii="Tahoma" w:eastAsia="Calibri" w:hAnsi="Tahoma" w:cs="Tahoma"/>
          <w:sz w:val="24"/>
          <w:szCs w:val="24"/>
        </w:rPr>
        <w:t>0</w:t>
      </w:r>
      <w:r w:rsidR="006F01C2" w:rsidRPr="006024E4">
        <w:rPr>
          <w:rFonts w:ascii="Tahoma" w:eastAsia="Calibri" w:hAnsi="Tahoma" w:cs="Tahoma"/>
          <w:sz w:val="24"/>
          <w:szCs w:val="24"/>
        </w:rPr>
        <w:t>%</w:t>
      </w:r>
      <w:r w:rsidR="006E597B" w:rsidRPr="006024E4">
        <w:rPr>
          <w:rFonts w:ascii="Tahoma" w:eastAsia="Calibri" w:hAnsi="Tahoma" w:cs="Tahoma"/>
          <w:sz w:val="24"/>
          <w:szCs w:val="24"/>
        </w:rPr>
        <w:t xml:space="preserve"> </w:t>
      </w:r>
      <w:r w:rsidR="00FF1D8D" w:rsidRPr="006024E4">
        <w:rPr>
          <w:rFonts w:ascii="Tahoma" w:eastAsia="Calibri" w:hAnsi="Tahoma" w:cs="Tahoma"/>
          <w:sz w:val="24"/>
          <w:szCs w:val="24"/>
        </w:rPr>
        <w:t xml:space="preserve">ceea ce a condus la un grad de realizare al acestora de </w:t>
      </w:r>
      <w:r w:rsidR="006E597B" w:rsidRPr="006024E4">
        <w:rPr>
          <w:rFonts w:ascii="Tahoma" w:eastAsia="Calibri" w:hAnsi="Tahoma" w:cs="Tahoma"/>
          <w:sz w:val="24"/>
          <w:szCs w:val="24"/>
        </w:rPr>
        <w:t>99,5</w:t>
      </w:r>
      <w:r w:rsidR="00FF1D8D" w:rsidRPr="006024E4">
        <w:rPr>
          <w:rFonts w:ascii="Tahoma" w:eastAsia="Calibri" w:hAnsi="Tahoma" w:cs="Tahoma"/>
          <w:sz w:val="24"/>
          <w:szCs w:val="24"/>
        </w:rPr>
        <w:t xml:space="preserve"> % (-0,</w:t>
      </w:r>
      <w:r w:rsidR="00E141C2" w:rsidRPr="006024E4">
        <w:rPr>
          <w:rFonts w:ascii="Tahoma" w:eastAsia="Calibri" w:hAnsi="Tahoma" w:cs="Tahoma"/>
          <w:sz w:val="24"/>
          <w:szCs w:val="24"/>
        </w:rPr>
        <w:t>19</w:t>
      </w:r>
      <w:r w:rsidR="00FF1D8D" w:rsidRPr="006024E4">
        <w:rPr>
          <w:rFonts w:ascii="Tahoma" w:eastAsia="Calibri" w:hAnsi="Tahoma" w:cs="Tahoma"/>
          <w:sz w:val="24"/>
          <w:szCs w:val="24"/>
        </w:rPr>
        <w:t xml:space="preserve"> miliarde lei). </w:t>
      </w:r>
    </w:p>
    <w:p w:rsidR="00E141C2" w:rsidRPr="006024E4" w:rsidRDefault="00E141C2" w:rsidP="00E141C2">
      <w:pPr>
        <w:suppressAutoHyphens/>
        <w:autoSpaceDE w:val="0"/>
        <w:autoSpaceDN w:val="0"/>
        <w:adjustRightInd w:val="0"/>
        <w:spacing w:after="120" w:line="276" w:lineRule="auto"/>
        <w:jc w:val="both"/>
        <w:rPr>
          <w:rFonts w:ascii="Tahoma" w:eastAsia="Calibri" w:hAnsi="Tahoma" w:cs="Tahoma"/>
          <w:kern w:val="1"/>
          <w:sz w:val="24"/>
          <w:szCs w:val="24"/>
        </w:rPr>
      </w:pPr>
      <w:r w:rsidRPr="006024E4">
        <w:rPr>
          <w:rFonts w:ascii="Tahoma" w:eastAsia="Calibri" w:hAnsi="Tahoma" w:cs="Tahoma"/>
          <w:kern w:val="1"/>
          <w:sz w:val="24"/>
          <w:szCs w:val="24"/>
        </w:rPr>
        <w:lastRenderedPageBreak/>
        <w:t xml:space="preserve">În luna septembrie 2022 evoluția contribuțiilor sociale </w:t>
      </w:r>
      <w:r w:rsidR="00381013" w:rsidRPr="006024E4">
        <w:rPr>
          <w:rFonts w:ascii="Tahoma" w:eastAsia="Calibri" w:hAnsi="Tahoma" w:cs="Tahoma"/>
          <w:kern w:val="1"/>
          <w:sz w:val="24"/>
          <w:szCs w:val="24"/>
        </w:rPr>
        <w:t xml:space="preserve">a fost </w:t>
      </w:r>
      <w:r w:rsidRPr="006024E4">
        <w:rPr>
          <w:rFonts w:ascii="Tahoma" w:eastAsia="Calibri" w:hAnsi="Tahoma" w:cs="Tahoma"/>
          <w:kern w:val="1"/>
          <w:sz w:val="24"/>
          <w:szCs w:val="24"/>
        </w:rPr>
        <w:t>de 11,4%</w:t>
      </w:r>
      <w:r w:rsidRPr="006024E4">
        <w:rPr>
          <w:rFonts w:ascii="Tahoma" w:eastAsia="Calibri" w:hAnsi="Tahoma" w:cs="Tahoma"/>
          <w:kern w:val="1"/>
          <w:sz w:val="24"/>
          <w:szCs w:val="24"/>
          <w:vertAlign w:val="superscript"/>
        </w:rPr>
        <w:footnoteReference w:id="13"/>
      </w:r>
      <w:r w:rsidRPr="006024E4">
        <w:rPr>
          <w:rFonts w:ascii="Tahoma" w:eastAsia="Calibri" w:hAnsi="Tahoma" w:cs="Tahoma"/>
          <w:kern w:val="1"/>
          <w:sz w:val="24"/>
          <w:szCs w:val="24"/>
        </w:rPr>
        <w:t>,</w:t>
      </w:r>
      <w:r w:rsidR="00381013" w:rsidRPr="006024E4">
        <w:rPr>
          <w:rFonts w:ascii="Tahoma" w:eastAsia="Calibri" w:hAnsi="Tahoma" w:cs="Tahoma"/>
          <w:kern w:val="1"/>
          <w:sz w:val="24"/>
          <w:szCs w:val="24"/>
        </w:rPr>
        <w:t xml:space="preserve"> și </w:t>
      </w:r>
      <w:r w:rsidRPr="006024E4">
        <w:rPr>
          <w:rFonts w:ascii="Tahoma" w:eastAsia="Calibri" w:hAnsi="Tahoma" w:cs="Tahoma"/>
          <w:kern w:val="1"/>
          <w:sz w:val="24"/>
          <w:szCs w:val="24"/>
        </w:rPr>
        <w:t>deși se situează sub creșterea fondului brut de salarii din august 2022 de 13,4%</w:t>
      </w:r>
      <w:r w:rsidR="00381013" w:rsidRPr="006024E4">
        <w:rPr>
          <w:rFonts w:ascii="Tahoma" w:eastAsia="Calibri" w:hAnsi="Tahoma" w:cs="Tahoma"/>
          <w:kern w:val="1"/>
          <w:sz w:val="24"/>
          <w:szCs w:val="24"/>
        </w:rPr>
        <w:t xml:space="preserve"> </w:t>
      </w:r>
      <w:r w:rsidRPr="006024E4">
        <w:rPr>
          <w:rFonts w:ascii="Tahoma" w:eastAsia="Calibri" w:hAnsi="Tahoma" w:cs="Tahoma"/>
          <w:kern w:val="1"/>
          <w:sz w:val="24"/>
          <w:szCs w:val="24"/>
        </w:rPr>
        <w:t xml:space="preserve">înregistrează o dinamică superioară față de încasările din iulie-august 2022 de 8,5%, în condițiile noilor măsuri aprobate prin </w:t>
      </w:r>
      <w:r w:rsidRPr="006024E4">
        <w:rPr>
          <w:rFonts w:ascii="Tahoma" w:eastAsia="SimSun" w:hAnsi="Tahoma" w:cs="Tahoma"/>
          <w:color w:val="00000A"/>
          <w:kern w:val="1"/>
          <w:sz w:val="24"/>
          <w:szCs w:val="24"/>
          <w:lang w:eastAsia="zh-CN"/>
        </w:rPr>
        <w:t>Ordonanța Guvernului nr.16/2022</w:t>
      </w:r>
      <w:r w:rsidRPr="006024E4">
        <w:rPr>
          <w:rFonts w:ascii="Tahoma" w:eastAsia="Calibri" w:hAnsi="Tahoma" w:cs="Tahoma"/>
          <w:kern w:val="1"/>
          <w:sz w:val="24"/>
          <w:szCs w:val="24"/>
          <w:vertAlign w:val="superscript"/>
        </w:rPr>
        <w:footnoteReference w:id="14"/>
      </w:r>
      <w:r w:rsidRPr="006024E4">
        <w:rPr>
          <w:rFonts w:ascii="Tahoma" w:eastAsia="SimSun" w:hAnsi="Tahoma" w:cs="Tahoma"/>
          <w:color w:val="00000A"/>
          <w:kern w:val="1"/>
          <w:sz w:val="24"/>
          <w:szCs w:val="24"/>
          <w:lang w:eastAsia="zh-CN"/>
        </w:rPr>
        <w:t>(</w:t>
      </w:r>
      <w:r w:rsidRPr="006024E4">
        <w:rPr>
          <w:rFonts w:ascii="Tahoma" w:eastAsia="Calibri" w:hAnsi="Tahoma" w:cs="Tahoma"/>
          <w:kern w:val="1"/>
          <w:sz w:val="24"/>
          <w:szCs w:val="24"/>
        </w:rPr>
        <w:t>modificarea plafonului până la care se acordă facilitățile fiscale salariaților din domeniul construcțiilor, agricol și industriei alimentare de la 30.000 de lei lunar la 10.000 lei lunar și stabilirea bazei de calcul lunar a contribuției de asigurări sociale și a contribuției de asigurări sociale de sănătate la nivelul unui salariu minim brut pe țară garantat în plată, pentru veniturile realizate în baza contractelor individuale de muncă cu timp parțial al căror nivel este situat sub nivelul salariului minim brut pe țară garantat în plată).</w:t>
      </w:r>
    </w:p>
    <w:p w:rsidR="00E141C2" w:rsidRPr="006024E4" w:rsidRDefault="00E141C2" w:rsidP="00E141C2">
      <w:pPr>
        <w:suppressAutoHyphens/>
        <w:autoSpaceDE w:val="0"/>
        <w:autoSpaceDN w:val="0"/>
        <w:adjustRightInd w:val="0"/>
        <w:spacing w:after="120" w:line="276" w:lineRule="auto"/>
        <w:jc w:val="both"/>
        <w:rPr>
          <w:rFonts w:ascii="Tahoma" w:eastAsia="Calibri" w:hAnsi="Tahoma" w:cs="Tahoma"/>
          <w:kern w:val="1"/>
          <w:sz w:val="24"/>
          <w:szCs w:val="24"/>
        </w:rPr>
      </w:pPr>
      <w:r w:rsidRPr="006024E4">
        <w:rPr>
          <w:rFonts w:ascii="Tahoma" w:eastAsia="Calibri" w:hAnsi="Tahoma" w:cs="Tahoma"/>
          <w:kern w:val="1"/>
          <w:sz w:val="24"/>
          <w:szCs w:val="24"/>
        </w:rPr>
        <w:t>Scăderea încasărilor din lunile iulie-august 2022 se datorează scutirii de la plata CASS și a impozitului pe venit, reducerii cotei contribuției de asigurări sociale și a contribuției asiguratorii în muncă, conform prevederilor Legii nr. 135/2022 referitoare la extinderea facilităților acordate  salariaților din sectorul agricol și industrie alimentară.</w:t>
      </w:r>
    </w:p>
    <w:p w:rsidR="00E141C2" w:rsidRPr="006024E4" w:rsidRDefault="00E141C2" w:rsidP="00E141C2">
      <w:pPr>
        <w:suppressAutoHyphens/>
        <w:autoSpaceDE w:val="0"/>
        <w:autoSpaceDN w:val="0"/>
        <w:adjustRightInd w:val="0"/>
        <w:spacing w:after="120" w:line="276" w:lineRule="auto"/>
        <w:jc w:val="both"/>
        <w:rPr>
          <w:rFonts w:ascii="Tahoma" w:eastAsia="Calibri" w:hAnsi="Tahoma" w:cs="Tahoma"/>
          <w:color w:val="FF0000"/>
          <w:kern w:val="1"/>
          <w:sz w:val="24"/>
          <w:szCs w:val="24"/>
        </w:rPr>
      </w:pPr>
      <w:r w:rsidRPr="006024E4">
        <w:rPr>
          <w:rFonts w:ascii="Tahoma" w:eastAsia="Calibri" w:hAnsi="Tahoma" w:cs="Tahoma"/>
          <w:color w:val="000000" w:themeColor="text1"/>
          <w:kern w:val="1"/>
          <w:sz w:val="24"/>
          <w:szCs w:val="24"/>
        </w:rPr>
        <w:t xml:space="preserve">Pe bugete, gradul de realizare al programului de încasări stabilit pentru trimestrul III 2022, se prezintă astfel: bugetul asigurărilor pentru șomaj (103,1%), bugetul fondului național unic de asigurări sociale de sănătate (100,1%), bugetul asigurărilor sociale de stat (99,6%) și bugetul de stat (94,5%). </w:t>
      </w:r>
    </w:p>
    <w:p w:rsidR="00E141C2" w:rsidRPr="006024E4" w:rsidRDefault="00E141C2" w:rsidP="00E141C2">
      <w:pPr>
        <w:suppressAutoHyphens/>
        <w:autoSpaceDE w:val="0"/>
        <w:autoSpaceDN w:val="0"/>
        <w:adjustRightInd w:val="0"/>
        <w:spacing w:after="120" w:line="276" w:lineRule="auto"/>
        <w:jc w:val="both"/>
        <w:rPr>
          <w:rFonts w:ascii="Tahoma" w:eastAsia="Calibri" w:hAnsi="Tahoma" w:cs="Tahoma"/>
          <w:color w:val="000000" w:themeColor="text1"/>
          <w:kern w:val="1"/>
          <w:sz w:val="24"/>
          <w:szCs w:val="24"/>
        </w:rPr>
      </w:pPr>
      <w:r w:rsidRPr="006024E4">
        <w:rPr>
          <w:rFonts w:ascii="Tahoma" w:eastAsia="Calibri" w:hAnsi="Tahoma" w:cs="Tahoma"/>
          <w:color w:val="000000" w:themeColor="text1"/>
          <w:kern w:val="1"/>
          <w:sz w:val="24"/>
          <w:szCs w:val="24"/>
        </w:rPr>
        <w:t>Comparativ cu aceeași perioadă a anului 2021 s-au înregistrat creșteri ale contribuțiilor sociale încasate, pe bugete componente, astfel: bugetul asigurărilor pentru șomaj (+11,5%), bugetul asigurărilor sociale de stat (+9,9%), bugetul Fondului național unic de asigurări sociale de sănătate (+9,5%, creștere care include și contribuția de asigurări sociale de sănătate aferentă veniturilor din pensii reglementată de OUG nr. 130/2021 ) și bugetul de stat (+4,9%).</w:t>
      </w:r>
    </w:p>
    <w:p w:rsidR="00DD52A5" w:rsidRPr="006024E4" w:rsidRDefault="00DD52A5" w:rsidP="006F01C2">
      <w:pPr>
        <w:pStyle w:val="ListParagraph"/>
        <w:spacing w:before="240" w:after="120" w:line="276" w:lineRule="auto"/>
        <w:ind w:left="0"/>
        <w:contextualSpacing w:val="0"/>
        <w:jc w:val="both"/>
        <w:rPr>
          <w:rFonts w:ascii="Tahoma" w:hAnsi="Tahoma" w:cs="Tahoma"/>
          <w:sz w:val="24"/>
          <w:szCs w:val="24"/>
        </w:rPr>
      </w:pPr>
      <w:r w:rsidRPr="006024E4">
        <w:rPr>
          <w:rFonts w:ascii="Tahoma" w:hAnsi="Tahoma" w:cs="Tahoma"/>
          <w:b/>
          <w:sz w:val="24"/>
          <w:szCs w:val="24"/>
        </w:rPr>
        <w:t>Veniturile nefiscale</w:t>
      </w:r>
      <w:r w:rsidRPr="006024E4">
        <w:rPr>
          <w:rFonts w:ascii="Tahoma" w:hAnsi="Tahoma" w:cs="Tahoma"/>
          <w:sz w:val="24"/>
          <w:szCs w:val="24"/>
        </w:rPr>
        <w:t xml:space="preserve"> au fost în sumă de </w:t>
      </w:r>
      <w:r w:rsidR="00E141C2" w:rsidRPr="006024E4">
        <w:rPr>
          <w:rFonts w:ascii="Tahoma" w:hAnsi="Tahoma" w:cs="Tahoma"/>
          <w:bCs/>
          <w:sz w:val="24"/>
          <w:szCs w:val="24"/>
        </w:rPr>
        <w:t>10,51</w:t>
      </w:r>
      <w:r w:rsidRPr="006024E4">
        <w:rPr>
          <w:rFonts w:ascii="Tahoma" w:hAnsi="Tahoma" w:cs="Tahoma"/>
          <w:bCs/>
          <w:sz w:val="24"/>
          <w:szCs w:val="24"/>
        </w:rPr>
        <w:t xml:space="preserve"> </w:t>
      </w:r>
      <w:r w:rsidR="00602503" w:rsidRPr="006024E4">
        <w:rPr>
          <w:rFonts w:ascii="Tahoma" w:hAnsi="Tahoma" w:cs="Tahoma"/>
          <w:bCs/>
          <w:sz w:val="24"/>
          <w:szCs w:val="24"/>
        </w:rPr>
        <w:t>miliarde</w:t>
      </w:r>
      <w:r w:rsidR="00713D80" w:rsidRPr="006024E4">
        <w:rPr>
          <w:rFonts w:ascii="Tahoma" w:hAnsi="Tahoma" w:cs="Tahoma"/>
          <w:bCs/>
          <w:sz w:val="24"/>
          <w:szCs w:val="24"/>
        </w:rPr>
        <w:t xml:space="preserve"> </w:t>
      </w:r>
      <w:r w:rsidRPr="006024E4">
        <w:rPr>
          <w:rFonts w:ascii="Tahoma" w:hAnsi="Tahoma" w:cs="Tahoma"/>
          <w:bCs/>
          <w:sz w:val="24"/>
          <w:szCs w:val="24"/>
        </w:rPr>
        <w:t xml:space="preserve">lei </w:t>
      </w:r>
      <w:r w:rsidRPr="006024E4">
        <w:rPr>
          <w:rFonts w:ascii="Tahoma" w:hAnsi="Tahoma" w:cs="Tahoma"/>
          <w:sz w:val="24"/>
          <w:szCs w:val="24"/>
        </w:rPr>
        <w:t>(</w:t>
      </w:r>
      <w:r w:rsidR="006D1425" w:rsidRPr="006024E4">
        <w:rPr>
          <w:rFonts w:ascii="Tahoma" w:hAnsi="Tahoma" w:cs="Tahoma"/>
          <w:sz w:val="24"/>
          <w:szCs w:val="24"/>
        </w:rPr>
        <w:t>0,</w:t>
      </w:r>
      <w:r w:rsidR="00E141C2" w:rsidRPr="006024E4">
        <w:rPr>
          <w:rFonts w:ascii="Tahoma" w:hAnsi="Tahoma" w:cs="Tahoma"/>
          <w:sz w:val="24"/>
          <w:szCs w:val="24"/>
        </w:rPr>
        <w:t>8</w:t>
      </w:r>
      <w:r w:rsidRPr="006024E4">
        <w:rPr>
          <w:rFonts w:ascii="Tahoma" w:hAnsi="Tahoma" w:cs="Tahoma"/>
          <w:sz w:val="24"/>
          <w:szCs w:val="24"/>
        </w:rPr>
        <w:t>%</w:t>
      </w:r>
      <w:r w:rsidRPr="006024E4">
        <w:rPr>
          <w:rFonts w:ascii="Tahoma" w:hAnsi="Tahoma" w:cs="Tahoma"/>
          <w:b/>
          <w:bCs/>
          <w:sz w:val="24"/>
          <w:szCs w:val="24"/>
        </w:rPr>
        <w:t xml:space="preserve"> </w:t>
      </w:r>
      <w:r w:rsidRPr="006024E4">
        <w:rPr>
          <w:rFonts w:ascii="Tahoma" w:hAnsi="Tahoma" w:cs="Tahoma"/>
          <w:sz w:val="24"/>
          <w:szCs w:val="24"/>
        </w:rPr>
        <w:t>din PIB)</w:t>
      </w:r>
      <w:r w:rsidR="004F35DA" w:rsidRPr="006024E4">
        <w:rPr>
          <w:rFonts w:ascii="Tahoma" w:hAnsi="Tahoma" w:cs="Tahoma"/>
          <w:sz w:val="24"/>
          <w:szCs w:val="24"/>
        </w:rPr>
        <w:t xml:space="preserve"> în </w:t>
      </w:r>
      <w:r w:rsidR="008A72BF" w:rsidRPr="006024E4">
        <w:rPr>
          <w:rFonts w:ascii="Tahoma" w:hAnsi="Tahoma" w:cs="Tahoma"/>
          <w:sz w:val="24"/>
          <w:szCs w:val="24"/>
        </w:rPr>
        <w:t>perioada analizată</w:t>
      </w:r>
      <w:r w:rsidRPr="006024E4">
        <w:rPr>
          <w:rFonts w:ascii="Tahoma" w:hAnsi="Tahoma" w:cs="Tahoma"/>
          <w:sz w:val="24"/>
          <w:szCs w:val="24"/>
        </w:rPr>
        <w:t xml:space="preserve">, gradul de realizare al programului trimestrial fiind de </w:t>
      </w:r>
      <w:r w:rsidR="00E141C2" w:rsidRPr="006024E4">
        <w:rPr>
          <w:rFonts w:ascii="Tahoma" w:hAnsi="Tahoma" w:cs="Tahoma"/>
          <w:sz w:val="24"/>
          <w:szCs w:val="24"/>
        </w:rPr>
        <w:t>104</w:t>
      </w:r>
      <w:r w:rsidR="008A72BF" w:rsidRPr="006024E4">
        <w:rPr>
          <w:rFonts w:ascii="Tahoma" w:hAnsi="Tahoma" w:cs="Tahoma"/>
          <w:sz w:val="24"/>
          <w:szCs w:val="24"/>
        </w:rPr>
        <w:t>,3</w:t>
      </w:r>
      <w:r w:rsidRPr="006024E4">
        <w:rPr>
          <w:rFonts w:ascii="Tahoma" w:hAnsi="Tahoma" w:cs="Tahoma"/>
          <w:sz w:val="24"/>
          <w:szCs w:val="24"/>
        </w:rPr>
        <w:t>%</w:t>
      </w:r>
      <w:r w:rsidR="00E141C2" w:rsidRPr="006024E4">
        <w:rPr>
          <w:rFonts w:ascii="Tahoma" w:hAnsi="Tahoma" w:cs="Tahoma"/>
          <w:sz w:val="24"/>
          <w:szCs w:val="24"/>
        </w:rPr>
        <w:t>(+0,43 miliarde lei)</w:t>
      </w:r>
      <w:r w:rsidRPr="006024E4">
        <w:rPr>
          <w:rFonts w:ascii="Tahoma" w:hAnsi="Tahoma" w:cs="Tahoma"/>
          <w:sz w:val="24"/>
          <w:szCs w:val="24"/>
        </w:rPr>
        <w:t>.</w:t>
      </w:r>
    </w:p>
    <w:p w:rsidR="005A21C3" w:rsidRPr="006024E4" w:rsidRDefault="00DD52A5" w:rsidP="006F01C2">
      <w:pPr>
        <w:shd w:val="clear" w:color="auto" w:fill="FFFFFF"/>
        <w:autoSpaceDE w:val="0"/>
        <w:autoSpaceDN w:val="0"/>
        <w:adjustRightInd w:val="0"/>
        <w:spacing w:after="120" w:line="276" w:lineRule="auto"/>
        <w:jc w:val="both"/>
        <w:rPr>
          <w:rFonts w:ascii="Tahoma" w:hAnsi="Tahoma" w:cs="Tahoma"/>
          <w:sz w:val="24"/>
          <w:szCs w:val="24"/>
        </w:rPr>
      </w:pPr>
      <w:r w:rsidRPr="006024E4">
        <w:rPr>
          <w:rFonts w:ascii="Tahoma" w:hAnsi="Tahoma" w:cs="Tahoma"/>
          <w:sz w:val="24"/>
          <w:szCs w:val="24"/>
        </w:rPr>
        <w:t>Depășirea programului trimestrial s-a datorat în principal evoluției încasărilor la bugetul</w:t>
      </w:r>
      <w:r w:rsidR="00B4077C" w:rsidRPr="006024E4">
        <w:rPr>
          <w:rFonts w:ascii="Tahoma" w:hAnsi="Tahoma" w:cs="Tahoma"/>
          <w:sz w:val="24"/>
          <w:szCs w:val="24"/>
        </w:rPr>
        <w:t>ui</w:t>
      </w:r>
      <w:r w:rsidRPr="006024E4">
        <w:rPr>
          <w:rFonts w:ascii="Tahoma" w:hAnsi="Tahoma" w:cs="Tahoma"/>
          <w:sz w:val="24"/>
          <w:szCs w:val="24"/>
        </w:rPr>
        <w:t xml:space="preserve"> de stat</w:t>
      </w:r>
      <w:r w:rsidR="00D870FD" w:rsidRPr="006024E4">
        <w:rPr>
          <w:rFonts w:ascii="Tahoma" w:hAnsi="Tahoma" w:cs="Tahoma"/>
          <w:sz w:val="24"/>
          <w:szCs w:val="24"/>
        </w:rPr>
        <w:t xml:space="preserve"> </w:t>
      </w:r>
      <w:r w:rsidR="005A21C3" w:rsidRPr="006024E4">
        <w:rPr>
          <w:rFonts w:ascii="Tahoma" w:hAnsi="Tahoma" w:cs="Tahoma"/>
          <w:sz w:val="24"/>
          <w:szCs w:val="24"/>
        </w:rPr>
        <w:t>(+</w:t>
      </w:r>
      <w:r w:rsidR="008428B3" w:rsidRPr="006024E4">
        <w:rPr>
          <w:rFonts w:ascii="Tahoma" w:hAnsi="Tahoma" w:cs="Tahoma"/>
          <w:sz w:val="24"/>
          <w:szCs w:val="24"/>
        </w:rPr>
        <w:t>1</w:t>
      </w:r>
      <w:r w:rsidR="00E141C2" w:rsidRPr="006024E4">
        <w:rPr>
          <w:rFonts w:ascii="Tahoma" w:hAnsi="Tahoma" w:cs="Tahoma"/>
          <w:sz w:val="24"/>
          <w:szCs w:val="24"/>
        </w:rPr>
        <w:t>,1</w:t>
      </w:r>
      <w:r w:rsidR="005A21C3" w:rsidRPr="006024E4">
        <w:rPr>
          <w:rFonts w:ascii="Tahoma" w:hAnsi="Tahoma" w:cs="Tahoma"/>
          <w:sz w:val="24"/>
          <w:szCs w:val="24"/>
        </w:rPr>
        <w:t xml:space="preserve"> miliarde lei)</w:t>
      </w:r>
      <w:r w:rsidR="008428B3" w:rsidRPr="006024E4">
        <w:rPr>
          <w:rFonts w:ascii="Tahoma" w:hAnsi="Tahoma" w:cs="Tahoma"/>
          <w:sz w:val="24"/>
          <w:szCs w:val="24"/>
        </w:rPr>
        <w:t>.</w:t>
      </w:r>
      <w:r w:rsidR="005A21C3" w:rsidRPr="006024E4">
        <w:rPr>
          <w:rFonts w:ascii="Tahoma" w:hAnsi="Tahoma" w:cs="Tahoma"/>
          <w:sz w:val="24"/>
          <w:szCs w:val="24"/>
        </w:rPr>
        <w:t xml:space="preserve"> </w:t>
      </w:r>
    </w:p>
    <w:p w:rsidR="00E141C2" w:rsidRPr="006024E4" w:rsidRDefault="00D870FD" w:rsidP="00E141C2">
      <w:pPr>
        <w:autoSpaceDE w:val="0"/>
        <w:autoSpaceDN w:val="0"/>
        <w:adjustRightInd w:val="0"/>
        <w:spacing w:after="120" w:line="276" w:lineRule="auto"/>
        <w:jc w:val="both"/>
        <w:rPr>
          <w:rFonts w:ascii="Tahoma" w:eastAsia="Calibri" w:hAnsi="Tahoma" w:cs="Tahoma"/>
          <w:kern w:val="1"/>
          <w:sz w:val="24"/>
          <w:szCs w:val="24"/>
        </w:rPr>
      </w:pPr>
      <w:r w:rsidRPr="006024E4">
        <w:rPr>
          <w:rFonts w:ascii="Tahoma" w:hAnsi="Tahoma" w:cs="Tahoma"/>
          <w:sz w:val="24"/>
          <w:szCs w:val="24"/>
        </w:rPr>
        <w:t xml:space="preserve">Încasările la bugetul de stat </w:t>
      </w:r>
      <w:r w:rsidR="00FF1D8D" w:rsidRPr="006024E4">
        <w:rPr>
          <w:rFonts w:ascii="Tahoma" w:hAnsi="Tahoma" w:cs="Tahoma"/>
          <w:sz w:val="24"/>
          <w:szCs w:val="24"/>
        </w:rPr>
        <w:t xml:space="preserve">au fost </w:t>
      </w:r>
      <w:r w:rsidR="00E141C2" w:rsidRPr="006024E4">
        <w:rPr>
          <w:rFonts w:ascii="Tahoma" w:eastAsia="Calibri" w:hAnsi="Tahoma" w:cs="Tahoma"/>
          <w:kern w:val="1"/>
          <w:sz w:val="24"/>
          <w:szCs w:val="24"/>
        </w:rPr>
        <w:t xml:space="preserve">în sumă de 6,1 mld. lei, înregistrează o creștere de 53,6% (+2,1 miliarde lei), comparativ cu aceeași perioadă a anului precedent, pe seama veniturilor din proprietate (vărsăminte din veniturile nete ale B.N.R, venituri din dividende și redevențe petroliere). Gradul de realizare al veniturilor nefiscale este de </w:t>
      </w:r>
      <w:r w:rsidR="008428B3" w:rsidRPr="006024E4">
        <w:rPr>
          <w:rFonts w:ascii="Tahoma" w:eastAsia="Calibri" w:hAnsi="Tahoma" w:cs="Tahoma"/>
          <w:kern w:val="1"/>
          <w:sz w:val="24"/>
          <w:szCs w:val="24"/>
        </w:rPr>
        <w:t>120,7</w:t>
      </w:r>
      <w:r w:rsidR="00E141C2" w:rsidRPr="006024E4">
        <w:rPr>
          <w:rFonts w:ascii="Tahoma" w:eastAsia="Calibri" w:hAnsi="Tahoma" w:cs="Tahoma"/>
          <w:kern w:val="1"/>
          <w:sz w:val="24"/>
          <w:szCs w:val="24"/>
        </w:rPr>
        <w:t>% (+1,</w:t>
      </w:r>
      <w:r w:rsidR="008428B3" w:rsidRPr="006024E4">
        <w:rPr>
          <w:rFonts w:ascii="Tahoma" w:eastAsia="Calibri" w:hAnsi="Tahoma" w:cs="Tahoma"/>
          <w:kern w:val="1"/>
          <w:sz w:val="24"/>
          <w:szCs w:val="24"/>
        </w:rPr>
        <w:t>1</w:t>
      </w:r>
      <w:r w:rsidR="00E141C2" w:rsidRPr="006024E4">
        <w:rPr>
          <w:rFonts w:ascii="Tahoma" w:eastAsia="Calibri" w:hAnsi="Tahoma" w:cs="Tahoma"/>
          <w:kern w:val="1"/>
          <w:sz w:val="24"/>
          <w:szCs w:val="24"/>
        </w:rPr>
        <w:t xml:space="preserve"> miliarde lei).</w:t>
      </w:r>
    </w:p>
    <w:p w:rsidR="00E141C2" w:rsidRPr="006024E4" w:rsidRDefault="00E141C2" w:rsidP="00E141C2">
      <w:pPr>
        <w:autoSpaceDE w:val="0"/>
        <w:autoSpaceDN w:val="0"/>
        <w:adjustRightInd w:val="0"/>
        <w:spacing w:after="120" w:line="276" w:lineRule="auto"/>
        <w:jc w:val="both"/>
        <w:rPr>
          <w:rFonts w:eastAsia="SimSun" w:cs="Liberation Serif"/>
          <w:bCs/>
          <w:kern w:val="1"/>
          <w:sz w:val="24"/>
          <w:szCs w:val="24"/>
          <w:lang w:eastAsia="zh-CN"/>
        </w:rPr>
      </w:pPr>
      <w:r w:rsidRPr="006024E4">
        <w:rPr>
          <w:rFonts w:ascii="Tahoma" w:eastAsia="Calibri" w:hAnsi="Tahoma" w:cs="Tahoma"/>
          <w:kern w:val="1"/>
          <w:sz w:val="24"/>
          <w:szCs w:val="24"/>
        </w:rPr>
        <w:t xml:space="preserve">Vărsămintele din veniturile nete ale B.N.R. au înregistrat o creștere semnificativă de 199,7% (+0,7 miliarde lei) față de aceeași perioadă a anului precedent, gradul de realizare este de </w:t>
      </w:r>
      <w:r w:rsidRPr="006024E4">
        <w:rPr>
          <w:rFonts w:ascii="Tahoma" w:eastAsia="Calibri" w:hAnsi="Tahoma" w:cs="Tahoma"/>
          <w:kern w:val="1"/>
          <w:sz w:val="24"/>
          <w:szCs w:val="24"/>
        </w:rPr>
        <w:lastRenderedPageBreak/>
        <w:t xml:space="preserve">275,0% (+0,6 miliarde lei). Creșterea veniturilor din concesiuni și închirieri cu 141,4% (+0,6 miliarde lei) în perioada analizată se datorează majorării încasărilor din redevențe petroliere, influențate fiind de creșterea prețurilor la petrol și gaze naturale în semestrul I al anului 2022. Veniturile din dividende s-au majorat cu 17,4% (+0,4 miliarde lei), pe seama dividendelor aferente exercițiului financiar al anului 2021 virate de operatorii economici suplimentar față de nivelul programat pentru anul curent. </w:t>
      </w:r>
      <w:r w:rsidRPr="006024E4">
        <w:rPr>
          <w:rFonts w:eastAsia="SimSun" w:cs="Liberation Serif"/>
          <w:bCs/>
          <w:color w:val="000000" w:themeColor="text1"/>
          <w:kern w:val="1"/>
          <w:sz w:val="28"/>
          <w:szCs w:val="28"/>
          <w:lang w:eastAsia="zh-CN"/>
        </w:rPr>
        <w:tab/>
      </w:r>
      <w:r w:rsidRPr="006024E4">
        <w:rPr>
          <w:rFonts w:ascii="Trebuchet MS" w:eastAsia="SimSun" w:hAnsi="Trebuchet MS" w:cs="Liberation Serif"/>
          <w:color w:val="000000" w:themeColor="text1"/>
          <w:kern w:val="1"/>
          <w:sz w:val="28"/>
          <w:szCs w:val="28"/>
          <w:lang w:eastAsia="zh-CN"/>
        </w:rPr>
        <w:t xml:space="preserve"> </w:t>
      </w:r>
    </w:p>
    <w:p w:rsidR="00F172E4" w:rsidRPr="006024E4" w:rsidRDefault="00DD52A5" w:rsidP="00F172E4">
      <w:pPr>
        <w:pStyle w:val="NormalWeb"/>
        <w:spacing w:before="120" w:after="120"/>
        <w:ind w:firstLine="0"/>
        <w:rPr>
          <w:rFonts w:ascii="Tahoma" w:hAnsi="Tahoma" w:cs="Tahoma"/>
          <w:lang w:val="ro-RO" w:eastAsia="ro-RO"/>
        </w:rPr>
      </w:pPr>
      <w:r w:rsidRPr="006024E4">
        <w:rPr>
          <w:rFonts w:ascii="Tahoma" w:hAnsi="Tahoma" w:cs="Tahoma"/>
          <w:b/>
          <w:bCs/>
          <w:lang w:val="ro-RO" w:eastAsia="ro-RO"/>
        </w:rPr>
        <w:t>Sumele primite de la Uniunea Europeană</w:t>
      </w:r>
      <w:r w:rsidRPr="006024E4">
        <w:rPr>
          <w:rFonts w:ascii="Tahoma" w:hAnsi="Tahoma" w:cs="Tahoma"/>
          <w:lang w:val="ro-RO" w:eastAsia="ro-RO"/>
        </w:rPr>
        <w:t xml:space="preserve"> aferente proiectelor finanțate atât din cadrul financiar 2007-2013, cât și din cadru financiar 2014-2020</w:t>
      </w:r>
      <w:r w:rsidR="00B56642" w:rsidRPr="006024E4">
        <w:rPr>
          <w:rFonts w:ascii="Tahoma" w:hAnsi="Tahoma" w:cs="Tahoma"/>
          <w:lang w:val="ro-RO" w:eastAsia="ro-RO"/>
        </w:rPr>
        <w:t xml:space="preserve"> dar și </w:t>
      </w:r>
      <w:r w:rsidR="00102D79" w:rsidRPr="006024E4">
        <w:rPr>
          <w:rFonts w:ascii="Tahoma" w:hAnsi="Tahoma" w:cs="Tahoma"/>
          <w:lang w:val="ro-RO" w:eastAsia="ro-RO"/>
        </w:rPr>
        <w:t>sumele aferente</w:t>
      </w:r>
      <w:r w:rsidR="00102D79" w:rsidRPr="006024E4">
        <w:rPr>
          <w:rFonts w:ascii="Tahoma" w:hAnsi="Tahoma" w:cs="Tahoma"/>
          <w:b/>
          <w:bCs/>
          <w:lang w:val="ro-RO" w:eastAsia="ro-RO"/>
        </w:rPr>
        <w:t xml:space="preserve"> </w:t>
      </w:r>
      <w:r w:rsidR="00102D79" w:rsidRPr="006024E4">
        <w:rPr>
          <w:rFonts w:ascii="Tahoma" w:hAnsi="Tahoma" w:cs="Tahoma"/>
          <w:bCs/>
          <w:lang w:val="ro-RO" w:eastAsia="ro-RO"/>
        </w:rPr>
        <w:t xml:space="preserve">perioadei de programare a Uniunii Europene 2021 </w:t>
      </w:r>
      <w:r w:rsidR="008A72BF" w:rsidRPr="006024E4">
        <w:rPr>
          <w:rFonts w:ascii="Tahoma" w:hAnsi="Tahoma" w:cs="Tahoma"/>
          <w:bCs/>
          <w:lang w:val="ro-RO" w:eastAsia="ro-RO"/>
        </w:rPr>
        <w:t>–</w:t>
      </w:r>
      <w:r w:rsidR="00102D79" w:rsidRPr="006024E4">
        <w:rPr>
          <w:rFonts w:ascii="Tahoma" w:hAnsi="Tahoma" w:cs="Tahoma"/>
          <w:bCs/>
          <w:lang w:val="ro-RO" w:eastAsia="ro-RO"/>
        </w:rPr>
        <w:t xml:space="preserve"> 2027</w:t>
      </w:r>
      <w:r w:rsidR="000103D3" w:rsidRPr="006024E4">
        <w:rPr>
          <w:rFonts w:ascii="Tahoma" w:hAnsi="Tahoma" w:cs="Tahoma"/>
          <w:bCs/>
          <w:lang w:val="ro-RO" w:eastAsia="ro-RO"/>
        </w:rPr>
        <w:t xml:space="preserve"> </w:t>
      </w:r>
      <w:r w:rsidR="008A72BF" w:rsidRPr="006024E4">
        <w:rPr>
          <w:rFonts w:ascii="Tahoma" w:hAnsi="Tahoma" w:cs="Tahoma"/>
          <w:bCs/>
          <w:lang w:val="ro-RO" w:eastAsia="ro-RO"/>
        </w:rPr>
        <w:t>și sumele aferente asistenței financiare a PNRR</w:t>
      </w:r>
      <w:r w:rsidRPr="006024E4">
        <w:rPr>
          <w:rFonts w:ascii="Tahoma" w:hAnsi="Tahoma" w:cs="Tahoma"/>
          <w:lang w:val="ro-RO" w:eastAsia="ro-RO"/>
        </w:rPr>
        <w:t>,</w:t>
      </w:r>
      <w:r w:rsidR="00D870FD" w:rsidRPr="006024E4">
        <w:rPr>
          <w:rFonts w:ascii="Tahoma" w:hAnsi="Tahoma" w:cs="Tahoma"/>
          <w:lang w:val="ro-RO" w:eastAsia="ro-RO"/>
        </w:rPr>
        <w:t xml:space="preserve"> </w:t>
      </w:r>
      <w:r w:rsidRPr="006024E4">
        <w:rPr>
          <w:rFonts w:ascii="Tahoma" w:hAnsi="Tahoma" w:cs="Tahoma"/>
          <w:lang w:val="ro-RO" w:eastAsia="ro-RO"/>
        </w:rPr>
        <w:t>încasate în trimestru</w:t>
      </w:r>
      <w:r w:rsidR="00E141C2" w:rsidRPr="006024E4">
        <w:rPr>
          <w:rFonts w:ascii="Tahoma" w:hAnsi="Tahoma" w:cs="Tahoma"/>
          <w:lang w:val="ro-RO" w:eastAsia="ro-RO"/>
        </w:rPr>
        <w:t>l III</w:t>
      </w:r>
      <w:r w:rsidRPr="006024E4">
        <w:rPr>
          <w:rFonts w:ascii="Tahoma" w:hAnsi="Tahoma" w:cs="Tahoma"/>
          <w:lang w:val="ro-RO" w:eastAsia="ro-RO"/>
        </w:rPr>
        <w:t xml:space="preserve"> 202</w:t>
      </w:r>
      <w:r w:rsidR="00D870FD" w:rsidRPr="006024E4">
        <w:rPr>
          <w:rFonts w:ascii="Tahoma" w:hAnsi="Tahoma" w:cs="Tahoma"/>
          <w:lang w:val="ro-RO" w:eastAsia="ro-RO"/>
        </w:rPr>
        <w:t>2</w:t>
      </w:r>
      <w:r w:rsidRPr="006024E4">
        <w:rPr>
          <w:rFonts w:ascii="Tahoma" w:hAnsi="Tahoma" w:cs="Tahoma"/>
          <w:lang w:val="ro-RO" w:eastAsia="ro-RO"/>
        </w:rPr>
        <w:t xml:space="preserve">, </w:t>
      </w:r>
      <w:r w:rsidR="008A72BF" w:rsidRPr="006024E4">
        <w:rPr>
          <w:rFonts w:ascii="Tahoma" w:hAnsi="Tahoma" w:cs="Tahoma"/>
          <w:lang w:val="ro-RO" w:eastAsia="ro-RO"/>
        </w:rPr>
        <w:t xml:space="preserve">au fost în sumă de </w:t>
      </w:r>
      <w:r w:rsidR="00E141C2" w:rsidRPr="006024E4">
        <w:rPr>
          <w:rFonts w:ascii="Tahoma" w:hAnsi="Tahoma" w:cs="Tahoma"/>
          <w:lang w:val="ro-RO" w:eastAsia="ro-RO"/>
        </w:rPr>
        <w:t>11,77</w:t>
      </w:r>
      <w:r w:rsidR="008A72BF" w:rsidRPr="006024E4">
        <w:rPr>
          <w:rFonts w:ascii="Tahoma" w:hAnsi="Tahoma" w:cs="Tahoma"/>
          <w:lang w:val="ro-RO" w:eastAsia="ro-RO"/>
        </w:rPr>
        <w:t xml:space="preserve"> miliarde lei (0,</w:t>
      </w:r>
      <w:r w:rsidR="00E141C2" w:rsidRPr="006024E4">
        <w:rPr>
          <w:rFonts w:ascii="Tahoma" w:hAnsi="Tahoma" w:cs="Tahoma"/>
          <w:lang w:val="ro-RO" w:eastAsia="ro-RO"/>
        </w:rPr>
        <w:t>86</w:t>
      </w:r>
      <w:r w:rsidRPr="006024E4">
        <w:rPr>
          <w:rFonts w:ascii="Tahoma" w:hAnsi="Tahoma" w:cs="Tahoma"/>
          <w:lang w:val="ro-RO" w:eastAsia="ro-RO"/>
        </w:rPr>
        <w:t>% din PIB</w:t>
      </w:r>
      <w:r w:rsidR="008A72BF" w:rsidRPr="006024E4">
        <w:rPr>
          <w:rFonts w:ascii="Tahoma" w:hAnsi="Tahoma" w:cs="Tahoma"/>
          <w:lang w:val="ro-RO" w:eastAsia="ro-RO"/>
        </w:rPr>
        <w:t>)</w:t>
      </w:r>
      <w:r w:rsidR="0097352C" w:rsidRPr="006024E4">
        <w:rPr>
          <w:rFonts w:ascii="Tahoma" w:hAnsi="Tahoma" w:cs="Tahoma"/>
          <w:lang w:val="ro-RO" w:eastAsia="ro-RO"/>
        </w:rPr>
        <w:t>, corespunzător</w:t>
      </w:r>
      <w:r w:rsidRPr="006024E4">
        <w:rPr>
          <w:rFonts w:ascii="Tahoma" w:hAnsi="Tahoma" w:cs="Tahoma"/>
          <w:lang w:val="ro-RO" w:eastAsia="ro-RO"/>
        </w:rPr>
        <w:t xml:space="preserve"> un</w:t>
      </w:r>
      <w:r w:rsidR="0097352C" w:rsidRPr="006024E4">
        <w:rPr>
          <w:rFonts w:ascii="Tahoma" w:hAnsi="Tahoma" w:cs="Tahoma"/>
          <w:lang w:val="ro-RO" w:eastAsia="ro-RO"/>
        </w:rPr>
        <w:t>ui</w:t>
      </w:r>
      <w:r w:rsidRPr="006024E4">
        <w:rPr>
          <w:rFonts w:ascii="Tahoma" w:hAnsi="Tahoma" w:cs="Tahoma"/>
          <w:lang w:val="ro-RO" w:eastAsia="ro-RO"/>
        </w:rPr>
        <w:t xml:space="preserve"> grad de realizare</w:t>
      </w:r>
      <w:r w:rsidR="00E001D0" w:rsidRPr="006024E4">
        <w:rPr>
          <w:rFonts w:ascii="Tahoma" w:hAnsi="Tahoma" w:cs="Tahoma"/>
          <w:lang w:val="ro-RO" w:eastAsia="ro-RO"/>
        </w:rPr>
        <w:t xml:space="preserve"> de </w:t>
      </w:r>
      <w:r w:rsidR="00E141C2" w:rsidRPr="006024E4">
        <w:rPr>
          <w:rFonts w:ascii="Tahoma" w:hAnsi="Tahoma" w:cs="Tahoma"/>
          <w:lang w:val="ro-RO" w:eastAsia="ro-RO"/>
        </w:rPr>
        <w:t>84,7</w:t>
      </w:r>
      <w:r w:rsidR="00E001D0" w:rsidRPr="006024E4">
        <w:rPr>
          <w:rFonts w:ascii="Tahoma" w:hAnsi="Tahoma" w:cs="Tahoma"/>
          <w:lang w:val="ro-RO" w:eastAsia="ro-RO"/>
        </w:rPr>
        <w:t>%</w:t>
      </w:r>
      <w:r w:rsidRPr="006024E4">
        <w:rPr>
          <w:rFonts w:ascii="Tahoma" w:hAnsi="Tahoma" w:cs="Tahoma"/>
          <w:lang w:val="ro-RO" w:eastAsia="ro-RO"/>
        </w:rPr>
        <w:t xml:space="preserve"> </w:t>
      </w:r>
      <w:r w:rsidR="0079445D" w:rsidRPr="006024E4">
        <w:rPr>
          <w:rFonts w:ascii="Tahoma" w:hAnsi="Tahoma" w:cs="Tahoma"/>
          <w:lang w:val="ro-RO" w:eastAsia="ro-RO"/>
        </w:rPr>
        <w:t>a</w:t>
      </w:r>
      <w:r w:rsidRPr="006024E4">
        <w:rPr>
          <w:rFonts w:ascii="Tahoma" w:hAnsi="Tahoma" w:cs="Tahoma"/>
          <w:lang w:val="ro-RO" w:eastAsia="ro-RO"/>
        </w:rPr>
        <w:t xml:space="preserve"> programului trimestrial</w:t>
      </w:r>
      <w:r w:rsidR="00E001D0" w:rsidRPr="006024E4">
        <w:rPr>
          <w:rFonts w:ascii="Tahoma" w:hAnsi="Tahoma" w:cs="Tahoma"/>
          <w:lang w:val="ro-RO" w:eastAsia="ro-RO"/>
        </w:rPr>
        <w:t>.</w:t>
      </w:r>
      <w:r w:rsidR="00102D79" w:rsidRPr="006024E4">
        <w:rPr>
          <w:rFonts w:ascii="Tahoma" w:hAnsi="Tahoma" w:cs="Tahoma"/>
          <w:lang w:val="ro-RO" w:eastAsia="ro-RO"/>
        </w:rPr>
        <w:t xml:space="preserve"> </w:t>
      </w:r>
      <w:r w:rsidR="00F172E4" w:rsidRPr="006024E4">
        <w:rPr>
          <w:rFonts w:ascii="Tahoma" w:hAnsi="Tahoma" w:cs="Tahoma"/>
          <w:lang w:val="ro-RO" w:eastAsia="ro-RO"/>
        </w:rPr>
        <w:t>Din totalul sumelor 92,6% au reprezentat fonduri externe nerambursabile aferente cadrului financiar 2014-2020.</w:t>
      </w:r>
    </w:p>
    <w:p w:rsidR="009270AB" w:rsidRPr="006024E4" w:rsidRDefault="009270AB" w:rsidP="00F172E4">
      <w:pPr>
        <w:pStyle w:val="NormalWeb"/>
        <w:spacing w:before="120" w:after="120"/>
        <w:ind w:firstLine="0"/>
        <w:rPr>
          <w:rFonts w:ascii="Tahoma" w:hAnsi="Tahoma" w:cs="Tahoma"/>
          <w:lang w:val="ro-RO" w:eastAsia="ro-RO"/>
        </w:rPr>
      </w:pPr>
      <w:r w:rsidRPr="006024E4">
        <w:rPr>
          <w:rFonts w:ascii="Tahoma" w:hAnsi="Tahoma" w:cs="Tahoma"/>
          <w:lang w:val="ro-RO" w:eastAsia="ro-RO"/>
        </w:rPr>
        <w:t>Comparativ cu trimestrul I</w:t>
      </w:r>
      <w:r w:rsidR="008A72BF" w:rsidRPr="006024E4">
        <w:rPr>
          <w:rFonts w:ascii="Tahoma" w:hAnsi="Tahoma" w:cs="Tahoma"/>
          <w:lang w:val="ro-RO" w:eastAsia="ro-RO"/>
        </w:rPr>
        <w:t>I</w:t>
      </w:r>
      <w:r w:rsidR="00E141C2" w:rsidRPr="006024E4">
        <w:rPr>
          <w:rFonts w:ascii="Tahoma" w:hAnsi="Tahoma" w:cs="Tahoma"/>
          <w:lang w:val="ro-RO" w:eastAsia="ro-RO"/>
        </w:rPr>
        <w:t>I</w:t>
      </w:r>
      <w:r w:rsidRPr="006024E4">
        <w:rPr>
          <w:rFonts w:ascii="Tahoma" w:hAnsi="Tahoma" w:cs="Tahoma"/>
          <w:lang w:val="ro-RO" w:eastAsia="ro-RO"/>
        </w:rPr>
        <w:t xml:space="preserve"> al anului precedent sumele nerambursabile primite de la </w:t>
      </w:r>
      <w:r w:rsidRPr="006024E4">
        <w:rPr>
          <w:rFonts w:ascii="Tahoma" w:hAnsi="Tahoma" w:cs="Tahoma"/>
          <w:bCs/>
          <w:lang w:val="ro-RO" w:eastAsia="ro-RO"/>
        </w:rPr>
        <w:t>Uniunea Europeană</w:t>
      </w:r>
      <w:r w:rsidRPr="006024E4">
        <w:rPr>
          <w:rFonts w:ascii="Tahoma" w:hAnsi="Tahoma" w:cs="Tahoma"/>
          <w:lang w:val="ro-RO" w:eastAsia="ro-RO"/>
        </w:rPr>
        <w:t xml:space="preserve"> au înregistrat o </w:t>
      </w:r>
      <w:r w:rsidR="00F172E4" w:rsidRPr="006024E4">
        <w:rPr>
          <w:rFonts w:ascii="Tahoma" w:hAnsi="Tahoma" w:cs="Tahoma"/>
          <w:lang w:val="ro-RO" w:eastAsia="ro-RO"/>
        </w:rPr>
        <w:t>creștere</w:t>
      </w:r>
      <w:r w:rsidRPr="006024E4">
        <w:rPr>
          <w:rFonts w:ascii="Tahoma" w:hAnsi="Tahoma" w:cs="Tahoma"/>
          <w:lang w:val="ro-RO" w:eastAsia="ro-RO"/>
        </w:rPr>
        <w:t xml:space="preserve"> cu </w:t>
      </w:r>
      <w:r w:rsidR="00F172E4" w:rsidRPr="006024E4">
        <w:rPr>
          <w:rFonts w:ascii="Tahoma" w:hAnsi="Tahoma" w:cs="Tahoma"/>
          <w:lang w:val="ro-RO" w:eastAsia="ro-RO"/>
        </w:rPr>
        <w:t>5,25</w:t>
      </w:r>
      <w:r w:rsidRPr="006024E4">
        <w:rPr>
          <w:rFonts w:ascii="Tahoma" w:hAnsi="Tahoma" w:cs="Tahoma"/>
          <w:lang w:val="ro-RO" w:eastAsia="ro-RO"/>
        </w:rPr>
        <w:t xml:space="preserve"> miliarde lei </w:t>
      </w:r>
      <w:r w:rsidR="00F172E4" w:rsidRPr="006024E4">
        <w:rPr>
          <w:rFonts w:ascii="Tahoma" w:hAnsi="Tahoma" w:cs="Tahoma"/>
          <w:lang w:val="ro-RO" w:eastAsia="ro-RO"/>
        </w:rPr>
        <w:t>(+80,5</w:t>
      </w:r>
      <w:r w:rsidRPr="006024E4">
        <w:rPr>
          <w:rFonts w:ascii="Tahoma" w:hAnsi="Tahoma" w:cs="Tahoma"/>
          <w:lang w:val="ro-RO" w:eastAsia="ro-RO"/>
        </w:rPr>
        <w:t xml:space="preserve">%), iar ca pondere în PIB au </w:t>
      </w:r>
      <w:r w:rsidR="00F172E4" w:rsidRPr="006024E4">
        <w:rPr>
          <w:rFonts w:ascii="Tahoma" w:hAnsi="Tahoma" w:cs="Tahoma"/>
          <w:lang w:val="ro-RO" w:eastAsia="ro-RO"/>
        </w:rPr>
        <w:t>crescut</w:t>
      </w:r>
      <w:r w:rsidRPr="006024E4">
        <w:rPr>
          <w:rFonts w:ascii="Tahoma" w:hAnsi="Tahoma" w:cs="Tahoma"/>
          <w:lang w:val="ro-RO" w:eastAsia="ro-RO"/>
        </w:rPr>
        <w:t xml:space="preserve"> cu 0,</w:t>
      </w:r>
      <w:r w:rsidR="00F172E4" w:rsidRPr="006024E4">
        <w:rPr>
          <w:rFonts w:ascii="Tahoma" w:hAnsi="Tahoma" w:cs="Tahoma"/>
          <w:lang w:val="ro-RO" w:eastAsia="ro-RO"/>
        </w:rPr>
        <w:t>3</w:t>
      </w:r>
      <w:r w:rsidR="008A72BF" w:rsidRPr="006024E4">
        <w:rPr>
          <w:rFonts w:ascii="Tahoma" w:hAnsi="Tahoma" w:cs="Tahoma"/>
          <w:lang w:val="ro-RO" w:eastAsia="ro-RO"/>
        </w:rPr>
        <w:t>1</w:t>
      </w:r>
      <w:r w:rsidRPr="006024E4">
        <w:rPr>
          <w:rFonts w:ascii="Tahoma" w:hAnsi="Tahoma" w:cs="Tahoma"/>
          <w:lang w:val="ro-RO" w:eastAsia="ro-RO"/>
        </w:rPr>
        <w:t xml:space="preserve"> puncte procentuale de la 0,</w:t>
      </w:r>
      <w:r w:rsidR="00F172E4" w:rsidRPr="006024E4">
        <w:rPr>
          <w:rFonts w:ascii="Tahoma" w:hAnsi="Tahoma" w:cs="Tahoma"/>
          <w:lang w:val="ro-RO" w:eastAsia="ro-RO"/>
        </w:rPr>
        <w:t>55</w:t>
      </w:r>
      <w:r w:rsidR="008A72BF" w:rsidRPr="006024E4">
        <w:rPr>
          <w:rFonts w:ascii="Tahoma" w:hAnsi="Tahoma" w:cs="Tahoma"/>
          <w:lang w:val="ro-RO" w:eastAsia="ro-RO"/>
        </w:rPr>
        <w:t>% din PIB cât au fost în</w:t>
      </w:r>
      <w:r w:rsidRPr="006024E4">
        <w:rPr>
          <w:rFonts w:ascii="Tahoma" w:hAnsi="Tahoma" w:cs="Tahoma"/>
          <w:lang w:val="ro-RO" w:eastAsia="ro-RO"/>
        </w:rPr>
        <w:t xml:space="preserve"> trimestru</w:t>
      </w:r>
      <w:r w:rsidR="008A72BF" w:rsidRPr="006024E4">
        <w:rPr>
          <w:rFonts w:ascii="Tahoma" w:hAnsi="Tahoma" w:cs="Tahoma"/>
          <w:lang w:val="ro-RO" w:eastAsia="ro-RO"/>
        </w:rPr>
        <w:t>l II</w:t>
      </w:r>
      <w:r w:rsidR="00F172E4" w:rsidRPr="006024E4">
        <w:rPr>
          <w:rFonts w:ascii="Tahoma" w:hAnsi="Tahoma" w:cs="Tahoma"/>
          <w:lang w:val="ro-RO" w:eastAsia="ro-RO"/>
        </w:rPr>
        <w:t>I</w:t>
      </w:r>
      <w:r w:rsidRPr="006024E4">
        <w:rPr>
          <w:rFonts w:ascii="Tahoma" w:hAnsi="Tahoma" w:cs="Tahoma"/>
          <w:lang w:val="ro-RO" w:eastAsia="ro-RO"/>
        </w:rPr>
        <w:t xml:space="preserve"> 2021 la 0,</w:t>
      </w:r>
      <w:r w:rsidR="00F172E4" w:rsidRPr="006024E4">
        <w:rPr>
          <w:rFonts w:ascii="Tahoma" w:hAnsi="Tahoma" w:cs="Tahoma"/>
          <w:lang w:val="ro-RO" w:eastAsia="ro-RO"/>
        </w:rPr>
        <w:t>86</w:t>
      </w:r>
      <w:r w:rsidRPr="006024E4">
        <w:rPr>
          <w:rFonts w:ascii="Tahoma" w:hAnsi="Tahoma" w:cs="Tahoma"/>
          <w:lang w:val="ro-RO" w:eastAsia="ro-RO"/>
        </w:rPr>
        <w:t>% din PIB în trimestrul I</w:t>
      </w:r>
      <w:r w:rsidR="008A72BF" w:rsidRPr="006024E4">
        <w:rPr>
          <w:rFonts w:ascii="Tahoma" w:hAnsi="Tahoma" w:cs="Tahoma"/>
          <w:lang w:val="ro-RO" w:eastAsia="ro-RO"/>
        </w:rPr>
        <w:t>I</w:t>
      </w:r>
      <w:r w:rsidR="00F172E4" w:rsidRPr="006024E4">
        <w:rPr>
          <w:rFonts w:ascii="Tahoma" w:hAnsi="Tahoma" w:cs="Tahoma"/>
          <w:lang w:val="ro-RO" w:eastAsia="ro-RO"/>
        </w:rPr>
        <w:t>I</w:t>
      </w:r>
      <w:r w:rsidRPr="006024E4">
        <w:rPr>
          <w:rFonts w:ascii="Tahoma" w:hAnsi="Tahoma" w:cs="Tahoma"/>
          <w:lang w:val="ro-RO" w:eastAsia="ro-RO"/>
        </w:rPr>
        <w:t xml:space="preserve"> 2022. </w:t>
      </w:r>
    </w:p>
    <w:p w:rsidR="00B56642" w:rsidRPr="006024E4" w:rsidRDefault="00B56642" w:rsidP="009D6EDB">
      <w:pPr>
        <w:spacing w:line="276" w:lineRule="auto"/>
        <w:jc w:val="both"/>
        <w:rPr>
          <w:rFonts w:ascii="Tahoma" w:hAnsi="Tahoma" w:cs="Tahoma"/>
          <w:sz w:val="24"/>
          <w:szCs w:val="24"/>
          <w:lang w:eastAsia="ro-RO"/>
        </w:rPr>
      </w:pPr>
    </w:p>
    <w:p w:rsidR="00E15D34" w:rsidRPr="006024E4" w:rsidRDefault="00E15D34">
      <w:pPr>
        <w:rPr>
          <w:rFonts w:ascii="Tahoma" w:eastAsia="Times New Roman" w:hAnsi="Tahoma" w:cs="Tahoma"/>
          <w:color w:val="000000"/>
          <w:sz w:val="24"/>
          <w:szCs w:val="24"/>
          <w:lang w:eastAsia="ro-RO"/>
        </w:rPr>
      </w:pPr>
      <w:r w:rsidRPr="006024E4">
        <w:rPr>
          <w:rFonts w:ascii="Tahoma" w:hAnsi="Tahoma" w:cs="Tahoma"/>
          <w:lang w:eastAsia="ro-RO"/>
        </w:rPr>
        <w:br w:type="page"/>
      </w:r>
    </w:p>
    <w:p w:rsidR="007D0985" w:rsidRPr="006024E4"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6024E4">
        <w:rPr>
          <w:rFonts w:ascii="Tahoma" w:hAnsi="Tahoma" w:cs="Tahoma"/>
          <w:b/>
          <w:caps/>
          <w:color w:val="0070C0"/>
          <w:sz w:val="24"/>
          <w:szCs w:val="24"/>
        </w:rPr>
        <w:lastRenderedPageBreak/>
        <w:t>CHELTUIELILE bugetului general consolidat</w:t>
      </w:r>
    </w:p>
    <w:p w:rsidR="007D0985" w:rsidRPr="006024E4" w:rsidRDefault="00950B7A" w:rsidP="00660150">
      <w:pPr>
        <w:shd w:val="clear" w:color="auto" w:fill="D9D9D9" w:themeFill="background1" w:themeFillShade="D9"/>
        <w:spacing w:after="120" w:line="276" w:lineRule="auto"/>
        <w:jc w:val="both"/>
        <w:rPr>
          <w:rFonts w:ascii="Tahoma" w:hAnsi="Tahoma" w:cs="Tahoma"/>
          <w:sz w:val="24"/>
          <w:szCs w:val="24"/>
        </w:rPr>
      </w:pPr>
      <w:r w:rsidRPr="006024E4">
        <w:rPr>
          <w:rFonts w:ascii="Tahoma" w:hAnsi="Tahoma" w:cs="Tahoma"/>
          <w:b/>
          <w:sz w:val="24"/>
          <w:szCs w:val="24"/>
        </w:rPr>
        <w:t>Cheltuielile bugetului general consolidat</w:t>
      </w:r>
      <w:r w:rsidR="003C4703" w:rsidRPr="006024E4">
        <w:rPr>
          <w:rFonts w:ascii="Tahoma" w:hAnsi="Tahoma" w:cs="Tahoma"/>
          <w:sz w:val="24"/>
          <w:szCs w:val="24"/>
        </w:rPr>
        <w:t xml:space="preserve"> au fost în sumă de </w:t>
      </w:r>
      <w:r w:rsidR="000173BF" w:rsidRPr="006024E4">
        <w:rPr>
          <w:rFonts w:ascii="Tahoma" w:hAnsi="Tahoma" w:cs="Tahoma"/>
          <w:sz w:val="24"/>
          <w:szCs w:val="24"/>
        </w:rPr>
        <w:t>132,98</w:t>
      </w:r>
      <w:r w:rsidRPr="006024E4">
        <w:rPr>
          <w:rFonts w:ascii="Tahoma" w:hAnsi="Tahoma" w:cs="Tahoma"/>
          <w:sz w:val="24"/>
          <w:szCs w:val="24"/>
        </w:rPr>
        <w:t xml:space="preserve"> </w:t>
      </w:r>
      <w:r w:rsidR="00602503" w:rsidRPr="006024E4">
        <w:rPr>
          <w:rFonts w:ascii="Tahoma" w:hAnsi="Tahoma" w:cs="Tahoma"/>
          <w:sz w:val="24"/>
          <w:szCs w:val="24"/>
        </w:rPr>
        <w:t>miliarde</w:t>
      </w:r>
      <w:r w:rsidR="00713D80" w:rsidRPr="006024E4">
        <w:rPr>
          <w:rFonts w:ascii="Tahoma" w:hAnsi="Tahoma" w:cs="Tahoma"/>
          <w:sz w:val="24"/>
          <w:szCs w:val="24"/>
        </w:rPr>
        <w:t xml:space="preserve"> </w:t>
      </w:r>
      <w:r w:rsidRPr="006024E4">
        <w:rPr>
          <w:rFonts w:ascii="Tahoma" w:hAnsi="Tahoma" w:cs="Tahoma"/>
          <w:sz w:val="24"/>
          <w:szCs w:val="24"/>
        </w:rPr>
        <w:t xml:space="preserve">lei, au reprezentat </w:t>
      </w:r>
      <w:r w:rsidR="000173BF" w:rsidRPr="006024E4">
        <w:rPr>
          <w:rFonts w:ascii="Tahoma" w:hAnsi="Tahoma" w:cs="Tahoma"/>
          <w:sz w:val="24"/>
          <w:szCs w:val="24"/>
        </w:rPr>
        <w:t>9,7</w:t>
      </w:r>
      <w:r w:rsidRPr="006024E4">
        <w:rPr>
          <w:rFonts w:ascii="Tahoma" w:hAnsi="Tahoma" w:cs="Tahoma"/>
          <w:sz w:val="24"/>
          <w:szCs w:val="24"/>
        </w:rPr>
        <w:t xml:space="preserve">% ca pondere în PIB și s-au efectuat în proporție de </w:t>
      </w:r>
      <w:r w:rsidR="000173BF" w:rsidRPr="006024E4">
        <w:rPr>
          <w:rFonts w:ascii="Tahoma" w:hAnsi="Tahoma" w:cs="Tahoma"/>
          <w:sz w:val="24"/>
          <w:szCs w:val="24"/>
        </w:rPr>
        <w:t>88</w:t>
      </w:r>
      <w:r w:rsidR="000135F1" w:rsidRPr="006024E4">
        <w:rPr>
          <w:rFonts w:ascii="Tahoma" w:hAnsi="Tahoma" w:cs="Tahoma"/>
          <w:sz w:val="24"/>
          <w:szCs w:val="24"/>
        </w:rPr>
        <w:t>,7</w:t>
      </w:r>
      <w:r w:rsidRPr="006024E4">
        <w:rPr>
          <w:rFonts w:ascii="Tahoma" w:hAnsi="Tahoma" w:cs="Tahoma"/>
          <w:sz w:val="24"/>
          <w:szCs w:val="24"/>
        </w:rPr>
        <w:t>% comparativ cu programul pentru trimestrul I</w:t>
      </w:r>
      <w:r w:rsidR="000135F1" w:rsidRPr="006024E4">
        <w:rPr>
          <w:rFonts w:ascii="Tahoma" w:hAnsi="Tahoma" w:cs="Tahoma"/>
          <w:sz w:val="24"/>
          <w:szCs w:val="24"/>
        </w:rPr>
        <w:t>I</w:t>
      </w:r>
      <w:r w:rsidR="000173BF" w:rsidRPr="006024E4">
        <w:rPr>
          <w:rFonts w:ascii="Tahoma" w:hAnsi="Tahoma" w:cs="Tahoma"/>
          <w:sz w:val="24"/>
          <w:szCs w:val="24"/>
        </w:rPr>
        <w:t>I</w:t>
      </w:r>
      <w:r w:rsidRPr="006024E4">
        <w:rPr>
          <w:rFonts w:ascii="Tahoma" w:hAnsi="Tahoma" w:cs="Tahoma"/>
          <w:sz w:val="24"/>
          <w:szCs w:val="24"/>
        </w:rPr>
        <w:t xml:space="preserve"> 202</w:t>
      </w:r>
      <w:r w:rsidR="003F0E7F" w:rsidRPr="006024E4">
        <w:rPr>
          <w:rFonts w:ascii="Tahoma" w:hAnsi="Tahoma" w:cs="Tahoma"/>
          <w:sz w:val="24"/>
          <w:szCs w:val="24"/>
        </w:rPr>
        <w:t>2</w:t>
      </w:r>
      <w:r w:rsidRPr="006024E4">
        <w:rPr>
          <w:rFonts w:ascii="Tahoma" w:hAnsi="Tahoma" w:cs="Tahoma"/>
          <w:sz w:val="24"/>
          <w:szCs w:val="24"/>
        </w:rPr>
        <w:t>.</w:t>
      </w:r>
    </w:p>
    <w:p w:rsidR="00B10206" w:rsidRPr="006024E4" w:rsidRDefault="00B10206" w:rsidP="00660150">
      <w:pPr>
        <w:tabs>
          <w:tab w:val="left" w:pos="567"/>
        </w:tabs>
        <w:spacing w:after="0" w:line="276" w:lineRule="auto"/>
        <w:ind w:right="6"/>
        <w:jc w:val="both"/>
        <w:rPr>
          <w:rFonts w:ascii="Tahoma" w:hAnsi="Tahoma" w:cs="Tahoma"/>
          <w:sz w:val="24"/>
          <w:szCs w:val="24"/>
        </w:rPr>
      </w:pPr>
      <w:r w:rsidRPr="006024E4">
        <w:rPr>
          <w:rFonts w:ascii="Tahoma" w:hAnsi="Tahoma" w:cs="Tahoma"/>
          <w:sz w:val="24"/>
          <w:szCs w:val="24"/>
        </w:rPr>
        <w:t xml:space="preserve">Față de nivelul înregistrat în </w:t>
      </w:r>
      <w:r w:rsidR="000135F1" w:rsidRPr="006024E4">
        <w:rPr>
          <w:rFonts w:ascii="Tahoma" w:hAnsi="Tahoma" w:cs="Tahoma"/>
          <w:sz w:val="24"/>
          <w:szCs w:val="24"/>
        </w:rPr>
        <w:t xml:space="preserve">al </w:t>
      </w:r>
      <w:r w:rsidR="000173BF" w:rsidRPr="006024E4">
        <w:rPr>
          <w:rFonts w:ascii="Tahoma" w:hAnsi="Tahoma" w:cs="Tahoma"/>
          <w:sz w:val="24"/>
          <w:szCs w:val="24"/>
        </w:rPr>
        <w:t>tre</w:t>
      </w:r>
      <w:r w:rsidR="000135F1" w:rsidRPr="006024E4">
        <w:rPr>
          <w:rFonts w:ascii="Tahoma" w:hAnsi="Tahoma" w:cs="Tahoma"/>
          <w:sz w:val="24"/>
          <w:szCs w:val="24"/>
        </w:rPr>
        <w:t xml:space="preserve">ilea </w:t>
      </w:r>
      <w:r w:rsidRPr="006024E4">
        <w:rPr>
          <w:rFonts w:ascii="Tahoma" w:hAnsi="Tahoma" w:cs="Tahoma"/>
          <w:sz w:val="24"/>
          <w:szCs w:val="24"/>
        </w:rPr>
        <w:t>trimestru al anului 20</w:t>
      </w:r>
      <w:r w:rsidR="004F33F6" w:rsidRPr="006024E4">
        <w:rPr>
          <w:rFonts w:ascii="Tahoma" w:hAnsi="Tahoma" w:cs="Tahoma"/>
          <w:sz w:val="24"/>
          <w:szCs w:val="24"/>
        </w:rPr>
        <w:t>2</w:t>
      </w:r>
      <w:r w:rsidR="003F0E7F" w:rsidRPr="006024E4">
        <w:rPr>
          <w:rFonts w:ascii="Tahoma" w:hAnsi="Tahoma" w:cs="Tahoma"/>
          <w:sz w:val="24"/>
          <w:szCs w:val="24"/>
        </w:rPr>
        <w:t>1</w:t>
      </w:r>
      <w:r w:rsidRPr="006024E4">
        <w:rPr>
          <w:rFonts w:ascii="Tahoma" w:hAnsi="Tahoma" w:cs="Tahoma"/>
          <w:sz w:val="24"/>
          <w:szCs w:val="24"/>
        </w:rPr>
        <w:t xml:space="preserve">, cheltuielile bugetare au fost mai mari cu </w:t>
      </w:r>
      <w:r w:rsidR="000173BF" w:rsidRPr="006024E4">
        <w:rPr>
          <w:rFonts w:ascii="Tahoma" w:hAnsi="Tahoma" w:cs="Tahoma"/>
          <w:sz w:val="24"/>
          <w:szCs w:val="24"/>
        </w:rPr>
        <w:t>27,3</w:t>
      </w:r>
      <w:r w:rsidRPr="006024E4">
        <w:rPr>
          <w:rFonts w:ascii="Tahoma" w:hAnsi="Tahoma" w:cs="Tahoma"/>
          <w:sz w:val="24"/>
          <w:szCs w:val="24"/>
        </w:rPr>
        <w:t>%.</w:t>
      </w:r>
    </w:p>
    <w:p w:rsidR="00B10206" w:rsidRPr="006024E4" w:rsidRDefault="00B10206" w:rsidP="00B10206">
      <w:pPr>
        <w:tabs>
          <w:tab w:val="left" w:pos="567"/>
        </w:tabs>
        <w:spacing w:after="0"/>
        <w:ind w:right="6" w:firstLine="567"/>
        <w:jc w:val="both"/>
        <w:rPr>
          <w:rFonts w:ascii="Tahoma" w:hAnsi="Tahoma" w:cs="Tahoma"/>
          <w:sz w:val="24"/>
          <w:szCs w:val="24"/>
        </w:rPr>
      </w:pPr>
    </w:p>
    <w:p w:rsidR="00B10206" w:rsidRPr="006024E4" w:rsidRDefault="000173BF" w:rsidP="00B10206">
      <w:pPr>
        <w:tabs>
          <w:tab w:val="left" w:pos="567"/>
        </w:tabs>
        <w:ind w:right="6"/>
        <w:jc w:val="both"/>
        <w:rPr>
          <w:rFonts w:ascii="Tahoma" w:hAnsi="Tahoma" w:cs="Tahoma"/>
          <w:sz w:val="24"/>
          <w:szCs w:val="24"/>
        </w:rPr>
      </w:pPr>
      <w:r w:rsidRPr="006024E4">
        <w:rPr>
          <w:rFonts w:ascii="Tahoma" w:hAnsi="Tahoma" w:cs="Tahoma"/>
          <w:noProof/>
          <w:sz w:val="24"/>
          <w:szCs w:val="24"/>
        </w:rPr>
        <w:drawing>
          <wp:inline distT="0" distB="0" distL="0" distR="0" wp14:anchorId="0EC67ABE">
            <wp:extent cx="6296025" cy="35604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3560445"/>
                    </a:xfrm>
                    <a:prstGeom prst="rect">
                      <a:avLst/>
                    </a:prstGeom>
                    <a:noFill/>
                  </pic:spPr>
                </pic:pic>
              </a:graphicData>
            </a:graphic>
          </wp:inline>
        </w:drawing>
      </w:r>
    </w:p>
    <w:p w:rsidR="00BA678C" w:rsidRPr="006024E4" w:rsidRDefault="00BA678C" w:rsidP="00620B19">
      <w:pPr>
        <w:spacing w:after="0"/>
        <w:jc w:val="both"/>
        <w:rPr>
          <w:rFonts w:ascii="Tahoma" w:hAnsi="Tahoma" w:cs="Tahoma"/>
          <w:b/>
          <w:i/>
          <w:sz w:val="24"/>
          <w:szCs w:val="24"/>
        </w:rPr>
      </w:pPr>
    </w:p>
    <w:p w:rsidR="00482979" w:rsidRPr="00C342AE" w:rsidRDefault="00B10206" w:rsidP="00C342AE">
      <w:pPr>
        <w:spacing w:after="0" w:line="276" w:lineRule="auto"/>
        <w:jc w:val="both"/>
        <w:rPr>
          <w:rFonts w:ascii="Tahoma" w:hAnsi="Tahoma" w:cs="Tahoma"/>
          <w:sz w:val="24"/>
          <w:szCs w:val="24"/>
        </w:rPr>
      </w:pPr>
      <w:r w:rsidRPr="006024E4">
        <w:rPr>
          <w:rFonts w:ascii="Tahoma" w:hAnsi="Tahoma" w:cs="Tahoma"/>
          <w:b/>
          <w:sz w:val="24"/>
          <w:szCs w:val="24"/>
        </w:rPr>
        <w:t>Cheltuielile de personal</w:t>
      </w:r>
      <w:r w:rsidRPr="006024E4">
        <w:rPr>
          <w:rFonts w:ascii="Tahoma" w:hAnsi="Tahoma" w:cs="Tahoma"/>
          <w:sz w:val="24"/>
          <w:szCs w:val="24"/>
        </w:rPr>
        <w:t>,</w:t>
      </w:r>
      <w:r w:rsidRPr="006024E4">
        <w:rPr>
          <w:rFonts w:ascii="Tahoma" w:hAnsi="Tahoma" w:cs="Tahoma"/>
          <w:color w:val="C00000"/>
          <w:sz w:val="24"/>
          <w:szCs w:val="24"/>
        </w:rPr>
        <w:t xml:space="preserve"> </w:t>
      </w:r>
      <w:r w:rsidRPr="006024E4">
        <w:rPr>
          <w:rFonts w:ascii="Tahoma" w:hAnsi="Tahoma" w:cs="Tahoma"/>
          <w:sz w:val="24"/>
          <w:szCs w:val="24"/>
        </w:rPr>
        <w:t>prezentate detaliat în Anexele n</w:t>
      </w:r>
      <w:r w:rsidR="003C4703" w:rsidRPr="006024E4">
        <w:rPr>
          <w:rFonts w:ascii="Tahoma" w:hAnsi="Tahoma" w:cs="Tahoma"/>
          <w:sz w:val="24"/>
          <w:szCs w:val="24"/>
        </w:rPr>
        <w:t xml:space="preserve">r. 3 </w:t>
      </w:r>
      <w:r w:rsidR="005B36B4" w:rsidRPr="006024E4">
        <w:rPr>
          <w:rFonts w:ascii="Tahoma" w:hAnsi="Tahoma" w:cs="Tahoma"/>
          <w:sz w:val="24"/>
          <w:szCs w:val="24"/>
        </w:rPr>
        <w:t>și</w:t>
      </w:r>
      <w:r w:rsidR="003C4703" w:rsidRPr="006024E4">
        <w:rPr>
          <w:rFonts w:ascii="Tahoma" w:hAnsi="Tahoma" w:cs="Tahoma"/>
          <w:sz w:val="24"/>
          <w:szCs w:val="24"/>
        </w:rPr>
        <w:t xml:space="preserve"> 4 au fost în sumă de </w:t>
      </w:r>
      <w:r w:rsidR="000173BF" w:rsidRPr="006024E4">
        <w:rPr>
          <w:rFonts w:ascii="Tahoma" w:hAnsi="Tahoma" w:cs="Tahoma"/>
          <w:sz w:val="24"/>
          <w:szCs w:val="24"/>
        </w:rPr>
        <w:t>28,97</w:t>
      </w:r>
      <w:r w:rsidR="003C4703" w:rsidRPr="006024E4">
        <w:rPr>
          <w:rFonts w:ascii="Tahoma" w:hAnsi="Tahoma" w:cs="Tahoma"/>
          <w:sz w:val="24"/>
          <w:szCs w:val="24"/>
        </w:rPr>
        <w:t xml:space="preserve"> </w:t>
      </w:r>
      <w:r w:rsidR="00602503" w:rsidRPr="006024E4">
        <w:rPr>
          <w:rFonts w:ascii="Tahoma" w:hAnsi="Tahoma" w:cs="Tahoma"/>
          <w:sz w:val="24"/>
          <w:szCs w:val="24"/>
        </w:rPr>
        <w:t>miliarde</w:t>
      </w:r>
      <w:r w:rsidRPr="006024E4">
        <w:rPr>
          <w:rFonts w:ascii="Tahoma" w:hAnsi="Tahoma" w:cs="Tahoma"/>
          <w:sz w:val="24"/>
          <w:szCs w:val="24"/>
        </w:rPr>
        <w:t xml:space="preserve"> lei și s-au efectuat în proporție de </w:t>
      </w:r>
      <w:r w:rsidR="000173BF" w:rsidRPr="006024E4">
        <w:rPr>
          <w:rFonts w:ascii="Tahoma" w:hAnsi="Tahoma" w:cs="Tahoma"/>
          <w:sz w:val="24"/>
          <w:szCs w:val="24"/>
        </w:rPr>
        <w:t>94,9</w:t>
      </w:r>
      <w:r w:rsidRPr="006024E4">
        <w:rPr>
          <w:rFonts w:ascii="Tahoma" w:hAnsi="Tahoma" w:cs="Tahoma"/>
          <w:sz w:val="24"/>
          <w:szCs w:val="24"/>
        </w:rPr>
        <w:t>% față de nivelul estimat a se efectua în trimestrul I</w:t>
      </w:r>
      <w:r w:rsidR="000135F1" w:rsidRPr="006024E4">
        <w:rPr>
          <w:rFonts w:ascii="Tahoma" w:hAnsi="Tahoma" w:cs="Tahoma"/>
          <w:sz w:val="24"/>
          <w:szCs w:val="24"/>
        </w:rPr>
        <w:t>I</w:t>
      </w:r>
      <w:r w:rsidR="000173BF" w:rsidRPr="006024E4">
        <w:rPr>
          <w:rFonts w:ascii="Tahoma" w:hAnsi="Tahoma" w:cs="Tahoma"/>
          <w:sz w:val="24"/>
          <w:szCs w:val="24"/>
        </w:rPr>
        <w:t>I</w:t>
      </w:r>
      <w:r w:rsidRPr="006024E4">
        <w:rPr>
          <w:rFonts w:ascii="Tahoma" w:hAnsi="Tahoma" w:cs="Tahoma"/>
          <w:sz w:val="24"/>
          <w:szCs w:val="24"/>
        </w:rPr>
        <w:t xml:space="preserve"> 202</w:t>
      </w:r>
      <w:r w:rsidR="003F0E7F" w:rsidRPr="006024E4">
        <w:rPr>
          <w:rFonts w:ascii="Tahoma" w:hAnsi="Tahoma" w:cs="Tahoma"/>
          <w:sz w:val="24"/>
          <w:szCs w:val="24"/>
        </w:rPr>
        <w:t>2</w:t>
      </w:r>
      <w:r w:rsidRPr="006024E4">
        <w:rPr>
          <w:rFonts w:ascii="Tahoma" w:hAnsi="Tahoma" w:cs="Tahoma"/>
          <w:sz w:val="24"/>
          <w:szCs w:val="24"/>
        </w:rPr>
        <w:t xml:space="preserve">. </w:t>
      </w:r>
      <w:r w:rsidR="00024773" w:rsidRPr="006024E4">
        <w:rPr>
          <w:rFonts w:ascii="Tahoma" w:hAnsi="Tahoma" w:cs="Tahoma"/>
          <w:sz w:val="24"/>
          <w:szCs w:val="24"/>
        </w:rPr>
        <w:t>Exprimate ca pondere în PIB, cheltuielile de personal reprezintă un nivel de 2,</w:t>
      </w:r>
      <w:r w:rsidR="000173BF" w:rsidRPr="006024E4">
        <w:rPr>
          <w:rFonts w:ascii="Tahoma" w:hAnsi="Tahoma" w:cs="Tahoma"/>
          <w:sz w:val="24"/>
          <w:szCs w:val="24"/>
        </w:rPr>
        <w:t>1</w:t>
      </w:r>
      <w:r w:rsidR="00024773" w:rsidRPr="006024E4">
        <w:rPr>
          <w:rFonts w:ascii="Tahoma" w:hAnsi="Tahoma" w:cs="Tahoma"/>
          <w:sz w:val="24"/>
          <w:szCs w:val="24"/>
        </w:rPr>
        <w:t>% din PIB, cu 0,</w:t>
      </w:r>
      <w:r w:rsidR="000135F1" w:rsidRPr="006024E4">
        <w:rPr>
          <w:rFonts w:ascii="Tahoma" w:hAnsi="Tahoma" w:cs="Tahoma"/>
          <w:sz w:val="24"/>
          <w:szCs w:val="24"/>
        </w:rPr>
        <w:t>2</w:t>
      </w:r>
      <w:r w:rsidR="00024773" w:rsidRPr="006024E4">
        <w:rPr>
          <w:rFonts w:ascii="Tahoma" w:hAnsi="Tahoma" w:cs="Tahoma"/>
          <w:sz w:val="24"/>
          <w:szCs w:val="24"/>
        </w:rPr>
        <w:t xml:space="preserve"> puncte procentuale mai puțin față de aceeași perioadă a anului anterior. </w:t>
      </w:r>
    </w:p>
    <w:p w:rsidR="006178E0" w:rsidRPr="006024E4" w:rsidRDefault="006178E0" w:rsidP="00660150">
      <w:pPr>
        <w:spacing w:before="120" w:after="120" w:line="276" w:lineRule="auto"/>
        <w:jc w:val="both"/>
        <w:rPr>
          <w:rFonts w:ascii="Tahoma" w:hAnsi="Tahoma" w:cs="Tahoma"/>
          <w:bCs/>
          <w:sz w:val="24"/>
          <w:szCs w:val="24"/>
        </w:rPr>
      </w:pPr>
      <w:r w:rsidRPr="006024E4">
        <w:rPr>
          <w:rFonts w:ascii="Tahoma" w:hAnsi="Tahoma" w:cs="Tahoma"/>
          <w:bCs/>
          <w:sz w:val="24"/>
          <w:szCs w:val="24"/>
        </w:rPr>
        <w:t>Cheltuielile de personal în perioada analizată au fost influențate de creșterile salariale acordate în sectorul bugetar începând cu luna august 2022 potrivit prevederilor Ordonanței de urgență a Guvernului nr.115/2022</w:t>
      </w:r>
      <w:r w:rsidRPr="006024E4">
        <w:rPr>
          <w:rStyle w:val="FootnoteReference"/>
          <w:rFonts w:ascii="Tahoma" w:hAnsi="Tahoma" w:cs="Tahoma"/>
          <w:bCs/>
          <w:sz w:val="24"/>
          <w:szCs w:val="24"/>
        </w:rPr>
        <w:footnoteReference w:id="15"/>
      </w:r>
      <w:r w:rsidRPr="006024E4">
        <w:rPr>
          <w:rFonts w:ascii="Tahoma" w:hAnsi="Tahoma" w:cs="Tahoma"/>
          <w:bCs/>
          <w:sz w:val="24"/>
          <w:szCs w:val="24"/>
        </w:rPr>
        <w:t>.</w:t>
      </w:r>
    </w:p>
    <w:p w:rsidR="00362EA3" w:rsidRPr="006024E4" w:rsidRDefault="00B10206" w:rsidP="00660150">
      <w:pPr>
        <w:spacing w:before="120" w:after="120" w:line="276" w:lineRule="auto"/>
        <w:jc w:val="both"/>
        <w:rPr>
          <w:rFonts w:ascii="Tahoma" w:hAnsi="Tahoma" w:cs="Tahoma"/>
          <w:bCs/>
          <w:sz w:val="24"/>
          <w:szCs w:val="24"/>
        </w:rPr>
      </w:pPr>
      <w:r w:rsidRPr="006024E4">
        <w:rPr>
          <w:rFonts w:ascii="Tahoma" w:hAnsi="Tahoma" w:cs="Tahoma"/>
          <w:b/>
          <w:bCs/>
          <w:sz w:val="24"/>
          <w:szCs w:val="24"/>
        </w:rPr>
        <w:lastRenderedPageBreak/>
        <w:t>Cheltuielile cu bunuri și servicii</w:t>
      </w:r>
      <w:r w:rsidR="00AB3FB4" w:rsidRPr="006024E4">
        <w:rPr>
          <w:rFonts w:ascii="Tahoma" w:hAnsi="Tahoma" w:cs="Tahoma"/>
          <w:b/>
          <w:bCs/>
          <w:sz w:val="24"/>
          <w:szCs w:val="24"/>
        </w:rPr>
        <w:t xml:space="preserve"> </w:t>
      </w:r>
      <w:r w:rsidR="003C4703" w:rsidRPr="006024E4">
        <w:rPr>
          <w:rFonts w:ascii="Tahoma" w:hAnsi="Tahoma" w:cs="Tahoma"/>
          <w:sz w:val="24"/>
          <w:szCs w:val="24"/>
        </w:rPr>
        <w:t xml:space="preserve">au însumat </w:t>
      </w:r>
      <w:r w:rsidR="000135F1" w:rsidRPr="006024E4">
        <w:rPr>
          <w:rFonts w:ascii="Tahoma" w:hAnsi="Tahoma" w:cs="Tahoma"/>
          <w:sz w:val="24"/>
          <w:szCs w:val="24"/>
        </w:rPr>
        <w:t>17,</w:t>
      </w:r>
      <w:r w:rsidR="006178E0" w:rsidRPr="006024E4">
        <w:rPr>
          <w:rFonts w:ascii="Tahoma" w:hAnsi="Tahoma" w:cs="Tahoma"/>
          <w:sz w:val="24"/>
          <w:szCs w:val="24"/>
        </w:rPr>
        <w:t>35</w:t>
      </w:r>
      <w:r w:rsidRPr="006024E4">
        <w:rPr>
          <w:rFonts w:ascii="Tahoma" w:hAnsi="Tahoma" w:cs="Tahoma"/>
          <w:sz w:val="24"/>
          <w:szCs w:val="24"/>
        </w:rPr>
        <w:t xml:space="preserve"> </w:t>
      </w:r>
      <w:r w:rsidR="00602503" w:rsidRPr="006024E4">
        <w:rPr>
          <w:rFonts w:ascii="Tahoma" w:hAnsi="Tahoma" w:cs="Tahoma"/>
          <w:sz w:val="24"/>
          <w:szCs w:val="24"/>
        </w:rPr>
        <w:t>miliarde</w:t>
      </w:r>
      <w:r w:rsidRPr="006024E4">
        <w:rPr>
          <w:rFonts w:ascii="Tahoma" w:hAnsi="Tahoma" w:cs="Tahoma"/>
          <w:sz w:val="24"/>
          <w:szCs w:val="24"/>
        </w:rPr>
        <w:t xml:space="preserve"> lei (1,</w:t>
      </w:r>
      <w:r w:rsidR="006178E0" w:rsidRPr="006024E4">
        <w:rPr>
          <w:rFonts w:ascii="Tahoma" w:hAnsi="Tahoma" w:cs="Tahoma"/>
          <w:sz w:val="24"/>
          <w:szCs w:val="24"/>
        </w:rPr>
        <w:t>3</w:t>
      </w:r>
      <w:r w:rsidRPr="006024E4">
        <w:rPr>
          <w:rFonts w:ascii="Tahoma" w:hAnsi="Tahoma" w:cs="Tahoma"/>
          <w:sz w:val="24"/>
          <w:szCs w:val="24"/>
        </w:rPr>
        <w:t xml:space="preserve">% din PIB) și s-au efectuat în proporție de </w:t>
      </w:r>
      <w:r w:rsidR="006178E0" w:rsidRPr="006024E4">
        <w:rPr>
          <w:rFonts w:ascii="Tahoma" w:hAnsi="Tahoma" w:cs="Tahoma"/>
          <w:sz w:val="24"/>
          <w:szCs w:val="24"/>
        </w:rPr>
        <w:t>95,6</w:t>
      </w:r>
      <w:r w:rsidRPr="006024E4">
        <w:rPr>
          <w:rFonts w:ascii="Tahoma" w:hAnsi="Tahoma" w:cs="Tahoma"/>
          <w:sz w:val="24"/>
          <w:szCs w:val="24"/>
        </w:rPr>
        <w:t xml:space="preserve">% comparativ cu programul trimestrial. </w:t>
      </w:r>
      <w:r w:rsidR="001B1117" w:rsidRPr="006024E4">
        <w:rPr>
          <w:rFonts w:ascii="Tahoma" w:hAnsi="Tahoma" w:cs="Tahoma"/>
          <w:sz w:val="24"/>
          <w:szCs w:val="24"/>
        </w:rPr>
        <w:t>Comparativ cu trimestrul I</w:t>
      </w:r>
      <w:r w:rsidR="000135F1" w:rsidRPr="006024E4">
        <w:rPr>
          <w:rFonts w:ascii="Tahoma" w:hAnsi="Tahoma" w:cs="Tahoma"/>
          <w:sz w:val="24"/>
          <w:szCs w:val="24"/>
        </w:rPr>
        <w:t>I</w:t>
      </w:r>
      <w:r w:rsidR="006178E0" w:rsidRPr="006024E4">
        <w:rPr>
          <w:rFonts w:ascii="Tahoma" w:hAnsi="Tahoma" w:cs="Tahoma"/>
          <w:sz w:val="24"/>
          <w:szCs w:val="24"/>
        </w:rPr>
        <w:t>I</w:t>
      </w:r>
      <w:r w:rsidR="001B1117" w:rsidRPr="006024E4">
        <w:rPr>
          <w:rFonts w:ascii="Tahoma" w:hAnsi="Tahoma" w:cs="Tahoma"/>
          <w:sz w:val="24"/>
          <w:szCs w:val="24"/>
        </w:rPr>
        <w:t xml:space="preserve"> 202</w:t>
      </w:r>
      <w:r w:rsidR="00AB3FB4" w:rsidRPr="006024E4">
        <w:rPr>
          <w:rFonts w:ascii="Tahoma" w:hAnsi="Tahoma" w:cs="Tahoma"/>
          <w:sz w:val="24"/>
          <w:szCs w:val="24"/>
        </w:rPr>
        <w:t>1</w:t>
      </w:r>
      <w:r w:rsidR="001B1117" w:rsidRPr="006024E4">
        <w:rPr>
          <w:rFonts w:ascii="Tahoma" w:hAnsi="Tahoma" w:cs="Tahoma"/>
          <w:sz w:val="24"/>
          <w:szCs w:val="24"/>
        </w:rPr>
        <w:t xml:space="preserve"> cheltuielile cu bunuri și servicii au crescut cu </w:t>
      </w:r>
      <w:r w:rsidR="006178E0" w:rsidRPr="006024E4">
        <w:rPr>
          <w:rFonts w:ascii="Tahoma" w:hAnsi="Tahoma" w:cs="Tahoma"/>
          <w:sz w:val="24"/>
          <w:szCs w:val="24"/>
        </w:rPr>
        <w:t>15</w:t>
      </w:r>
      <w:r w:rsidR="000135F1" w:rsidRPr="006024E4">
        <w:rPr>
          <w:rFonts w:ascii="Tahoma" w:hAnsi="Tahoma" w:cs="Tahoma"/>
          <w:sz w:val="24"/>
          <w:szCs w:val="24"/>
        </w:rPr>
        <w:t>,8</w:t>
      </w:r>
      <w:r w:rsidR="001B1117" w:rsidRPr="006024E4">
        <w:rPr>
          <w:rFonts w:ascii="Tahoma" w:hAnsi="Tahoma" w:cs="Tahoma"/>
          <w:sz w:val="24"/>
          <w:szCs w:val="24"/>
        </w:rPr>
        <w:t xml:space="preserve">% în special ca urmare a evoluției acestora la nivelul </w:t>
      </w:r>
      <w:r w:rsidR="00AB3FB4" w:rsidRPr="006024E4">
        <w:rPr>
          <w:rFonts w:ascii="Tahoma" w:hAnsi="Tahoma" w:cs="Tahoma"/>
          <w:sz w:val="24"/>
          <w:szCs w:val="24"/>
        </w:rPr>
        <w:t>bugetelor locale</w:t>
      </w:r>
      <w:r w:rsidR="00E47DDD" w:rsidRPr="006024E4">
        <w:rPr>
          <w:rFonts w:ascii="Tahoma" w:hAnsi="Tahoma" w:cs="Tahoma"/>
          <w:sz w:val="24"/>
          <w:szCs w:val="24"/>
        </w:rPr>
        <w:t xml:space="preserve">, </w:t>
      </w:r>
      <w:r w:rsidR="006E39B6" w:rsidRPr="006024E4">
        <w:rPr>
          <w:rFonts w:ascii="Tahoma" w:hAnsi="Tahoma" w:cs="Tahoma"/>
          <w:sz w:val="24"/>
          <w:szCs w:val="24"/>
        </w:rPr>
        <w:t xml:space="preserve">bugetului </w:t>
      </w:r>
      <w:r w:rsidR="00111330" w:rsidRPr="006024E4">
        <w:rPr>
          <w:rFonts w:ascii="Tahoma" w:hAnsi="Tahoma" w:cs="Tahoma"/>
          <w:sz w:val="24"/>
          <w:szCs w:val="24"/>
        </w:rPr>
        <w:t>instituțiilor</w:t>
      </w:r>
      <w:r w:rsidR="006E39B6" w:rsidRPr="006024E4">
        <w:rPr>
          <w:rFonts w:ascii="Tahoma" w:hAnsi="Tahoma" w:cs="Tahoma"/>
          <w:sz w:val="24"/>
          <w:szCs w:val="24"/>
        </w:rPr>
        <w:t xml:space="preserve"> publice </w:t>
      </w:r>
      <w:r w:rsidR="00111330" w:rsidRPr="006024E4">
        <w:rPr>
          <w:rFonts w:ascii="Tahoma" w:hAnsi="Tahoma" w:cs="Tahoma"/>
          <w:sz w:val="24"/>
          <w:szCs w:val="24"/>
        </w:rPr>
        <w:t>finanțate</w:t>
      </w:r>
      <w:r w:rsidR="006E39B6" w:rsidRPr="006024E4">
        <w:rPr>
          <w:rFonts w:ascii="Tahoma" w:hAnsi="Tahoma" w:cs="Tahoma"/>
          <w:sz w:val="24"/>
          <w:szCs w:val="24"/>
        </w:rPr>
        <w:t xml:space="preserve"> integral sau </w:t>
      </w:r>
      <w:r w:rsidR="00111330" w:rsidRPr="006024E4">
        <w:rPr>
          <w:rFonts w:ascii="Tahoma" w:hAnsi="Tahoma" w:cs="Tahoma"/>
          <w:sz w:val="24"/>
          <w:szCs w:val="24"/>
        </w:rPr>
        <w:t>parțial</w:t>
      </w:r>
      <w:r w:rsidR="006E39B6" w:rsidRPr="006024E4">
        <w:rPr>
          <w:rFonts w:ascii="Tahoma" w:hAnsi="Tahoma" w:cs="Tahoma"/>
          <w:sz w:val="24"/>
          <w:szCs w:val="24"/>
        </w:rPr>
        <w:t xml:space="preserve"> din venituri proprii</w:t>
      </w:r>
      <w:r w:rsidR="00E47DDD" w:rsidRPr="006024E4">
        <w:rPr>
          <w:rFonts w:ascii="Tahoma" w:hAnsi="Tahoma" w:cs="Tahoma"/>
          <w:sz w:val="24"/>
          <w:szCs w:val="24"/>
        </w:rPr>
        <w:t xml:space="preserve">, bugetului de stat și bugetului Companiei Naționale de Administrare a Infrastructurii Rutiere pe fondul accentuării presiunilor inflaționiste. </w:t>
      </w:r>
    </w:p>
    <w:p w:rsidR="006E39B6" w:rsidRPr="006024E4" w:rsidRDefault="00B10206" w:rsidP="006E39B6">
      <w:pPr>
        <w:spacing w:line="276" w:lineRule="auto"/>
        <w:ind w:right="6"/>
        <w:jc w:val="both"/>
        <w:rPr>
          <w:rFonts w:ascii="Tahoma" w:hAnsi="Tahoma" w:cs="Tahoma"/>
          <w:b/>
          <w:i/>
          <w:sz w:val="24"/>
          <w:szCs w:val="24"/>
        </w:rPr>
      </w:pPr>
      <w:r w:rsidRPr="006024E4">
        <w:rPr>
          <w:rFonts w:ascii="Tahoma" w:hAnsi="Tahoma" w:cs="Tahoma"/>
          <w:b/>
          <w:bCs/>
          <w:sz w:val="24"/>
          <w:szCs w:val="24"/>
        </w:rPr>
        <w:t>Cheltuielile cu dobânzile</w:t>
      </w:r>
      <w:r w:rsidRPr="006024E4">
        <w:rPr>
          <w:rFonts w:ascii="Tahoma" w:hAnsi="Tahoma" w:cs="Tahoma"/>
          <w:sz w:val="24"/>
          <w:szCs w:val="24"/>
        </w:rPr>
        <w:t xml:space="preserve"> a</w:t>
      </w:r>
      <w:r w:rsidR="003C4703" w:rsidRPr="006024E4">
        <w:rPr>
          <w:rFonts w:ascii="Tahoma" w:hAnsi="Tahoma" w:cs="Tahoma"/>
          <w:sz w:val="24"/>
          <w:szCs w:val="24"/>
        </w:rPr>
        <w:t xml:space="preserve">u fost în termeni nominali de </w:t>
      </w:r>
      <w:r w:rsidR="000135F1" w:rsidRPr="006024E4">
        <w:rPr>
          <w:rFonts w:ascii="Tahoma" w:hAnsi="Tahoma" w:cs="Tahoma"/>
          <w:sz w:val="24"/>
          <w:szCs w:val="24"/>
        </w:rPr>
        <w:t>7,</w:t>
      </w:r>
      <w:r w:rsidR="00E47DDD" w:rsidRPr="006024E4">
        <w:rPr>
          <w:rFonts w:ascii="Tahoma" w:hAnsi="Tahoma" w:cs="Tahoma"/>
          <w:sz w:val="24"/>
          <w:szCs w:val="24"/>
        </w:rPr>
        <w:t>83</w:t>
      </w:r>
      <w:r w:rsidRPr="006024E4">
        <w:rPr>
          <w:rFonts w:ascii="Tahoma" w:hAnsi="Tahoma" w:cs="Tahoma"/>
          <w:sz w:val="24"/>
          <w:szCs w:val="24"/>
        </w:rPr>
        <w:t xml:space="preserve"> </w:t>
      </w:r>
      <w:r w:rsidR="00602503" w:rsidRPr="006024E4">
        <w:rPr>
          <w:rFonts w:ascii="Tahoma" w:hAnsi="Tahoma" w:cs="Tahoma"/>
          <w:sz w:val="24"/>
          <w:szCs w:val="24"/>
        </w:rPr>
        <w:t>miliarde</w:t>
      </w:r>
      <w:r w:rsidRPr="006024E4">
        <w:rPr>
          <w:rFonts w:ascii="Tahoma" w:hAnsi="Tahoma" w:cs="Tahoma"/>
          <w:sz w:val="24"/>
          <w:szCs w:val="24"/>
        </w:rPr>
        <w:t xml:space="preserve"> lei (0,</w:t>
      </w:r>
      <w:r w:rsidR="00E47DDD" w:rsidRPr="006024E4">
        <w:rPr>
          <w:rFonts w:ascii="Tahoma" w:hAnsi="Tahoma" w:cs="Tahoma"/>
          <w:sz w:val="24"/>
          <w:szCs w:val="24"/>
        </w:rPr>
        <w:t>6</w:t>
      </w:r>
      <w:r w:rsidRPr="006024E4">
        <w:rPr>
          <w:rFonts w:ascii="Tahoma" w:hAnsi="Tahoma" w:cs="Tahoma"/>
          <w:sz w:val="24"/>
          <w:szCs w:val="24"/>
        </w:rPr>
        <w:t xml:space="preserve">% din PIB) și s-au efectuat în proporție de </w:t>
      </w:r>
      <w:r w:rsidR="00E47DDD" w:rsidRPr="006024E4">
        <w:rPr>
          <w:rFonts w:ascii="Tahoma" w:hAnsi="Tahoma" w:cs="Tahoma"/>
          <w:sz w:val="24"/>
          <w:szCs w:val="24"/>
        </w:rPr>
        <w:t>79</w:t>
      </w:r>
      <w:r w:rsidR="000135F1" w:rsidRPr="006024E4">
        <w:rPr>
          <w:rFonts w:ascii="Tahoma" w:hAnsi="Tahoma" w:cs="Tahoma"/>
          <w:sz w:val="24"/>
          <w:szCs w:val="24"/>
        </w:rPr>
        <w:t>,2</w:t>
      </w:r>
      <w:r w:rsidRPr="006024E4">
        <w:rPr>
          <w:rFonts w:ascii="Tahoma" w:hAnsi="Tahoma" w:cs="Tahoma"/>
          <w:sz w:val="24"/>
          <w:szCs w:val="24"/>
        </w:rPr>
        <w:t xml:space="preserve">% din programul trimestrial. </w:t>
      </w:r>
      <w:r w:rsidR="006E39B6" w:rsidRPr="006024E4">
        <w:rPr>
          <w:rFonts w:ascii="Tahoma" w:hAnsi="Tahoma" w:cs="Tahoma"/>
          <w:sz w:val="24"/>
          <w:szCs w:val="24"/>
        </w:rPr>
        <w:t>Comparativ cu aceeași perioadă a anului precedent</w:t>
      </w:r>
      <w:r w:rsidR="000D5A57" w:rsidRPr="006024E4">
        <w:rPr>
          <w:rFonts w:ascii="Tahoma" w:hAnsi="Tahoma" w:cs="Tahoma"/>
          <w:sz w:val="24"/>
          <w:szCs w:val="24"/>
        </w:rPr>
        <w:t>,</w:t>
      </w:r>
      <w:r w:rsidR="006E39B6" w:rsidRPr="006024E4">
        <w:rPr>
          <w:rFonts w:ascii="Tahoma" w:hAnsi="Tahoma" w:cs="Tahoma"/>
          <w:sz w:val="24"/>
          <w:szCs w:val="24"/>
        </w:rPr>
        <w:t xml:space="preserve"> plățile de dobânzi s-au majorat cu </w:t>
      </w:r>
      <w:r w:rsidR="00E47DDD" w:rsidRPr="006024E4">
        <w:rPr>
          <w:rFonts w:ascii="Tahoma" w:hAnsi="Tahoma" w:cs="Tahoma"/>
          <w:sz w:val="24"/>
          <w:szCs w:val="24"/>
        </w:rPr>
        <w:t>98,6</w:t>
      </w:r>
      <w:r w:rsidR="006E39B6" w:rsidRPr="006024E4">
        <w:rPr>
          <w:rFonts w:ascii="Tahoma" w:hAnsi="Tahoma" w:cs="Tahoma"/>
          <w:sz w:val="24"/>
          <w:szCs w:val="24"/>
        </w:rPr>
        <w:t>%</w:t>
      </w:r>
      <w:r w:rsidR="009A6BBD" w:rsidRPr="006024E4">
        <w:rPr>
          <w:rFonts w:ascii="Tahoma" w:hAnsi="Tahoma" w:cs="Tahoma"/>
          <w:sz w:val="24"/>
          <w:szCs w:val="24"/>
        </w:rPr>
        <w:t xml:space="preserve"> </w:t>
      </w:r>
      <w:r w:rsidR="006E39B6" w:rsidRPr="006024E4">
        <w:rPr>
          <w:rFonts w:ascii="Tahoma" w:hAnsi="Tahoma" w:cs="Tahoma"/>
          <w:sz w:val="24"/>
          <w:szCs w:val="24"/>
        </w:rPr>
        <w:t>(+</w:t>
      </w:r>
      <w:r w:rsidR="00E47DDD" w:rsidRPr="006024E4">
        <w:rPr>
          <w:rFonts w:ascii="Tahoma" w:hAnsi="Tahoma" w:cs="Tahoma"/>
          <w:sz w:val="24"/>
          <w:szCs w:val="24"/>
        </w:rPr>
        <w:t>3,89</w:t>
      </w:r>
      <w:r w:rsidR="006E39B6" w:rsidRPr="006024E4">
        <w:rPr>
          <w:rFonts w:ascii="Tahoma" w:hAnsi="Tahoma" w:cs="Tahoma"/>
          <w:sz w:val="24"/>
          <w:szCs w:val="24"/>
        </w:rPr>
        <w:t xml:space="preserve"> </w:t>
      </w:r>
      <w:r w:rsidR="00602503" w:rsidRPr="006024E4">
        <w:rPr>
          <w:rFonts w:ascii="Tahoma" w:hAnsi="Tahoma" w:cs="Tahoma"/>
          <w:sz w:val="24"/>
          <w:szCs w:val="24"/>
        </w:rPr>
        <w:t>miliarde</w:t>
      </w:r>
      <w:r w:rsidR="006E39B6" w:rsidRPr="006024E4">
        <w:rPr>
          <w:rFonts w:ascii="Tahoma" w:hAnsi="Tahoma" w:cs="Tahoma"/>
          <w:sz w:val="24"/>
          <w:szCs w:val="24"/>
        </w:rPr>
        <w:t xml:space="preserve"> lei) ca urmare a creșterii ratelor de </w:t>
      </w:r>
      <w:r w:rsidR="00111330" w:rsidRPr="006024E4">
        <w:rPr>
          <w:rFonts w:ascii="Tahoma" w:hAnsi="Tahoma" w:cs="Tahoma"/>
          <w:sz w:val="24"/>
          <w:szCs w:val="24"/>
        </w:rPr>
        <w:t>dobândă</w:t>
      </w:r>
      <w:r w:rsidR="006E39B6" w:rsidRPr="006024E4">
        <w:rPr>
          <w:rFonts w:ascii="Tahoma" w:hAnsi="Tahoma" w:cs="Tahoma"/>
          <w:sz w:val="24"/>
          <w:szCs w:val="24"/>
        </w:rPr>
        <w:t xml:space="preserve"> în contextul inflaționist manifestat începând cu a doua parte a anului 2021, atât pe plan intern cât și </w:t>
      </w:r>
      <w:r w:rsidR="00111330" w:rsidRPr="006024E4">
        <w:rPr>
          <w:rFonts w:ascii="Tahoma" w:hAnsi="Tahoma" w:cs="Tahoma"/>
          <w:sz w:val="24"/>
          <w:szCs w:val="24"/>
        </w:rPr>
        <w:t>internațional</w:t>
      </w:r>
      <w:r w:rsidR="006E39B6" w:rsidRPr="006024E4">
        <w:rPr>
          <w:rFonts w:ascii="Tahoma" w:hAnsi="Tahoma" w:cs="Tahoma"/>
          <w:sz w:val="24"/>
          <w:szCs w:val="24"/>
        </w:rPr>
        <w:t xml:space="preserve">, cât și ca urmare a incertitudinilor generate de conflictul armat din Ucraina. </w:t>
      </w:r>
    </w:p>
    <w:p w:rsidR="00E47DDD" w:rsidRPr="006024E4" w:rsidRDefault="00B10206" w:rsidP="00CC56B5">
      <w:pPr>
        <w:spacing w:line="276" w:lineRule="auto"/>
        <w:jc w:val="both"/>
        <w:rPr>
          <w:rFonts w:ascii="Tahoma" w:hAnsi="Tahoma" w:cs="Tahoma"/>
          <w:bCs/>
          <w:sz w:val="24"/>
          <w:szCs w:val="24"/>
        </w:rPr>
      </w:pPr>
      <w:r w:rsidRPr="006024E4">
        <w:rPr>
          <w:rFonts w:ascii="Tahoma" w:hAnsi="Tahoma" w:cs="Tahoma"/>
          <w:b/>
          <w:bCs/>
          <w:sz w:val="24"/>
          <w:szCs w:val="24"/>
        </w:rPr>
        <w:t>Cheltuielile cu subvențiile</w:t>
      </w:r>
      <w:r w:rsidR="003C4703" w:rsidRPr="006024E4">
        <w:rPr>
          <w:rFonts w:ascii="Tahoma" w:hAnsi="Tahoma" w:cs="Tahoma"/>
          <w:bCs/>
          <w:sz w:val="24"/>
          <w:szCs w:val="24"/>
        </w:rPr>
        <w:t xml:space="preserve"> au fost în sumă de </w:t>
      </w:r>
      <w:r w:rsidR="00E47DDD" w:rsidRPr="006024E4">
        <w:rPr>
          <w:rFonts w:ascii="Tahoma" w:hAnsi="Tahoma" w:cs="Tahoma"/>
          <w:bCs/>
          <w:sz w:val="24"/>
          <w:szCs w:val="24"/>
        </w:rPr>
        <w:t>5,61</w:t>
      </w:r>
      <w:r w:rsidR="003C4703" w:rsidRPr="006024E4">
        <w:rPr>
          <w:rFonts w:ascii="Tahoma" w:hAnsi="Tahoma" w:cs="Tahoma"/>
          <w:bCs/>
          <w:sz w:val="24"/>
          <w:szCs w:val="24"/>
        </w:rPr>
        <w:t xml:space="preserve"> </w:t>
      </w:r>
      <w:r w:rsidR="00602503" w:rsidRPr="006024E4">
        <w:rPr>
          <w:rFonts w:ascii="Tahoma" w:hAnsi="Tahoma" w:cs="Tahoma"/>
          <w:bCs/>
          <w:sz w:val="24"/>
          <w:szCs w:val="24"/>
        </w:rPr>
        <w:t>miliarde</w:t>
      </w:r>
      <w:r w:rsidR="001B1117" w:rsidRPr="006024E4">
        <w:rPr>
          <w:rFonts w:ascii="Tahoma" w:hAnsi="Tahoma" w:cs="Tahoma"/>
          <w:bCs/>
          <w:sz w:val="24"/>
          <w:szCs w:val="24"/>
        </w:rPr>
        <w:t xml:space="preserve"> lei, au reprezentat 0,</w:t>
      </w:r>
      <w:r w:rsidR="00E47DDD" w:rsidRPr="006024E4">
        <w:rPr>
          <w:rFonts w:ascii="Tahoma" w:hAnsi="Tahoma" w:cs="Tahoma"/>
          <w:bCs/>
          <w:sz w:val="24"/>
          <w:szCs w:val="24"/>
        </w:rPr>
        <w:t>4</w:t>
      </w:r>
      <w:r w:rsidRPr="006024E4">
        <w:rPr>
          <w:rFonts w:ascii="Tahoma" w:hAnsi="Tahoma" w:cs="Tahoma"/>
          <w:bCs/>
          <w:sz w:val="24"/>
          <w:szCs w:val="24"/>
        </w:rPr>
        <w:t xml:space="preserve">% din PIB și s-au efectuat în proporție de </w:t>
      </w:r>
      <w:r w:rsidR="00E47DDD" w:rsidRPr="006024E4">
        <w:rPr>
          <w:rFonts w:ascii="Tahoma" w:hAnsi="Tahoma" w:cs="Tahoma"/>
          <w:bCs/>
          <w:sz w:val="24"/>
          <w:szCs w:val="24"/>
        </w:rPr>
        <w:t>101,2</w:t>
      </w:r>
      <w:r w:rsidRPr="006024E4">
        <w:rPr>
          <w:rFonts w:ascii="Tahoma" w:hAnsi="Tahoma" w:cs="Tahoma"/>
          <w:bCs/>
          <w:sz w:val="24"/>
          <w:szCs w:val="24"/>
        </w:rPr>
        <w:t>% comparativ cu programul trimestrial</w:t>
      </w:r>
      <w:r w:rsidR="00E47DDD" w:rsidRPr="006024E4">
        <w:rPr>
          <w:rFonts w:ascii="Tahoma" w:hAnsi="Tahoma" w:cs="Tahoma"/>
          <w:bCs/>
          <w:sz w:val="24"/>
          <w:szCs w:val="24"/>
        </w:rPr>
        <w:t>.</w:t>
      </w:r>
    </w:p>
    <w:p w:rsidR="001928FE" w:rsidRPr="006024E4" w:rsidRDefault="00E47DDD" w:rsidP="00CC56B5">
      <w:pPr>
        <w:spacing w:line="276" w:lineRule="auto"/>
        <w:jc w:val="both"/>
        <w:rPr>
          <w:rFonts w:ascii="Tahoma" w:hAnsi="Tahoma" w:cs="Tahoma"/>
          <w:bCs/>
          <w:sz w:val="24"/>
          <w:szCs w:val="24"/>
        </w:rPr>
      </w:pPr>
      <w:r w:rsidRPr="006024E4">
        <w:rPr>
          <w:rFonts w:ascii="Tahoma" w:hAnsi="Tahoma" w:cs="Tahoma"/>
          <w:bCs/>
          <w:sz w:val="24"/>
          <w:szCs w:val="24"/>
        </w:rPr>
        <w:t>Comparativ cu trimestrul III 2021 plățile cu subvențiile au crescut cu 227,5%(+3,89 miliarde lei)</w:t>
      </w:r>
      <w:r w:rsidR="001928FE" w:rsidRPr="006024E4">
        <w:rPr>
          <w:rFonts w:ascii="Tahoma" w:hAnsi="Tahoma" w:cs="Tahoma"/>
          <w:bCs/>
          <w:sz w:val="24"/>
          <w:szCs w:val="24"/>
        </w:rPr>
        <w:t xml:space="preserve"> </w:t>
      </w:r>
      <w:r w:rsidRPr="006024E4">
        <w:rPr>
          <w:rFonts w:ascii="Tahoma" w:hAnsi="Tahoma" w:cs="Tahoma"/>
          <w:bCs/>
          <w:sz w:val="24"/>
          <w:szCs w:val="24"/>
        </w:rPr>
        <w:t xml:space="preserve">pe fondul acordării compensațiilor la energia electrică și gaze naturale pentru </w:t>
      </w:r>
      <w:r w:rsidR="002A60DB" w:rsidRPr="006024E4">
        <w:rPr>
          <w:rFonts w:ascii="Tahoma" w:hAnsi="Tahoma" w:cs="Tahoma"/>
          <w:bCs/>
          <w:sz w:val="24"/>
          <w:szCs w:val="24"/>
        </w:rPr>
        <w:t>clienții non</w:t>
      </w:r>
      <w:r w:rsidR="00C342AE">
        <w:rPr>
          <w:rFonts w:ascii="Tahoma" w:hAnsi="Tahoma" w:cs="Tahoma"/>
          <w:bCs/>
          <w:sz w:val="24"/>
          <w:szCs w:val="24"/>
        </w:rPr>
        <w:t>-</w:t>
      </w:r>
      <w:r w:rsidR="002A60DB" w:rsidRPr="006024E4">
        <w:rPr>
          <w:rFonts w:ascii="Tahoma" w:hAnsi="Tahoma" w:cs="Tahoma"/>
          <w:bCs/>
          <w:sz w:val="24"/>
          <w:szCs w:val="24"/>
        </w:rPr>
        <w:t>casnici</w:t>
      </w:r>
      <w:r w:rsidR="001928FE" w:rsidRPr="006024E4">
        <w:rPr>
          <w:rFonts w:ascii="Tahoma" w:hAnsi="Tahoma" w:cs="Tahoma"/>
          <w:bCs/>
          <w:sz w:val="24"/>
          <w:szCs w:val="24"/>
        </w:rPr>
        <w:t>.</w:t>
      </w:r>
      <w:r w:rsidR="00925E6D" w:rsidRPr="006024E4">
        <w:rPr>
          <w:rFonts w:ascii="Tahoma" w:hAnsi="Tahoma" w:cs="Tahoma"/>
          <w:bCs/>
          <w:sz w:val="24"/>
          <w:szCs w:val="24"/>
        </w:rPr>
        <w:t xml:space="preserve"> </w:t>
      </w:r>
    </w:p>
    <w:p w:rsidR="00CC56B5" w:rsidRPr="006024E4" w:rsidRDefault="00B10206" w:rsidP="00CC56B5">
      <w:pPr>
        <w:spacing w:line="276" w:lineRule="auto"/>
        <w:jc w:val="both"/>
        <w:rPr>
          <w:rFonts w:ascii="Tahoma" w:hAnsi="Tahoma" w:cs="Tahoma"/>
          <w:sz w:val="24"/>
          <w:szCs w:val="24"/>
        </w:rPr>
      </w:pPr>
      <w:r w:rsidRPr="006024E4">
        <w:rPr>
          <w:rFonts w:ascii="Tahoma" w:hAnsi="Tahoma" w:cs="Tahoma"/>
          <w:b/>
          <w:bCs/>
          <w:sz w:val="24"/>
          <w:szCs w:val="24"/>
        </w:rPr>
        <w:t>Cheltuielile cu asistența socială</w:t>
      </w:r>
      <w:r w:rsidR="003C4703" w:rsidRPr="006024E4">
        <w:rPr>
          <w:rFonts w:ascii="Tahoma" w:hAnsi="Tahoma" w:cs="Tahoma"/>
          <w:sz w:val="24"/>
          <w:szCs w:val="24"/>
        </w:rPr>
        <w:t xml:space="preserve"> au fost în sumă de </w:t>
      </w:r>
      <w:r w:rsidR="002A60DB" w:rsidRPr="006024E4">
        <w:rPr>
          <w:rFonts w:ascii="Tahoma" w:hAnsi="Tahoma" w:cs="Tahoma"/>
          <w:sz w:val="24"/>
          <w:szCs w:val="24"/>
        </w:rPr>
        <w:t>44,14</w:t>
      </w:r>
      <w:r w:rsidR="003C4703" w:rsidRPr="006024E4">
        <w:rPr>
          <w:rFonts w:ascii="Tahoma" w:hAnsi="Tahoma" w:cs="Tahoma"/>
          <w:sz w:val="24"/>
          <w:szCs w:val="24"/>
        </w:rPr>
        <w:t xml:space="preserve"> </w:t>
      </w:r>
      <w:r w:rsidR="00602503" w:rsidRPr="006024E4">
        <w:rPr>
          <w:rFonts w:ascii="Tahoma" w:hAnsi="Tahoma" w:cs="Tahoma"/>
          <w:sz w:val="24"/>
          <w:szCs w:val="24"/>
        </w:rPr>
        <w:t>miliarde</w:t>
      </w:r>
      <w:r w:rsidRPr="006024E4">
        <w:rPr>
          <w:rFonts w:ascii="Tahoma" w:hAnsi="Tahoma" w:cs="Tahoma"/>
          <w:sz w:val="24"/>
          <w:szCs w:val="24"/>
        </w:rPr>
        <w:t xml:space="preserve"> lei, au reprezentat 3,</w:t>
      </w:r>
      <w:r w:rsidR="002A60DB" w:rsidRPr="006024E4">
        <w:rPr>
          <w:rFonts w:ascii="Tahoma" w:hAnsi="Tahoma" w:cs="Tahoma"/>
          <w:sz w:val="24"/>
          <w:szCs w:val="24"/>
        </w:rPr>
        <w:t>2</w:t>
      </w:r>
      <w:r w:rsidRPr="006024E4">
        <w:rPr>
          <w:rFonts w:ascii="Tahoma" w:hAnsi="Tahoma" w:cs="Tahoma"/>
          <w:sz w:val="24"/>
          <w:szCs w:val="24"/>
        </w:rPr>
        <w:t xml:space="preserve">% din PIB </w:t>
      </w:r>
      <w:r w:rsidR="00C145D7" w:rsidRPr="006024E4">
        <w:rPr>
          <w:rFonts w:ascii="Tahoma" w:hAnsi="Tahoma" w:cs="Tahoma"/>
          <w:sz w:val="24"/>
          <w:szCs w:val="24"/>
        </w:rPr>
        <w:t>și</w:t>
      </w:r>
      <w:r w:rsidRPr="006024E4">
        <w:rPr>
          <w:rFonts w:ascii="Tahoma" w:hAnsi="Tahoma" w:cs="Tahoma"/>
          <w:sz w:val="24"/>
          <w:szCs w:val="24"/>
        </w:rPr>
        <w:t xml:space="preserve"> s-au efectuat în proporție de </w:t>
      </w:r>
      <w:r w:rsidR="002A60DB" w:rsidRPr="006024E4">
        <w:rPr>
          <w:rFonts w:ascii="Tahoma" w:hAnsi="Tahoma" w:cs="Tahoma"/>
          <w:sz w:val="24"/>
          <w:szCs w:val="24"/>
        </w:rPr>
        <w:t>99,6</w:t>
      </w:r>
      <w:r w:rsidRPr="006024E4">
        <w:rPr>
          <w:rFonts w:ascii="Tahoma" w:hAnsi="Tahoma" w:cs="Tahoma"/>
          <w:sz w:val="24"/>
          <w:szCs w:val="24"/>
        </w:rPr>
        <w:t>% față de programul trimestrial.</w:t>
      </w:r>
      <w:r w:rsidR="006737B0" w:rsidRPr="006024E4">
        <w:rPr>
          <w:rFonts w:ascii="Tahoma" w:hAnsi="Tahoma" w:cs="Tahoma"/>
          <w:sz w:val="24"/>
          <w:szCs w:val="24"/>
        </w:rPr>
        <w:t xml:space="preserve"> </w:t>
      </w:r>
      <w:r w:rsidR="00EA6101" w:rsidRPr="006024E4">
        <w:rPr>
          <w:rFonts w:ascii="Tahoma" w:hAnsi="Tahoma" w:cs="Tahoma"/>
          <w:sz w:val="24"/>
          <w:szCs w:val="24"/>
        </w:rPr>
        <w:t xml:space="preserve">Cheltuielile cu </w:t>
      </w:r>
      <w:r w:rsidR="00C145D7" w:rsidRPr="006024E4">
        <w:rPr>
          <w:rFonts w:ascii="Tahoma" w:hAnsi="Tahoma" w:cs="Tahoma"/>
          <w:sz w:val="24"/>
          <w:szCs w:val="24"/>
        </w:rPr>
        <w:t>asistența</w:t>
      </w:r>
      <w:r w:rsidR="00EA6101" w:rsidRPr="006024E4">
        <w:rPr>
          <w:rFonts w:ascii="Tahoma" w:hAnsi="Tahoma" w:cs="Tahoma"/>
          <w:sz w:val="24"/>
          <w:szCs w:val="24"/>
        </w:rPr>
        <w:t xml:space="preserve"> socială au crescut comparati</w:t>
      </w:r>
      <w:r w:rsidR="00567D77" w:rsidRPr="006024E4">
        <w:rPr>
          <w:rFonts w:ascii="Tahoma" w:hAnsi="Tahoma" w:cs="Tahoma"/>
          <w:sz w:val="24"/>
          <w:szCs w:val="24"/>
        </w:rPr>
        <w:t>v</w:t>
      </w:r>
      <w:r w:rsidR="00EA6101" w:rsidRPr="006024E4">
        <w:rPr>
          <w:rFonts w:ascii="Tahoma" w:hAnsi="Tahoma" w:cs="Tahoma"/>
          <w:sz w:val="24"/>
          <w:szCs w:val="24"/>
        </w:rPr>
        <w:t xml:space="preserve"> cu trimestr</w:t>
      </w:r>
      <w:r w:rsidR="00567D77" w:rsidRPr="006024E4">
        <w:rPr>
          <w:rFonts w:ascii="Tahoma" w:hAnsi="Tahoma" w:cs="Tahoma"/>
          <w:sz w:val="24"/>
          <w:szCs w:val="24"/>
        </w:rPr>
        <w:t>u</w:t>
      </w:r>
      <w:r w:rsidR="001928FE" w:rsidRPr="006024E4">
        <w:rPr>
          <w:rFonts w:ascii="Tahoma" w:hAnsi="Tahoma" w:cs="Tahoma"/>
          <w:sz w:val="24"/>
          <w:szCs w:val="24"/>
        </w:rPr>
        <w:t>l II</w:t>
      </w:r>
      <w:r w:rsidR="002A60DB" w:rsidRPr="006024E4">
        <w:rPr>
          <w:rFonts w:ascii="Tahoma" w:hAnsi="Tahoma" w:cs="Tahoma"/>
          <w:sz w:val="24"/>
          <w:szCs w:val="24"/>
        </w:rPr>
        <w:t>I</w:t>
      </w:r>
      <w:r w:rsidR="001928FE" w:rsidRPr="006024E4">
        <w:rPr>
          <w:rFonts w:ascii="Tahoma" w:hAnsi="Tahoma" w:cs="Tahoma"/>
          <w:sz w:val="24"/>
          <w:szCs w:val="24"/>
        </w:rPr>
        <w:t xml:space="preserve"> </w:t>
      </w:r>
      <w:r w:rsidR="00EA6101" w:rsidRPr="006024E4">
        <w:rPr>
          <w:rFonts w:ascii="Tahoma" w:hAnsi="Tahoma" w:cs="Tahoma"/>
          <w:sz w:val="24"/>
          <w:szCs w:val="24"/>
        </w:rPr>
        <w:t>202</w:t>
      </w:r>
      <w:r w:rsidR="00CC56B5" w:rsidRPr="006024E4">
        <w:rPr>
          <w:rFonts w:ascii="Tahoma" w:hAnsi="Tahoma" w:cs="Tahoma"/>
          <w:sz w:val="24"/>
          <w:szCs w:val="24"/>
        </w:rPr>
        <w:t>1</w:t>
      </w:r>
      <w:r w:rsidR="00EA6101" w:rsidRPr="006024E4">
        <w:rPr>
          <w:rFonts w:ascii="Tahoma" w:hAnsi="Tahoma" w:cs="Tahoma"/>
          <w:sz w:val="24"/>
          <w:szCs w:val="24"/>
        </w:rPr>
        <w:t xml:space="preserve"> cu </w:t>
      </w:r>
      <w:r w:rsidR="002A60DB" w:rsidRPr="006024E4">
        <w:rPr>
          <w:rFonts w:ascii="Tahoma" w:hAnsi="Tahoma" w:cs="Tahoma"/>
          <w:sz w:val="24"/>
          <w:szCs w:val="24"/>
        </w:rPr>
        <w:t>20,6</w:t>
      </w:r>
      <w:r w:rsidR="00EA6101" w:rsidRPr="006024E4">
        <w:rPr>
          <w:rFonts w:ascii="Tahoma" w:hAnsi="Tahoma" w:cs="Tahoma"/>
          <w:sz w:val="24"/>
          <w:szCs w:val="24"/>
        </w:rPr>
        <w:t xml:space="preserve">%. </w:t>
      </w:r>
      <w:r w:rsidR="006737B0" w:rsidRPr="006024E4">
        <w:rPr>
          <w:rFonts w:ascii="Tahoma" w:hAnsi="Tahoma" w:cs="Tahoma"/>
          <w:sz w:val="24"/>
          <w:szCs w:val="24"/>
        </w:rPr>
        <w:t xml:space="preserve">Evoluția cheltuielilor cu asistența socială a fost influențată, în principal, </w:t>
      </w:r>
      <w:r w:rsidR="00CC56B5" w:rsidRPr="006024E4">
        <w:rPr>
          <w:rFonts w:ascii="Tahoma" w:hAnsi="Tahoma" w:cs="Tahoma"/>
          <w:sz w:val="24"/>
          <w:szCs w:val="24"/>
        </w:rPr>
        <w:t xml:space="preserve">de majorarea de la 1 ianuarie 2022, a punctului de pensie cu 10%, respectiv de la 1.442 lei la 1.586 lei, a nivelului îndemnizației sociale pentru pensionari (pensia minimă) de la 800 lei la 1.000 lei, de acordarea unui ajutor financiar pentru pensionarii sistemului public de pensii cu pensii mai mici sau egale cu 1.600 de lei, astfel încât toți cei care se încadrează în această categorie să aibă un venit de 2.200 de lei, în luna ianuarie 2022, precum și de acordarea celei de-a 13-a </w:t>
      </w:r>
      <w:r w:rsidR="000D5A57" w:rsidRPr="006024E4">
        <w:rPr>
          <w:rFonts w:ascii="Tahoma" w:hAnsi="Tahoma" w:cs="Tahoma"/>
          <w:sz w:val="24"/>
          <w:szCs w:val="24"/>
        </w:rPr>
        <w:t>indemnizații</w:t>
      </w:r>
      <w:r w:rsidR="00CC56B5" w:rsidRPr="006024E4">
        <w:rPr>
          <w:rFonts w:ascii="Tahoma" w:hAnsi="Tahoma" w:cs="Tahoma"/>
          <w:sz w:val="24"/>
          <w:szCs w:val="24"/>
        </w:rPr>
        <w:t xml:space="preserve"> pentru persoanele cu </w:t>
      </w:r>
      <w:r w:rsidR="000D5A57" w:rsidRPr="006024E4">
        <w:rPr>
          <w:rFonts w:ascii="Tahoma" w:hAnsi="Tahoma" w:cs="Tahoma"/>
          <w:sz w:val="24"/>
          <w:szCs w:val="24"/>
        </w:rPr>
        <w:t>dizabilități</w:t>
      </w:r>
      <w:r w:rsidR="00CC56B5" w:rsidRPr="006024E4">
        <w:rPr>
          <w:rFonts w:ascii="Tahoma" w:hAnsi="Tahoma" w:cs="Tahoma"/>
          <w:sz w:val="24"/>
          <w:szCs w:val="24"/>
        </w:rPr>
        <w:t xml:space="preserve">. </w:t>
      </w:r>
    </w:p>
    <w:p w:rsidR="002A60DB" w:rsidRPr="006024E4" w:rsidRDefault="00CC56B5" w:rsidP="002A60DB">
      <w:pPr>
        <w:spacing w:line="276" w:lineRule="auto"/>
        <w:jc w:val="both"/>
        <w:rPr>
          <w:rFonts w:ascii="Tahoma" w:hAnsi="Tahoma" w:cs="Tahoma"/>
          <w:bCs/>
          <w:sz w:val="24"/>
          <w:szCs w:val="24"/>
        </w:rPr>
      </w:pPr>
      <w:r w:rsidRPr="006024E4">
        <w:rPr>
          <w:rFonts w:ascii="Tahoma" w:hAnsi="Tahoma" w:cs="Tahoma"/>
          <w:sz w:val="24"/>
          <w:szCs w:val="24"/>
        </w:rPr>
        <w:t xml:space="preserve">Totodată, se reflectă majorarea alocației de stat pentru copii, astfel, alocația de stat pentru copii crește, începând cu 1 ianuarie 2022, la 600 de lei pentru copiii în vârstă de până la 2 ani sau până la 3 ani, în cazul copilului cu handicap. Totodată, copiii cu handicap beneficiază de această sumă până la împlinirea vârstei de 18 ani. De asemenea, s-a majorat la 243 de lei alocația de stat pentru copiii cu vârsta cuprinsă între 2 ani </w:t>
      </w:r>
      <w:proofErr w:type="spellStart"/>
      <w:r w:rsidRPr="006024E4">
        <w:rPr>
          <w:rFonts w:ascii="Tahoma" w:hAnsi="Tahoma" w:cs="Tahoma"/>
          <w:sz w:val="24"/>
          <w:szCs w:val="24"/>
        </w:rPr>
        <w:t>şi</w:t>
      </w:r>
      <w:proofErr w:type="spellEnd"/>
      <w:r w:rsidRPr="006024E4">
        <w:rPr>
          <w:rFonts w:ascii="Tahoma" w:hAnsi="Tahoma" w:cs="Tahoma"/>
          <w:sz w:val="24"/>
          <w:szCs w:val="24"/>
        </w:rPr>
        <w:t xml:space="preserve"> 18 ani, dar și pentru tinerii de peste 18 ani care urmează cursurile liceale sau profesionale, până la terminarea acestora, inclusiv pentru cei cu handicap care urmează o formă de învățământ preuniversitar prevăzută de lege, dar nu mai târziu de împlinirea vârstei de 26 de ani.</w:t>
      </w:r>
      <w:r w:rsidR="002A60DB" w:rsidRPr="006024E4">
        <w:rPr>
          <w:rFonts w:ascii="Tahoma" w:hAnsi="Tahoma" w:cs="Tahoma"/>
          <w:bCs/>
          <w:sz w:val="24"/>
          <w:szCs w:val="24"/>
        </w:rPr>
        <w:t xml:space="preserve"> Totodată creșterea cheltuielilor cu asistența socială a fost determinată și de plățile efectuate cu acordarea compensațiilor la energia electrică și gaze naturale pentru clienții casnici. </w:t>
      </w:r>
    </w:p>
    <w:p w:rsidR="006737B0" w:rsidRPr="006024E4" w:rsidRDefault="006737B0" w:rsidP="00660150">
      <w:pPr>
        <w:spacing w:before="240" w:line="276" w:lineRule="auto"/>
        <w:ind w:right="6"/>
        <w:jc w:val="both"/>
        <w:rPr>
          <w:rFonts w:ascii="Tahoma" w:hAnsi="Tahoma" w:cs="Tahoma"/>
          <w:bCs/>
          <w:sz w:val="24"/>
          <w:szCs w:val="24"/>
        </w:rPr>
      </w:pPr>
      <w:r w:rsidRPr="006024E4">
        <w:rPr>
          <w:rFonts w:ascii="Tahoma" w:hAnsi="Tahoma" w:cs="Tahoma"/>
          <w:b/>
          <w:bCs/>
          <w:sz w:val="24"/>
          <w:szCs w:val="24"/>
        </w:rPr>
        <w:lastRenderedPageBreak/>
        <w:t>Alte cheltuieli</w:t>
      </w:r>
      <w:r w:rsidRPr="006024E4">
        <w:rPr>
          <w:rFonts w:ascii="Tahoma" w:hAnsi="Tahoma" w:cs="Tahoma"/>
          <w:bCs/>
          <w:sz w:val="24"/>
          <w:szCs w:val="24"/>
        </w:rPr>
        <w:t xml:space="preserve"> reprezentând, în principal, </w:t>
      </w:r>
      <w:r w:rsidR="00BA3242" w:rsidRPr="006024E4">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6024E4">
        <w:rPr>
          <w:rFonts w:ascii="Tahoma" w:hAnsi="Tahoma" w:cs="Tahoma"/>
          <w:bCs/>
          <w:sz w:val="24"/>
          <w:szCs w:val="24"/>
        </w:rPr>
        <w:t xml:space="preserve">, au însumat </w:t>
      </w:r>
      <w:r w:rsidR="001928FE" w:rsidRPr="006024E4">
        <w:rPr>
          <w:rFonts w:ascii="Tahoma" w:hAnsi="Tahoma" w:cs="Tahoma"/>
          <w:bCs/>
          <w:sz w:val="24"/>
          <w:szCs w:val="24"/>
        </w:rPr>
        <w:t>2,</w:t>
      </w:r>
      <w:r w:rsidR="002A60DB" w:rsidRPr="006024E4">
        <w:rPr>
          <w:rFonts w:ascii="Tahoma" w:hAnsi="Tahoma" w:cs="Tahoma"/>
          <w:bCs/>
          <w:sz w:val="24"/>
          <w:szCs w:val="24"/>
        </w:rPr>
        <w:t>15</w:t>
      </w:r>
      <w:r w:rsidRPr="006024E4">
        <w:rPr>
          <w:rFonts w:ascii="Tahoma" w:hAnsi="Tahoma" w:cs="Tahoma"/>
          <w:bCs/>
          <w:sz w:val="24"/>
          <w:szCs w:val="24"/>
        </w:rPr>
        <w:t xml:space="preserve"> </w:t>
      </w:r>
      <w:r w:rsidR="00602503" w:rsidRPr="006024E4">
        <w:rPr>
          <w:rFonts w:ascii="Tahoma" w:hAnsi="Tahoma" w:cs="Tahoma"/>
          <w:bCs/>
          <w:sz w:val="24"/>
          <w:szCs w:val="24"/>
        </w:rPr>
        <w:t>miliarde</w:t>
      </w:r>
      <w:r w:rsidRPr="006024E4">
        <w:rPr>
          <w:rFonts w:ascii="Tahoma" w:hAnsi="Tahoma" w:cs="Tahoma"/>
          <w:bCs/>
          <w:sz w:val="24"/>
          <w:szCs w:val="24"/>
        </w:rPr>
        <w:t xml:space="preserve"> lei</w:t>
      </w:r>
      <w:r w:rsidR="004260FF" w:rsidRPr="006024E4">
        <w:rPr>
          <w:rFonts w:ascii="Tahoma" w:hAnsi="Tahoma" w:cs="Tahoma"/>
          <w:bCs/>
          <w:sz w:val="24"/>
          <w:szCs w:val="24"/>
        </w:rPr>
        <w:t xml:space="preserve">, reprezentând </w:t>
      </w:r>
      <w:r w:rsidR="002A60DB" w:rsidRPr="006024E4">
        <w:rPr>
          <w:rFonts w:ascii="Tahoma" w:hAnsi="Tahoma" w:cs="Tahoma"/>
          <w:bCs/>
          <w:sz w:val="24"/>
          <w:szCs w:val="24"/>
        </w:rPr>
        <w:t>72,5</w:t>
      </w:r>
      <w:r w:rsidRPr="006024E4">
        <w:rPr>
          <w:rFonts w:ascii="Tahoma" w:hAnsi="Tahoma" w:cs="Tahoma"/>
          <w:bCs/>
          <w:sz w:val="24"/>
          <w:szCs w:val="24"/>
        </w:rPr>
        <w:t>% din programul estimat pe</w:t>
      </w:r>
      <w:r w:rsidR="00CC56B5" w:rsidRPr="006024E4">
        <w:rPr>
          <w:rFonts w:ascii="Tahoma" w:hAnsi="Tahoma" w:cs="Tahoma"/>
          <w:bCs/>
          <w:sz w:val="24"/>
          <w:szCs w:val="24"/>
        </w:rPr>
        <w:t>ntru</w:t>
      </w:r>
      <w:r w:rsidR="00DB3A55" w:rsidRPr="006024E4">
        <w:rPr>
          <w:rFonts w:ascii="Tahoma" w:hAnsi="Tahoma" w:cs="Tahoma"/>
          <w:bCs/>
          <w:sz w:val="24"/>
          <w:szCs w:val="24"/>
        </w:rPr>
        <w:t xml:space="preserve"> </w:t>
      </w:r>
      <w:r w:rsidR="001928FE" w:rsidRPr="006024E4">
        <w:rPr>
          <w:rFonts w:ascii="Tahoma" w:hAnsi="Tahoma" w:cs="Tahoma"/>
          <w:bCs/>
          <w:sz w:val="24"/>
          <w:szCs w:val="24"/>
        </w:rPr>
        <w:t xml:space="preserve">al </w:t>
      </w:r>
      <w:r w:rsidR="007366C4" w:rsidRPr="006024E4">
        <w:rPr>
          <w:rFonts w:ascii="Tahoma" w:hAnsi="Tahoma" w:cs="Tahoma"/>
          <w:bCs/>
          <w:sz w:val="24"/>
          <w:szCs w:val="24"/>
        </w:rPr>
        <w:t>doilea</w:t>
      </w:r>
      <w:r w:rsidR="001928FE" w:rsidRPr="006024E4">
        <w:rPr>
          <w:rFonts w:ascii="Tahoma" w:hAnsi="Tahoma" w:cs="Tahoma"/>
          <w:bCs/>
          <w:sz w:val="24"/>
          <w:szCs w:val="24"/>
        </w:rPr>
        <w:t xml:space="preserve"> trimestru al anului</w:t>
      </w:r>
      <w:r w:rsidR="00DB3A55" w:rsidRPr="006024E4">
        <w:rPr>
          <w:rFonts w:ascii="Tahoma" w:hAnsi="Tahoma" w:cs="Tahoma"/>
          <w:bCs/>
          <w:sz w:val="24"/>
          <w:szCs w:val="24"/>
        </w:rPr>
        <w:t xml:space="preserve"> 202</w:t>
      </w:r>
      <w:r w:rsidR="00CC56B5" w:rsidRPr="006024E4">
        <w:rPr>
          <w:rFonts w:ascii="Tahoma" w:hAnsi="Tahoma" w:cs="Tahoma"/>
          <w:bCs/>
          <w:sz w:val="24"/>
          <w:szCs w:val="24"/>
        </w:rPr>
        <w:t>2</w:t>
      </w:r>
      <w:r w:rsidRPr="006024E4">
        <w:rPr>
          <w:rFonts w:ascii="Tahoma" w:hAnsi="Tahoma" w:cs="Tahoma"/>
          <w:bCs/>
          <w:sz w:val="24"/>
          <w:szCs w:val="24"/>
        </w:rPr>
        <w:t>.</w:t>
      </w:r>
    </w:p>
    <w:p w:rsidR="004B323B" w:rsidRPr="006024E4" w:rsidRDefault="00B10206" w:rsidP="004B323B">
      <w:pPr>
        <w:spacing w:before="120" w:after="120" w:line="276" w:lineRule="auto"/>
        <w:ind w:right="6"/>
        <w:jc w:val="both"/>
        <w:rPr>
          <w:rFonts w:ascii="Tahoma" w:hAnsi="Tahoma" w:cs="Tahoma"/>
          <w:sz w:val="24"/>
          <w:szCs w:val="24"/>
        </w:rPr>
      </w:pPr>
      <w:r w:rsidRPr="006024E4">
        <w:rPr>
          <w:rFonts w:ascii="Tahoma" w:hAnsi="Tahoma" w:cs="Tahoma"/>
          <w:b/>
          <w:bCs/>
          <w:sz w:val="24"/>
          <w:szCs w:val="24"/>
        </w:rPr>
        <w:t>Plățile pentru proiectele cu finanțare din fonduri UE</w:t>
      </w:r>
      <w:r w:rsidR="001928FE" w:rsidRPr="006024E4">
        <w:rPr>
          <w:rFonts w:ascii="Tahoma" w:hAnsi="Tahoma" w:cs="Tahoma"/>
          <w:b/>
          <w:bCs/>
          <w:sz w:val="24"/>
          <w:szCs w:val="24"/>
        </w:rPr>
        <w:t xml:space="preserve"> inclusiv proiecte finanțate din asistența financiară nerambursabilă a PNRR</w:t>
      </w:r>
      <w:r w:rsidRPr="006024E4">
        <w:rPr>
          <w:rFonts w:ascii="Tahoma" w:hAnsi="Tahoma" w:cs="Tahoma"/>
          <w:b/>
          <w:bCs/>
          <w:sz w:val="24"/>
          <w:szCs w:val="24"/>
        </w:rPr>
        <w:t xml:space="preserve"> </w:t>
      </w:r>
      <w:r w:rsidRPr="006024E4">
        <w:rPr>
          <w:rFonts w:ascii="Tahoma" w:hAnsi="Tahoma" w:cs="Tahoma"/>
          <w:sz w:val="24"/>
          <w:szCs w:val="24"/>
        </w:rPr>
        <w:t>au reprezentat 0,</w:t>
      </w:r>
      <w:r w:rsidR="002A60DB" w:rsidRPr="006024E4">
        <w:rPr>
          <w:rFonts w:ascii="Tahoma" w:hAnsi="Tahoma" w:cs="Tahoma"/>
          <w:sz w:val="24"/>
          <w:szCs w:val="24"/>
        </w:rPr>
        <w:t>9</w:t>
      </w:r>
      <w:r w:rsidRPr="006024E4">
        <w:rPr>
          <w:rFonts w:ascii="Tahoma" w:hAnsi="Tahoma" w:cs="Tahoma"/>
          <w:sz w:val="24"/>
          <w:szCs w:val="24"/>
        </w:rPr>
        <w:t xml:space="preserve">% din PIB </w:t>
      </w:r>
      <w:r w:rsidR="00030BC0" w:rsidRPr="006024E4">
        <w:rPr>
          <w:rFonts w:ascii="Tahoma" w:hAnsi="Tahoma" w:cs="Tahoma"/>
          <w:sz w:val="24"/>
          <w:szCs w:val="24"/>
        </w:rPr>
        <w:t>și</w:t>
      </w:r>
      <w:r w:rsidR="00EB37A1" w:rsidRPr="006024E4">
        <w:rPr>
          <w:rFonts w:ascii="Tahoma" w:hAnsi="Tahoma" w:cs="Tahoma"/>
          <w:sz w:val="24"/>
          <w:szCs w:val="24"/>
        </w:rPr>
        <w:t xml:space="preserve"> </w:t>
      </w:r>
      <w:r w:rsidR="00030BC0" w:rsidRPr="006024E4">
        <w:rPr>
          <w:rFonts w:ascii="Tahoma" w:hAnsi="Tahoma" w:cs="Tahoma"/>
          <w:sz w:val="24"/>
          <w:szCs w:val="24"/>
        </w:rPr>
        <w:t>s-</w:t>
      </w:r>
      <w:r w:rsidRPr="006024E4">
        <w:rPr>
          <w:rFonts w:ascii="Tahoma" w:hAnsi="Tahoma" w:cs="Tahoma"/>
          <w:sz w:val="24"/>
          <w:szCs w:val="24"/>
        </w:rPr>
        <w:t xml:space="preserve">au efectuat în proporție de </w:t>
      </w:r>
      <w:r w:rsidR="002A60DB" w:rsidRPr="006024E4">
        <w:rPr>
          <w:rFonts w:ascii="Tahoma" w:hAnsi="Tahoma" w:cs="Tahoma"/>
          <w:sz w:val="24"/>
          <w:szCs w:val="24"/>
        </w:rPr>
        <w:t>72,3</w:t>
      </w:r>
      <w:r w:rsidRPr="006024E4">
        <w:rPr>
          <w:rFonts w:ascii="Tahoma" w:hAnsi="Tahoma" w:cs="Tahoma"/>
          <w:sz w:val="24"/>
          <w:szCs w:val="24"/>
        </w:rPr>
        <w:t>%</w:t>
      </w:r>
      <w:r w:rsidR="00102D79" w:rsidRPr="006024E4">
        <w:rPr>
          <w:rFonts w:ascii="Tahoma" w:hAnsi="Tahoma" w:cs="Tahoma"/>
          <w:sz w:val="24"/>
          <w:szCs w:val="24"/>
        </w:rPr>
        <w:t xml:space="preserve"> din plățile programate pentru perioada analizată</w:t>
      </w:r>
      <w:r w:rsidR="00FE5DCD" w:rsidRPr="006024E4">
        <w:rPr>
          <w:rFonts w:ascii="Tahoma" w:hAnsi="Tahoma" w:cs="Tahoma"/>
          <w:sz w:val="24"/>
          <w:szCs w:val="24"/>
        </w:rPr>
        <w:t>.</w:t>
      </w:r>
    </w:p>
    <w:p w:rsidR="004B323B" w:rsidRPr="006024E4" w:rsidRDefault="00BA3242" w:rsidP="004B323B">
      <w:pPr>
        <w:spacing w:before="120" w:after="120" w:line="276" w:lineRule="auto"/>
        <w:ind w:right="6"/>
        <w:jc w:val="both"/>
        <w:rPr>
          <w:rFonts w:ascii="Tahoma" w:eastAsia="Arial" w:hAnsi="Tahoma" w:cs="Tahoma"/>
          <w:bCs/>
          <w:sz w:val="24"/>
          <w:szCs w:val="24"/>
          <w:shd w:val="clear" w:color="auto" w:fill="FFFFFF"/>
        </w:rPr>
      </w:pPr>
      <w:r w:rsidRPr="006024E4">
        <w:rPr>
          <w:rFonts w:ascii="Tahoma" w:hAnsi="Tahoma" w:cs="Tahoma"/>
          <w:sz w:val="24"/>
          <w:szCs w:val="24"/>
        </w:rPr>
        <w:t>Comparativ cu trimestrul I</w:t>
      </w:r>
      <w:r w:rsidR="001928FE" w:rsidRPr="006024E4">
        <w:rPr>
          <w:rFonts w:ascii="Tahoma" w:hAnsi="Tahoma" w:cs="Tahoma"/>
          <w:sz w:val="24"/>
          <w:szCs w:val="24"/>
        </w:rPr>
        <w:t>I</w:t>
      </w:r>
      <w:r w:rsidR="002A60DB" w:rsidRPr="006024E4">
        <w:rPr>
          <w:rFonts w:ascii="Tahoma" w:hAnsi="Tahoma" w:cs="Tahoma"/>
          <w:sz w:val="24"/>
          <w:szCs w:val="24"/>
        </w:rPr>
        <w:t>I</w:t>
      </w:r>
      <w:r w:rsidRPr="006024E4">
        <w:rPr>
          <w:rFonts w:ascii="Tahoma" w:hAnsi="Tahoma" w:cs="Tahoma"/>
          <w:sz w:val="24"/>
          <w:szCs w:val="24"/>
        </w:rPr>
        <w:t xml:space="preserve"> 202</w:t>
      </w:r>
      <w:r w:rsidR="00F91725" w:rsidRPr="006024E4">
        <w:rPr>
          <w:rFonts w:ascii="Tahoma" w:hAnsi="Tahoma" w:cs="Tahoma"/>
          <w:sz w:val="24"/>
          <w:szCs w:val="24"/>
        </w:rPr>
        <w:t>1</w:t>
      </w:r>
      <w:r w:rsidRPr="006024E4">
        <w:rPr>
          <w:rFonts w:ascii="Tahoma" w:hAnsi="Tahoma" w:cs="Tahoma"/>
          <w:sz w:val="24"/>
          <w:szCs w:val="24"/>
        </w:rPr>
        <w:t xml:space="preserve"> plățile pentru proiectele cu finanțare din fonduri externe nerambursabile </w:t>
      </w:r>
      <w:r w:rsidR="004B323B" w:rsidRPr="006024E4">
        <w:rPr>
          <w:rFonts w:ascii="Tahoma" w:hAnsi="Tahoma" w:cs="Tahoma"/>
          <w:sz w:val="24"/>
          <w:szCs w:val="24"/>
        </w:rPr>
        <w:t xml:space="preserve">au crescut </w:t>
      </w:r>
      <w:r w:rsidRPr="006024E4">
        <w:rPr>
          <w:rFonts w:ascii="Tahoma" w:hAnsi="Tahoma" w:cs="Tahoma"/>
          <w:sz w:val="24"/>
          <w:szCs w:val="24"/>
        </w:rPr>
        <w:t xml:space="preserve">cu </w:t>
      </w:r>
      <w:r w:rsidR="001928FE" w:rsidRPr="006024E4">
        <w:rPr>
          <w:rFonts w:ascii="Tahoma" w:hAnsi="Tahoma" w:cs="Tahoma"/>
          <w:sz w:val="24"/>
          <w:szCs w:val="24"/>
        </w:rPr>
        <w:t>35,</w:t>
      </w:r>
      <w:r w:rsidR="004B323B" w:rsidRPr="006024E4">
        <w:rPr>
          <w:rFonts w:ascii="Tahoma" w:hAnsi="Tahoma" w:cs="Tahoma"/>
          <w:sz w:val="24"/>
          <w:szCs w:val="24"/>
        </w:rPr>
        <w:t>0</w:t>
      </w:r>
      <w:r w:rsidR="00643323" w:rsidRPr="006024E4">
        <w:rPr>
          <w:rFonts w:ascii="Tahoma" w:hAnsi="Tahoma" w:cs="Tahoma"/>
          <w:sz w:val="24"/>
          <w:szCs w:val="24"/>
        </w:rPr>
        <w:t>%</w:t>
      </w:r>
      <w:r w:rsidR="00030BC0" w:rsidRPr="006024E4">
        <w:rPr>
          <w:rFonts w:ascii="Tahoma" w:hAnsi="Tahoma" w:cs="Tahoma"/>
          <w:sz w:val="24"/>
          <w:szCs w:val="24"/>
        </w:rPr>
        <w:t>,</w:t>
      </w:r>
      <w:r w:rsidRPr="006024E4">
        <w:rPr>
          <w:rFonts w:ascii="Tahoma" w:hAnsi="Tahoma" w:cs="Tahoma"/>
          <w:sz w:val="24"/>
          <w:szCs w:val="24"/>
        </w:rPr>
        <w:t xml:space="preserve"> iar ca procent în PIB </w:t>
      </w:r>
      <w:r w:rsidR="00862C7F" w:rsidRPr="006024E4">
        <w:rPr>
          <w:rFonts w:ascii="Tahoma" w:hAnsi="Tahoma" w:cs="Tahoma"/>
          <w:sz w:val="24"/>
          <w:szCs w:val="24"/>
        </w:rPr>
        <w:t>cu</w:t>
      </w:r>
      <w:r w:rsidRPr="006024E4">
        <w:rPr>
          <w:rFonts w:ascii="Tahoma" w:hAnsi="Tahoma" w:cs="Tahoma"/>
          <w:sz w:val="24"/>
          <w:szCs w:val="24"/>
        </w:rPr>
        <w:t xml:space="preserve"> 0,</w:t>
      </w:r>
      <w:r w:rsidR="004B323B" w:rsidRPr="006024E4">
        <w:rPr>
          <w:rFonts w:ascii="Tahoma" w:hAnsi="Tahoma" w:cs="Tahoma"/>
          <w:sz w:val="24"/>
          <w:szCs w:val="24"/>
        </w:rPr>
        <w:t>1</w:t>
      </w:r>
      <w:r w:rsidR="00643323" w:rsidRPr="006024E4">
        <w:rPr>
          <w:rFonts w:ascii="Tahoma" w:hAnsi="Tahoma" w:cs="Tahoma"/>
          <w:sz w:val="24"/>
          <w:szCs w:val="24"/>
        </w:rPr>
        <w:t xml:space="preserve"> </w:t>
      </w:r>
      <w:r w:rsidRPr="006024E4">
        <w:rPr>
          <w:rFonts w:ascii="Tahoma" w:hAnsi="Tahoma" w:cs="Tahoma"/>
          <w:sz w:val="24"/>
          <w:szCs w:val="24"/>
        </w:rPr>
        <w:t>puncte procentuale de la 0,</w:t>
      </w:r>
      <w:r w:rsidR="004B323B" w:rsidRPr="006024E4">
        <w:rPr>
          <w:rFonts w:ascii="Tahoma" w:hAnsi="Tahoma" w:cs="Tahoma"/>
          <w:sz w:val="24"/>
          <w:szCs w:val="24"/>
        </w:rPr>
        <w:t>8</w:t>
      </w:r>
      <w:r w:rsidRPr="006024E4">
        <w:rPr>
          <w:rFonts w:ascii="Tahoma" w:hAnsi="Tahoma" w:cs="Tahoma"/>
          <w:sz w:val="24"/>
          <w:szCs w:val="24"/>
        </w:rPr>
        <w:t xml:space="preserve">% în </w:t>
      </w:r>
      <w:r w:rsidR="00862C7F" w:rsidRPr="006024E4">
        <w:rPr>
          <w:rFonts w:ascii="Tahoma" w:hAnsi="Tahoma" w:cs="Tahoma"/>
          <w:sz w:val="24"/>
          <w:szCs w:val="24"/>
        </w:rPr>
        <w:t xml:space="preserve">al </w:t>
      </w:r>
      <w:r w:rsidR="004B323B" w:rsidRPr="006024E4">
        <w:rPr>
          <w:rFonts w:ascii="Tahoma" w:hAnsi="Tahoma" w:cs="Tahoma"/>
          <w:sz w:val="24"/>
          <w:szCs w:val="24"/>
        </w:rPr>
        <w:t>tre</w:t>
      </w:r>
      <w:r w:rsidR="00862C7F" w:rsidRPr="006024E4">
        <w:rPr>
          <w:rFonts w:ascii="Tahoma" w:hAnsi="Tahoma" w:cs="Tahoma"/>
          <w:sz w:val="24"/>
          <w:szCs w:val="24"/>
        </w:rPr>
        <w:t xml:space="preserve">ilea </w:t>
      </w:r>
      <w:r w:rsidRPr="006024E4">
        <w:rPr>
          <w:rFonts w:ascii="Tahoma" w:hAnsi="Tahoma" w:cs="Tahoma"/>
          <w:sz w:val="24"/>
          <w:szCs w:val="24"/>
        </w:rPr>
        <w:t>trimestru al anului 202</w:t>
      </w:r>
      <w:r w:rsidR="00643323" w:rsidRPr="006024E4">
        <w:rPr>
          <w:rFonts w:ascii="Tahoma" w:hAnsi="Tahoma" w:cs="Tahoma"/>
          <w:sz w:val="24"/>
          <w:szCs w:val="24"/>
        </w:rPr>
        <w:t>1</w:t>
      </w:r>
      <w:r w:rsidRPr="006024E4">
        <w:rPr>
          <w:rFonts w:ascii="Tahoma" w:hAnsi="Tahoma" w:cs="Tahoma"/>
          <w:sz w:val="24"/>
          <w:szCs w:val="24"/>
        </w:rPr>
        <w:t xml:space="preserve"> la 0,</w:t>
      </w:r>
      <w:r w:rsidR="004B323B" w:rsidRPr="006024E4">
        <w:rPr>
          <w:rFonts w:ascii="Tahoma" w:hAnsi="Tahoma" w:cs="Tahoma"/>
          <w:sz w:val="24"/>
          <w:szCs w:val="24"/>
        </w:rPr>
        <w:t>9</w:t>
      </w:r>
      <w:r w:rsidRPr="006024E4">
        <w:rPr>
          <w:rFonts w:ascii="Tahoma" w:hAnsi="Tahoma" w:cs="Tahoma"/>
          <w:sz w:val="24"/>
          <w:szCs w:val="24"/>
        </w:rPr>
        <w:t>% în trimestrul I</w:t>
      </w:r>
      <w:r w:rsidR="00862C7F" w:rsidRPr="006024E4">
        <w:rPr>
          <w:rFonts w:ascii="Tahoma" w:hAnsi="Tahoma" w:cs="Tahoma"/>
          <w:sz w:val="24"/>
          <w:szCs w:val="24"/>
        </w:rPr>
        <w:t>I</w:t>
      </w:r>
      <w:r w:rsidR="004B323B" w:rsidRPr="006024E4">
        <w:rPr>
          <w:rFonts w:ascii="Tahoma" w:hAnsi="Tahoma" w:cs="Tahoma"/>
          <w:sz w:val="24"/>
          <w:szCs w:val="24"/>
        </w:rPr>
        <w:t>I</w:t>
      </w:r>
      <w:r w:rsidRPr="006024E4">
        <w:rPr>
          <w:rFonts w:ascii="Tahoma" w:hAnsi="Tahoma" w:cs="Tahoma"/>
          <w:sz w:val="24"/>
          <w:szCs w:val="24"/>
        </w:rPr>
        <w:t xml:space="preserve"> 202</w:t>
      </w:r>
      <w:r w:rsidR="00643323" w:rsidRPr="006024E4">
        <w:rPr>
          <w:rFonts w:ascii="Tahoma" w:hAnsi="Tahoma" w:cs="Tahoma"/>
          <w:sz w:val="24"/>
          <w:szCs w:val="24"/>
        </w:rPr>
        <w:t>2</w:t>
      </w:r>
      <w:r w:rsidRPr="006024E4">
        <w:rPr>
          <w:rFonts w:ascii="Tahoma" w:hAnsi="Tahoma" w:cs="Tahoma"/>
          <w:sz w:val="24"/>
          <w:szCs w:val="24"/>
        </w:rPr>
        <w:t>.</w:t>
      </w:r>
      <w:r w:rsidR="00862C7F" w:rsidRPr="006024E4">
        <w:rPr>
          <w:rFonts w:ascii="Tahoma" w:eastAsia="Arial" w:hAnsi="Tahoma" w:cs="Tahoma"/>
          <w:sz w:val="24"/>
          <w:szCs w:val="24"/>
          <w:shd w:val="clear" w:color="auto" w:fill="FFFFFF"/>
        </w:rPr>
        <w:t xml:space="preserve"> </w:t>
      </w:r>
      <w:r w:rsidR="004B323B" w:rsidRPr="006024E4">
        <w:rPr>
          <w:rFonts w:ascii="Tahoma" w:eastAsia="Arial" w:hAnsi="Tahoma" w:cs="Tahoma"/>
          <w:sz w:val="24"/>
          <w:szCs w:val="24"/>
          <w:shd w:val="clear" w:color="auto" w:fill="FFFFFF"/>
        </w:rPr>
        <w:t xml:space="preserve">Din totalul plăților </w:t>
      </w:r>
      <w:r w:rsidR="004B323B" w:rsidRPr="006024E4">
        <w:rPr>
          <w:rFonts w:ascii="Tahoma" w:eastAsia="Arial" w:hAnsi="Tahoma" w:cs="Tahoma"/>
          <w:bCs/>
          <w:sz w:val="24"/>
          <w:szCs w:val="24"/>
          <w:shd w:val="clear" w:color="auto" w:fill="FFFFFF"/>
        </w:rPr>
        <w:t>pentru proiectele cu finanțare din fonduri UE inclusiv proiecte finanțate din asistența financiară nerambursabilă a PNRR</w:t>
      </w:r>
      <w:r w:rsidR="004B323B" w:rsidRPr="006024E4">
        <w:rPr>
          <w:rFonts w:ascii="Tahoma" w:eastAsia="Arial" w:hAnsi="Tahoma" w:cs="Tahoma"/>
          <w:b/>
          <w:bCs/>
          <w:sz w:val="24"/>
          <w:szCs w:val="24"/>
          <w:shd w:val="clear" w:color="auto" w:fill="FFFFFF"/>
        </w:rPr>
        <w:t xml:space="preserve"> </w:t>
      </w:r>
      <w:r w:rsidR="004B323B" w:rsidRPr="006024E4">
        <w:rPr>
          <w:rFonts w:ascii="Tahoma" w:eastAsia="Arial" w:hAnsi="Tahoma" w:cs="Tahoma"/>
          <w:bCs/>
          <w:sz w:val="24"/>
          <w:szCs w:val="24"/>
          <w:shd w:val="clear" w:color="auto" w:fill="FFFFFF"/>
        </w:rPr>
        <w:t>91,9% au reprezentat plățile aferente proiectelor finanțate din cadrul financiar 2014-2020.</w:t>
      </w:r>
    </w:p>
    <w:p w:rsidR="00733B62" w:rsidRPr="006024E4" w:rsidRDefault="00B10206" w:rsidP="00643323">
      <w:pPr>
        <w:spacing w:before="240" w:line="276" w:lineRule="auto"/>
        <w:ind w:right="6"/>
        <w:jc w:val="both"/>
        <w:rPr>
          <w:rFonts w:ascii="Tahoma" w:hAnsi="Tahoma" w:cs="Tahoma"/>
          <w:bCs/>
          <w:sz w:val="24"/>
          <w:szCs w:val="24"/>
        </w:rPr>
      </w:pPr>
      <w:r w:rsidRPr="006024E4">
        <w:rPr>
          <w:rFonts w:ascii="Tahoma" w:hAnsi="Tahoma" w:cs="Tahoma"/>
          <w:b/>
          <w:sz w:val="24"/>
          <w:szCs w:val="24"/>
        </w:rPr>
        <w:t xml:space="preserve">Cheltuielile de capital </w:t>
      </w:r>
      <w:r w:rsidRPr="006024E4">
        <w:rPr>
          <w:rFonts w:ascii="Tahoma" w:hAnsi="Tahoma" w:cs="Tahoma"/>
          <w:sz w:val="24"/>
          <w:szCs w:val="24"/>
        </w:rPr>
        <w:t>au reprezentat 0,</w:t>
      </w:r>
      <w:r w:rsidR="004B323B" w:rsidRPr="006024E4">
        <w:rPr>
          <w:rFonts w:ascii="Tahoma" w:hAnsi="Tahoma" w:cs="Tahoma"/>
          <w:sz w:val="24"/>
          <w:szCs w:val="24"/>
        </w:rPr>
        <w:t>6</w:t>
      </w:r>
      <w:r w:rsidRPr="006024E4">
        <w:rPr>
          <w:rFonts w:ascii="Tahoma" w:hAnsi="Tahoma" w:cs="Tahoma"/>
          <w:sz w:val="24"/>
          <w:szCs w:val="24"/>
        </w:rPr>
        <w:t xml:space="preserve">% din PIB și s-au efectuat în proporție de </w:t>
      </w:r>
      <w:r w:rsidR="004B323B" w:rsidRPr="006024E4">
        <w:rPr>
          <w:rFonts w:ascii="Tahoma" w:hAnsi="Tahoma" w:cs="Tahoma"/>
          <w:sz w:val="24"/>
          <w:szCs w:val="24"/>
        </w:rPr>
        <w:t>73,9</w:t>
      </w:r>
      <w:r w:rsidRPr="006024E4">
        <w:rPr>
          <w:rFonts w:ascii="Tahoma" w:hAnsi="Tahoma" w:cs="Tahoma"/>
          <w:sz w:val="24"/>
          <w:szCs w:val="24"/>
        </w:rPr>
        <w:t>% comparativ cu programul trimestrial.</w:t>
      </w:r>
      <w:r w:rsidR="000D317D" w:rsidRPr="006024E4">
        <w:rPr>
          <w:rFonts w:ascii="Tahoma" w:hAnsi="Tahoma" w:cs="Tahoma"/>
          <w:sz w:val="24"/>
          <w:szCs w:val="24"/>
        </w:rPr>
        <w:t xml:space="preserve"> </w:t>
      </w:r>
      <w:r w:rsidR="004D41CA" w:rsidRPr="006024E4">
        <w:rPr>
          <w:rFonts w:ascii="Tahoma" w:hAnsi="Tahoma" w:cs="Tahoma"/>
          <w:bCs/>
          <w:sz w:val="24"/>
          <w:szCs w:val="24"/>
        </w:rPr>
        <w:t>Comparativ cu aceeași perioadă a anului 202</w:t>
      </w:r>
      <w:r w:rsidR="00643323" w:rsidRPr="006024E4">
        <w:rPr>
          <w:rFonts w:ascii="Tahoma" w:hAnsi="Tahoma" w:cs="Tahoma"/>
          <w:bCs/>
          <w:sz w:val="24"/>
          <w:szCs w:val="24"/>
        </w:rPr>
        <w:t>1</w:t>
      </w:r>
      <w:r w:rsidR="004D41CA" w:rsidRPr="006024E4">
        <w:rPr>
          <w:rFonts w:ascii="Tahoma" w:hAnsi="Tahoma" w:cs="Tahoma"/>
          <w:bCs/>
          <w:sz w:val="24"/>
          <w:szCs w:val="24"/>
        </w:rPr>
        <w:t xml:space="preserve"> cheltuielile de capital </w:t>
      </w:r>
      <w:r w:rsidR="00862C7F" w:rsidRPr="006024E4">
        <w:rPr>
          <w:rFonts w:ascii="Tahoma" w:hAnsi="Tahoma" w:cs="Tahoma"/>
          <w:bCs/>
          <w:sz w:val="24"/>
          <w:szCs w:val="24"/>
        </w:rPr>
        <w:t>au crescut</w:t>
      </w:r>
      <w:r w:rsidR="008B6219" w:rsidRPr="006024E4">
        <w:rPr>
          <w:rFonts w:ascii="Tahoma" w:hAnsi="Tahoma" w:cs="Tahoma"/>
          <w:bCs/>
          <w:sz w:val="24"/>
          <w:szCs w:val="24"/>
        </w:rPr>
        <w:t>,</w:t>
      </w:r>
      <w:r w:rsidR="004D41CA" w:rsidRPr="006024E4">
        <w:rPr>
          <w:rFonts w:ascii="Tahoma" w:hAnsi="Tahoma" w:cs="Tahoma"/>
          <w:bCs/>
          <w:sz w:val="24"/>
          <w:szCs w:val="24"/>
        </w:rPr>
        <w:t xml:space="preserve"> în termeni nominali</w:t>
      </w:r>
      <w:r w:rsidR="008B6219" w:rsidRPr="006024E4">
        <w:rPr>
          <w:rFonts w:ascii="Tahoma" w:hAnsi="Tahoma" w:cs="Tahoma"/>
          <w:bCs/>
          <w:sz w:val="24"/>
          <w:szCs w:val="24"/>
        </w:rPr>
        <w:t>,</w:t>
      </w:r>
      <w:r w:rsidR="004D41CA" w:rsidRPr="006024E4">
        <w:rPr>
          <w:rFonts w:ascii="Tahoma" w:hAnsi="Tahoma" w:cs="Tahoma"/>
          <w:bCs/>
          <w:sz w:val="24"/>
          <w:szCs w:val="24"/>
        </w:rPr>
        <w:t xml:space="preserve"> cu </w:t>
      </w:r>
      <w:r w:rsidR="004B323B" w:rsidRPr="006024E4">
        <w:rPr>
          <w:rFonts w:ascii="Tahoma" w:hAnsi="Tahoma" w:cs="Tahoma"/>
          <w:bCs/>
          <w:sz w:val="24"/>
          <w:szCs w:val="24"/>
        </w:rPr>
        <w:t>46,7</w:t>
      </w:r>
      <w:r w:rsidR="004D41CA" w:rsidRPr="006024E4">
        <w:rPr>
          <w:rFonts w:ascii="Tahoma" w:hAnsi="Tahoma" w:cs="Tahoma"/>
          <w:bCs/>
          <w:sz w:val="24"/>
          <w:szCs w:val="24"/>
        </w:rPr>
        <w:t>%</w:t>
      </w:r>
      <w:r w:rsidR="00030BC0" w:rsidRPr="006024E4">
        <w:rPr>
          <w:rFonts w:ascii="Tahoma" w:hAnsi="Tahoma" w:cs="Tahoma"/>
          <w:bCs/>
          <w:sz w:val="24"/>
          <w:szCs w:val="24"/>
        </w:rPr>
        <w:t>,</w:t>
      </w:r>
      <w:r w:rsidR="004D41CA" w:rsidRPr="006024E4">
        <w:rPr>
          <w:rFonts w:ascii="Tahoma" w:hAnsi="Tahoma" w:cs="Tahoma"/>
          <w:bCs/>
          <w:sz w:val="24"/>
          <w:szCs w:val="24"/>
        </w:rPr>
        <w:t xml:space="preserve"> iar ca pondere în PIB </w:t>
      </w:r>
      <w:r w:rsidR="004B323B" w:rsidRPr="006024E4">
        <w:rPr>
          <w:rFonts w:ascii="Tahoma" w:hAnsi="Tahoma" w:cs="Tahoma"/>
          <w:sz w:val="24"/>
          <w:szCs w:val="24"/>
        </w:rPr>
        <w:t>cu 0,1 puncte procentuale de la 0,5%</w:t>
      </w:r>
      <w:r w:rsidR="005C4FA8">
        <w:rPr>
          <w:rFonts w:ascii="Tahoma" w:hAnsi="Tahoma" w:cs="Tahoma"/>
          <w:sz w:val="24"/>
          <w:szCs w:val="24"/>
        </w:rPr>
        <w:t xml:space="preserve"> </w:t>
      </w:r>
      <w:r w:rsidR="008B6219" w:rsidRPr="006024E4">
        <w:rPr>
          <w:rFonts w:ascii="Tahoma" w:hAnsi="Tahoma" w:cs="Tahoma"/>
          <w:sz w:val="24"/>
          <w:szCs w:val="24"/>
        </w:rPr>
        <w:t>din PIB</w:t>
      </w:r>
      <w:r w:rsidR="004B323B" w:rsidRPr="006024E4">
        <w:rPr>
          <w:rFonts w:ascii="Tahoma" w:hAnsi="Tahoma" w:cs="Tahoma"/>
          <w:sz w:val="24"/>
          <w:szCs w:val="24"/>
        </w:rPr>
        <w:t xml:space="preserve"> în al treilea trimestru al anului 2021 la 0,6% </w:t>
      </w:r>
      <w:r w:rsidR="008B6219" w:rsidRPr="006024E4">
        <w:rPr>
          <w:rFonts w:ascii="Tahoma" w:hAnsi="Tahoma" w:cs="Tahoma"/>
          <w:sz w:val="24"/>
          <w:szCs w:val="24"/>
        </w:rPr>
        <w:t xml:space="preserve">din PIB </w:t>
      </w:r>
      <w:r w:rsidR="004B323B" w:rsidRPr="006024E4">
        <w:rPr>
          <w:rFonts w:ascii="Tahoma" w:hAnsi="Tahoma" w:cs="Tahoma"/>
          <w:sz w:val="24"/>
          <w:szCs w:val="24"/>
        </w:rPr>
        <w:t>în trimestrul III 2022</w:t>
      </w:r>
      <w:r w:rsidR="004D41CA" w:rsidRPr="006024E4">
        <w:rPr>
          <w:rFonts w:ascii="Tahoma" w:hAnsi="Tahoma" w:cs="Tahoma"/>
          <w:bCs/>
          <w:sz w:val="24"/>
          <w:szCs w:val="24"/>
        </w:rPr>
        <w:t xml:space="preserve">. </w:t>
      </w:r>
    </w:p>
    <w:p w:rsidR="003774BA" w:rsidRPr="006024E4" w:rsidRDefault="00B10206" w:rsidP="00660150">
      <w:pPr>
        <w:spacing w:line="276" w:lineRule="auto"/>
        <w:jc w:val="both"/>
        <w:rPr>
          <w:rFonts w:ascii="Tahoma" w:eastAsia="Calibri" w:hAnsi="Tahoma" w:cs="Tahoma"/>
          <w:sz w:val="24"/>
          <w:szCs w:val="24"/>
        </w:rPr>
      </w:pPr>
      <w:r w:rsidRPr="006024E4">
        <w:rPr>
          <w:rFonts w:ascii="Tahoma" w:hAnsi="Tahoma" w:cs="Tahoma"/>
          <w:b/>
          <w:sz w:val="24"/>
          <w:szCs w:val="24"/>
        </w:rPr>
        <w:t>Cheltuielile pentru investiții</w:t>
      </w:r>
      <w:r w:rsidRPr="006024E4">
        <w:rPr>
          <w:rFonts w:ascii="Tahoma" w:hAnsi="Tahoma" w:cs="Tahoma"/>
          <w:sz w:val="24"/>
          <w:szCs w:val="24"/>
        </w:rPr>
        <w:t xml:space="preserve"> (includ cheltuielile de capital, precum </w:t>
      </w:r>
      <w:r w:rsidR="00030BC0" w:rsidRPr="006024E4">
        <w:rPr>
          <w:rFonts w:ascii="Tahoma" w:hAnsi="Tahoma" w:cs="Tahoma"/>
          <w:sz w:val="24"/>
          <w:szCs w:val="24"/>
        </w:rPr>
        <w:t>și</w:t>
      </w:r>
      <w:r w:rsidRPr="006024E4">
        <w:rPr>
          <w:rFonts w:ascii="Tahoma" w:hAnsi="Tahoma" w:cs="Tahoma"/>
          <w:sz w:val="24"/>
          <w:szCs w:val="24"/>
        </w:rPr>
        <w:t xml:space="preserve"> cele aferente programelor de dezvoltare finanțate din surse interne </w:t>
      </w:r>
      <w:r w:rsidR="00030BC0" w:rsidRPr="006024E4">
        <w:rPr>
          <w:rFonts w:ascii="Tahoma" w:hAnsi="Tahoma" w:cs="Tahoma"/>
          <w:sz w:val="24"/>
          <w:szCs w:val="24"/>
        </w:rPr>
        <w:t>și</w:t>
      </w:r>
      <w:r w:rsidRPr="006024E4">
        <w:rPr>
          <w:rFonts w:ascii="Tahoma" w:hAnsi="Tahoma" w:cs="Tahoma"/>
          <w:sz w:val="24"/>
          <w:szCs w:val="24"/>
        </w:rPr>
        <w:t xml:space="preserve"> externe) în </w:t>
      </w:r>
      <w:r w:rsidR="008B68F7" w:rsidRPr="006024E4">
        <w:rPr>
          <w:rFonts w:ascii="Tahoma" w:hAnsi="Tahoma" w:cs="Tahoma"/>
          <w:sz w:val="24"/>
          <w:szCs w:val="24"/>
        </w:rPr>
        <w:t>al doilea</w:t>
      </w:r>
      <w:r w:rsidRPr="006024E4">
        <w:rPr>
          <w:rFonts w:ascii="Tahoma" w:hAnsi="Tahoma" w:cs="Tahoma"/>
          <w:sz w:val="24"/>
          <w:szCs w:val="24"/>
        </w:rPr>
        <w:t xml:space="preserve"> trimestru al anului 202</w:t>
      </w:r>
      <w:r w:rsidR="003774BA" w:rsidRPr="006024E4">
        <w:rPr>
          <w:rFonts w:ascii="Tahoma" w:hAnsi="Tahoma" w:cs="Tahoma"/>
          <w:sz w:val="24"/>
          <w:szCs w:val="24"/>
        </w:rPr>
        <w:t>2</w:t>
      </w:r>
      <w:r w:rsidRPr="006024E4">
        <w:rPr>
          <w:rFonts w:ascii="Tahoma" w:hAnsi="Tahoma" w:cs="Tahoma"/>
          <w:sz w:val="24"/>
          <w:szCs w:val="24"/>
        </w:rPr>
        <w:t xml:space="preserve"> au totalizat în termeni nominali </w:t>
      </w:r>
      <w:r w:rsidR="00AE7291" w:rsidRPr="006024E4">
        <w:rPr>
          <w:rFonts w:ascii="Tahoma" w:hAnsi="Tahoma" w:cs="Tahoma"/>
          <w:bCs/>
          <w:sz w:val="24"/>
          <w:szCs w:val="24"/>
        </w:rPr>
        <w:t>17,75</w:t>
      </w:r>
      <w:r w:rsidR="004D41CA" w:rsidRPr="006024E4">
        <w:rPr>
          <w:rFonts w:ascii="Tahoma" w:hAnsi="Tahoma" w:cs="Tahoma"/>
          <w:b/>
          <w:bCs/>
          <w:sz w:val="24"/>
          <w:szCs w:val="24"/>
        </w:rPr>
        <w:t xml:space="preserve"> </w:t>
      </w:r>
      <w:r w:rsidR="00602503" w:rsidRPr="006024E4">
        <w:rPr>
          <w:rFonts w:ascii="Tahoma" w:hAnsi="Tahoma" w:cs="Tahoma"/>
          <w:bCs/>
          <w:sz w:val="24"/>
          <w:szCs w:val="24"/>
        </w:rPr>
        <w:t>miliarde</w:t>
      </w:r>
      <w:r w:rsidR="004D41CA" w:rsidRPr="006024E4">
        <w:rPr>
          <w:rFonts w:ascii="Tahoma" w:hAnsi="Tahoma" w:cs="Tahoma"/>
          <w:bCs/>
          <w:sz w:val="24"/>
          <w:szCs w:val="24"/>
        </w:rPr>
        <w:t xml:space="preserve"> lei (</w:t>
      </w:r>
      <w:r w:rsidR="00AE7291" w:rsidRPr="006024E4">
        <w:rPr>
          <w:rFonts w:ascii="Tahoma" w:hAnsi="Tahoma" w:cs="Tahoma"/>
          <w:bCs/>
          <w:sz w:val="24"/>
          <w:szCs w:val="24"/>
        </w:rPr>
        <w:t>1,3</w:t>
      </w:r>
      <w:r w:rsidR="004D41CA" w:rsidRPr="006024E4">
        <w:rPr>
          <w:rFonts w:ascii="Tahoma" w:hAnsi="Tahoma" w:cs="Tahoma"/>
          <w:bCs/>
          <w:sz w:val="24"/>
          <w:szCs w:val="24"/>
        </w:rPr>
        <w:t xml:space="preserve"> % din PIB)</w:t>
      </w:r>
      <w:r w:rsidR="003774BA" w:rsidRPr="006024E4">
        <w:rPr>
          <w:rFonts w:ascii="Tahoma" w:eastAsia="Calibri" w:hAnsi="Tahoma" w:cs="Tahoma"/>
          <w:sz w:val="24"/>
          <w:szCs w:val="24"/>
        </w:rPr>
        <w:t>.</w:t>
      </w:r>
      <w:r w:rsidR="004D41CA" w:rsidRPr="006024E4">
        <w:rPr>
          <w:rFonts w:ascii="Tahoma" w:eastAsia="Calibri" w:hAnsi="Tahoma" w:cs="Tahoma"/>
          <w:sz w:val="24"/>
          <w:szCs w:val="24"/>
        </w:rPr>
        <w:t xml:space="preserve"> </w:t>
      </w:r>
      <w:r w:rsidR="00AE7291" w:rsidRPr="006024E4">
        <w:rPr>
          <w:rFonts w:ascii="Tahoma" w:eastAsia="Calibri" w:hAnsi="Tahoma" w:cs="Tahoma"/>
          <w:sz w:val="24"/>
          <w:szCs w:val="24"/>
        </w:rPr>
        <w:t>Acestea au crescut în perioada analizată comparativ cu trimestrul III 2021 cu 43,34% iar ca pondere în PIB cu 0,25 puncte procentuale de la 1,05% din PIB în trimestrul III 2021 la 1,3% din PIB în trimestrul III 2022.</w:t>
      </w:r>
    </w:p>
    <w:p w:rsidR="00373FDE" w:rsidRPr="006024E4"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6024E4">
        <w:rPr>
          <w:rFonts w:ascii="Tahoma" w:hAnsi="Tahoma" w:cs="Tahoma"/>
          <w:b/>
          <w:caps/>
          <w:color w:val="0070C0"/>
          <w:sz w:val="24"/>
          <w:szCs w:val="24"/>
        </w:rPr>
        <w:t>CONCLUZII</w:t>
      </w:r>
    </w:p>
    <w:p w:rsidR="00415B7E" w:rsidRPr="006024E4" w:rsidRDefault="00415B7E" w:rsidP="005A00BE">
      <w:pPr>
        <w:spacing w:before="240" w:after="120" w:line="276" w:lineRule="auto"/>
        <w:ind w:right="6"/>
        <w:jc w:val="both"/>
        <w:rPr>
          <w:rFonts w:ascii="Tahoma" w:hAnsi="Tahoma" w:cs="Tahoma"/>
          <w:bCs/>
          <w:sz w:val="24"/>
          <w:szCs w:val="24"/>
        </w:rPr>
      </w:pPr>
      <w:r w:rsidRPr="006024E4">
        <w:rPr>
          <w:rFonts w:ascii="Tahoma" w:hAnsi="Tahoma" w:cs="Tahoma"/>
          <w:bCs/>
          <w:sz w:val="24"/>
          <w:szCs w:val="24"/>
        </w:rPr>
        <w:t>Având în vedere evoluția veniturilor</w:t>
      </w:r>
      <w:r w:rsidR="00315666" w:rsidRPr="006024E4">
        <w:rPr>
          <w:rFonts w:ascii="Tahoma" w:hAnsi="Tahoma" w:cs="Tahoma"/>
          <w:bCs/>
          <w:sz w:val="24"/>
          <w:szCs w:val="24"/>
        </w:rPr>
        <w:t xml:space="preserve"> și cheltuielilor</w:t>
      </w:r>
      <w:r w:rsidRPr="006024E4">
        <w:rPr>
          <w:rFonts w:ascii="Tahoma" w:hAnsi="Tahoma" w:cs="Tahoma"/>
          <w:bCs/>
          <w:sz w:val="24"/>
          <w:szCs w:val="24"/>
        </w:rPr>
        <w:t xml:space="preserve"> bugetare, soldul bugetar </w:t>
      </w:r>
      <w:r w:rsidR="00315666" w:rsidRPr="006024E4">
        <w:rPr>
          <w:rFonts w:ascii="Tahoma" w:hAnsi="Tahoma" w:cs="Tahoma"/>
          <w:bCs/>
          <w:sz w:val="24"/>
          <w:szCs w:val="24"/>
        </w:rPr>
        <w:t>aferent</w:t>
      </w:r>
      <w:r w:rsidRPr="006024E4">
        <w:rPr>
          <w:rFonts w:ascii="Tahoma" w:hAnsi="Tahoma" w:cs="Tahoma"/>
          <w:bCs/>
          <w:sz w:val="24"/>
          <w:szCs w:val="24"/>
        </w:rPr>
        <w:t xml:space="preserve"> </w:t>
      </w:r>
      <w:r w:rsidR="008B68F7" w:rsidRPr="006024E4">
        <w:rPr>
          <w:rFonts w:ascii="Tahoma" w:hAnsi="Tahoma" w:cs="Tahoma"/>
          <w:bCs/>
          <w:sz w:val="24"/>
          <w:szCs w:val="24"/>
        </w:rPr>
        <w:t>trimestrului al II</w:t>
      </w:r>
      <w:r w:rsidR="00AE7291" w:rsidRPr="006024E4">
        <w:rPr>
          <w:rFonts w:ascii="Tahoma" w:hAnsi="Tahoma" w:cs="Tahoma"/>
          <w:bCs/>
          <w:sz w:val="24"/>
          <w:szCs w:val="24"/>
        </w:rPr>
        <w:t>I</w:t>
      </w:r>
      <w:r w:rsidR="008B68F7" w:rsidRPr="006024E4">
        <w:rPr>
          <w:rFonts w:ascii="Tahoma" w:hAnsi="Tahoma" w:cs="Tahoma"/>
          <w:bCs/>
          <w:sz w:val="24"/>
          <w:szCs w:val="24"/>
        </w:rPr>
        <w:t xml:space="preserve">-lea al anului </w:t>
      </w:r>
      <w:r w:rsidR="005A00BE" w:rsidRPr="006024E4">
        <w:rPr>
          <w:rFonts w:ascii="Tahoma" w:hAnsi="Tahoma" w:cs="Tahoma"/>
          <w:bCs/>
          <w:sz w:val="24"/>
          <w:szCs w:val="24"/>
        </w:rPr>
        <w:t xml:space="preserve">2022 </w:t>
      </w:r>
      <w:r w:rsidR="00A1466E" w:rsidRPr="006024E4">
        <w:rPr>
          <w:rFonts w:ascii="Tahoma" w:hAnsi="Tahoma" w:cs="Tahoma"/>
          <w:bCs/>
          <w:sz w:val="24"/>
          <w:szCs w:val="24"/>
        </w:rPr>
        <w:t xml:space="preserve">s-a situat sub </w:t>
      </w:r>
      <w:r w:rsidR="003C4703" w:rsidRPr="006024E4">
        <w:rPr>
          <w:rFonts w:ascii="Tahoma" w:hAnsi="Tahoma" w:cs="Tahoma"/>
          <w:bCs/>
          <w:sz w:val="24"/>
          <w:szCs w:val="24"/>
        </w:rPr>
        <w:t xml:space="preserve">ținta stabilită cu </w:t>
      </w:r>
      <w:r w:rsidR="00AE7291" w:rsidRPr="006024E4">
        <w:rPr>
          <w:rFonts w:ascii="Tahoma" w:hAnsi="Tahoma" w:cs="Tahoma"/>
          <w:bCs/>
          <w:sz w:val="24"/>
          <w:szCs w:val="24"/>
        </w:rPr>
        <w:t>13,48</w:t>
      </w:r>
      <w:r w:rsidR="003C4703" w:rsidRPr="006024E4">
        <w:rPr>
          <w:rFonts w:ascii="Tahoma" w:hAnsi="Tahoma" w:cs="Tahoma"/>
          <w:bCs/>
          <w:sz w:val="24"/>
          <w:szCs w:val="24"/>
        </w:rPr>
        <w:t xml:space="preserve"> </w:t>
      </w:r>
      <w:r w:rsidR="00602503" w:rsidRPr="006024E4">
        <w:rPr>
          <w:rFonts w:ascii="Tahoma" w:hAnsi="Tahoma" w:cs="Tahoma"/>
          <w:bCs/>
          <w:sz w:val="24"/>
          <w:szCs w:val="24"/>
        </w:rPr>
        <w:t>miliarde</w:t>
      </w:r>
      <w:r w:rsidRPr="006024E4">
        <w:rPr>
          <w:rFonts w:ascii="Tahoma" w:hAnsi="Tahoma" w:cs="Tahoma"/>
          <w:bCs/>
          <w:sz w:val="24"/>
          <w:szCs w:val="24"/>
        </w:rPr>
        <w:t xml:space="preserve"> lei.</w:t>
      </w:r>
    </w:p>
    <w:p w:rsidR="00922C76" w:rsidRPr="006024E4" w:rsidRDefault="00315666" w:rsidP="005A00BE">
      <w:pPr>
        <w:spacing w:before="240" w:after="120"/>
        <w:ind w:right="6"/>
        <w:jc w:val="both"/>
        <w:rPr>
          <w:rFonts w:ascii="Tahoma" w:hAnsi="Tahoma" w:cs="Tahoma"/>
          <w:bCs/>
          <w:sz w:val="24"/>
          <w:szCs w:val="24"/>
        </w:rPr>
      </w:pPr>
      <w:r w:rsidRPr="006024E4">
        <w:rPr>
          <w:rFonts w:ascii="Tahoma" w:hAnsi="Tahoma" w:cs="Tahoma"/>
          <w:bCs/>
          <w:sz w:val="24"/>
          <w:szCs w:val="24"/>
        </w:rPr>
        <w:t xml:space="preserve">În </w:t>
      </w:r>
      <w:r w:rsidR="008B68F7" w:rsidRPr="006024E4">
        <w:rPr>
          <w:rFonts w:ascii="Tahoma" w:hAnsi="Tahoma" w:cs="Tahoma"/>
          <w:bCs/>
          <w:sz w:val="24"/>
          <w:szCs w:val="24"/>
        </w:rPr>
        <w:t xml:space="preserve">al </w:t>
      </w:r>
      <w:r w:rsidR="00AE7291" w:rsidRPr="006024E4">
        <w:rPr>
          <w:rFonts w:ascii="Tahoma" w:hAnsi="Tahoma" w:cs="Tahoma"/>
          <w:bCs/>
          <w:sz w:val="24"/>
          <w:szCs w:val="24"/>
        </w:rPr>
        <w:t>treilea</w:t>
      </w:r>
      <w:r w:rsidR="008B68F7" w:rsidRPr="006024E4">
        <w:rPr>
          <w:rFonts w:ascii="Tahoma" w:hAnsi="Tahoma" w:cs="Tahoma"/>
          <w:bCs/>
          <w:sz w:val="24"/>
          <w:szCs w:val="24"/>
        </w:rPr>
        <w:t xml:space="preserve"> trimestru al</w:t>
      </w:r>
      <w:r w:rsidRPr="006024E4">
        <w:rPr>
          <w:rFonts w:ascii="Tahoma" w:hAnsi="Tahoma" w:cs="Tahoma"/>
          <w:bCs/>
          <w:sz w:val="24"/>
          <w:szCs w:val="24"/>
        </w:rPr>
        <w:t xml:space="preserve"> anului</w:t>
      </w:r>
      <w:r w:rsidR="008B68F7" w:rsidRPr="006024E4">
        <w:rPr>
          <w:rFonts w:ascii="Tahoma" w:hAnsi="Tahoma" w:cs="Tahoma"/>
          <w:bCs/>
          <w:sz w:val="24"/>
          <w:szCs w:val="24"/>
        </w:rPr>
        <w:t xml:space="preserve"> 2022</w:t>
      </w:r>
      <w:r w:rsidR="008849D9" w:rsidRPr="006024E4">
        <w:rPr>
          <w:rFonts w:ascii="Tahoma" w:hAnsi="Tahoma" w:cs="Tahoma"/>
          <w:bCs/>
          <w:sz w:val="24"/>
          <w:szCs w:val="24"/>
        </w:rPr>
        <w:t xml:space="preserve">, </w:t>
      </w:r>
      <w:r w:rsidR="00AE7291" w:rsidRPr="006024E4">
        <w:rPr>
          <w:rFonts w:ascii="Tahoma" w:hAnsi="Tahoma" w:cs="Tahoma"/>
          <w:bCs/>
          <w:sz w:val="24"/>
          <w:szCs w:val="24"/>
        </w:rPr>
        <w:t xml:space="preserve">veniturile bugetului general consolidat nu au reușit să atingă nivelul programat în </w:t>
      </w:r>
      <w:r w:rsidR="00922C76" w:rsidRPr="006024E4">
        <w:rPr>
          <w:rFonts w:ascii="Tahoma" w:hAnsi="Tahoma" w:cs="Tahoma"/>
          <w:bCs/>
          <w:sz w:val="24"/>
          <w:szCs w:val="24"/>
        </w:rPr>
        <w:t>principal</w:t>
      </w:r>
      <w:r w:rsidR="00AE7291" w:rsidRPr="006024E4">
        <w:rPr>
          <w:rFonts w:ascii="Tahoma" w:hAnsi="Tahoma" w:cs="Tahoma"/>
          <w:bCs/>
          <w:sz w:val="24"/>
          <w:szCs w:val="24"/>
        </w:rPr>
        <w:t xml:space="preserve"> ca urmare a nerealizării veniturilor prevăzute a fi încasate din fonduri externe nerambursabile și în special a celor aferente asistenței financiare nerambursabile alocate PNRR</w:t>
      </w:r>
      <w:r w:rsidR="00922C76" w:rsidRPr="006024E4">
        <w:rPr>
          <w:rFonts w:ascii="Tahoma" w:hAnsi="Tahoma" w:cs="Tahoma"/>
          <w:bCs/>
          <w:sz w:val="24"/>
          <w:szCs w:val="24"/>
        </w:rPr>
        <w:t xml:space="preserve"> al căror </w:t>
      </w:r>
      <w:r w:rsidR="00AE7291" w:rsidRPr="006024E4">
        <w:rPr>
          <w:rFonts w:ascii="Tahoma" w:hAnsi="Tahoma" w:cs="Tahoma"/>
          <w:bCs/>
          <w:sz w:val="24"/>
          <w:szCs w:val="24"/>
        </w:rPr>
        <w:t xml:space="preserve">nivel </w:t>
      </w:r>
      <w:r w:rsidR="00922C76" w:rsidRPr="006024E4">
        <w:rPr>
          <w:rFonts w:ascii="Tahoma" w:hAnsi="Tahoma" w:cs="Tahoma"/>
          <w:bCs/>
          <w:sz w:val="24"/>
          <w:szCs w:val="24"/>
        </w:rPr>
        <w:t>este</w:t>
      </w:r>
      <w:r w:rsidR="00AE7291" w:rsidRPr="006024E4">
        <w:rPr>
          <w:rFonts w:ascii="Tahoma" w:hAnsi="Tahoma" w:cs="Tahoma"/>
          <w:bCs/>
          <w:sz w:val="24"/>
          <w:szCs w:val="24"/>
        </w:rPr>
        <w:t xml:space="preserve"> corelat cu propunerile ordonatorilor principali de credite privind prevederile bugetare pentru proiectele</w:t>
      </w:r>
      <w:r w:rsidR="00AE7291" w:rsidRPr="006024E4">
        <w:rPr>
          <w:sz w:val="24"/>
          <w:szCs w:val="24"/>
        </w:rPr>
        <w:t xml:space="preserve"> </w:t>
      </w:r>
      <w:r w:rsidR="00AE7291" w:rsidRPr="006024E4">
        <w:rPr>
          <w:rFonts w:ascii="Tahoma" w:hAnsi="Tahoma" w:cs="Tahoma"/>
          <w:bCs/>
          <w:sz w:val="24"/>
          <w:szCs w:val="24"/>
        </w:rPr>
        <w:t>finanțate din fonduri externe nerambursabile aferente trimestrului II</w:t>
      </w:r>
      <w:r w:rsidR="00922C76" w:rsidRPr="006024E4">
        <w:rPr>
          <w:rFonts w:ascii="Tahoma" w:hAnsi="Tahoma" w:cs="Tahoma"/>
          <w:bCs/>
          <w:sz w:val="24"/>
          <w:szCs w:val="24"/>
        </w:rPr>
        <w:t>I</w:t>
      </w:r>
      <w:r w:rsidR="00AE7291" w:rsidRPr="006024E4">
        <w:rPr>
          <w:rFonts w:ascii="Tahoma" w:hAnsi="Tahoma" w:cs="Tahoma"/>
          <w:bCs/>
          <w:sz w:val="24"/>
          <w:szCs w:val="24"/>
        </w:rPr>
        <w:t xml:space="preserve"> 2022. </w:t>
      </w:r>
      <w:r w:rsidR="00922C76" w:rsidRPr="006024E4">
        <w:rPr>
          <w:rFonts w:ascii="Tahoma" w:hAnsi="Tahoma" w:cs="Tahoma"/>
          <w:bCs/>
          <w:sz w:val="24"/>
          <w:szCs w:val="24"/>
        </w:rPr>
        <w:t>V</w:t>
      </w:r>
      <w:r w:rsidR="00AE7291" w:rsidRPr="006024E4">
        <w:rPr>
          <w:rFonts w:ascii="Tahoma" w:hAnsi="Tahoma" w:cs="Tahoma"/>
          <w:bCs/>
          <w:sz w:val="24"/>
          <w:szCs w:val="24"/>
        </w:rPr>
        <w:t>enituril</w:t>
      </w:r>
      <w:r w:rsidR="00922C76" w:rsidRPr="006024E4">
        <w:rPr>
          <w:rFonts w:ascii="Tahoma" w:hAnsi="Tahoma" w:cs="Tahoma"/>
          <w:bCs/>
          <w:sz w:val="24"/>
          <w:szCs w:val="24"/>
        </w:rPr>
        <w:t>e</w:t>
      </w:r>
      <w:r w:rsidR="00AE7291" w:rsidRPr="006024E4">
        <w:rPr>
          <w:rFonts w:ascii="Tahoma" w:hAnsi="Tahoma" w:cs="Tahoma"/>
          <w:bCs/>
          <w:sz w:val="24"/>
          <w:szCs w:val="24"/>
        </w:rPr>
        <w:t xml:space="preserve"> </w:t>
      </w:r>
      <w:r w:rsidR="005E607E" w:rsidRPr="006024E4">
        <w:rPr>
          <w:rFonts w:ascii="Tahoma" w:hAnsi="Tahoma" w:cs="Tahoma"/>
          <w:bCs/>
          <w:sz w:val="24"/>
          <w:szCs w:val="24"/>
        </w:rPr>
        <w:t>încasate din economia internă</w:t>
      </w:r>
      <w:r w:rsidR="00415B7E" w:rsidRPr="006024E4">
        <w:rPr>
          <w:rFonts w:ascii="Tahoma" w:hAnsi="Tahoma" w:cs="Tahoma"/>
          <w:bCs/>
          <w:sz w:val="24"/>
          <w:szCs w:val="24"/>
        </w:rPr>
        <w:t xml:space="preserve"> </w:t>
      </w:r>
      <w:r w:rsidR="00922C76" w:rsidRPr="006024E4">
        <w:rPr>
          <w:rFonts w:ascii="Tahoma" w:hAnsi="Tahoma" w:cs="Tahoma"/>
          <w:bCs/>
          <w:sz w:val="24"/>
          <w:szCs w:val="24"/>
        </w:rPr>
        <w:t xml:space="preserve">s-au </w:t>
      </w:r>
      <w:r w:rsidR="00922C76" w:rsidRPr="006024E4">
        <w:rPr>
          <w:rFonts w:ascii="Tahoma" w:hAnsi="Tahoma" w:cs="Tahoma"/>
          <w:bCs/>
          <w:sz w:val="24"/>
          <w:szCs w:val="24"/>
        </w:rPr>
        <w:lastRenderedPageBreak/>
        <w:t>situat</w:t>
      </w:r>
      <w:r w:rsidR="002D0E08" w:rsidRPr="006024E4">
        <w:rPr>
          <w:rFonts w:ascii="Tahoma" w:hAnsi="Tahoma" w:cs="Tahoma"/>
          <w:bCs/>
          <w:sz w:val="24"/>
          <w:szCs w:val="24"/>
        </w:rPr>
        <w:t xml:space="preserve"> </w:t>
      </w:r>
      <w:r w:rsidR="008B6219" w:rsidRPr="006024E4">
        <w:rPr>
          <w:rFonts w:ascii="Tahoma" w:hAnsi="Tahoma" w:cs="Tahoma"/>
          <w:bCs/>
          <w:sz w:val="24"/>
          <w:szCs w:val="24"/>
        </w:rPr>
        <w:t xml:space="preserve">sub </w:t>
      </w:r>
      <w:r w:rsidR="002D0E08" w:rsidRPr="006024E4">
        <w:rPr>
          <w:rFonts w:ascii="Tahoma" w:hAnsi="Tahoma" w:cs="Tahoma"/>
          <w:bCs/>
          <w:sz w:val="24"/>
          <w:szCs w:val="24"/>
        </w:rPr>
        <w:t>nivelul prog</w:t>
      </w:r>
      <w:r w:rsidR="00D24BB3" w:rsidRPr="006024E4">
        <w:rPr>
          <w:rFonts w:ascii="Tahoma" w:hAnsi="Tahoma" w:cs="Tahoma"/>
          <w:bCs/>
          <w:sz w:val="24"/>
          <w:szCs w:val="24"/>
        </w:rPr>
        <w:t>r</w:t>
      </w:r>
      <w:r w:rsidR="00922C76" w:rsidRPr="006024E4">
        <w:rPr>
          <w:rFonts w:ascii="Tahoma" w:hAnsi="Tahoma" w:cs="Tahoma"/>
          <w:bCs/>
          <w:sz w:val="24"/>
          <w:szCs w:val="24"/>
        </w:rPr>
        <w:t>amat pentru perioada analizată pe fondul evoluției sub nivelul programat a venituril</w:t>
      </w:r>
      <w:r w:rsidR="005A00BE" w:rsidRPr="006024E4">
        <w:rPr>
          <w:rFonts w:ascii="Tahoma" w:hAnsi="Tahoma" w:cs="Tahoma"/>
          <w:bCs/>
          <w:sz w:val="24"/>
          <w:szCs w:val="24"/>
        </w:rPr>
        <w:t>or</w:t>
      </w:r>
      <w:r w:rsidR="00922C76" w:rsidRPr="006024E4">
        <w:rPr>
          <w:rFonts w:ascii="Tahoma" w:hAnsi="Tahoma" w:cs="Tahoma"/>
          <w:bCs/>
          <w:sz w:val="24"/>
          <w:szCs w:val="24"/>
        </w:rPr>
        <w:t xml:space="preserve"> fiscale, în principal, ca urmare a evoluției încasărilor din taxa pe valoarea adăugată și accize ce nu au reușit să atingă nivelul programat pentru perioada analizată.</w:t>
      </w:r>
    </w:p>
    <w:p w:rsidR="00BE061A" w:rsidRPr="006024E4" w:rsidRDefault="00922C76" w:rsidP="005A00BE">
      <w:pPr>
        <w:spacing w:before="240" w:after="120" w:line="276" w:lineRule="auto"/>
        <w:ind w:right="6"/>
        <w:jc w:val="both"/>
        <w:rPr>
          <w:rFonts w:ascii="Tahoma" w:hAnsi="Tahoma" w:cs="Tahoma"/>
          <w:bCs/>
          <w:sz w:val="24"/>
          <w:szCs w:val="24"/>
        </w:rPr>
      </w:pPr>
      <w:r w:rsidRPr="006024E4">
        <w:rPr>
          <w:rFonts w:ascii="Tahoma" w:hAnsi="Tahoma" w:cs="Tahoma"/>
          <w:bCs/>
          <w:sz w:val="24"/>
          <w:szCs w:val="24"/>
        </w:rPr>
        <w:t xml:space="preserve">Cheltuielile bugetului general consolidat s-au situat sub nivelul programat în cazul majorității titlurilor cu excepția cheltuielilor cu subvențiile. </w:t>
      </w:r>
      <w:r w:rsidR="00BE061A" w:rsidRPr="006024E4">
        <w:rPr>
          <w:rFonts w:ascii="Tahoma" w:hAnsi="Tahoma" w:cs="Tahoma"/>
          <w:bCs/>
          <w:sz w:val="24"/>
          <w:szCs w:val="24"/>
        </w:rPr>
        <w:t>Cea mai mare discrepanță între nivelul programat și plăți s-a înregistrat în cazul cheltuielilor</w:t>
      </w:r>
      <w:r w:rsidRPr="006024E4">
        <w:rPr>
          <w:rFonts w:ascii="Tahoma" w:hAnsi="Tahoma" w:cs="Tahoma"/>
          <w:bCs/>
          <w:sz w:val="24"/>
          <w:szCs w:val="24"/>
        </w:rPr>
        <w:t xml:space="preserve"> cu </w:t>
      </w:r>
      <w:r w:rsidR="00BE061A" w:rsidRPr="006024E4">
        <w:rPr>
          <w:rFonts w:ascii="Tahoma" w:hAnsi="Tahoma" w:cs="Tahoma"/>
          <w:bCs/>
          <w:sz w:val="24"/>
          <w:szCs w:val="24"/>
        </w:rPr>
        <w:t>proiectele finanțate din PNRR.</w:t>
      </w:r>
    </w:p>
    <w:p w:rsidR="007366C4" w:rsidRPr="006024E4" w:rsidRDefault="005E607E" w:rsidP="005A00BE">
      <w:pPr>
        <w:spacing w:before="240" w:after="120" w:line="276" w:lineRule="auto"/>
        <w:ind w:right="6"/>
        <w:jc w:val="both"/>
        <w:rPr>
          <w:rFonts w:ascii="Tahoma" w:hAnsi="Tahoma" w:cs="Tahoma"/>
          <w:bCs/>
          <w:sz w:val="24"/>
          <w:szCs w:val="24"/>
        </w:rPr>
      </w:pPr>
      <w:r w:rsidRPr="006024E4">
        <w:rPr>
          <w:rFonts w:ascii="Tahoma" w:hAnsi="Tahoma" w:cs="Tahoma"/>
          <w:bCs/>
          <w:sz w:val="24"/>
          <w:szCs w:val="24"/>
        </w:rPr>
        <w:t xml:space="preserve">Este de așteptat ca în perioada imediat următoare </w:t>
      </w:r>
      <w:r w:rsidR="004D41CA" w:rsidRPr="006024E4">
        <w:rPr>
          <w:rFonts w:ascii="Tahoma" w:hAnsi="Tahoma" w:cs="Tahoma"/>
          <w:bCs/>
          <w:sz w:val="24"/>
          <w:szCs w:val="24"/>
        </w:rPr>
        <w:t>pe măsură ce stadiul de implementare a proiectelor de investiții va avansa</w:t>
      </w:r>
      <w:r w:rsidR="00244D97" w:rsidRPr="006024E4">
        <w:rPr>
          <w:rFonts w:ascii="Tahoma" w:hAnsi="Tahoma" w:cs="Tahoma"/>
          <w:bCs/>
          <w:sz w:val="24"/>
          <w:szCs w:val="24"/>
        </w:rPr>
        <w:t>,</w:t>
      </w:r>
      <w:r w:rsidR="004D41CA" w:rsidRPr="006024E4">
        <w:rPr>
          <w:rFonts w:ascii="Tahoma" w:hAnsi="Tahoma" w:cs="Tahoma"/>
          <w:bCs/>
          <w:sz w:val="24"/>
          <w:szCs w:val="24"/>
        </w:rPr>
        <w:t xml:space="preserve"> plățile af</w:t>
      </w:r>
      <w:r w:rsidR="00F71A10" w:rsidRPr="006024E4">
        <w:rPr>
          <w:rFonts w:ascii="Tahoma" w:hAnsi="Tahoma" w:cs="Tahoma"/>
          <w:bCs/>
          <w:sz w:val="24"/>
          <w:szCs w:val="24"/>
        </w:rPr>
        <w:t xml:space="preserve">erente cheltuielilor de capital, </w:t>
      </w:r>
      <w:r w:rsidR="004D41CA" w:rsidRPr="006024E4">
        <w:rPr>
          <w:rFonts w:ascii="Tahoma" w:hAnsi="Tahoma" w:cs="Tahoma"/>
          <w:bCs/>
          <w:sz w:val="24"/>
          <w:szCs w:val="24"/>
        </w:rPr>
        <w:t xml:space="preserve">a celor </w:t>
      </w:r>
      <w:r w:rsidR="004E0F07" w:rsidRPr="006024E4">
        <w:rPr>
          <w:rFonts w:ascii="Tahoma" w:hAnsi="Tahoma" w:cs="Tahoma"/>
          <w:bCs/>
          <w:sz w:val="24"/>
          <w:szCs w:val="24"/>
        </w:rPr>
        <w:t>cu</w:t>
      </w:r>
      <w:r w:rsidR="004D41CA" w:rsidRPr="006024E4">
        <w:rPr>
          <w:rFonts w:ascii="Tahoma" w:hAnsi="Tahoma" w:cs="Tahoma"/>
          <w:bCs/>
          <w:sz w:val="24"/>
          <w:szCs w:val="24"/>
        </w:rPr>
        <w:t xml:space="preserve"> </w:t>
      </w:r>
      <w:r w:rsidR="004E0F07" w:rsidRPr="006024E4">
        <w:rPr>
          <w:rFonts w:ascii="Tahoma" w:hAnsi="Tahoma" w:cs="Tahoma"/>
          <w:bCs/>
          <w:sz w:val="24"/>
          <w:szCs w:val="24"/>
        </w:rPr>
        <w:t xml:space="preserve">proiectele finanțate din fonduri externe nerambursabile </w:t>
      </w:r>
      <w:r w:rsidR="00F71A10" w:rsidRPr="006024E4">
        <w:rPr>
          <w:rFonts w:ascii="Tahoma" w:hAnsi="Tahoma" w:cs="Tahoma"/>
          <w:bCs/>
          <w:sz w:val="24"/>
          <w:szCs w:val="24"/>
        </w:rPr>
        <w:t xml:space="preserve">dar și a celor aferente proiectelor </w:t>
      </w:r>
      <w:r w:rsidR="00CB4A48" w:rsidRPr="006024E4">
        <w:rPr>
          <w:rFonts w:ascii="Tahoma" w:hAnsi="Tahoma" w:cs="Tahoma"/>
          <w:bCs/>
          <w:sz w:val="24"/>
          <w:szCs w:val="24"/>
        </w:rPr>
        <w:t xml:space="preserve">finanțate din </w:t>
      </w:r>
      <w:r w:rsidR="00F71A10" w:rsidRPr="006024E4">
        <w:rPr>
          <w:rFonts w:ascii="Tahoma" w:hAnsi="Tahoma" w:cs="Tahoma"/>
          <w:bCs/>
          <w:sz w:val="24"/>
          <w:szCs w:val="24"/>
        </w:rPr>
        <w:t xml:space="preserve">PNRR </w:t>
      </w:r>
      <w:r w:rsidR="004E0F07" w:rsidRPr="006024E4">
        <w:rPr>
          <w:rFonts w:ascii="Tahoma" w:hAnsi="Tahoma" w:cs="Tahoma"/>
          <w:bCs/>
          <w:sz w:val="24"/>
          <w:szCs w:val="24"/>
        </w:rPr>
        <w:t xml:space="preserve">să recupereze din decalajul înregistrat în </w:t>
      </w:r>
      <w:r w:rsidR="00832258" w:rsidRPr="006024E4">
        <w:rPr>
          <w:rFonts w:ascii="Tahoma" w:hAnsi="Tahoma" w:cs="Tahoma"/>
          <w:bCs/>
          <w:sz w:val="24"/>
          <w:szCs w:val="24"/>
        </w:rPr>
        <w:t xml:space="preserve">al </w:t>
      </w:r>
      <w:r w:rsidR="00BE061A" w:rsidRPr="006024E4">
        <w:rPr>
          <w:rFonts w:ascii="Tahoma" w:hAnsi="Tahoma" w:cs="Tahoma"/>
          <w:bCs/>
          <w:sz w:val="24"/>
          <w:szCs w:val="24"/>
        </w:rPr>
        <w:t>treilea</w:t>
      </w:r>
      <w:r w:rsidR="004E0F07" w:rsidRPr="006024E4">
        <w:rPr>
          <w:rFonts w:ascii="Tahoma" w:hAnsi="Tahoma" w:cs="Tahoma"/>
          <w:bCs/>
          <w:sz w:val="24"/>
          <w:szCs w:val="24"/>
        </w:rPr>
        <w:t xml:space="preserve"> trimestru al anului 202</w:t>
      </w:r>
      <w:r w:rsidR="00121595" w:rsidRPr="006024E4">
        <w:rPr>
          <w:rFonts w:ascii="Tahoma" w:hAnsi="Tahoma" w:cs="Tahoma"/>
          <w:bCs/>
          <w:sz w:val="24"/>
          <w:szCs w:val="24"/>
        </w:rPr>
        <w:t>2</w:t>
      </w:r>
      <w:r w:rsidR="00CB4A48" w:rsidRPr="006024E4">
        <w:rPr>
          <w:rFonts w:ascii="Tahoma" w:hAnsi="Tahoma" w:cs="Tahoma"/>
          <w:bCs/>
          <w:sz w:val="24"/>
          <w:szCs w:val="24"/>
        </w:rPr>
        <w:t xml:space="preserve">. </w:t>
      </w:r>
    </w:p>
    <w:p w:rsidR="008D7713" w:rsidRPr="006024E4" w:rsidRDefault="00CB4A48" w:rsidP="005A00BE">
      <w:pPr>
        <w:spacing w:before="240" w:after="120" w:line="276" w:lineRule="auto"/>
        <w:ind w:right="6"/>
        <w:jc w:val="both"/>
        <w:rPr>
          <w:rFonts w:ascii="Tahoma" w:hAnsi="Tahoma" w:cs="Tahoma"/>
          <w:bCs/>
          <w:sz w:val="24"/>
          <w:szCs w:val="24"/>
        </w:rPr>
      </w:pPr>
      <w:r w:rsidRPr="006024E4">
        <w:rPr>
          <w:rFonts w:ascii="Tahoma" w:hAnsi="Tahoma" w:cs="Tahoma"/>
          <w:bCs/>
          <w:sz w:val="24"/>
          <w:szCs w:val="24"/>
        </w:rPr>
        <w:t>Î</w:t>
      </w:r>
      <w:r w:rsidR="004E0F07" w:rsidRPr="006024E4">
        <w:rPr>
          <w:rFonts w:ascii="Tahoma" w:hAnsi="Tahoma" w:cs="Tahoma"/>
          <w:bCs/>
          <w:sz w:val="24"/>
          <w:szCs w:val="24"/>
        </w:rPr>
        <w:t>n acest context</w:t>
      </w:r>
      <w:r w:rsidR="00A131A4" w:rsidRPr="006024E4">
        <w:rPr>
          <w:rFonts w:ascii="Tahoma" w:hAnsi="Tahoma" w:cs="Tahoma"/>
          <w:bCs/>
          <w:sz w:val="24"/>
          <w:szCs w:val="24"/>
        </w:rPr>
        <w:t>,</w:t>
      </w:r>
      <w:r w:rsidR="004E0F07" w:rsidRPr="006024E4">
        <w:rPr>
          <w:rFonts w:ascii="Tahoma" w:hAnsi="Tahoma" w:cs="Tahoma"/>
          <w:bCs/>
          <w:sz w:val="24"/>
          <w:szCs w:val="24"/>
        </w:rPr>
        <w:t xml:space="preserve"> </w:t>
      </w:r>
      <w:r w:rsidR="00BE061A" w:rsidRPr="006024E4">
        <w:rPr>
          <w:rFonts w:ascii="Tahoma" w:hAnsi="Tahoma" w:cs="Tahoma"/>
          <w:bCs/>
          <w:sz w:val="24"/>
          <w:szCs w:val="24"/>
        </w:rPr>
        <w:t xml:space="preserve">este necesar ca la nivelul ordonatorilor principali de credite să fie depuse eforturi de accelerare a </w:t>
      </w:r>
      <w:r w:rsidR="005A00BE" w:rsidRPr="006024E4">
        <w:rPr>
          <w:rFonts w:ascii="Tahoma" w:hAnsi="Tahoma" w:cs="Tahoma"/>
          <w:bCs/>
          <w:sz w:val="24"/>
          <w:szCs w:val="24"/>
        </w:rPr>
        <w:t xml:space="preserve">implementării </w:t>
      </w:r>
      <w:r w:rsidR="00BE061A" w:rsidRPr="006024E4">
        <w:rPr>
          <w:rFonts w:ascii="Tahoma" w:hAnsi="Tahoma" w:cs="Tahoma"/>
          <w:bCs/>
          <w:sz w:val="24"/>
          <w:szCs w:val="24"/>
        </w:rPr>
        <w:t xml:space="preserve">proiectelor astfel încât </w:t>
      </w:r>
      <w:r w:rsidR="004E0F07" w:rsidRPr="006024E4">
        <w:rPr>
          <w:rFonts w:ascii="Tahoma" w:hAnsi="Tahoma" w:cs="Tahoma"/>
          <w:bCs/>
          <w:sz w:val="24"/>
          <w:szCs w:val="24"/>
        </w:rPr>
        <w:t xml:space="preserve">sumele atrase din fonduri externe nerambursabile </w:t>
      </w:r>
      <w:r w:rsidR="007366C4" w:rsidRPr="006024E4">
        <w:rPr>
          <w:rFonts w:ascii="Tahoma" w:hAnsi="Tahoma" w:cs="Tahoma"/>
          <w:bCs/>
          <w:sz w:val="24"/>
          <w:szCs w:val="24"/>
        </w:rPr>
        <w:t xml:space="preserve">cât </w:t>
      </w:r>
      <w:r w:rsidR="00F71A10" w:rsidRPr="006024E4">
        <w:rPr>
          <w:rFonts w:ascii="Tahoma" w:hAnsi="Tahoma" w:cs="Tahoma"/>
          <w:bCs/>
          <w:sz w:val="24"/>
          <w:szCs w:val="24"/>
        </w:rPr>
        <w:t xml:space="preserve">și cele aferente proiectelor finanțate din PNRR </w:t>
      </w:r>
      <w:r w:rsidR="004E0F07" w:rsidRPr="006024E4">
        <w:rPr>
          <w:rFonts w:ascii="Tahoma" w:hAnsi="Tahoma" w:cs="Tahoma"/>
          <w:bCs/>
          <w:sz w:val="24"/>
          <w:szCs w:val="24"/>
        </w:rPr>
        <w:t>în perioada următoare să recupereze din decalajul înregistrat în perioada analizată.</w:t>
      </w:r>
    </w:p>
    <w:p w:rsidR="008D7713" w:rsidRPr="006024E4" w:rsidRDefault="004E0F07" w:rsidP="005A00BE">
      <w:pPr>
        <w:spacing w:before="240" w:after="120" w:line="276" w:lineRule="auto"/>
        <w:ind w:right="6"/>
        <w:jc w:val="both"/>
        <w:rPr>
          <w:rFonts w:ascii="Tahoma" w:hAnsi="Tahoma" w:cs="Tahoma"/>
          <w:bCs/>
          <w:sz w:val="24"/>
          <w:szCs w:val="24"/>
        </w:rPr>
      </w:pPr>
      <w:r w:rsidRPr="006024E4">
        <w:rPr>
          <w:rFonts w:ascii="Tahoma" w:hAnsi="Tahoma" w:cs="Tahoma"/>
          <w:bCs/>
          <w:sz w:val="24"/>
          <w:szCs w:val="24"/>
        </w:rPr>
        <w:t>Din analiza execuției bugetare</w:t>
      </w:r>
      <w:r w:rsidR="002A0152" w:rsidRPr="006024E4">
        <w:rPr>
          <w:rFonts w:ascii="Tahoma" w:hAnsi="Tahoma" w:cs="Tahoma"/>
          <w:bCs/>
          <w:sz w:val="24"/>
          <w:szCs w:val="24"/>
        </w:rPr>
        <w:t xml:space="preserve">, </w:t>
      </w:r>
      <w:r w:rsidRPr="006024E4">
        <w:rPr>
          <w:rFonts w:ascii="Tahoma" w:hAnsi="Tahoma" w:cs="Tahoma"/>
          <w:bCs/>
          <w:sz w:val="24"/>
          <w:szCs w:val="24"/>
        </w:rPr>
        <w:t>aferente trimestru</w:t>
      </w:r>
      <w:r w:rsidR="00832258" w:rsidRPr="006024E4">
        <w:rPr>
          <w:rFonts w:ascii="Tahoma" w:hAnsi="Tahoma" w:cs="Tahoma"/>
          <w:bCs/>
          <w:sz w:val="24"/>
          <w:szCs w:val="24"/>
        </w:rPr>
        <w:t>lui al II</w:t>
      </w:r>
      <w:r w:rsidR="005A00BE" w:rsidRPr="006024E4">
        <w:rPr>
          <w:rFonts w:ascii="Tahoma" w:hAnsi="Tahoma" w:cs="Tahoma"/>
          <w:bCs/>
          <w:sz w:val="24"/>
          <w:szCs w:val="24"/>
        </w:rPr>
        <w:t>I</w:t>
      </w:r>
      <w:r w:rsidR="00832258" w:rsidRPr="006024E4">
        <w:rPr>
          <w:rFonts w:ascii="Tahoma" w:hAnsi="Tahoma" w:cs="Tahoma"/>
          <w:bCs/>
          <w:sz w:val="24"/>
          <w:szCs w:val="24"/>
        </w:rPr>
        <w:t>-lea</w:t>
      </w:r>
      <w:r w:rsidRPr="006024E4">
        <w:rPr>
          <w:rFonts w:ascii="Tahoma" w:hAnsi="Tahoma" w:cs="Tahoma"/>
          <w:bCs/>
          <w:sz w:val="24"/>
          <w:szCs w:val="24"/>
        </w:rPr>
        <w:t xml:space="preserve"> al anului 202</w:t>
      </w:r>
      <w:r w:rsidR="00121595" w:rsidRPr="006024E4">
        <w:rPr>
          <w:rFonts w:ascii="Tahoma" w:hAnsi="Tahoma" w:cs="Tahoma"/>
          <w:bCs/>
          <w:sz w:val="24"/>
          <w:szCs w:val="24"/>
        </w:rPr>
        <w:t>2</w:t>
      </w:r>
      <w:r w:rsidR="005A00BE" w:rsidRPr="006024E4">
        <w:rPr>
          <w:rFonts w:ascii="Tahoma" w:hAnsi="Tahoma" w:cs="Tahoma"/>
          <w:bCs/>
          <w:sz w:val="24"/>
          <w:szCs w:val="24"/>
        </w:rPr>
        <w:t>,</w:t>
      </w:r>
      <w:r w:rsidRPr="006024E4">
        <w:rPr>
          <w:rFonts w:ascii="Tahoma" w:hAnsi="Tahoma" w:cs="Tahoma"/>
          <w:bCs/>
          <w:sz w:val="24"/>
          <w:szCs w:val="24"/>
        </w:rPr>
        <w:t xml:space="preserve"> </w:t>
      </w:r>
      <w:r w:rsidR="00024773" w:rsidRPr="006024E4">
        <w:rPr>
          <w:rFonts w:ascii="Tahoma" w:hAnsi="Tahoma" w:cs="Tahoma"/>
          <w:bCs/>
          <w:sz w:val="24"/>
          <w:szCs w:val="24"/>
        </w:rPr>
        <w:t xml:space="preserve">apreciem că </w:t>
      </w:r>
      <w:r w:rsidRPr="006024E4">
        <w:rPr>
          <w:rFonts w:ascii="Tahoma" w:hAnsi="Tahoma" w:cs="Tahoma"/>
          <w:bCs/>
          <w:sz w:val="24"/>
          <w:szCs w:val="24"/>
        </w:rPr>
        <w:t xml:space="preserve">nu s-au identificat </w:t>
      </w:r>
      <w:r w:rsidR="00024773" w:rsidRPr="006024E4">
        <w:rPr>
          <w:rFonts w:ascii="Tahoma" w:hAnsi="Tahoma" w:cs="Tahoma"/>
          <w:bCs/>
          <w:sz w:val="24"/>
          <w:szCs w:val="24"/>
        </w:rPr>
        <w:t>elemente de natură a afecta pragul stabilit al deficitului bugetar pentru anul 202</w:t>
      </w:r>
      <w:r w:rsidR="00121595" w:rsidRPr="006024E4">
        <w:rPr>
          <w:rFonts w:ascii="Tahoma" w:hAnsi="Tahoma" w:cs="Tahoma"/>
          <w:bCs/>
          <w:sz w:val="24"/>
          <w:szCs w:val="24"/>
        </w:rPr>
        <w:t>2</w:t>
      </w:r>
      <w:r w:rsidR="00244D97" w:rsidRPr="006024E4">
        <w:rPr>
          <w:rFonts w:ascii="Tahoma" w:hAnsi="Tahoma" w:cs="Tahoma"/>
          <w:bCs/>
          <w:sz w:val="24"/>
          <w:szCs w:val="24"/>
        </w:rPr>
        <w:t>,</w:t>
      </w:r>
      <w:r w:rsidR="00FC0CA1" w:rsidRPr="006024E4">
        <w:rPr>
          <w:rFonts w:ascii="Tahoma" w:hAnsi="Tahoma" w:cs="Tahoma"/>
          <w:bCs/>
          <w:sz w:val="24"/>
          <w:szCs w:val="24"/>
        </w:rPr>
        <w:t xml:space="preserve"> </w:t>
      </w:r>
      <w:r w:rsidR="00CB4A48" w:rsidRPr="006024E4">
        <w:rPr>
          <w:rFonts w:ascii="Tahoma" w:hAnsi="Tahoma" w:cs="Tahoma"/>
          <w:bCs/>
          <w:sz w:val="24"/>
          <w:szCs w:val="24"/>
        </w:rPr>
        <w:t>totuși,</w:t>
      </w:r>
      <w:r w:rsidR="00FC0CA1" w:rsidRPr="006024E4">
        <w:rPr>
          <w:rFonts w:ascii="Tahoma" w:hAnsi="Tahoma" w:cs="Tahoma"/>
          <w:bCs/>
          <w:sz w:val="24"/>
          <w:szCs w:val="24"/>
        </w:rPr>
        <w:t xml:space="preserve"> </w:t>
      </w:r>
      <w:r w:rsidR="0060525E" w:rsidRPr="006024E4">
        <w:rPr>
          <w:rFonts w:ascii="Tahoma" w:hAnsi="Tahoma" w:cs="Tahoma"/>
          <w:bCs/>
          <w:sz w:val="24"/>
          <w:szCs w:val="24"/>
        </w:rPr>
        <w:t xml:space="preserve">în contextul actual, </w:t>
      </w:r>
      <w:r w:rsidR="00FC0CA1" w:rsidRPr="006024E4">
        <w:rPr>
          <w:rFonts w:ascii="Tahoma" w:hAnsi="Tahoma" w:cs="Tahoma"/>
          <w:bCs/>
          <w:sz w:val="24"/>
          <w:szCs w:val="24"/>
        </w:rPr>
        <w:t xml:space="preserve">recomandăm </w:t>
      </w:r>
      <w:r w:rsidR="003D161E" w:rsidRPr="006024E4">
        <w:rPr>
          <w:rFonts w:ascii="Tahoma" w:hAnsi="Tahoma" w:cs="Tahoma"/>
          <w:bCs/>
          <w:sz w:val="24"/>
          <w:szCs w:val="24"/>
        </w:rPr>
        <w:t>atenție în ceea ce privește colectarea veniturilor din economia internă la nivelul programat</w:t>
      </w:r>
      <w:r w:rsidR="008902E9">
        <w:rPr>
          <w:rFonts w:ascii="Tahoma" w:hAnsi="Tahoma" w:cs="Tahoma"/>
          <w:bCs/>
          <w:sz w:val="24"/>
          <w:szCs w:val="24"/>
        </w:rPr>
        <w:t>,</w:t>
      </w:r>
      <w:bookmarkStart w:id="0" w:name="_GoBack"/>
      <w:bookmarkEnd w:id="0"/>
      <w:r w:rsidR="003D161E" w:rsidRPr="006024E4">
        <w:rPr>
          <w:rFonts w:ascii="Tahoma" w:hAnsi="Tahoma" w:cs="Tahoma"/>
          <w:bCs/>
          <w:sz w:val="24"/>
          <w:szCs w:val="24"/>
        </w:rPr>
        <w:t xml:space="preserve"> iar în cazul </w:t>
      </w:r>
      <w:r w:rsidR="00244D97" w:rsidRPr="006024E4">
        <w:rPr>
          <w:rFonts w:ascii="Tahoma" w:hAnsi="Tahoma" w:cs="Tahoma"/>
          <w:bCs/>
          <w:sz w:val="24"/>
          <w:szCs w:val="24"/>
        </w:rPr>
        <w:t xml:space="preserve">ordonatorilor principali de credite </w:t>
      </w:r>
      <w:r w:rsidR="008D7713" w:rsidRPr="006024E4">
        <w:rPr>
          <w:rFonts w:ascii="Tahoma" w:hAnsi="Tahoma" w:cs="Tahoma"/>
          <w:bCs/>
          <w:sz w:val="24"/>
          <w:szCs w:val="24"/>
        </w:rPr>
        <w:t xml:space="preserve">prudență în angajarea de noi cheltuieli și o mai mare rigurozitate în programarea cheltuielilor bugetare astfel încât ținta de deficit să fie respectată. </w:t>
      </w:r>
    </w:p>
    <w:p w:rsidR="00244D97" w:rsidRPr="006024E4" w:rsidRDefault="00244D97" w:rsidP="003D66A9">
      <w:pPr>
        <w:spacing w:before="240" w:line="276" w:lineRule="auto"/>
        <w:ind w:right="6"/>
        <w:jc w:val="both"/>
        <w:rPr>
          <w:rFonts w:ascii="Tahoma" w:hAnsi="Tahoma" w:cs="Tahoma"/>
          <w:bCs/>
          <w:sz w:val="24"/>
          <w:szCs w:val="24"/>
        </w:rPr>
      </w:pPr>
    </w:p>
    <w:p w:rsidR="00244D97" w:rsidRPr="006024E4" w:rsidRDefault="00244D97" w:rsidP="003D66A9">
      <w:pPr>
        <w:spacing w:before="240" w:line="276" w:lineRule="auto"/>
        <w:ind w:right="6"/>
        <w:jc w:val="both"/>
        <w:rPr>
          <w:rFonts w:ascii="Tahoma" w:hAnsi="Tahoma" w:cs="Tahoma"/>
          <w:sz w:val="24"/>
          <w:szCs w:val="24"/>
        </w:rPr>
      </w:pPr>
    </w:p>
    <w:sectPr w:rsidR="00244D97" w:rsidRPr="006024E4"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3C" w:rsidRDefault="004A413C" w:rsidP="006704C5">
      <w:pPr>
        <w:spacing w:after="0" w:line="240" w:lineRule="auto"/>
      </w:pPr>
      <w:r>
        <w:separator/>
      </w:r>
    </w:p>
  </w:endnote>
  <w:endnote w:type="continuationSeparator" w:id="0">
    <w:p w:rsidR="004A413C" w:rsidRDefault="004A413C"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A43712">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8D7713">
                <w:rPr>
                  <w:rFonts w:ascii="Tahoma" w:hAnsi="Tahoma" w:cs="Tahoma"/>
                  <w:caps/>
                  <w:color w:val="808080" w:themeColor="background1" w:themeShade="80"/>
                  <w:sz w:val="18"/>
                  <w:szCs w:val="18"/>
                </w:rPr>
                <w:t xml:space="preserve">al </w:t>
              </w:r>
              <w:r w:rsidR="00A43712">
                <w:rPr>
                  <w:rFonts w:ascii="Tahoma" w:hAnsi="Tahoma" w:cs="Tahoma"/>
                  <w:caps/>
                  <w:color w:val="808080" w:themeColor="background1" w:themeShade="80"/>
                  <w:sz w:val="18"/>
                  <w:szCs w:val="18"/>
                </w:rPr>
                <w:t>Tre</w:t>
              </w:r>
              <w:r w:rsidR="008D7713">
                <w:rPr>
                  <w:rFonts w:ascii="Tahoma" w:hAnsi="Tahoma" w:cs="Tahoma"/>
                  <w:caps/>
                  <w:color w:val="808080" w:themeColor="background1" w:themeShade="80"/>
                  <w:sz w:val="18"/>
                  <w:szCs w:val="18"/>
                </w:rPr>
                <w:t>ilea</w:t>
              </w:r>
              <w:r>
                <w:rPr>
                  <w:rFonts w:ascii="Tahoma" w:hAnsi="Tahoma" w:cs="Tahoma"/>
                  <w:caps/>
                  <w:color w:val="808080" w:themeColor="background1" w:themeShade="80"/>
                  <w:sz w:val="18"/>
                  <w:szCs w:val="18"/>
                </w:rPr>
                <w:t xml:space="preserve"> TRIMESTRU AL ANULUI 202</w:t>
              </w:r>
              <w:r w:rsidR="00FF30AA">
                <w:rPr>
                  <w:rFonts w:ascii="Tahoma" w:hAnsi="Tahoma" w:cs="Tahoma"/>
                  <w:caps/>
                  <w:color w:val="808080" w:themeColor="background1" w:themeShade="80"/>
                  <w:sz w:val="18"/>
                  <w:szCs w:val="18"/>
                </w:rPr>
                <w:t>2</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902E9">
            <w:rPr>
              <w:rFonts w:ascii="Tahoma" w:hAnsi="Tahoma" w:cs="Tahoma"/>
              <w:caps/>
              <w:noProof/>
              <w:color w:val="808080" w:themeColor="background1" w:themeShade="80"/>
              <w:sz w:val="18"/>
              <w:szCs w:val="18"/>
            </w:rPr>
            <w:t>11</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3C" w:rsidRDefault="004A413C" w:rsidP="006704C5">
      <w:pPr>
        <w:spacing w:after="0" w:line="240" w:lineRule="auto"/>
      </w:pPr>
      <w:r>
        <w:separator/>
      </w:r>
    </w:p>
  </w:footnote>
  <w:footnote w:type="continuationSeparator" w:id="0">
    <w:p w:rsidR="004A413C" w:rsidRDefault="004A413C" w:rsidP="006704C5">
      <w:pPr>
        <w:spacing w:after="0" w:line="240" w:lineRule="auto"/>
      </w:pPr>
      <w:r>
        <w:continuationSeparator/>
      </w:r>
    </w:p>
  </w:footnote>
  <w:footnote w:id="1">
    <w:p w:rsidR="002D6103" w:rsidRPr="005D3DCD" w:rsidRDefault="002D6103" w:rsidP="00282498">
      <w:pPr>
        <w:pStyle w:val="FootnoteText"/>
        <w:rPr>
          <w:rFonts w:cstheme="minorHAnsi"/>
        </w:rPr>
      </w:pPr>
      <w:r>
        <w:rPr>
          <w:rStyle w:val="FootnoteReference"/>
        </w:rPr>
        <w:footnoteRef/>
      </w:r>
      <w:r>
        <w:t xml:space="preserve"> </w:t>
      </w:r>
      <w:r w:rsidRPr="005D3DCD">
        <w:rPr>
          <w:rFonts w:cstheme="minorHAnsi"/>
        </w:rPr>
        <w:t xml:space="preserve">dețin o pondere de aproximativ </w:t>
      </w:r>
      <w:r>
        <w:rPr>
          <w:rFonts w:cstheme="minorHAnsi"/>
        </w:rPr>
        <w:t>72,9</w:t>
      </w:r>
      <w:r w:rsidRPr="005D3DCD">
        <w:rPr>
          <w:rFonts w:cstheme="minorHAnsi"/>
        </w:rPr>
        <w:t>% în această categorie</w:t>
      </w:r>
    </w:p>
  </w:footnote>
  <w:footnote w:id="2">
    <w:p w:rsidR="002D6103" w:rsidRPr="005D3DCD" w:rsidRDefault="002D6103" w:rsidP="00282498">
      <w:pPr>
        <w:pStyle w:val="FootnoteText"/>
        <w:rPr>
          <w:rFonts w:cstheme="minorHAnsi"/>
        </w:rPr>
      </w:pPr>
      <w:r>
        <w:rPr>
          <w:rStyle w:val="FootnoteReference"/>
        </w:rPr>
        <w:footnoteRef/>
      </w:r>
      <w:r>
        <w:t xml:space="preserve"> </w:t>
      </w:r>
      <w:r>
        <w:rPr>
          <w:rFonts w:cstheme="minorHAnsi"/>
        </w:rPr>
        <w:t>iunie</w:t>
      </w:r>
      <w:r w:rsidRPr="005D3DCD">
        <w:rPr>
          <w:rFonts w:cstheme="minorHAnsi"/>
        </w:rPr>
        <w:t xml:space="preserve"> 202</w:t>
      </w:r>
      <w:r>
        <w:rPr>
          <w:rFonts w:cstheme="minorHAnsi"/>
        </w:rPr>
        <w:t>2</w:t>
      </w:r>
      <w:r w:rsidRPr="005D3DCD">
        <w:rPr>
          <w:rFonts w:cstheme="minorHAnsi"/>
        </w:rPr>
        <w:t xml:space="preserve">- </w:t>
      </w:r>
      <w:r>
        <w:rPr>
          <w:rFonts w:cstheme="minorHAnsi"/>
        </w:rPr>
        <w:t>august</w:t>
      </w:r>
      <w:r w:rsidRPr="005D3DCD">
        <w:rPr>
          <w:rFonts w:cstheme="minorHAnsi"/>
        </w:rPr>
        <w:t xml:space="preserve"> 2022/</w:t>
      </w:r>
      <w:r>
        <w:rPr>
          <w:rFonts w:cstheme="minorHAnsi"/>
        </w:rPr>
        <w:t>iunie 2021</w:t>
      </w:r>
      <w:r w:rsidRPr="005D3DCD">
        <w:rPr>
          <w:rFonts w:cstheme="minorHAnsi"/>
        </w:rPr>
        <w:t>-</w:t>
      </w:r>
      <w:r>
        <w:rPr>
          <w:rFonts w:cstheme="minorHAnsi"/>
        </w:rPr>
        <w:t xml:space="preserve"> august </w:t>
      </w:r>
      <w:r w:rsidRPr="005D3DCD">
        <w:rPr>
          <w:rFonts w:cstheme="minorHAnsi"/>
        </w:rPr>
        <w:t>2021</w:t>
      </w:r>
    </w:p>
  </w:footnote>
  <w:footnote w:id="3">
    <w:p w:rsidR="002D6103" w:rsidRPr="007B7CE3" w:rsidRDefault="002D6103" w:rsidP="00282498">
      <w:pPr>
        <w:autoSpaceDE w:val="0"/>
        <w:autoSpaceDN w:val="0"/>
        <w:adjustRightInd w:val="0"/>
        <w:spacing w:after="0"/>
        <w:rPr>
          <w:rFonts w:eastAsia="Calibri" w:cstheme="minorHAnsi"/>
          <w:sz w:val="20"/>
          <w:szCs w:val="20"/>
        </w:rPr>
      </w:pPr>
      <w:r w:rsidRPr="00D91519">
        <w:rPr>
          <w:rStyle w:val="FootnoteReference"/>
          <w:rFonts w:ascii="Arial" w:hAnsi="Arial" w:cs="Arial"/>
          <w:sz w:val="20"/>
          <w:szCs w:val="20"/>
        </w:rPr>
        <w:footnoteRef/>
      </w:r>
      <w:r w:rsidRPr="00D91519">
        <w:rPr>
          <w:rFonts w:ascii="Arial" w:hAnsi="Arial" w:cs="Arial"/>
          <w:sz w:val="20"/>
          <w:szCs w:val="20"/>
        </w:rPr>
        <w:t xml:space="preserve"> </w:t>
      </w:r>
      <w:r w:rsidRPr="007B7CE3">
        <w:rPr>
          <w:rFonts w:eastAsia="Calibri" w:cstheme="minorHAnsi"/>
          <w:sz w:val="20"/>
          <w:szCs w:val="20"/>
        </w:rPr>
        <w:t xml:space="preserve">Legea nr. 135/2022 pentru modificarea </w:t>
      </w:r>
      <w:proofErr w:type="spellStart"/>
      <w:r w:rsidRPr="007B7CE3">
        <w:rPr>
          <w:rFonts w:eastAsia="Calibri" w:cstheme="minorHAnsi"/>
          <w:sz w:val="20"/>
          <w:szCs w:val="20"/>
        </w:rPr>
        <w:t>şi</w:t>
      </w:r>
      <w:proofErr w:type="spellEnd"/>
      <w:r w:rsidRPr="007B7CE3">
        <w:rPr>
          <w:rFonts w:eastAsia="Calibri" w:cstheme="minorHAnsi"/>
          <w:sz w:val="20"/>
          <w:szCs w:val="20"/>
        </w:rPr>
        <w:t xml:space="preserve"> completarea unor acte normative</w:t>
      </w:r>
    </w:p>
  </w:footnote>
  <w:footnote w:id="4">
    <w:p w:rsidR="002D6103" w:rsidRPr="007409C5" w:rsidRDefault="002D6103" w:rsidP="00282498">
      <w:pPr>
        <w:pStyle w:val="FootnoteText"/>
        <w:jc w:val="both"/>
        <w:rPr>
          <w:rFonts w:cstheme="minorHAnsi"/>
        </w:rPr>
      </w:pPr>
      <w:r>
        <w:rPr>
          <w:rStyle w:val="FootnoteReference"/>
        </w:rPr>
        <w:footnoteRef/>
      </w:r>
      <w:r>
        <w:t xml:space="preserve"> </w:t>
      </w:r>
      <w:r w:rsidRPr="00B479E8">
        <w:rPr>
          <w:rFonts w:cstheme="minorHAnsi"/>
        </w:rPr>
        <w:t xml:space="preserve">majorarea valorii punctului de pensie </w:t>
      </w:r>
      <w:r w:rsidRPr="007409C5">
        <w:rPr>
          <w:rFonts w:cstheme="minorHAnsi"/>
        </w:rPr>
        <w:t>de la 1.442 lei la 1.586 lei</w:t>
      </w:r>
      <w:r>
        <w:rPr>
          <w:rFonts w:cstheme="minorHAnsi"/>
        </w:rPr>
        <w:t xml:space="preserve">, începând cu </w:t>
      </w:r>
      <w:r w:rsidRPr="005B4024">
        <w:rPr>
          <w:rFonts w:cstheme="minorHAnsi"/>
        </w:rPr>
        <w:t>data de 1 ianuarie 2022</w:t>
      </w:r>
      <w:r>
        <w:rPr>
          <w:rFonts w:cstheme="minorHAnsi"/>
        </w:rPr>
        <w:t>,</w:t>
      </w:r>
      <w:r w:rsidRPr="005B4024">
        <w:rPr>
          <w:rFonts w:cstheme="minorHAnsi"/>
        </w:rPr>
        <w:t xml:space="preserve"> </w:t>
      </w:r>
      <w:r>
        <w:rPr>
          <w:rFonts w:cstheme="minorHAnsi"/>
        </w:rPr>
        <w:t>conform Ordonanței de urgență a Guvernului nr. 125/2021</w:t>
      </w:r>
      <w:r w:rsidRPr="00C27436">
        <w:rPr>
          <w:rFonts w:cstheme="minorHAnsi"/>
        </w:rPr>
        <w:t xml:space="preserve"> pentru modificarea și completarea </w:t>
      </w:r>
      <w:hyperlink r:id="rId1" w:history="1">
        <w:r>
          <w:rPr>
            <w:rFonts w:cstheme="minorHAnsi"/>
          </w:rPr>
          <w:t>Legii n</w:t>
        </w:r>
        <w:r w:rsidRPr="00C27436">
          <w:rPr>
            <w:rFonts w:cstheme="minorHAnsi"/>
          </w:rPr>
          <w:t>r. 127/2019</w:t>
        </w:r>
      </w:hyperlink>
      <w:r w:rsidRPr="00C27436">
        <w:rPr>
          <w:rFonts w:cstheme="minorHAnsi"/>
        </w:rPr>
        <w:t> privind sistemul public de pensii, precum și pentru modificarea și completarea Ordonanței de urgență a Guvernului nr. 6/2009 privind instituirea pensiei sociale minime garantate</w:t>
      </w:r>
    </w:p>
  </w:footnote>
  <w:footnote w:id="5">
    <w:p w:rsidR="00F172E4" w:rsidRPr="00450BE7" w:rsidRDefault="00F172E4" w:rsidP="00282498">
      <w:pPr>
        <w:spacing w:after="0"/>
      </w:pPr>
      <w:r>
        <w:rPr>
          <w:rStyle w:val="FootnoteReference"/>
        </w:rPr>
        <w:footnoteRef/>
      </w:r>
      <w:r>
        <w:t xml:space="preserve"> </w:t>
      </w:r>
      <w:r w:rsidRPr="00450BE7">
        <w:rPr>
          <w:rFonts w:eastAsia="Calibri" w:cstheme="minorHAnsi"/>
          <w:sz w:val="20"/>
          <w:szCs w:val="20"/>
        </w:rPr>
        <w:t xml:space="preserve">Ordin nr. 190/1157/1460/2021 pentru stabilirea criteriilor </w:t>
      </w:r>
      <w:proofErr w:type="spellStart"/>
      <w:r w:rsidRPr="00450BE7">
        <w:rPr>
          <w:rFonts w:eastAsia="Calibri" w:cstheme="minorHAnsi"/>
          <w:sz w:val="20"/>
          <w:szCs w:val="20"/>
        </w:rPr>
        <w:t>şi</w:t>
      </w:r>
      <w:proofErr w:type="spellEnd"/>
      <w:r w:rsidRPr="00450BE7">
        <w:rPr>
          <w:rFonts w:eastAsia="Calibri" w:cstheme="minorHAnsi"/>
          <w:sz w:val="20"/>
          <w:szCs w:val="20"/>
        </w:rPr>
        <w:t xml:space="preserve"> </w:t>
      </w:r>
      <w:proofErr w:type="spellStart"/>
      <w:r w:rsidRPr="00450BE7">
        <w:rPr>
          <w:rFonts w:eastAsia="Calibri" w:cstheme="minorHAnsi"/>
          <w:sz w:val="20"/>
          <w:szCs w:val="20"/>
        </w:rPr>
        <w:t>modalităţilor</w:t>
      </w:r>
      <w:proofErr w:type="spellEnd"/>
      <w:r w:rsidRPr="00450BE7">
        <w:rPr>
          <w:rFonts w:eastAsia="Calibri" w:cstheme="minorHAnsi"/>
          <w:sz w:val="20"/>
          <w:szCs w:val="20"/>
        </w:rPr>
        <w:t xml:space="preserve"> potrivit cărora membrii cooperatori </w:t>
      </w:r>
      <w:proofErr w:type="spellStart"/>
      <w:r w:rsidRPr="00450BE7">
        <w:rPr>
          <w:rFonts w:eastAsia="Calibri" w:cstheme="minorHAnsi"/>
          <w:sz w:val="20"/>
          <w:szCs w:val="20"/>
        </w:rPr>
        <w:t>şi</w:t>
      </w:r>
      <w:proofErr w:type="spellEnd"/>
      <w:r w:rsidRPr="00450BE7">
        <w:rPr>
          <w:rFonts w:eastAsia="Calibri" w:cstheme="minorHAnsi"/>
          <w:sz w:val="20"/>
          <w:szCs w:val="20"/>
        </w:rPr>
        <w:t xml:space="preserve"> cooperativele agricole beneficiază de scutiri </w:t>
      </w:r>
      <w:proofErr w:type="spellStart"/>
      <w:r w:rsidRPr="00450BE7">
        <w:rPr>
          <w:rFonts w:eastAsia="Calibri" w:cstheme="minorHAnsi"/>
          <w:sz w:val="20"/>
          <w:szCs w:val="20"/>
        </w:rPr>
        <w:t>prevazute</w:t>
      </w:r>
      <w:proofErr w:type="spellEnd"/>
      <w:r w:rsidRPr="00450BE7">
        <w:rPr>
          <w:rFonts w:eastAsia="Calibri" w:cstheme="minorHAnsi"/>
          <w:sz w:val="20"/>
          <w:szCs w:val="20"/>
        </w:rPr>
        <w:t xml:space="preserve"> la art.76 alin(1) lit. b), e) </w:t>
      </w:r>
      <w:proofErr w:type="spellStart"/>
      <w:r w:rsidRPr="00450BE7">
        <w:rPr>
          <w:rFonts w:eastAsia="Calibri" w:cstheme="minorHAnsi"/>
          <w:sz w:val="20"/>
          <w:szCs w:val="20"/>
        </w:rPr>
        <w:t>şi</w:t>
      </w:r>
      <w:proofErr w:type="spellEnd"/>
      <w:r w:rsidRPr="00450BE7">
        <w:rPr>
          <w:rFonts w:eastAsia="Calibri" w:cstheme="minorHAnsi"/>
          <w:sz w:val="20"/>
          <w:szCs w:val="20"/>
        </w:rPr>
        <w:t xml:space="preserve"> e^1) din Legea </w:t>
      </w:r>
      <w:proofErr w:type="spellStart"/>
      <w:r w:rsidRPr="00450BE7">
        <w:rPr>
          <w:rFonts w:eastAsia="Calibri" w:cstheme="minorHAnsi"/>
          <w:sz w:val="20"/>
          <w:szCs w:val="20"/>
        </w:rPr>
        <w:t>cooperaţiei</w:t>
      </w:r>
      <w:proofErr w:type="spellEnd"/>
      <w:r w:rsidRPr="00450BE7">
        <w:rPr>
          <w:rFonts w:eastAsia="Calibri" w:cstheme="minorHAnsi"/>
          <w:sz w:val="20"/>
          <w:szCs w:val="20"/>
        </w:rPr>
        <w:t xml:space="preserve"> agricole nr. 566/2004</w:t>
      </w:r>
    </w:p>
  </w:footnote>
  <w:footnote w:id="6">
    <w:p w:rsidR="002D538D" w:rsidRPr="005D3DCD" w:rsidRDefault="002D538D" w:rsidP="002D538D">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sidRPr="005D3DCD">
        <w:rPr>
          <w:rFonts w:cstheme="minorHAnsi"/>
        </w:rPr>
        <w:t>exclusiv restituiri și majorări de întârziere</w:t>
      </w:r>
    </w:p>
  </w:footnote>
  <w:footnote w:id="7">
    <w:p w:rsidR="002D538D" w:rsidRPr="005D3DCD" w:rsidRDefault="002D538D" w:rsidP="002D538D">
      <w:pPr>
        <w:pStyle w:val="FootnoteText"/>
        <w:jc w:val="both"/>
        <w:rPr>
          <w:rFonts w:cstheme="minorHAnsi"/>
        </w:rPr>
      </w:pPr>
      <w:r w:rsidRPr="009B13E2">
        <w:rPr>
          <w:rStyle w:val="FootnoteReference"/>
          <w:rFonts w:cstheme="minorHAnsi"/>
        </w:rPr>
        <w:footnoteRef/>
      </w:r>
      <w:r w:rsidRPr="009B13E2">
        <w:rPr>
          <w:rFonts w:cstheme="minorHAnsi"/>
        </w:rPr>
        <w:t xml:space="preserve"> </w:t>
      </w:r>
      <w:r w:rsidRPr="005D3DCD">
        <w:rPr>
          <w:rFonts w:cstheme="minorHAnsi"/>
        </w:rPr>
        <w:t xml:space="preserve">TVA din operațiuni interne au crescut cu </w:t>
      </w:r>
      <w:r>
        <w:rPr>
          <w:rFonts w:cstheme="minorHAnsi"/>
        </w:rPr>
        <w:t>15</w:t>
      </w:r>
      <w:r w:rsidRPr="005D3DCD">
        <w:rPr>
          <w:rFonts w:cstheme="minorHAnsi"/>
        </w:rPr>
        <w:t xml:space="preserve">%, iar TVA din importurile de bunuri au crescut cu </w:t>
      </w:r>
      <w:r>
        <w:rPr>
          <w:rFonts w:cstheme="minorHAnsi"/>
        </w:rPr>
        <w:t>20</w:t>
      </w:r>
      <w:r w:rsidRPr="005D3DCD">
        <w:rPr>
          <w:rFonts w:cstheme="minorHAnsi"/>
        </w:rPr>
        <w:t>,</w:t>
      </w:r>
      <w:r>
        <w:rPr>
          <w:rFonts w:cstheme="minorHAnsi"/>
        </w:rPr>
        <w:t>9</w:t>
      </w:r>
      <w:r w:rsidRPr="005D3DCD">
        <w:rPr>
          <w:rFonts w:cstheme="minorHAnsi"/>
        </w:rPr>
        <w:t>%</w:t>
      </w:r>
    </w:p>
  </w:footnote>
  <w:footnote w:id="8">
    <w:p w:rsidR="002D538D" w:rsidRPr="005D3DCD" w:rsidRDefault="002D538D" w:rsidP="002D538D">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Pr>
          <w:rFonts w:cstheme="minorHAnsi"/>
        </w:rPr>
        <w:t>c</w:t>
      </w:r>
      <w:r w:rsidRPr="005D3DCD">
        <w:rPr>
          <w:rFonts w:cstheme="minorHAnsi"/>
        </w:rPr>
        <w:t xml:space="preserve">omunicat de presă INS nr. </w:t>
      </w:r>
      <w:r>
        <w:rPr>
          <w:rFonts w:cstheme="minorHAnsi"/>
        </w:rPr>
        <w:t>249</w:t>
      </w:r>
      <w:r w:rsidRPr="005D3DCD">
        <w:rPr>
          <w:rFonts w:cstheme="minorHAnsi"/>
        </w:rPr>
        <w:t>/0</w:t>
      </w:r>
      <w:r>
        <w:rPr>
          <w:rFonts w:cstheme="minorHAnsi"/>
        </w:rPr>
        <w:t>6</w:t>
      </w:r>
      <w:r w:rsidRPr="005D3DCD">
        <w:rPr>
          <w:rFonts w:cstheme="minorHAnsi"/>
        </w:rPr>
        <w:t xml:space="preserve"> </w:t>
      </w:r>
      <w:r>
        <w:rPr>
          <w:rFonts w:cstheme="minorHAnsi"/>
        </w:rPr>
        <w:t>octombrie</w:t>
      </w:r>
      <w:r w:rsidRPr="005D3DCD">
        <w:rPr>
          <w:rFonts w:cstheme="minorHAnsi"/>
        </w:rPr>
        <w:t xml:space="preserve"> 2022 -  Comerț și servicii</w:t>
      </w:r>
    </w:p>
  </w:footnote>
  <w:footnote w:id="9">
    <w:p w:rsidR="002D538D" w:rsidRPr="005D3DCD" w:rsidRDefault="002D538D" w:rsidP="002D538D">
      <w:pPr>
        <w:pStyle w:val="FootnoteText"/>
        <w:jc w:val="both"/>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250</w:t>
      </w:r>
      <w:r w:rsidRPr="005D3DCD">
        <w:rPr>
          <w:rFonts w:cstheme="minorHAnsi"/>
        </w:rPr>
        <w:t>/</w:t>
      </w:r>
      <w:r>
        <w:rPr>
          <w:rFonts w:cstheme="minorHAnsi"/>
        </w:rPr>
        <w:t>10 octombrie</w:t>
      </w:r>
      <w:r w:rsidRPr="005D3DCD">
        <w:rPr>
          <w:rFonts w:cstheme="minorHAnsi"/>
        </w:rPr>
        <w:t xml:space="preserve"> 2022 - Comerț internațional cu bunuri (calcule interne)</w:t>
      </w:r>
    </w:p>
  </w:footnote>
  <w:footnote w:id="10">
    <w:p w:rsidR="002D538D" w:rsidRPr="0068591E" w:rsidRDefault="002D538D" w:rsidP="002D538D">
      <w:pPr>
        <w:pStyle w:val="FootnoteText"/>
        <w:rPr>
          <w:rFonts w:cstheme="minorHAnsi"/>
        </w:rPr>
      </w:pPr>
      <w:r>
        <w:rPr>
          <w:rStyle w:val="FootnoteReference"/>
        </w:rPr>
        <w:footnoteRef/>
      </w:r>
      <w:r>
        <w:t xml:space="preserve"> </w:t>
      </w:r>
      <w:r w:rsidRPr="0068591E">
        <w:rPr>
          <w:rFonts w:cstheme="minorHAnsi"/>
        </w:rPr>
        <w:t xml:space="preserve">Ordonanța Guvernului nr.16/2022 pentru completarea Legii nr.227/2015 privind Codul </w:t>
      </w:r>
      <w:proofErr w:type="spellStart"/>
      <w:r w:rsidRPr="0068591E">
        <w:rPr>
          <w:rFonts w:cstheme="minorHAnsi"/>
        </w:rPr>
        <w:t>fiscal,abrogarea</w:t>
      </w:r>
      <w:proofErr w:type="spellEnd"/>
      <w:r w:rsidRPr="0068591E">
        <w:rPr>
          <w:rFonts w:cstheme="minorHAnsi"/>
        </w:rPr>
        <w:t xml:space="preserve"> unor acte normative și alte măsuri fiscale</w:t>
      </w:r>
    </w:p>
  </w:footnote>
  <w:footnote w:id="11">
    <w:p w:rsidR="00957BCC" w:rsidRPr="00967EAC" w:rsidRDefault="00957BCC" w:rsidP="00282498">
      <w:pPr>
        <w:autoSpaceDE w:val="0"/>
        <w:autoSpaceDN w:val="0"/>
        <w:adjustRightInd w:val="0"/>
        <w:spacing w:after="0"/>
        <w:jc w:val="both"/>
        <w:rPr>
          <w:rFonts w:eastAsia="Calibri" w:cstheme="minorHAnsi"/>
          <w:sz w:val="20"/>
          <w:szCs w:val="20"/>
        </w:rPr>
      </w:pPr>
      <w:r w:rsidRPr="00C70636">
        <w:rPr>
          <w:rStyle w:val="FootnoteReference"/>
          <w:sz w:val="16"/>
          <w:szCs w:val="16"/>
        </w:rPr>
        <w:footnoteRef/>
      </w:r>
      <w:r>
        <w:rPr>
          <w:sz w:val="16"/>
          <w:szCs w:val="16"/>
        </w:rPr>
        <w:t xml:space="preserve"> </w:t>
      </w:r>
      <w:r w:rsidRPr="00967EAC">
        <w:rPr>
          <w:rFonts w:eastAsia="Calibri" w:cstheme="minorHAnsi"/>
          <w:sz w:val="20"/>
          <w:szCs w:val="20"/>
        </w:rPr>
        <w:t xml:space="preserve">OG  </w:t>
      </w:r>
      <w:r>
        <w:rPr>
          <w:rFonts w:eastAsia="Calibri" w:cstheme="minorHAnsi"/>
          <w:sz w:val="20"/>
          <w:szCs w:val="20"/>
        </w:rPr>
        <w:t>n</w:t>
      </w:r>
      <w:r w:rsidRPr="00967EAC">
        <w:rPr>
          <w:rFonts w:eastAsia="Calibri" w:cstheme="minorHAnsi"/>
          <w:sz w:val="20"/>
          <w:szCs w:val="20"/>
        </w:rPr>
        <w:t xml:space="preserve">r. 15/2022 din 15 iulie 2022 pentru modificarea </w:t>
      </w:r>
      <w:proofErr w:type="spellStart"/>
      <w:r w:rsidRPr="00967EAC">
        <w:rPr>
          <w:rFonts w:eastAsia="Calibri" w:cstheme="minorHAnsi"/>
          <w:sz w:val="20"/>
          <w:szCs w:val="20"/>
        </w:rPr>
        <w:t>şi</w:t>
      </w:r>
      <w:proofErr w:type="spellEnd"/>
      <w:r w:rsidRPr="00967EAC">
        <w:rPr>
          <w:rFonts w:eastAsia="Calibri" w:cstheme="minorHAnsi"/>
          <w:sz w:val="20"/>
          <w:szCs w:val="20"/>
        </w:rPr>
        <w:t xml:space="preserve"> completarea OUG nr. 77/2009 privind Organizarea </w:t>
      </w:r>
      <w:proofErr w:type="spellStart"/>
      <w:r w:rsidRPr="00967EAC">
        <w:rPr>
          <w:rFonts w:eastAsia="Calibri" w:cstheme="minorHAnsi"/>
          <w:sz w:val="20"/>
          <w:szCs w:val="20"/>
        </w:rPr>
        <w:t>şi</w:t>
      </w:r>
      <w:proofErr w:type="spellEnd"/>
      <w:r w:rsidRPr="00967EAC">
        <w:rPr>
          <w:rFonts w:eastAsia="Calibri" w:cstheme="minorHAnsi"/>
          <w:sz w:val="20"/>
          <w:szCs w:val="20"/>
        </w:rPr>
        <w:t xml:space="preserve"> exploatarea jocurilor de noroc</w:t>
      </w:r>
    </w:p>
  </w:footnote>
  <w:footnote w:id="12">
    <w:p w:rsidR="006E597B" w:rsidRPr="005D3DCD" w:rsidRDefault="006E597B" w:rsidP="00282498">
      <w:pPr>
        <w:pStyle w:val="FootnoteText"/>
        <w:jc w:val="both"/>
        <w:rPr>
          <w:rFonts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cstheme="minorHAnsi"/>
        </w:rPr>
        <w:t>c</w:t>
      </w:r>
      <w:r w:rsidRPr="005D3DCD">
        <w:rPr>
          <w:rFonts w:cstheme="minorHAnsi"/>
        </w:rPr>
        <w:t xml:space="preserve">omunicat de presă INS nr. </w:t>
      </w:r>
      <w:r>
        <w:rPr>
          <w:rFonts w:cstheme="minorHAnsi"/>
        </w:rPr>
        <w:t>250</w:t>
      </w:r>
      <w:r w:rsidRPr="005D3DCD">
        <w:rPr>
          <w:rFonts w:cstheme="minorHAnsi"/>
        </w:rPr>
        <w:t>/</w:t>
      </w:r>
      <w:r>
        <w:rPr>
          <w:rFonts w:cstheme="minorHAnsi"/>
        </w:rPr>
        <w:t>10 octombrie</w:t>
      </w:r>
      <w:r w:rsidRPr="005D3DCD">
        <w:rPr>
          <w:rFonts w:cstheme="minorHAnsi"/>
        </w:rPr>
        <w:t xml:space="preserve"> 2022 - Comerț internațional cu bunuri (calcule interne)</w:t>
      </w:r>
    </w:p>
  </w:footnote>
  <w:footnote w:id="13">
    <w:p w:rsidR="00E141C2" w:rsidRPr="00186ED5" w:rsidRDefault="00E141C2" w:rsidP="00E141C2">
      <w:pPr>
        <w:pStyle w:val="FootnoteText"/>
        <w:rPr>
          <w:rFonts w:cstheme="minorHAnsi"/>
        </w:rPr>
      </w:pPr>
      <w:r>
        <w:rPr>
          <w:rStyle w:val="FootnoteReference"/>
        </w:rPr>
        <w:footnoteRef/>
      </w:r>
      <w:r>
        <w:t xml:space="preserve"> </w:t>
      </w:r>
      <w:r>
        <w:rPr>
          <w:rFonts w:cstheme="minorHAnsi"/>
        </w:rPr>
        <w:t>a</w:t>
      </w:r>
      <w:r w:rsidRPr="00186ED5">
        <w:rPr>
          <w:rFonts w:cstheme="minorHAnsi"/>
        </w:rPr>
        <w:t>ugust 2022/august 2021</w:t>
      </w:r>
    </w:p>
  </w:footnote>
  <w:footnote w:id="14">
    <w:p w:rsidR="00E141C2" w:rsidRPr="00A3662F" w:rsidRDefault="00E141C2" w:rsidP="00E141C2">
      <w:pPr>
        <w:pStyle w:val="FootnoteText"/>
        <w:jc w:val="both"/>
      </w:pPr>
      <w:r>
        <w:rPr>
          <w:rStyle w:val="FootnoteReference"/>
        </w:rPr>
        <w:footnoteRef/>
      </w:r>
      <w:r>
        <w:t xml:space="preserve"> </w:t>
      </w:r>
      <w:r w:rsidRPr="0068591E">
        <w:rPr>
          <w:rFonts w:cstheme="minorHAnsi"/>
        </w:rPr>
        <w:t>Ordonanța Guvernului nr.16/2022 pentru completarea Legii nr.227/2015 privind Codul fiscal,</w:t>
      </w:r>
      <w:r w:rsidR="006024E4">
        <w:rPr>
          <w:rFonts w:cstheme="minorHAnsi"/>
        </w:rPr>
        <w:t xml:space="preserve"> </w:t>
      </w:r>
      <w:r w:rsidRPr="0068591E">
        <w:rPr>
          <w:rFonts w:cstheme="minorHAnsi"/>
        </w:rPr>
        <w:t>abrogarea unor acte normative și alte măsuri fiscale</w:t>
      </w:r>
      <w:r>
        <w:rPr>
          <w:rFonts w:cstheme="minorHAnsi"/>
        </w:rPr>
        <w:t>)</w:t>
      </w:r>
    </w:p>
  </w:footnote>
  <w:footnote w:id="15">
    <w:p w:rsidR="006178E0" w:rsidRPr="00C342AE" w:rsidRDefault="006178E0" w:rsidP="006178E0">
      <w:pPr>
        <w:pStyle w:val="FootnoteText"/>
      </w:pPr>
      <w:r>
        <w:rPr>
          <w:rStyle w:val="FootnoteReference"/>
        </w:rPr>
        <w:footnoteRef/>
      </w:r>
      <w:r>
        <w:t xml:space="preserve"> </w:t>
      </w:r>
      <w:r w:rsidRPr="00C342AE">
        <w:t xml:space="preserve">pentru completarea art. I din </w:t>
      </w:r>
      <w:r w:rsidR="00C342AE" w:rsidRPr="00C342AE">
        <w:t>Ordonanța</w:t>
      </w:r>
      <w:r w:rsidRPr="00C342AE">
        <w:t xml:space="preserve"> de </w:t>
      </w:r>
      <w:r w:rsidR="00C342AE" w:rsidRPr="00C342AE">
        <w:t>urgență</w:t>
      </w:r>
      <w:r w:rsidRPr="00C342AE">
        <w:t xml:space="preserve"> a Guvernului nr. 130/2021 privind unele măsuri fiscal-bugetare, prorogarea unor termene, precum </w:t>
      </w:r>
      <w:proofErr w:type="spellStart"/>
      <w:r w:rsidRPr="00C342AE">
        <w:t>şi</w:t>
      </w:r>
      <w:proofErr w:type="spellEnd"/>
      <w:r w:rsidRPr="00C342AE">
        <w:t xml:space="preserve"> pentru modificarea </w:t>
      </w:r>
      <w:proofErr w:type="spellStart"/>
      <w:r w:rsidRPr="00C342AE">
        <w:t>şi</w:t>
      </w:r>
      <w:proofErr w:type="spellEnd"/>
      <w:r w:rsidRPr="00C342AE">
        <w:t xml:space="preserve"> completarea unor acte normative</w:t>
      </w:r>
    </w:p>
    <w:p w:rsidR="006178E0" w:rsidRDefault="006178E0">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4"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6"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9"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7"/>
  </w:num>
  <w:num w:numId="5">
    <w:abstractNumId w:val="12"/>
  </w:num>
  <w:num w:numId="6">
    <w:abstractNumId w:val="3"/>
  </w:num>
  <w:num w:numId="7">
    <w:abstractNumId w:val="11"/>
  </w:num>
  <w:num w:numId="8">
    <w:abstractNumId w:val="14"/>
  </w:num>
  <w:num w:numId="9">
    <w:abstractNumId w:val="15"/>
  </w:num>
  <w:num w:numId="10">
    <w:abstractNumId w:val="8"/>
  </w:num>
  <w:num w:numId="11">
    <w:abstractNumId w:val="5"/>
  </w:num>
  <w:num w:numId="12">
    <w:abstractNumId w:val="6"/>
  </w:num>
  <w:num w:numId="13">
    <w:abstractNumId w:val="1"/>
  </w:num>
  <w:num w:numId="14">
    <w:abstractNumId w:val="2"/>
  </w:num>
  <w:num w:numId="15">
    <w:abstractNumId w:val="1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103D3"/>
    <w:rsid w:val="00011138"/>
    <w:rsid w:val="00012C3B"/>
    <w:rsid w:val="000135F1"/>
    <w:rsid w:val="000141BF"/>
    <w:rsid w:val="00016F63"/>
    <w:rsid w:val="00017361"/>
    <w:rsid w:val="000173BF"/>
    <w:rsid w:val="00020D5F"/>
    <w:rsid w:val="00021A38"/>
    <w:rsid w:val="00024773"/>
    <w:rsid w:val="000248D3"/>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8264F"/>
    <w:rsid w:val="000842A5"/>
    <w:rsid w:val="0008642C"/>
    <w:rsid w:val="00086871"/>
    <w:rsid w:val="00090FD5"/>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30DF"/>
    <w:rsid w:val="000C523D"/>
    <w:rsid w:val="000C5478"/>
    <w:rsid w:val="000C7AF8"/>
    <w:rsid w:val="000D0F65"/>
    <w:rsid w:val="000D1820"/>
    <w:rsid w:val="000D293A"/>
    <w:rsid w:val="000D2B64"/>
    <w:rsid w:val="000D317D"/>
    <w:rsid w:val="000D5417"/>
    <w:rsid w:val="000D5A57"/>
    <w:rsid w:val="000D653B"/>
    <w:rsid w:val="000D6F9B"/>
    <w:rsid w:val="000D7561"/>
    <w:rsid w:val="000E43DF"/>
    <w:rsid w:val="000F0A63"/>
    <w:rsid w:val="000F10A9"/>
    <w:rsid w:val="000F1E3F"/>
    <w:rsid w:val="000F48B4"/>
    <w:rsid w:val="000F62DB"/>
    <w:rsid w:val="001005D0"/>
    <w:rsid w:val="00102D79"/>
    <w:rsid w:val="00107875"/>
    <w:rsid w:val="00111330"/>
    <w:rsid w:val="001176FC"/>
    <w:rsid w:val="00121595"/>
    <w:rsid w:val="00122DF5"/>
    <w:rsid w:val="001236DE"/>
    <w:rsid w:val="00125818"/>
    <w:rsid w:val="00141717"/>
    <w:rsid w:val="00142FC5"/>
    <w:rsid w:val="00145872"/>
    <w:rsid w:val="001506F4"/>
    <w:rsid w:val="00153418"/>
    <w:rsid w:val="001535C1"/>
    <w:rsid w:val="001546A2"/>
    <w:rsid w:val="00155AFB"/>
    <w:rsid w:val="00156388"/>
    <w:rsid w:val="00163874"/>
    <w:rsid w:val="001648BC"/>
    <w:rsid w:val="00170657"/>
    <w:rsid w:val="001707DC"/>
    <w:rsid w:val="00175AD6"/>
    <w:rsid w:val="0017667A"/>
    <w:rsid w:val="00177F2F"/>
    <w:rsid w:val="0018055E"/>
    <w:rsid w:val="00180AC2"/>
    <w:rsid w:val="00181707"/>
    <w:rsid w:val="00182B0D"/>
    <w:rsid w:val="00187781"/>
    <w:rsid w:val="001915F6"/>
    <w:rsid w:val="00191CC0"/>
    <w:rsid w:val="001928FE"/>
    <w:rsid w:val="00192B95"/>
    <w:rsid w:val="00197545"/>
    <w:rsid w:val="001A2254"/>
    <w:rsid w:val="001A66AF"/>
    <w:rsid w:val="001B1117"/>
    <w:rsid w:val="001B13BC"/>
    <w:rsid w:val="001B1E6F"/>
    <w:rsid w:val="001B20A6"/>
    <w:rsid w:val="001B435B"/>
    <w:rsid w:val="001B60DA"/>
    <w:rsid w:val="001B70D2"/>
    <w:rsid w:val="001B7D89"/>
    <w:rsid w:val="001C52B3"/>
    <w:rsid w:val="001C6E10"/>
    <w:rsid w:val="001D03AF"/>
    <w:rsid w:val="001D06A7"/>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1CAA"/>
    <w:rsid w:val="00244ACB"/>
    <w:rsid w:val="00244D97"/>
    <w:rsid w:val="0025301D"/>
    <w:rsid w:val="00253FAE"/>
    <w:rsid w:val="002554DF"/>
    <w:rsid w:val="00256949"/>
    <w:rsid w:val="00264789"/>
    <w:rsid w:val="0026505E"/>
    <w:rsid w:val="00267006"/>
    <w:rsid w:val="00267D26"/>
    <w:rsid w:val="00272B9B"/>
    <w:rsid w:val="00273697"/>
    <w:rsid w:val="00274B69"/>
    <w:rsid w:val="00274F7D"/>
    <w:rsid w:val="00275B37"/>
    <w:rsid w:val="00282498"/>
    <w:rsid w:val="00290A07"/>
    <w:rsid w:val="002914A1"/>
    <w:rsid w:val="002915B1"/>
    <w:rsid w:val="0029776C"/>
    <w:rsid w:val="002A0152"/>
    <w:rsid w:val="002A60DB"/>
    <w:rsid w:val="002A7F1B"/>
    <w:rsid w:val="002B01DC"/>
    <w:rsid w:val="002B0F64"/>
    <w:rsid w:val="002B3CC9"/>
    <w:rsid w:val="002B64BB"/>
    <w:rsid w:val="002C1755"/>
    <w:rsid w:val="002C17E1"/>
    <w:rsid w:val="002C3B7D"/>
    <w:rsid w:val="002C50FD"/>
    <w:rsid w:val="002C7C10"/>
    <w:rsid w:val="002D0E08"/>
    <w:rsid w:val="002D304B"/>
    <w:rsid w:val="002D4811"/>
    <w:rsid w:val="002D538D"/>
    <w:rsid w:val="002D6103"/>
    <w:rsid w:val="002E36A6"/>
    <w:rsid w:val="002E4DC6"/>
    <w:rsid w:val="002E5330"/>
    <w:rsid w:val="002E593E"/>
    <w:rsid w:val="002E613A"/>
    <w:rsid w:val="002E7628"/>
    <w:rsid w:val="002F2CFC"/>
    <w:rsid w:val="002F44EA"/>
    <w:rsid w:val="002F4790"/>
    <w:rsid w:val="00300A11"/>
    <w:rsid w:val="00302BA3"/>
    <w:rsid w:val="00311431"/>
    <w:rsid w:val="00313230"/>
    <w:rsid w:val="00315666"/>
    <w:rsid w:val="00322A56"/>
    <w:rsid w:val="003308B1"/>
    <w:rsid w:val="0033447D"/>
    <w:rsid w:val="00334D05"/>
    <w:rsid w:val="00335354"/>
    <w:rsid w:val="0033573F"/>
    <w:rsid w:val="00344677"/>
    <w:rsid w:val="0034724E"/>
    <w:rsid w:val="003477B4"/>
    <w:rsid w:val="00353276"/>
    <w:rsid w:val="00355157"/>
    <w:rsid w:val="003565E1"/>
    <w:rsid w:val="00356F6A"/>
    <w:rsid w:val="00360906"/>
    <w:rsid w:val="00362EA3"/>
    <w:rsid w:val="00363C11"/>
    <w:rsid w:val="003700C3"/>
    <w:rsid w:val="0037130B"/>
    <w:rsid w:val="00373FDE"/>
    <w:rsid w:val="00374899"/>
    <w:rsid w:val="00376542"/>
    <w:rsid w:val="003773F4"/>
    <w:rsid w:val="003774BA"/>
    <w:rsid w:val="00381013"/>
    <w:rsid w:val="003836BC"/>
    <w:rsid w:val="00391CC2"/>
    <w:rsid w:val="00392457"/>
    <w:rsid w:val="00392E3D"/>
    <w:rsid w:val="0039710E"/>
    <w:rsid w:val="003A18B2"/>
    <w:rsid w:val="003A4F72"/>
    <w:rsid w:val="003A6D4C"/>
    <w:rsid w:val="003B2858"/>
    <w:rsid w:val="003B44A7"/>
    <w:rsid w:val="003C25D1"/>
    <w:rsid w:val="003C28B1"/>
    <w:rsid w:val="003C4703"/>
    <w:rsid w:val="003C663D"/>
    <w:rsid w:val="003C6FCF"/>
    <w:rsid w:val="003D161E"/>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901E4"/>
    <w:rsid w:val="004943F0"/>
    <w:rsid w:val="004A05A2"/>
    <w:rsid w:val="004A1E84"/>
    <w:rsid w:val="004A31C5"/>
    <w:rsid w:val="004A413C"/>
    <w:rsid w:val="004B17F8"/>
    <w:rsid w:val="004B3151"/>
    <w:rsid w:val="004B323B"/>
    <w:rsid w:val="004B7A33"/>
    <w:rsid w:val="004C373B"/>
    <w:rsid w:val="004C3A0E"/>
    <w:rsid w:val="004C5DB9"/>
    <w:rsid w:val="004C6D1D"/>
    <w:rsid w:val="004D1156"/>
    <w:rsid w:val="004D29BD"/>
    <w:rsid w:val="004D41CA"/>
    <w:rsid w:val="004D5422"/>
    <w:rsid w:val="004D5984"/>
    <w:rsid w:val="004D6936"/>
    <w:rsid w:val="004E0339"/>
    <w:rsid w:val="004E0E38"/>
    <w:rsid w:val="004E0EDE"/>
    <w:rsid w:val="004E0F07"/>
    <w:rsid w:val="004E126B"/>
    <w:rsid w:val="004E13C1"/>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1D08"/>
    <w:rsid w:val="00573703"/>
    <w:rsid w:val="00573953"/>
    <w:rsid w:val="00581AF2"/>
    <w:rsid w:val="005842BD"/>
    <w:rsid w:val="0058551F"/>
    <w:rsid w:val="005879EE"/>
    <w:rsid w:val="005922C0"/>
    <w:rsid w:val="005927B9"/>
    <w:rsid w:val="00595DE7"/>
    <w:rsid w:val="005964AB"/>
    <w:rsid w:val="005A00BE"/>
    <w:rsid w:val="005A21C3"/>
    <w:rsid w:val="005A2C17"/>
    <w:rsid w:val="005A37CF"/>
    <w:rsid w:val="005A4448"/>
    <w:rsid w:val="005B36B4"/>
    <w:rsid w:val="005C04F8"/>
    <w:rsid w:val="005C1DD0"/>
    <w:rsid w:val="005C32C7"/>
    <w:rsid w:val="005C4FA8"/>
    <w:rsid w:val="005D07BD"/>
    <w:rsid w:val="005D3714"/>
    <w:rsid w:val="005D3A4C"/>
    <w:rsid w:val="005D6D51"/>
    <w:rsid w:val="005E58C4"/>
    <w:rsid w:val="005E5AB8"/>
    <w:rsid w:val="005E607E"/>
    <w:rsid w:val="005F1823"/>
    <w:rsid w:val="005F3004"/>
    <w:rsid w:val="00601884"/>
    <w:rsid w:val="006024E4"/>
    <w:rsid w:val="00602503"/>
    <w:rsid w:val="0060525E"/>
    <w:rsid w:val="0060609A"/>
    <w:rsid w:val="006165B6"/>
    <w:rsid w:val="006178E0"/>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3323"/>
    <w:rsid w:val="006477A6"/>
    <w:rsid w:val="00647AE3"/>
    <w:rsid w:val="006523E6"/>
    <w:rsid w:val="00652C7B"/>
    <w:rsid w:val="00660150"/>
    <w:rsid w:val="00660290"/>
    <w:rsid w:val="00660554"/>
    <w:rsid w:val="00661A38"/>
    <w:rsid w:val="00661C32"/>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6A35"/>
    <w:rsid w:val="00696BE5"/>
    <w:rsid w:val="006A012D"/>
    <w:rsid w:val="006A0560"/>
    <w:rsid w:val="006A2C26"/>
    <w:rsid w:val="006A2FAF"/>
    <w:rsid w:val="006A3329"/>
    <w:rsid w:val="006B3457"/>
    <w:rsid w:val="006B50AB"/>
    <w:rsid w:val="006B6A3A"/>
    <w:rsid w:val="006C0750"/>
    <w:rsid w:val="006C31A6"/>
    <w:rsid w:val="006C76FA"/>
    <w:rsid w:val="006C7DA9"/>
    <w:rsid w:val="006D1425"/>
    <w:rsid w:val="006E2931"/>
    <w:rsid w:val="006E331D"/>
    <w:rsid w:val="006E39B6"/>
    <w:rsid w:val="006E597B"/>
    <w:rsid w:val="006E734C"/>
    <w:rsid w:val="006F01C2"/>
    <w:rsid w:val="006F3F63"/>
    <w:rsid w:val="006F6BF2"/>
    <w:rsid w:val="00703ACE"/>
    <w:rsid w:val="0070453D"/>
    <w:rsid w:val="007108BD"/>
    <w:rsid w:val="00712127"/>
    <w:rsid w:val="007121BE"/>
    <w:rsid w:val="00712417"/>
    <w:rsid w:val="007131CE"/>
    <w:rsid w:val="00713D80"/>
    <w:rsid w:val="007140C9"/>
    <w:rsid w:val="00717788"/>
    <w:rsid w:val="00721CAF"/>
    <w:rsid w:val="0072241B"/>
    <w:rsid w:val="00731902"/>
    <w:rsid w:val="00733B62"/>
    <w:rsid w:val="00733F08"/>
    <w:rsid w:val="00734D13"/>
    <w:rsid w:val="0073637C"/>
    <w:rsid w:val="007366C4"/>
    <w:rsid w:val="0073781B"/>
    <w:rsid w:val="00740BCB"/>
    <w:rsid w:val="00740FA8"/>
    <w:rsid w:val="00741961"/>
    <w:rsid w:val="00742502"/>
    <w:rsid w:val="00742F88"/>
    <w:rsid w:val="00744377"/>
    <w:rsid w:val="00744E04"/>
    <w:rsid w:val="00746D5E"/>
    <w:rsid w:val="007507EE"/>
    <w:rsid w:val="00751B0D"/>
    <w:rsid w:val="00751BF9"/>
    <w:rsid w:val="007536F7"/>
    <w:rsid w:val="00754831"/>
    <w:rsid w:val="00771F9D"/>
    <w:rsid w:val="00775DB8"/>
    <w:rsid w:val="00780EAB"/>
    <w:rsid w:val="00782EB2"/>
    <w:rsid w:val="00790ED9"/>
    <w:rsid w:val="0079184B"/>
    <w:rsid w:val="00791FEB"/>
    <w:rsid w:val="0079445D"/>
    <w:rsid w:val="007A0DDC"/>
    <w:rsid w:val="007A23F1"/>
    <w:rsid w:val="007A3AFD"/>
    <w:rsid w:val="007A5BD6"/>
    <w:rsid w:val="007B4E71"/>
    <w:rsid w:val="007B5527"/>
    <w:rsid w:val="007C1785"/>
    <w:rsid w:val="007C6A86"/>
    <w:rsid w:val="007D0985"/>
    <w:rsid w:val="007D381A"/>
    <w:rsid w:val="007D4378"/>
    <w:rsid w:val="007D76CC"/>
    <w:rsid w:val="007D782E"/>
    <w:rsid w:val="007E2111"/>
    <w:rsid w:val="007E295A"/>
    <w:rsid w:val="007E48B7"/>
    <w:rsid w:val="007E6BCA"/>
    <w:rsid w:val="007F440C"/>
    <w:rsid w:val="007F4FE7"/>
    <w:rsid w:val="00800AC8"/>
    <w:rsid w:val="00804263"/>
    <w:rsid w:val="008045BB"/>
    <w:rsid w:val="00807885"/>
    <w:rsid w:val="00811D17"/>
    <w:rsid w:val="00812166"/>
    <w:rsid w:val="00813174"/>
    <w:rsid w:val="008154B0"/>
    <w:rsid w:val="008160DE"/>
    <w:rsid w:val="008201C6"/>
    <w:rsid w:val="0082174B"/>
    <w:rsid w:val="0082715B"/>
    <w:rsid w:val="008272EE"/>
    <w:rsid w:val="0082791D"/>
    <w:rsid w:val="0083203F"/>
    <w:rsid w:val="00832258"/>
    <w:rsid w:val="008343FE"/>
    <w:rsid w:val="008365AB"/>
    <w:rsid w:val="008428B3"/>
    <w:rsid w:val="00845E89"/>
    <w:rsid w:val="00854A05"/>
    <w:rsid w:val="00856530"/>
    <w:rsid w:val="00860E4A"/>
    <w:rsid w:val="00862C7F"/>
    <w:rsid w:val="0086613A"/>
    <w:rsid w:val="00877230"/>
    <w:rsid w:val="00883977"/>
    <w:rsid w:val="0088400F"/>
    <w:rsid w:val="008841E4"/>
    <w:rsid w:val="008849D9"/>
    <w:rsid w:val="00885473"/>
    <w:rsid w:val="00886DFA"/>
    <w:rsid w:val="008902E9"/>
    <w:rsid w:val="00895655"/>
    <w:rsid w:val="00896686"/>
    <w:rsid w:val="00896FB3"/>
    <w:rsid w:val="008A2ED1"/>
    <w:rsid w:val="008A34D2"/>
    <w:rsid w:val="008A3F97"/>
    <w:rsid w:val="008A6AFE"/>
    <w:rsid w:val="008A72BF"/>
    <w:rsid w:val="008B1FD4"/>
    <w:rsid w:val="008B44CC"/>
    <w:rsid w:val="008B6219"/>
    <w:rsid w:val="008B68F7"/>
    <w:rsid w:val="008D4EFA"/>
    <w:rsid w:val="008D5E65"/>
    <w:rsid w:val="008D7713"/>
    <w:rsid w:val="008E2FC1"/>
    <w:rsid w:val="008E39D6"/>
    <w:rsid w:val="008E6500"/>
    <w:rsid w:val="008F1328"/>
    <w:rsid w:val="008F6106"/>
    <w:rsid w:val="008F636D"/>
    <w:rsid w:val="008F735B"/>
    <w:rsid w:val="009008DE"/>
    <w:rsid w:val="0090217B"/>
    <w:rsid w:val="0090243B"/>
    <w:rsid w:val="00907645"/>
    <w:rsid w:val="00910F23"/>
    <w:rsid w:val="0092174A"/>
    <w:rsid w:val="00922C76"/>
    <w:rsid w:val="00925E6D"/>
    <w:rsid w:val="009270AB"/>
    <w:rsid w:val="009300C7"/>
    <w:rsid w:val="0093341F"/>
    <w:rsid w:val="00933946"/>
    <w:rsid w:val="00934745"/>
    <w:rsid w:val="00934D73"/>
    <w:rsid w:val="0093611B"/>
    <w:rsid w:val="009361EA"/>
    <w:rsid w:val="00936318"/>
    <w:rsid w:val="00936B61"/>
    <w:rsid w:val="00943365"/>
    <w:rsid w:val="00943E38"/>
    <w:rsid w:val="00944C2A"/>
    <w:rsid w:val="00950B7A"/>
    <w:rsid w:val="00957BCC"/>
    <w:rsid w:val="00964866"/>
    <w:rsid w:val="00964CBD"/>
    <w:rsid w:val="009670AA"/>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6BBD"/>
    <w:rsid w:val="009A7463"/>
    <w:rsid w:val="009B2ED2"/>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131A4"/>
    <w:rsid w:val="00A13FDB"/>
    <w:rsid w:val="00A1466E"/>
    <w:rsid w:val="00A15402"/>
    <w:rsid w:val="00A21C68"/>
    <w:rsid w:val="00A263BF"/>
    <w:rsid w:val="00A33451"/>
    <w:rsid w:val="00A43712"/>
    <w:rsid w:val="00A44D76"/>
    <w:rsid w:val="00A45580"/>
    <w:rsid w:val="00A45C4C"/>
    <w:rsid w:val="00A46A47"/>
    <w:rsid w:val="00A5347B"/>
    <w:rsid w:val="00A725CE"/>
    <w:rsid w:val="00A73F57"/>
    <w:rsid w:val="00A77E5D"/>
    <w:rsid w:val="00A811A1"/>
    <w:rsid w:val="00A819BB"/>
    <w:rsid w:val="00A86B38"/>
    <w:rsid w:val="00A95591"/>
    <w:rsid w:val="00AA06C8"/>
    <w:rsid w:val="00AA5AD5"/>
    <w:rsid w:val="00AA6EE5"/>
    <w:rsid w:val="00AB3FB4"/>
    <w:rsid w:val="00AB7B38"/>
    <w:rsid w:val="00AC33D2"/>
    <w:rsid w:val="00AC4064"/>
    <w:rsid w:val="00AC5273"/>
    <w:rsid w:val="00AD433F"/>
    <w:rsid w:val="00AD661E"/>
    <w:rsid w:val="00AD74AC"/>
    <w:rsid w:val="00AE5117"/>
    <w:rsid w:val="00AE54C4"/>
    <w:rsid w:val="00AE579B"/>
    <w:rsid w:val="00AE619D"/>
    <w:rsid w:val="00AE7291"/>
    <w:rsid w:val="00AF077A"/>
    <w:rsid w:val="00AF0A9B"/>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5F58"/>
    <w:rsid w:val="00B26476"/>
    <w:rsid w:val="00B27620"/>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7BDE"/>
    <w:rsid w:val="00B921B0"/>
    <w:rsid w:val="00B92CB3"/>
    <w:rsid w:val="00B92EB8"/>
    <w:rsid w:val="00BA152F"/>
    <w:rsid w:val="00BA17B1"/>
    <w:rsid w:val="00BA3242"/>
    <w:rsid w:val="00BA47F5"/>
    <w:rsid w:val="00BA63CD"/>
    <w:rsid w:val="00BA66BF"/>
    <w:rsid w:val="00BA678C"/>
    <w:rsid w:val="00BA7231"/>
    <w:rsid w:val="00BB1057"/>
    <w:rsid w:val="00BD4CA5"/>
    <w:rsid w:val="00BD76A9"/>
    <w:rsid w:val="00BE061A"/>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42AE"/>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59C"/>
    <w:rsid w:val="00C877EE"/>
    <w:rsid w:val="00C87FAE"/>
    <w:rsid w:val="00C90455"/>
    <w:rsid w:val="00C92DEA"/>
    <w:rsid w:val="00C9325A"/>
    <w:rsid w:val="00C96474"/>
    <w:rsid w:val="00C9727F"/>
    <w:rsid w:val="00CA2A40"/>
    <w:rsid w:val="00CA3901"/>
    <w:rsid w:val="00CA4823"/>
    <w:rsid w:val="00CA4A92"/>
    <w:rsid w:val="00CA50CD"/>
    <w:rsid w:val="00CA52C0"/>
    <w:rsid w:val="00CA79E1"/>
    <w:rsid w:val="00CA7C81"/>
    <w:rsid w:val="00CB1087"/>
    <w:rsid w:val="00CB4A48"/>
    <w:rsid w:val="00CB50DB"/>
    <w:rsid w:val="00CB5101"/>
    <w:rsid w:val="00CB72EB"/>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55E5"/>
    <w:rsid w:val="00D05158"/>
    <w:rsid w:val="00D1037B"/>
    <w:rsid w:val="00D109D6"/>
    <w:rsid w:val="00D1244B"/>
    <w:rsid w:val="00D13094"/>
    <w:rsid w:val="00D13C76"/>
    <w:rsid w:val="00D16CCD"/>
    <w:rsid w:val="00D215C1"/>
    <w:rsid w:val="00D2421D"/>
    <w:rsid w:val="00D24BB3"/>
    <w:rsid w:val="00D31D85"/>
    <w:rsid w:val="00D333E6"/>
    <w:rsid w:val="00D342AA"/>
    <w:rsid w:val="00D36298"/>
    <w:rsid w:val="00D374AE"/>
    <w:rsid w:val="00D37654"/>
    <w:rsid w:val="00D40303"/>
    <w:rsid w:val="00D43F8B"/>
    <w:rsid w:val="00D506AC"/>
    <w:rsid w:val="00D60BC0"/>
    <w:rsid w:val="00D61C8C"/>
    <w:rsid w:val="00D630AC"/>
    <w:rsid w:val="00D64FFE"/>
    <w:rsid w:val="00D716F8"/>
    <w:rsid w:val="00D870FD"/>
    <w:rsid w:val="00D872D5"/>
    <w:rsid w:val="00D96816"/>
    <w:rsid w:val="00DA35E4"/>
    <w:rsid w:val="00DA4DCA"/>
    <w:rsid w:val="00DB2D92"/>
    <w:rsid w:val="00DB3A55"/>
    <w:rsid w:val="00DB67BD"/>
    <w:rsid w:val="00DC09CB"/>
    <w:rsid w:val="00DD03A2"/>
    <w:rsid w:val="00DD1997"/>
    <w:rsid w:val="00DD1C70"/>
    <w:rsid w:val="00DD3FBA"/>
    <w:rsid w:val="00DD52A5"/>
    <w:rsid w:val="00DD5A05"/>
    <w:rsid w:val="00DD5C43"/>
    <w:rsid w:val="00DE15CB"/>
    <w:rsid w:val="00DE2EB1"/>
    <w:rsid w:val="00DE5601"/>
    <w:rsid w:val="00DF01F7"/>
    <w:rsid w:val="00DF4F15"/>
    <w:rsid w:val="00DF5205"/>
    <w:rsid w:val="00DF6426"/>
    <w:rsid w:val="00DF707F"/>
    <w:rsid w:val="00DF73CB"/>
    <w:rsid w:val="00E001D0"/>
    <w:rsid w:val="00E0129F"/>
    <w:rsid w:val="00E01455"/>
    <w:rsid w:val="00E103A8"/>
    <w:rsid w:val="00E141C2"/>
    <w:rsid w:val="00E15D34"/>
    <w:rsid w:val="00E16164"/>
    <w:rsid w:val="00E21827"/>
    <w:rsid w:val="00E21979"/>
    <w:rsid w:val="00E23BE8"/>
    <w:rsid w:val="00E25FC5"/>
    <w:rsid w:val="00E261B4"/>
    <w:rsid w:val="00E27A1E"/>
    <w:rsid w:val="00E33517"/>
    <w:rsid w:val="00E37855"/>
    <w:rsid w:val="00E42080"/>
    <w:rsid w:val="00E42AAB"/>
    <w:rsid w:val="00E42BEC"/>
    <w:rsid w:val="00E47DDD"/>
    <w:rsid w:val="00E47F7B"/>
    <w:rsid w:val="00E511C3"/>
    <w:rsid w:val="00E56254"/>
    <w:rsid w:val="00E74759"/>
    <w:rsid w:val="00E74A8C"/>
    <w:rsid w:val="00E75196"/>
    <w:rsid w:val="00E7617E"/>
    <w:rsid w:val="00E762E4"/>
    <w:rsid w:val="00E812EF"/>
    <w:rsid w:val="00E82CC6"/>
    <w:rsid w:val="00E87431"/>
    <w:rsid w:val="00E92C88"/>
    <w:rsid w:val="00E94D84"/>
    <w:rsid w:val="00E95181"/>
    <w:rsid w:val="00EA6101"/>
    <w:rsid w:val="00EA7E68"/>
    <w:rsid w:val="00EB0ECB"/>
    <w:rsid w:val="00EB37A1"/>
    <w:rsid w:val="00EB6BD9"/>
    <w:rsid w:val="00EB7155"/>
    <w:rsid w:val="00EC0E42"/>
    <w:rsid w:val="00EC3F79"/>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68B2"/>
    <w:rsid w:val="00F170F2"/>
    <w:rsid w:val="00F172E4"/>
    <w:rsid w:val="00F228D9"/>
    <w:rsid w:val="00F22F81"/>
    <w:rsid w:val="00F24FA0"/>
    <w:rsid w:val="00F2551A"/>
    <w:rsid w:val="00F263F6"/>
    <w:rsid w:val="00F27AD3"/>
    <w:rsid w:val="00F30899"/>
    <w:rsid w:val="00F34109"/>
    <w:rsid w:val="00F34894"/>
    <w:rsid w:val="00F37AB4"/>
    <w:rsid w:val="00F405DB"/>
    <w:rsid w:val="00F42E28"/>
    <w:rsid w:val="00F43AC3"/>
    <w:rsid w:val="00F46295"/>
    <w:rsid w:val="00F46722"/>
    <w:rsid w:val="00F51834"/>
    <w:rsid w:val="00F53291"/>
    <w:rsid w:val="00F5546F"/>
    <w:rsid w:val="00F5559E"/>
    <w:rsid w:val="00F578E9"/>
    <w:rsid w:val="00F62C9A"/>
    <w:rsid w:val="00F71A10"/>
    <w:rsid w:val="00F7321C"/>
    <w:rsid w:val="00F7443E"/>
    <w:rsid w:val="00F8178B"/>
    <w:rsid w:val="00F82ED5"/>
    <w:rsid w:val="00F83B9B"/>
    <w:rsid w:val="00F859E9"/>
    <w:rsid w:val="00F859F4"/>
    <w:rsid w:val="00F90F76"/>
    <w:rsid w:val="00F91725"/>
    <w:rsid w:val="00F92F0D"/>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1A6E"/>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rsid w:val="006F01C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egislatie.just.ro/Public/DetaliiDocumentAfis/21597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3368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A00F8E"/>
    <w:rsid w:val="00A6098D"/>
    <w:rsid w:val="00AA72C7"/>
    <w:rsid w:val="00C87E60"/>
    <w:rsid w:val="00DC1E8B"/>
    <w:rsid w:val="00DC6C38"/>
    <w:rsid w:val="00DF7914"/>
    <w:rsid w:val="00E41BD3"/>
    <w:rsid w:val="00EC30AA"/>
    <w:rsid w:val="00ED5B3A"/>
    <w:rsid w:val="00EF65B9"/>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5DDA-2E4E-4E8D-B6F1-93207E48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3212</Words>
  <Characters>18315</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al Treilea TRIMESTRU AL ANULUI 2022</dc:creator>
  <cp:lastModifiedBy>IOANA-ALINA BURLA</cp:lastModifiedBy>
  <cp:revision>3</cp:revision>
  <cp:lastPrinted>2022-04-28T14:48:00Z</cp:lastPrinted>
  <dcterms:created xsi:type="dcterms:W3CDTF">2022-10-27T16:02:00Z</dcterms:created>
  <dcterms:modified xsi:type="dcterms:W3CDTF">2022-10-27T16:03:00Z</dcterms:modified>
</cp:coreProperties>
</file>