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94AB7" w14:textId="77777777" w:rsidR="00CF55E5" w:rsidRPr="00807147" w:rsidRDefault="00CF55E5" w:rsidP="003F4E84">
      <w:pPr>
        <w:pBdr>
          <w:top w:val="single" w:sz="4" w:space="1" w:color="auto"/>
          <w:bottom w:val="single" w:sz="4" w:space="1" w:color="auto"/>
        </w:pBdr>
        <w:spacing w:after="120" w:line="240" w:lineRule="auto"/>
        <w:jc w:val="right"/>
        <w:rPr>
          <w:rFonts w:ascii="Tahoma" w:hAnsi="Tahoma" w:cs="Tahoma"/>
          <w:b/>
          <w:caps/>
          <w:color w:val="0070C0"/>
          <w:sz w:val="24"/>
          <w:szCs w:val="24"/>
        </w:rPr>
      </w:pPr>
      <w:r w:rsidRPr="00807147">
        <w:rPr>
          <w:rFonts w:ascii="Tahoma" w:hAnsi="Tahoma" w:cs="Tahoma"/>
          <w:b/>
          <w:caps/>
          <w:color w:val="0070C0"/>
          <w:sz w:val="24"/>
          <w:szCs w:val="24"/>
        </w:rPr>
        <w:t>RAPORT PRIVIND EXECU</w:t>
      </w:r>
      <w:r w:rsidR="003F4E84" w:rsidRPr="00807147">
        <w:rPr>
          <w:rFonts w:ascii="Tahoma" w:hAnsi="Tahoma" w:cs="Tahoma"/>
          <w:b/>
          <w:caps/>
          <w:color w:val="0070C0"/>
          <w:sz w:val="24"/>
          <w:szCs w:val="24"/>
        </w:rPr>
        <w:t>ția buget</w:t>
      </w:r>
      <w:r w:rsidRPr="00807147">
        <w:rPr>
          <w:rFonts w:ascii="Tahoma" w:hAnsi="Tahoma" w:cs="Tahoma"/>
          <w:b/>
          <w:caps/>
          <w:color w:val="0070C0"/>
          <w:sz w:val="24"/>
          <w:szCs w:val="24"/>
        </w:rPr>
        <w:t>ARĂ</w:t>
      </w:r>
    </w:p>
    <w:p w14:paraId="2A341F8E" w14:textId="77777777" w:rsidR="00CF55E5" w:rsidRPr="00807147" w:rsidRDefault="00CF55E5" w:rsidP="003F4E84">
      <w:pPr>
        <w:pBdr>
          <w:top w:val="single" w:sz="4" w:space="1" w:color="auto"/>
          <w:bottom w:val="single" w:sz="4" w:space="1" w:color="auto"/>
        </w:pBdr>
        <w:spacing w:after="120" w:line="240" w:lineRule="auto"/>
        <w:jc w:val="right"/>
        <w:rPr>
          <w:rFonts w:ascii="Tahoma" w:hAnsi="Tahoma" w:cs="Tahoma"/>
          <w:b/>
          <w:caps/>
          <w:color w:val="0070C0"/>
          <w:sz w:val="24"/>
          <w:szCs w:val="24"/>
        </w:rPr>
      </w:pPr>
      <w:r w:rsidRPr="00807147">
        <w:rPr>
          <w:rFonts w:ascii="Tahoma" w:hAnsi="Tahoma" w:cs="Tahoma"/>
          <w:b/>
          <w:caps/>
          <w:color w:val="0070C0"/>
          <w:sz w:val="24"/>
          <w:szCs w:val="24"/>
        </w:rPr>
        <w:t xml:space="preserve"> PE PRIMUL TRIMESTRU </w:t>
      </w:r>
    </w:p>
    <w:p w14:paraId="2CAB5298" w14:textId="77777777" w:rsidR="003F4E84" w:rsidRPr="00807147" w:rsidRDefault="00CF55E5" w:rsidP="003F4E84">
      <w:pPr>
        <w:pBdr>
          <w:top w:val="single" w:sz="4" w:space="1" w:color="auto"/>
          <w:bottom w:val="single" w:sz="4" w:space="1" w:color="auto"/>
        </w:pBdr>
        <w:spacing w:after="120" w:line="240" w:lineRule="auto"/>
        <w:jc w:val="right"/>
        <w:rPr>
          <w:rFonts w:ascii="Tahoma" w:hAnsi="Tahoma" w:cs="Tahoma"/>
          <w:b/>
          <w:caps/>
          <w:color w:val="0070C0"/>
          <w:sz w:val="24"/>
          <w:szCs w:val="24"/>
        </w:rPr>
      </w:pPr>
      <w:r w:rsidRPr="00807147">
        <w:rPr>
          <w:rFonts w:ascii="Tahoma" w:hAnsi="Tahoma" w:cs="Tahoma"/>
          <w:b/>
          <w:caps/>
          <w:color w:val="0070C0"/>
          <w:sz w:val="24"/>
          <w:szCs w:val="24"/>
        </w:rPr>
        <w:t>AL ANULUI 202</w:t>
      </w:r>
      <w:r w:rsidR="00DA1CBE" w:rsidRPr="00807147">
        <w:rPr>
          <w:rFonts w:ascii="Tahoma" w:hAnsi="Tahoma" w:cs="Tahoma"/>
          <w:b/>
          <w:caps/>
          <w:color w:val="0070C0"/>
          <w:sz w:val="24"/>
          <w:szCs w:val="24"/>
        </w:rPr>
        <w:t>3</w:t>
      </w:r>
    </w:p>
    <w:p w14:paraId="438C5A0D" w14:textId="77777777" w:rsidR="003F4E84" w:rsidRPr="00807147" w:rsidRDefault="003F4E84" w:rsidP="00C9727F">
      <w:pPr>
        <w:spacing w:after="120" w:line="240" w:lineRule="auto"/>
        <w:jc w:val="right"/>
        <w:rPr>
          <w:rFonts w:ascii="Tahoma" w:hAnsi="Tahoma" w:cs="Tahoma"/>
          <w:b/>
          <w:color w:val="0070C0"/>
          <w:sz w:val="24"/>
          <w:szCs w:val="24"/>
        </w:rPr>
      </w:pPr>
    </w:p>
    <w:p w14:paraId="7A676D7A" w14:textId="77777777" w:rsidR="00061787" w:rsidRPr="00807147" w:rsidRDefault="005D6D51" w:rsidP="00660150">
      <w:pPr>
        <w:shd w:val="clear" w:color="auto" w:fill="DEEAF6" w:themeFill="accent1" w:themeFillTint="33"/>
        <w:spacing w:after="120" w:line="276" w:lineRule="auto"/>
        <w:jc w:val="both"/>
        <w:rPr>
          <w:rFonts w:ascii="Tahoma" w:hAnsi="Tahoma" w:cs="Tahoma"/>
          <w:bCs/>
          <w:sz w:val="24"/>
          <w:szCs w:val="24"/>
        </w:rPr>
      </w:pPr>
      <w:r w:rsidRPr="00807147">
        <w:rPr>
          <w:rFonts w:ascii="Tahoma" w:hAnsi="Tahoma" w:cs="Tahoma"/>
          <w:bCs/>
          <w:sz w:val="24"/>
          <w:szCs w:val="24"/>
        </w:rPr>
        <w:t>În primul trimestru al anului 202</w:t>
      </w:r>
      <w:r w:rsidR="00E16DED" w:rsidRPr="00807147">
        <w:rPr>
          <w:rFonts w:ascii="Tahoma" w:hAnsi="Tahoma" w:cs="Tahoma"/>
          <w:bCs/>
          <w:sz w:val="24"/>
          <w:szCs w:val="24"/>
        </w:rPr>
        <w:t>3</w:t>
      </w:r>
      <w:r w:rsidR="002F2CFC" w:rsidRPr="00807147">
        <w:rPr>
          <w:rFonts w:ascii="Tahoma" w:hAnsi="Tahoma" w:cs="Tahoma"/>
          <w:bCs/>
          <w:sz w:val="24"/>
          <w:szCs w:val="24"/>
        </w:rPr>
        <w:t>,</w:t>
      </w:r>
      <w:r w:rsidRPr="00807147">
        <w:rPr>
          <w:rFonts w:ascii="Tahoma" w:hAnsi="Tahoma" w:cs="Tahoma"/>
          <w:bCs/>
          <w:sz w:val="24"/>
          <w:szCs w:val="24"/>
        </w:rPr>
        <w:t xml:space="preserve"> bugetul general consolidat a înregistrat un </w:t>
      </w:r>
      <w:r w:rsidRPr="00807147">
        <w:rPr>
          <w:rFonts w:ascii="Tahoma" w:hAnsi="Tahoma" w:cs="Tahoma"/>
          <w:b/>
          <w:bCs/>
          <w:sz w:val="24"/>
          <w:szCs w:val="24"/>
        </w:rPr>
        <w:t>deficit</w:t>
      </w:r>
      <w:r w:rsidRPr="00807147">
        <w:rPr>
          <w:rFonts w:ascii="Tahoma" w:hAnsi="Tahoma" w:cs="Tahoma"/>
          <w:bCs/>
          <w:sz w:val="24"/>
          <w:szCs w:val="24"/>
        </w:rPr>
        <w:t xml:space="preserve"> în valoare de </w:t>
      </w:r>
      <w:r w:rsidR="00E16DED" w:rsidRPr="00807147">
        <w:rPr>
          <w:rFonts w:ascii="Tahoma" w:hAnsi="Tahoma" w:cs="Tahoma"/>
          <w:b/>
          <w:bCs/>
          <w:sz w:val="24"/>
          <w:szCs w:val="24"/>
        </w:rPr>
        <w:t>22</w:t>
      </w:r>
      <w:r w:rsidR="00363C11" w:rsidRPr="00807147">
        <w:rPr>
          <w:rFonts w:ascii="Tahoma" w:hAnsi="Tahoma" w:cs="Tahoma"/>
          <w:b/>
          <w:bCs/>
          <w:sz w:val="24"/>
          <w:szCs w:val="24"/>
        </w:rPr>
        <w:t>,</w:t>
      </w:r>
      <w:r w:rsidR="00602503" w:rsidRPr="00807147">
        <w:rPr>
          <w:rFonts w:ascii="Tahoma" w:hAnsi="Tahoma" w:cs="Tahoma"/>
          <w:b/>
          <w:bCs/>
          <w:sz w:val="24"/>
          <w:szCs w:val="24"/>
        </w:rPr>
        <w:t>7</w:t>
      </w:r>
      <w:r w:rsidR="00E16DED" w:rsidRPr="00807147">
        <w:rPr>
          <w:rFonts w:ascii="Tahoma" w:hAnsi="Tahoma" w:cs="Tahoma"/>
          <w:b/>
          <w:bCs/>
          <w:sz w:val="24"/>
          <w:szCs w:val="24"/>
        </w:rPr>
        <w:t>5</w:t>
      </w:r>
      <w:r w:rsidRPr="00807147">
        <w:rPr>
          <w:rFonts w:ascii="Tahoma" w:hAnsi="Tahoma" w:cs="Tahoma"/>
          <w:b/>
          <w:bCs/>
          <w:sz w:val="24"/>
          <w:szCs w:val="24"/>
        </w:rPr>
        <w:t xml:space="preserve"> </w:t>
      </w:r>
      <w:r w:rsidR="00602503" w:rsidRPr="00807147">
        <w:rPr>
          <w:rFonts w:ascii="Tahoma" w:hAnsi="Tahoma" w:cs="Tahoma"/>
          <w:b/>
          <w:bCs/>
          <w:sz w:val="24"/>
          <w:szCs w:val="24"/>
        </w:rPr>
        <w:t>miliarde</w:t>
      </w:r>
      <w:r w:rsidR="00713D80" w:rsidRPr="00807147">
        <w:rPr>
          <w:rFonts w:ascii="Tahoma" w:hAnsi="Tahoma" w:cs="Tahoma"/>
          <w:b/>
          <w:bCs/>
          <w:sz w:val="24"/>
          <w:szCs w:val="24"/>
        </w:rPr>
        <w:t xml:space="preserve"> </w:t>
      </w:r>
      <w:r w:rsidRPr="00807147">
        <w:rPr>
          <w:rFonts w:ascii="Tahoma" w:hAnsi="Tahoma" w:cs="Tahoma"/>
          <w:b/>
          <w:bCs/>
          <w:sz w:val="24"/>
          <w:szCs w:val="24"/>
        </w:rPr>
        <w:t>lei (1,</w:t>
      </w:r>
      <w:r w:rsidR="00E16DED" w:rsidRPr="00807147">
        <w:rPr>
          <w:rFonts w:ascii="Tahoma" w:hAnsi="Tahoma" w:cs="Tahoma"/>
          <w:b/>
          <w:bCs/>
          <w:sz w:val="24"/>
          <w:szCs w:val="24"/>
        </w:rPr>
        <w:t>42</w:t>
      </w:r>
      <w:r w:rsidRPr="00807147">
        <w:rPr>
          <w:rFonts w:ascii="Tahoma" w:hAnsi="Tahoma" w:cs="Tahoma"/>
          <w:b/>
          <w:bCs/>
          <w:sz w:val="24"/>
          <w:szCs w:val="24"/>
        </w:rPr>
        <w:t>% din PIB)</w:t>
      </w:r>
      <w:r w:rsidR="00C9727F" w:rsidRPr="00807147">
        <w:rPr>
          <w:rFonts w:ascii="Tahoma" w:hAnsi="Tahoma" w:cs="Tahoma"/>
          <w:bCs/>
          <w:sz w:val="24"/>
          <w:szCs w:val="24"/>
        </w:rPr>
        <w:t>,</w:t>
      </w:r>
      <w:r w:rsidR="007C6A86" w:rsidRPr="00807147">
        <w:rPr>
          <w:rFonts w:ascii="Tahoma" w:hAnsi="Tahoma" w:cs="Tahoma"/>
          <w:bCs/>
          <w:sz w:val="24"/>
          <w:szCs w:val="24"/>
        </w:rPr>
        <w:t xml:space="preserve"> cu </w:t>
      </w:r>
      <w:r w:rsidR="00E16DED" w:rsidRPr="00807147">
        <w:rPr>
          <w:rFonts w:ascii="Tahoma" w:hAnsi="Tahoma" w:cs="Tahoma"/>
          <w:bCs/>
          <w:sz w:val="24"/>
          <w:szCs w:val="24"/>
        </w:rPr>
        <w:t>15,9</w:t>
      </w:r>
      <w:r w:rsidR="00D90D07" w:rsidRPr="00807147">
        <w:rPr>
          <w:rFonts w:ascii="Tahoma" w:hAnsi="Tahoma" w:cs="Tahoma"/>
          <w:bCs/>
          <w:sz w:val="24"/>
          <w:szCs w:val="24"/>
        </w:rPr>
        <w:t>5</w:t>
      </w:r>
      <w:r w:rsidR="007C6A86" w:rsidRPr="00807147">
        <w:rPr>
          <w:rFonts w:ascii="Tahoma" w:hAnsi="Tahoma" w:cs="Tahoma"/>
          <w:bCs/>
          <w:sz w:val="24"/>
          <w:szCs w:val="24"/>
        </w:rPr>
        <w:t xml:space="preserve"> </w:t>
      </w:r>
      <w:r w:rsidR="00602503" w:rsidRPr="00807147">
        <w:rPr>
          <w:rFonts w:ascii="Tahoma" w:hAnsi="Tahoma" w:cs="Tahoma"/>
          <w:bCs/>
          <w:sz w:val="24"/>
          <w:szCs w:val="24"/>
        </w:rPr>
        <w:t>miliarde</w:t>
      </w:r>
      <w:r w:rsidR="00713D80" w:rsidRPr="00807147">
        <w:rPr>
          <w:rFonts w:ascii="Tahoma" w:hAnsi="Tahoma" w:cs="Tahoma"/>
          <w:bCs/>
          <w:sz w:val="24"/>
          <w:szCs w:val="24"/>
        </w:rPr>
        <w:t xml:space="preserve"> </w:t>
      </w:r>
      <w:r w:rsidRPr="00807147">
        <w:rPr>
          <w:rFonts w:ascii="Tahoma" w:hAnsi="Tahoma" w:cs="Tahoma"/>
          <w:bCs/>
          <w:sz w:val="24"/>
          <w:szCs w:val="24"/>
        </w:rPr>
        <w:t xml:space="preserve">lei </w:t>
      </w:r>
      <w:r w:rsidR="00CE4909" w:rsidRPr="00807147">
        <w:rPr>
          <w:rFonts w:ascii="Tahoma" w:hAnsi="Tahoma" w:cs="Tahoma"/>
          <w:bCs/>
          <w:sz w:val="24"/>
          <w:szCs w:val="24"/>
        </w:rPr>
        <w:t>sub</w:t>
      </w:r>
      <w:r w:rsidRPr="00807147">
        <w:rPr>
          <w:rFonts w:ascii="Tahoma" w:hAnsi="Tahoma" w:cs="Tahoma"/>
          <w:bCs/>
          <w:sz w:val="24"/>
          <w:szCs w:val="24"/>
        </w:rPr>
        <w:t xml:space="preserve"> nivelul prognozat </w:t>
      </w:r>
      <w:r w:rsidR="007C6A86" w:rsidRPr="00807147">
        <w:rPr>
          <w:rFonts w:ascii="Tahoma" w:hAnsi="Tahoma" w:cs="Tahoma"/>
          <w:bCs/>
          <w:sz w:val="24"/>
          <w:szCs w:val="24"/>
        </w:rPr>
        <w:t xml:space="preserve">pentru perioada analizată de </w:t>
      </w:r>
      <w:r w:rsidR="00E16DED" w:rsidRPr="00807147">
        <w:rPr>
          <w:rFonts w:ascii="Tahoma" w:hAnsi="Tahoma" w:cs="Tahoma"/>
          <w:bCs/>
          <w:sz w:val="24"/>
          <w:szCs w:val="24"/>
        </w:rPr>
        <w:t>38,70</w:t>
      </w:r>
      <w:r w:rsidRPr="00807147">
        <w:rPr>
          <w:rFonts w:ascii="Tahoma" w:hAnsi="Tahoma" w:cs="Tahoma"/>
          <w:bCs/>
          <w:sz w:val="24"/>
          <w:szCs w:val="24"/>
        </w:rPr>
        <w:t xml:space="preserve"> </w:t>
      </w:r>
      <w:r w:rsidR="00602503" w:rsidRPr="00807147">
        <w:rPr>
          <w:rFonts w:ascii="Tahoma" w:hAnsi="Tahoma" w:cs="Tahoma"/>
          <w:bCs/>
          <w:sz w:val="24"/>
          <w:szCs w:val="24"/>
        </w:rPr>
        <w:t>miliarde</w:t>
      </w:r>
      <w:r w:rsidR="00713D80" w:rsidRPr="00807147">
        <w:rPr>
          <w:rFonts w:ascii="Tahoma" w:hAnsi="Tahoma" w:cs="Tahoma"/>
          <w:bCs/>
          <w:sz w:val="24"/>
          <w:szCs w:val="24"/>
        </w:rPr>
        <w:t xml:space="preserve"> </w:t>
      </w:r>
      <w:r w:rsidRPr="00807147">
        <w:rPr>
          <w:rFonts w:ascii="Tahoma" w:hAnsi="Tahoma" w:cs="Tahoma"/>
          <w:bCs/>
          <w:sz w:val="24"/>
          <w:szCs w:val="24"/>
        </w:rPr>
        <w:t>lei (</w:t>
      </w:r>
      <w:r w:rsidR="00E16DED" w:rsidRPr="00807147">
        <w:rPr>
          <w:rFonts w:ascii="Tahoma" w:hAnsi="Tahoma" w:cs="Tahoma"/>
          <w:bCs/>
          <w:sz w:val="24"/>
          <w:szCs w:val="24"/>
        </w:rPr>
        <w:t>2,42</w:t>
      </w:r>
      <w:r w:rsidRPr="00807147">
        <w:rPr>
          <w:rFonts w:ascii="Tahoma" w:hAnsi="Tahoma" w:cs="Tahoma"/>
          <w:bCs/>
          <w:sz w:val="24"/>
          <w:szCs w:val="24"/>
        </w:rPr>
        <w:t>% din PIB).</w:t>
      </w:r>
    </w:p>
    <w:p w14:paraId="6CDFC978" w14:textId="77777777" w:rsidR="00F24FA0" w:rsidRPr="00807147" w:rsidRDefault="00F24FA0" w:rsidP="00313CA3">
      <w:pPr>
        <w:spacing w:after="120" w:line="360" w:lineRule="auto"/>
        <w:jc w:val="both"/>
        <w:rPr>
          <w:rFonts w:ascii="Tahoma" w:hAnsi="Tahoma" w:cs="Tahoma"/>
          <w:b/>
          <w:color w:val="767171" w:themeColor="background2" w:themeShade="80"/>
          <w:sz w:val="24"/>
          <w:szCs w:val="24"/>
        </w:rPr>
      </w:pPr>
    </w:p>
    <w:p w14:paraId="6040ED03" w14:textId="77777777" w:rsidR="00F972DC" w:rsidRPr="00807147" w:rsidRDefault="00F972DC" w:rsidP="00F972DC">
      <w:pPr>
        <w:pStyle w:val="ListParagraph"/>
        <w:numPr>
          <w:ilvl w:val="0"/>
          <w:numId w:val="2"/>
        </w:numPr>
        <w:shd w:val="clear" w:color="auto" w:fill="D9D9D9" w:themeFill="background1" w:themeFillShade="D9"/>
        <w:spacing w:after="120" w:line="360" w:lineRule="auto"/>
        <w:ind w:hanging="1080"/>
        <w:jc w:val="both"/>
        <w:rPr>
          <w:rFonts w:ascii="Tahoma" w:hAnsi="Tahoma" w:cs="Tahoma"/>
          <w:b/>
          <w:caps/>
          <w:color w:val="0070C0"/>
          <w:sz w:val="24"/>
          <w:szCs w:val="24"/>
        </w:rPr>
      </w:pPr>
      <w:r w:rsidRPr="00807147">
        <w:rPr>
          <w:rFonts w:ascii="Tahoma" w:hAnsi="Tahoma" w:cs="Tahoma"/>
          <w:b/>
          <w:caps/>
          <w:color w:val="0070C0"/>
          <w:sz w:val="24"/>
          <w:szCs w:val="24"/>
        </w:rPr>
        <w:t>veniturile bugetului general consolidat</w:t>
      </w:r>
    </w:p>
    <w:p w14:paraId="35D18600" w14:textId="77777777" w:rsidR="000F1E3F" w:rsidRPr="00807147" w:rsidRDefault="000F1E3F" w:rsidP="00313CA3">
      <w:pPr>
        <w:spacing w:after="120" w:line="240" w:lineRule="auto"/>
        <w:rPr>
          <w:rFonts w:ascii="Tahoma" w:hAnsi="Tahoma" w:cs="Tahoma"/>
          <w:b/>
          <w:color w:val="0070C0"/>
          <w:sz w:val="24"/>
          <w:szCs w:val="24"/>
        </w:rPr>
      </w:pPr>
    </w:p>
    <w:p w14:paraId="420E75C8" w14:textId="6531B8F0" w:rsidR="009A320D" w:rsidRPr="00807147" w:rsidRDefault="00CF55E5" w:rsidP="00753D9F">
      <w:pPr>
        <w:shd w:val="clear" w:color="auto" w:fill="D9D9D9" w:themeFill="background1" w:themeFillShade="D9"/>
        <w:spacing w:after="120" w:line="276" w:lineRule="auto"/>
        <w:jc w:val="both"/>
        <w:rPr>
          <w:rFonts w:ascii="Tahoma" w:hAnsi="Tahoma" w:cs="Tahoma"/>
          <w:sz w:val="24"/>
          <w:szCs w:val="24"/>
        </w:rPr>
      </w:pPr>
      <w:r w:rsidRPr="00807147">
        <w:rPr>
          <w:rFonts w:ascii="Tahoma" w:hAnsi="Tahoma" w:cs="Tahoma"/>
          <w:b/>
          <w:sz w:val="24"/>
          <w:szCs w:val="24"/>
        </w:rPr>
        <w:t>Veniturile bugetului general</w:t>
      </w:r>
      <w:r w:rsidR="009D16DA" w:rsidRPr="00807147">
        <w:rPr>
          <w:rFonts w:ascii="Tahoma" w:hAnsi="Tahoma" w:cs="Tahoma"/>
          <w:b/>
          <w:sz w:val="24"/>
          <w:szCs w:val="24"/>
        </w:rPr>
        <w:t xml:space="preserve"> consolidat</w:t>
      </w:r>
      <w:r w:rsidR="007A3AFD" w:rsidRPr="00807147">
        <w:rPr>
          <w:rFonts w:ascii="Tahoma" w:hAnsi="Tahoma" w:cs="Tahoma"/>
          <w:sz w:val="24"/>
          <w:szCs w:val="24"/>
        </w:rPr>
        <w:t xml:space="preserve"> au însumat </w:t>
      </w:r>
      <w:r w:rsidR="00363C11" w:rsidRPr="00807147">
        <w:rPr>
          <w:rFonts w:ascii="Tahoma" w:hAnsi="Tahoma" w:cs="Tahoma"/>
          <w:sz w:val="24"/>
          <w:szCs w:val="24"/>
        </w:rPr>
        <w:t>1</w:t>
      </w:r>
      <w:r w:rsidR="000C749C">
        <w:rPr>
          <w:rFonts w:ascii="Tahoma" w:hAnsi="Tahoma" w:cs="Tahoma"/>
          <w:sz w:val="24"/>
          <w:szCs w:val="24"/>
        </w:rPr>
        <w:t>1</w:t>
      </w:r>
      <w:r w:rsidR="00363C11" w:rsidRPr="00807147">
        <w:rPr>
          <w:rFonts w:ascii="Tahoma" w:hAnsi="Tahoma" w:cs="Tahoma"/>
          <w:sz w:val="24"/>
          <w:szCs w:val="24"/>
        </w:rPr>
        <w:t>4,</w:t>
      </w:r>
      <w:r w:rsidR="00E16DED" w:rsidRPr="00807147">
        <w:rPr>
          <w:rFonts w:ascii="Tahoma" w:hAnsi="Tahoma" w:cs="Tahoma"/>
          <w:sz w:val="24"/>
          <w:szCs w:val="24"/>
        </w:rPr>
        <w:t>17</w:t>
      </w:r>
      <w:r w:rsidR="009D16DA" w:rsidRPr="00807147">
        <w:rPr>
          <w:rFonts w:ascii="Tahoma" w:hAnsi="Tahoma" w:cs="Tahoma"/>
          <w:sz w:val="24"/>
          <w:szCs w:val="24"/>
        </w:rPr>
        <w:t xml:space="preserve"> </w:t>
      </w:r>
      <w:r w:rsidR="00602503" w:rsidRPr="00807147">
        <w:rPr>
          <w:rFonts w:ascii="Tahoma" w:hAnsi="Tahoma" w:cs="Tahoma"/>
          <w:sz w:val="24"/>
          <w:szCs w:val="24"/>
        </w:rPr>
        <w:t>miliarde</w:t>
      </w:r>
      <w:r w:rsidR="00713D80" w:rsidRPr="00807147">
        <w:rPr>
          <w:rFonts w:ascii="Tahoma" w:hAnsi="Tahoma" w:cs="Tahoma"/>
          <w:sz w:val="24"/>
          <w:szCs w:val="24"/>
        </w:rPr>
        <w:t xml:space="preserve"> </w:t>
      </w:r>
      <w:r w:rsidR="009D16DA" w:rsidRPr="00807147">
        <w:rPr>
          <w:rFonts w:ascii="Tahoma" w:hAnsi="Tahoma" w:cs="Tahoma"/>
          <w:sz w:val="24"/>
          <w:szCs w:val="24"/>
        </w:rPr>
        <w:t>lei (</w:t>
      </w:r>
      <w:r w:rsidR="00CE4909" w:rsidRPr="00807147">
        <w:rPr>
          <w:rFonts w:ascii="Tahoma" w:hAnsi="Tahoma" w:cs="Tahoma"/>
          <w:sz w:val="24"/>
          <w:szCs w:val="24"/>
        </w:rPr>
        <w:t>7</w:t>
      </w:r>
      <w:r w:rsidR="009D16DA" w:rsidRPr="00807147">
        <w:rPr>
          <w:rFonts w:ascii="Tahoma" w:hAnsi="Tahoma" w:cs="Tahoma"/>
          <w:sz w:val="24"/>
          <w:szCs w:val="24"/>
        </w:rPr>
        <w:t>,</w:t>
      </w:r>
      <w:r w:rsidR="00E16DED" w:rsidRPr="00807147">
        <w:rPr>
          <w:rFonts w:ascii="Tahoma" w:hAnsi="Tahoma" w:cs="Tahoma"/>
          <w:sz w:val="24"/>
          <w:szCs w:val="24"/>
        </w:rPr>
        <w:t>1</w:t>
      </w:r>
      <w:r w:rsidR="009D16DA" w:rsidRPr="00807147">
        <w:rPr>
          <w:rFonts w:ascii="Tahoma" w:hAnsi="Tahoma" w:cs="Tahoma"/>
          <w:sz w:val="24"/>
          <w:szCs w:val="24"/>
        </w:rPr>
        <w:t>% din PIB)</w:t>
      </w:r>
      <w:r w:rsidR="002F2CFC" w:rsidRPr="00807147">
        <w:rPr>
          <w:rFonts w:ascii="Tahoma" w:hAnsi="Tahoma" w:cs="Tahoma"/>
          <w:sz w:val="24"/>
          <w:szCs w:val="24"/>
        </w:rPr>
        <w:t xml:space="preserve"> în primele trei luni ale anului</w:t>
      </w:r>
      <w:r w:rsidR="00602503" w:rsidRPr="00807147">
        <w:rPr>
          <w:rFonts w:ascii="Tahoma" w:hAnsi="Tahoma" w:cs="Tahoma"/>
          <w:sz w:val="24"/>
          <w:szCs w:val="24"/>
        </w:rPr>
        <w:t xml:space="preserve"> 202</w:t>
      </w:r>
      <w:r w:rsidR="00E16DED" w:rsidRPr="00807147">
        <w:rPr>
          <w:rFonts w:ascii="Tahoma" w:hAnsi="Tahoma" w:cs="Tahoma"/>
          <w:sz w:val="24"/>
          <w:szCs w:val="24"/>
        </w:rPr>
        <w:t>3</w:t>
      </w:r>
      <w:r w:rsidR="00186A0B">
        <w:rPr>
          <w:rFonts w:ascii="Tahoma" w:hAnsi="Tahoma" w:cs="Tahoma"/>
          <w:sz w:val="24"/>
          <w:szCs w:val="24"/>
        </w:rPr>
        <w:t>,</w:t>
      </w:r>
      <w:r w:rsidR="009D16DA" w:rsidRPr="00807147">
        <w:rPr>
          <w:rFonts w:ascii="Tahoma" w:hAnsi="Tahoma" w:cs="Tahoma"/>
          <w:sz w:val="24"/>
          <w:szCs w:val="24"/>
        </w:rPr>
        <w:t xml:space="preserve"> </w:t>
      </w:r>
      <w:r w:rsidR="00733F08" w:rsidRPr="00807147">
        <w:rPr>
          <w:rFonts w:ascii="Tahoma" w:hAnsi="Tahoma" w:cs="Tahoma"/>
          <w:sz w:val="24"/>
          <w:szCs w:val="24"/>
        </w:rPr>
        <w:t xml:space="preserve">reflectând un </w:t>
      </w:r>
      <w:r w:rsidR="009D16DA" w:rsidRPr="00807147">
        <w:rPr>
          <w:rFonts w:ascii="Tahoma" w:hAnsi="Tahoma" w:cs="Tahoma"/>
          <w:sz w:val="24"/>
          <w:szCs w:val="24"/>
        </w:rPr>
        <w:t xml:space="preserve">grad de realizare a programului de încasări de </w:t>
      </w:r>
      <w:r w:rsidR="00E16DED" w:rsidRPr="00807147">
        <w:rPr>
          <w:rFonts w:ascii="Tahoma" w:hAnsi="Tahoma" w:cs="Tahoma"/>
          <w:sz w:val="24"/>
          <w:szCs w:val="24"/>
        </w:rPr>
        <w:t>8</w:t>
      </w:r>
      <w:r w:rsidR="00363C11" w:rsidRPr="00807147">
        <w:rPr>
          <w:rFonts w:ascii="Tahoma" w:hAnsi="Tahoma" w:cs="Tahoma"/>
          <w:sz w:val="24"/>
          <w:szCs w:val="24"/>
        </w:rPr>
        <w:t>6,</w:t>
      </w:r>
      <w:r w:rsidR="00E16DED" w:rsidRPr="00807147">
        <w:rPr>
          <w:rFonts w:ascii="Tahoma" w:hAnsi="Tahoma" w:cs="Tahoma"/>
          <w:sz w:val="24"/>
          <w:szCs w:val="24"/>
        </w:rPr>
        <w:t>9</w:t>
      </w:r>
      <w:r w:rsidR="009D16DA" w:rsidRPr="00807147">
        <w:rPr>
          <w:rFonts w:ascii="Tahoma" w:hAnsi="Tahoma" w:cs="Tahoma"/>
          <w:sz w:val="24"/>
          <w:szCs w:val="24"/>
        </w:rPr>
        <w:t>%</w:t>
      </w:r>
      <w:r w:rsidR="002F2CFC" w:rsidRPr="00807147">
        <w:rPr>
          <w:rFonts w:ascii="Tahoma" w:hAnsi="Tahoma" w:cs="Tahoma"/>
          <w:sz w:val="24"/>
          <w:szCs w:val="24"/>
        </w:rPr>
        <w:t>.</w:t>
      </w:r>
      <w:r w:rsidR="00BD76A9" w:rsidRPr="00807147">
        <w:rPr>
          <w:rFonts w:ascii="Tahoma" w:hAnsi="Tahoma" w:cs="Tahoma"/>
          <w:sz w:val="24"/>
          <w:szCs w:val="24"/>
        </w:rPr>
        <w:t xml:space="preserve"> </w:t>
      </w:r>
    </w:p>
    <w:p w14:paraId="3FC953F2" w14:textId="77777777" w:rsidR="00024773" w:rsidRPr="00807147" w:rsidRDefault="00DD52A5" w:rsidP="00753D9F">
      <w:pPr>
        <w:tabs>
          <w:tab w:val="left" w:pos="810"/>
          <w:tab w:val="left" w:pos="1134"/>
        </w:tabs>
        <w:spacing w:before="120" w:after="120" w:line="276" w:lineRule="auto"/>
        <w:jc w:val="both"/>
        <w:rPr>
          <w:rFonts w:ascii="Tahoma" w:hAnsi="Tahoma" w:cs="Tahoma"/>
          <w:bCs/>
          <w:sz w:val="24"/>
          <w:szCs w:val="24"/>
        </w:rPr>
      </w:pPr>
      <w:r w:rsidRPr="00807147">
        <w:rPr>
          <w:rFonts w:ascii="Tahoma" w:hAnsi="Tahoma" w:cs="Tahoma"/>
          <w:bCs/>
          <w:sz w:val="24"/>
          <w:szCs w:val="24"/>
        </w:rPr>
        <w:t>Comparativ cu încasările primului trimestru al anului 20</w:t>
      </w:r>
      <w:r w:rsidR="00CE4909" w:rsidRPr="00807147">
        <w:rPr>
          <w:rFonts w:ascii="Tahoma" w:hAnsi="Tahoma" w:cs="Tahoma"/>
          <w:bCs/>
          <w:sz w:val="24"/>
          <w:szCs w:val="24"/>
        </w:rPr>
        <w:t>2</w:t>
      </w:r>
      <w:r w:rsidR="00E16DED" w:rsidRPr="00807147">
        <w:rPr>
          <w:rFonts w:ascii="Tahoma" w:hAnsi="Tahoma" w:cs="Tahoma"/>
          <w:bCs/>
          <w:sz w:val="24"/>
          <w:szCs w:val="24"/>
        </w:rPr>
        <w:t>2</w:t>
      </w:r>
      <w:r w:rsidRPr="00807147">
        <w:rPr>
          <w:rFonts w:ascii="Tahoma" w:hAnsi="Tahoma" w:cs="Tahoma"/>
          <w:bCs/>
          <w:sz w:val="24"/>
          <w:szCs w:val="24"/>
        </w:rPr>
        <w:t xml:space="preserve">, </w:t>
      </w:r>
      <w:r w:rsidR="002F2CFC" w:rsidRPr="00807147">
        <w:rPr>
          <w:rFonts w:ascii="Tahoma" w:hAnsi="Tahoma" w:cs="Tahoma"/>
          <w:bCs/>
          <w:sz w:val="24"/>
          <w:szCs w:val="24"/>
        </w:rPr>
        <w:t xml:space="preserve">veniturile </w:t>
      </w:r>
      <w:r w:rsidR="00197545" w:rsidRPr="00807147">
        <w:rPr>
          <w:rFonts w:ascii="Tahoma" w:hAnsi="Tahoma" w:cs="Tahoma"/>
          <w:bCs/>
          <w:sz w:val="24"/>
          <w:szCs w:val="24"/>
        </w:rPr>
        <w:t xml:space="preserve">bugetului general consolidat </w:t>
      </w:r>
      <w:r w:rsidR="002F2CFC" w:rsidRPr="00807147">
        <w:rPr>
          <w:rFonts w:ascii="Tahoma" w:hAnsi="Tahoma" w:cs="Tahoma"/>
          <w:bCs/>
          <w:sz w:val="24"/>
          <w:szCs w:val="24"/>
        </w:rPr>
        <w:t xml:space="preserve">au </w:t>
      </w:r>
      <w:r w:rsidR="00197545" w:rsidRPr="00807147">
        <w:rPr>
          <w:rFonts w:ascii="Tahoma" w:hAnsi="Tahoma" w:cs="Tahoma"/>
          <w:bCs/>
          <w:sz w:val="24"/>
          <w:szCs w:val="24"/>
        </w:rPr>
        <w:t>crescut</w:t>
      </w:r>
      <w:r w:rsidR="002F2CFC" w:rsidRPr="00807147">
        <w:rPr>
          <w:rFonts w:ascii="Tahoma" w:hAnsi="Tahoma" w:cs="Tahoma"/>
          <w:bCs/>
          <w:sz w:val="24"/>
          <w:szCs w:val="24"/>
        </w:rPr>
        <w:t xml:space="preserve"> </w:t>
      </w:r>
      <w:r w:rsidR="00197545" w:rsidRPr="00807147">
        <w:rPr>
          <w:rFonts w:ascii="Tahoma" w:hAnsi="Tahoma" w:cs="Tahoma"/>
          <w:bCs/>
          <w:sz w:val="24"/>
          <w:szCs w:val="24"/>
        </w:rPr>
        <w:t xml:space="preserve">în termeni nominali </w:t>
      </w:r>
      <w:r w:rsidR="009D16DA" w:rsidRPr="00807147">
        <w:rPr>
          <w:rFonts w:ascii="Tahoma" w:hAnsi="Tahoma" w:cs="Tahoma"/>
          <w:bCs/>
          <w:sz w:val="24"/>
          <w:szCs w:val="24"/>
        </w:rPr>
        <w:t xml:space="preserve">cu </w:t>
      </w:r>
      <w:r w:rsidR="00E16DED" w:rsidRPr="00807147">
        <w:rPr>
          <w:rFonts w:ascii="Tahoma" w:hAnsi="Tahoma" w:cs="Tahoma"/>
          <w:bCs/>
          <w:sz w:val="24"/>
          <w:szCs w:val="24"/>
        </w:rPr>
        <w:t>9,7</w:t>
      </w:r>
      <w:r w:rsidR="009D16DA" w:rsidRPr="00807147">
        <w:rPr>
          <w:rFonts w:ascii="Tahoma" w:hAnsi="Tahoma" w:cs="Tahoma"/>
          <w:bCs/>
          <w:sz w:val="24"/>
          <w:szCs w:val="24"/>
        </w:rPr>
        <w:t>%,</w:t>
      </w:r>
      <w:r w:rsidR="00197545" w:rsidRPr="00807147">
        <w:rPr>
          <w:rFonts w:ascii="Tahoma" w:hAnsi="Tahoma" w:cs="Tahoma"/>
          <w:bCs/>
          <w:sz w:val="24"/>
          <w:szCs w:val="24"/>
        </w:rPr>
        <w:t xml:space="preserve"> iar ca procent în PIB </w:t>
      </w:r>
      <w:r w:rsidR="00E16DED" w:rsidRPr="00807147">
        <w:rPr>
          <w:rFonts w:ascii="Tahoma" w:hAnsi="Tahoma" w:cs="Tahoma"/>
          <w:bCs/>
          <w:sz w:val="24"/>
          <w:szCs w:val="24"/>
        </w:rPr>
        <w:t>s-au redus cu 0,3</w:t>
      </w:r>
      <w:r w:rsidR="00197545" w:rsidRPr="00807147">
        <w:rPr>
          <w:rFonts w:ascii="Tahoma" w:hAnsi="Tahoma" w:cs="Tahoma"/>
          <w:bCs/>
          <w:sz w:val="24"/>
          <w:szCs w:val="24"/>
        </w:rPr>
        <w:t xml:space="preserve"> puncte procentuale de la </w:t>
      </w:r>
      <w:r w:rsidR="006913E2" w:rsidRPr="00807147">
        <w:rPr>
          <w:rFonts w:ascii="Tahoma" w:hAnsi="Tahoma" w:cs="Tahoma"/>
          <w:bCs/>
          <w:sz w:val="24"/>
          <w:szCs w:val="24"/>
        </w:rPr>
        <w:t>7,</w:t>
      </w:r>
      <w:r w:rsidR="00E16DED" w:rsidRPr="00807147">
        <w:rPr>
          <w:rFonts w:ascii="Tahoma" w:hAnsi="Tahoma" w:cs="Tahoma"/>
          <w:bCs/>
          <w:sz w:val="24"/>
          <w:szCs w:val="24"/>
        </w:rPr>
        <w:t>4</w:t>
      </w:r>
      <w:r w:rsidR="00197545" w:rsidRPr="00807147">
        <w:rPr>
          <w:rFonts w:ascii="Tahoma" w:hAnsi="Tahoma" w:cs="Tahoma"/>
          <w:bCs/>
          <w:sz w:val="24"/>
          <w:szCs w:val="24"/>
        </w:rPr>
        <w:t>% din PIB cât au fost în primul trimestru al anului 202</w:t>
      </w:r>
      <w:r w:rsidR="00E16DED" w:rsidRPr="00807147">
        <w:rPr>
          <w:rFonts w:ascii="Tahoma" w:hAnsi="Tahoma" w:cs="Tahoma"/>
          <w:bCs/>
          <w:sz w:val="24"/>
          <w:szCs w:val="24"/>
        </w:rPr>
        <w:t>2</w:t>
      </w:r>
      <w:r w:rsidR="00197545" w:rsidRPr="00807147">
        <w:rPr>
          <w:rFonts w:ascii="Tahoma" w:hAnsi="Tahoma" w:cs="Tahoma"/>
          <w:bCs/>
          <w:sz w:val="24"/>
          <w:szCs w:val="24"/>
        </w:rPr>
        <w:t xml:space="preserve"> la 7,</w:t>
      </w:r>
      <w:r w:rsidR="00E16DED" w:rsidRPr="00807147">
        <w:rPr>
          <w:rFonts w:ascii="Tahoma" w:hAnsi="Tahoma" w:cs="Tahoma"/>
          <w:bCs/>
          <w:sz w:val="24"/>
          <w:szCs w:val="24"/>
        </w:rPr>
        <w:t>1</w:t>
      </w:r>
      <w:r w:rsidR="00197545" w:rsidRPr="00807147">
        <w:rPr>
          <w:rFonts w:ascii="Tahoma" w:hAnsi="Tahoma" w:cs="Tahoma"/>
          <w:bCs/>
          <w:sz w:val="24"/>
          <w:szCs w:val="24"/>
        </w:rPr>
        <w:t>% din PIB în primul trimestru al anului 202</w:t>
      </w:r>
      <w:r w:rsidR="00E16DED" w:rsidRPr="00807147">
        <w:rPr>
          <w:rFonts w:ascii="Tahoma" w:hAnsi="Tahoma" w:cs="Tahoma"/>
          <w:bCs/>
          <w:sz w:val="24"/>
          <w:szCs w:val="24"/>
        </w:rPr>
        <w:t>3</w:t>
      </w:r>
      <w:r w:rsidR="00197545" w:rsidRPr="00807147">
        <w:rPr>
          <w:rFonts w:ascii="Tahoma" w:hAnsi="Tahoma" w:cs="Tahoma"/>
          <w:bCs/>
          <w:sz w:val="24"/>
          <w:szCs w:val="24"/>
        </w:rPr>
        <w:t>.</w:t>
      </w:r>
      <w:r w:rsidR="009D16DA" w:rsidRPr="00807147">
        <w:rPr>
          <w:rFonts w:ascii="Tahoma" w:hAnsi="Tahoma" w:cs="Tahoma"/>
          <w:bCs/>
          <w:sz w:val="24"/>
          <w:szCs w:val="24"/>
        </w:rPr>
        <w:t xml:space="preserve"> </w:t>
      </w:r>
    </w:p>
    <w:p w14:paraId="29A64009" w14:textId="77777777" w:rsidR="00DD52A5" w:rsidRPr="00807147" w:rsidRDefault="00DD52A5" w:rsidP="00753D9F">
      <w:pPr>
        <w:tabs>
          <w:tab w:val="left" w:pos="810"/>
          <w:tab w:val="left" w:pos="1134"/>
        </w:tabs>
        <w:spacing w:before="120" w:after="120" w:line="276" w:lineRule="auto"/>
        <w:jc w:val="both"/>
        <w:rPr>
          <w:rFonts w:ascii="Tahoma" w:hAnsi="Tahoma" w:cs="Tahoma"/>
          <w:sz w:val="24"/>
          <w:szCs w:val="24"/>
        </w:rPr>
      </w:pPr>
      <w:r w:rsidRPr="00807147">
        <w:rPr>
          <w:rFonts w:ascii="Tahoma" w:hAnsi="Tahoma" w:cs="Tahoma"/>
          <w:b/>
          <w:bCs/>
          <w:sz w:val="24"/>
          <w:szCs w:val="24"/>
        </w:rPr>
        <w:t>Veniturile încasate</w:t>
      </w:r>
      <w:r w:rsidRPr="00807147">
        <w:rPr>
          <w:rFonts w:ascii="Tahoma" w:hAnsi="Tahoma" w:cs="Tahoma"/>
          <w:sz w:val="24"/>
          <w:szCs w:val="24"/>
        </w:rPr>
        <w:t xml:space="preserve"> </w:t>
      </w:r>
      <w:r w:rsidRPr="00807147">
        <w:rPr>
          <w:rFonts w:ascii="Tahoma" w:hAnsi="Tahoma" w:cs="Tahoma"/>
          <w:b/>
          <w:bCs/>
          <w:sz w:val="24"/>
          <w:szCs w:val="24"/>
        </w:rPr>
        <w:t>din economia internă</w:t>
      </w:r>
      <w:r w:rsidRPr="00807147">
        <w:rPr>
          <w:rFonts w:ascii="Tahoma" w:hAnsi="Tahoma" w:cs="Tahoma"/>
          <w:sz w:val="24"/>
          <w:szCs w:val="24"/>
        </w:rPr>
        <w:t xml:space="preserve"> (fără fonduri de la Uniunea Europeană) au fost în sumă de </w:t>
      </w:r>
      <w:r w:rsidR="00CF2B0B" w:rsidRPr="00807147">
        <w:rPr>
          <w:rFonts w:ascii="Tahoma" w:hAnsi="Tahoma" w:cs="Tahoma"/>
          <w:bCs/>
          <w:sz w:val="24"/>
          <w:szCs w:val="24"/>
        </w:rPr>
        <w:t>104,82</w:t>
      </w:r>
      <w:r w:rsidRPr="00807147">
        <w:rPr>
          <w:rFonts w:ascii="Tahoma" w:hAnsi="Tahoma" w:cs="Tahoma"/>
          <w:bCs/>
          <w:sz w:val="24"/>
          <w:szCs w:val="24"/>
        </w:rPr>
        <w:t xml:space="preserve"> </w:t>
      </w:r>
      <w:r w:rsidR="00602503" w:rsidRPr="00807147">
        <w:rPr>
          <w:rFonts w:ascii="Tahoma" w:hAnsi="Tahoma" w:cs="Tahoma"/>
          <w:bCs/>
          <w:sz w:val="24"/>
          <w:szCs w:val="24"/>
        </w:rPr>
        <w:t>miliarde</w:t>
      </w:r>
      <w:r w:rsidR="00713D80" w:rsidRPr="00807147">
        <w:rPr>
          <w:rFonts w:ascii="Tahoma" w:hAnsi="Tahoma" w:cs="Tahoma"/>
          <w:bCs/>
          <w:sz w:val="24"/>
          <w:szCs w:val="24"/>
        </w:rPr>
        <w:t xml:space="preserve"> </w:t>
      </w:r>
      <w:r w:rsidRPr="00807147">
        <w:rPr>
          <w:rFonts w:ascii="Tahoma" w:hAnsi="Tahoma" w:cs="Tahoma"/>
          <w:bCs/>
          <w:sz w:val="24"/>
          <w:szCs w:val="24"/>
        </w:rPr>
        <w:t>lei,</w:t>
      </w:r>
      <w:r w:rsidRPr="00807147">
        <w:rPr>
          <w:rFonts w:ascii="Tahoma" w:hAnsi="Tahoma" w:cs="Tahoma"/>
          <w:b/>
          <w:bCs/>
          <w:sz w:val="24"/>
          <w:szCs w:val="24"/>
        </w:rPr>
        <w:t xml:space="preserve"> </w:t>
      </w:r>
      <w:r w:rsidRPr="00807147">
        <w:rPr>
          <w:rFonts w:ascii="Tahoma" w:hAnsi="Tahoma" w:cs="Tahoma"/>
          <w:sz w:val="24"/>
          <w:szCs w:val="24"/>
        </w:rPr>
        <w:t xml:space="preserve">reprezentând </w:t>
      </w:r>
      <w:r w:rsidR="00CF2B0B" w:rsidRPr="00807147">
        <w:rPr>
          <w:rFonts w:ascii="Tahoma" w:hAnsi="Tahoma" w:cs="Tahoma"/>
          <w:sz w:val="24"/>
          <w:szCs w:val="24"/>
        </w:rPr>
        <w:t>6,6</w:t>
      </w:r>
      <w:r w:rsidRPr="00807147">
        <w:rPr>
          <w:rFonts w:ascii="Tahoma" w:hAnsi="Tahoma" w:cs="Tahoma"/>
          <w:sz w:val="24"/>
          <w:szCs w:val="24"/>
        </w:rPr>
        <w:t xml:space="preserve">% ca pondere în PIB </w:t>
      </w:r>
      <w:r w:rsidR="009D16DA" w:rsidRPr="00807147">
        <w:rPr>
          <w:rFonts w:ascii="Tahoma" w:hAnsi="Tahoma" w:cs="Tahoma"/>
          <w:sz w:val="24"/>
          <w:szCs w:val="24"/>
        </w:rPr>
        <w:t>și</w:t>
      </w:r>
      <w:r w:rsidRPr="00807147">
        <w:rPr>
          <w:rFonts w:ascii="Tahoma" w:hAnsi="Tahoma" w:cs="Tahoma"/>
          <w:sz w:val="24"/>
          <w:szCs w:val="24"/>
        </w:rPr>
        <w:t xml:space="preserve"> un grad de realizare a programului trimestrial de </w:t>
      </w:r>
      <w:r w:rsidR="00CF2B0B" w:rsidRPr="00807147">
        <w:rPr>
          <w:rFonts w:ascii="Tahoma" w:hAnsi="Tahoma" w:cs="Tahoma"/>
          <w:sz w:val="24"/>
          <w:szCs w:val="24"/>
        </w:rPr>
        <w:t>94,3</w:t>
      </w:r>
      <w:r w:rsidRPr="00807147">
        <w:rPr>
          <w:rFonts w:ascii="Tahoma" w:hAnsi="Tahoma" w:cs="Tahoma"/>
          <w:sz w:val="24"/>
          <w:szCs w:val="24"/>
        </w:rPr>
        <w:t>%.</w:t>
      </w:r>
      <w:r w:rsidR="00CF2B0B" w:rsidRPr="00807147">
        <w:rPr>
          <w:rFonts w:ascii="Tahoma" w:hAnsi="Tahoma" w:cs="Tahoma"/>
          <w:sz w:val="24"/>
          <w:szCs w:val="24"/>
        </w:rPr>
        <w:t xml:space="preserve"> Comparativ cu perioada similară a anului anterior veniturile din economia internă au crescut cu 9,6%. </w:t>
      </w:r>
    </w:p>
    <w:p w14:paraId="69F359EE" w14:textId="77777777" w:rsidR="00187781" w:rsidRPr="00807147" w:rsidRDefault="00186A0B" w:rsidP="00187781">
      <w:pPr>
        <w:tabs>
          <w:tab w:val="left" w:pos="810"/>
          <w:tab w:val="left" w:pos="1134"/>
        </w:tabs>
        <w:spacing w:before="240"/>
        <w:jc w:val="both"/>
        <w:rPr>
          <w:rFonts w:ascii="Tahoma" w:hAnsi="Tahoma" w:cs="Tahoma"/>
          <w:sz w:val="24"/>
          <w:szCs w:val="24"/>
        </w:rPr>
      </w:pPr>
      <w:r w:rsidRPr="00807147">
        <w:rPr>
          <w:rFonts w:ascii="Tahoma" w:hAnsi="Tahoma" w:cs="Tahoma"/>
          <w:noProof/>
          <w:sz w:val="24"/>
          <w:szCs w:val="24"/>
        </w:rPr>
        <w:object w:dxaOrig="9450" w:dyaOrig="5130" w14:anchorId="162576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5pt;height:213pt" o:ole="">
            <v:imagedata r:id="rId8" o:title=""/>
          </v:shape>
          <o:OLEObject Type="Link" ProgID="Excel.Sheet.12" ShapeID="_x0000_i1025" DrawAspect="Content" r:id="rId9" UpdateMode="Always">
            <o:LinkType>EnhancedMetaFile</o:LinkType>
            <o:LockedField>false</o:LockedField>
          </o:OLEObject>
        </w:object>
      </w:r>
    </w:p>
    <w:p w14:paraId="37CDF64C" w14:textId="77777777" w:rsidR="00DD52A5" w:rsidRPr="00807147" w:rsidRDefault="00DD52A5" w:rsidP="00660150">
      <w:pPr>
        <w:pStyle w:val="NormalWeb"/>
        <w:shd w:val="clear" w:color="auto" w:fill="FFFFFF"/>
        <w:tabs>
          <w:tab w:val="left" w:pos="142"/>
        </w:tabs>
        <w:spacing w:before="280"/>
        <w:ind w:right="-57" w:firstLine="0"/>
        <w:rPr>
          <w:rFonts w:ascii="Tahoma" w:hAnsi="Tahoma" w:cs="Tahoma"/>
          <w:color w:val="auto"/>
          <w:lang w:val="ro-RO"/>
        </w:rPr>
      </w:pPr>
      <w:r w:rsidRPr="00807147">
        <w:rPr>
          <w:rFonts w:ascii="Tahoma" w:hAnsi="Tahoma" w:cs="Tahoma"/>
          <w:b/>
          <w:bCs/>
          <w:color w:val="00000A"/>
          <w:lang w:val="ro-RO"/>
        </w:rPr>
        <w:lastRenderedPageBreak/>
        <w:t>Veniturile fiscale</w:t>
      </w:r>
      <w:r w:rsidRPr="00807147">
        <w:rPr>
          <w:rFonts w:ascii="Tahoma" w:hAnsi="Tahoma" w:cs="Tahoma"/>
          <w:color w:val="00000A"/>
          <w:lang w:val="ro-RO"/>
        </w:rPr>
        <w:t xml:space="preserve"> au </w:t>
      </w:r>
      <w:r w:rsidR="00C06FA2" w:rsidRPr="00807147">
        <w:rPr>
          <w:rFonts w:ascii="Tahoma" w:hAnsi="Tahoma" w:cs="Tahoma"/>
          <w:color w:val="00000A"/>
          <w:lang w:val="ro-RO"/>
        </w:rPr>
        <w:t>însumat</w:t>
      </w:r>
      <w:r w:rsidRPr="00807147">
        <w:rPr>
          <w:rFonts w:ascii="Tahoma" w:hAnsi="Tahoma" w:cs="Tahoma"/>
          <w:color w:val="00000A"/>
          <w:lang w:val="ro-RO"/>
        </w:rPr>
        <w:t xml:space="preserve"> </w:t>
      </w:r>
      <w:r w:rsidR="00363C11" w:rsidRPr="00807147">
        <w:rPr>
          <w:rFonts w:ascii="Tahoma" w:hAnsi="Tahoma" w:cs="Tahoma"/>
          <w:color w:val="00000A"/>
          <w:lang w:val="ro-RO"/>
        </w:rPr>
        <w:t>5</w:t>
      </w:r>
      <w:r w:rsidR="00D90D07" w:rsidRPr="00807147">
        <w:rPr>
          <w:rFonts w:ascii="Tahoma" w:hAnsi="Tahoma" w:cs="Tahoma"/>
          <w:color w:val="00000A"/>
          <w:lang w:val="ro-RO"/>
        </w:rPr>
        <w:t>7</w:t>
      </w:r>
      <w:r w:rsidR="00363C11" w:rsidRPr="00807147">
        <w:rPr>
          <w:rFonts w:ascii="Tahoma" w:hAnsi="Tahoma" w:cs="Tahoma"/>
          <w:color w:val="00000A"/>
          <w:lang w:val="ro-RO"/>
        </w:rPr>
        <w:t>,</w:t>
      </w:r>
      <w:r w:rsidR="00CF2B0B" w:rsidRPr="00807147">
        <w:rPr>
          <w:rFonts w:ascii="Tahoma" w:hAnsi="Tahoma" w:cs="Tahoma"/>
          <w:color w:val="00000A"/>
          <w:lang w:val="ro-RO"/>
        </w:rPr>
        <w:t>64</w:t>
      </w:r>
      <w:r w:rsidRPr="00807147">
        <w:rPr>
          <w:rFonts w:ascii="Tahoma" w:hAnsi="Tahoma" w:cs="Tahoma"/>
          <w:color w:val="00000A"/>
          <w:lang w:val="ro-RO"/>
        </w:rPr>
        <w:t xml:space="preserve"> </w:t>
      </w:r>
      <w:r w:rsidR="00602503" w:rsidRPr="00807147">
        <w:rPr>
          <w:rFonts w:ascii="Tahoma" w:hAnsi="Tahoma" w:cs="Tahoma"/>
          <w:color w:val="00000A"/>
          <w:lang w:val="ro-RO"/>
        </w:rPr>
        <w:t>miliarde</w:t>
      </w:r>
      <w:r w:rsidR="00713D80" w:rsidRPr="00807147">
        <w:rPr>
          <w:rFonts w:ascii="Tahoma" w:hAnsi="Tahoma" w:cs="Tahoma"/>
          <w:color w:val="00000A"/>
          <w:lang w:val="ro-RO"/>
        </w:rPr>
        <w:t xml:space="preserve"> </w:t>
      </w:r>
      <w:r w:rsidRPr="00807147">
        <w:rPr>
          <w:rFonts w:ascii="Tahoma" w:hAnsi="Tahoma" w:cs="Tahoma"/>
          <w:color w:val="00000A"/>
          <w:lang w:val="ro-RO"/>
        </w:rPr>
        <w:t xml:space="preserve">lei și s-au realizat în proporție de </w:t>
      </w:r>
      <w:r w:rsidR="00CF2B0B" w:rsidRPr="00807147">
        <w:rPr>
          <w:rFonts w:ascii="Tahoma" w:hAnsi="Tahoma" w:cs="Tahoma"/>
          <w:color w:val="00000A"/>
          <w:lang w:val="ro-RO"/>
        </w:rPr>
        <w:t>93</w:t>
      </w:r>
      <w:r w:rsidR="0034724E" w:rsidRPr="00807147">
        <w:rPr>
          <w:rFonts w:ascii="Tahoma" w:hAnsi="Tahoma" w:cs="Tahoma"/>
          <w:color w:val="00000A"/>
          <w:lang w:val="ro-RO"/>
        </w:rPr>
        <w:t xml:space="preserve">%. </w:t>
      </w:r>
      <w:r w:rsidR="0034724E" w:rsidRPr="00807147">
        <w:rPr>
          <w:rFonts w:ascii="Tahoma" w:hAnsi="Tahoma" w:cs="Tahoma"/>
          <w:color w:val="auto"/>
          <w:lang w:val="ro-RO"/>
        </w:rPr>
        <w:t xml:space="preserve">Acestea au reprezentat </w:t>
      </w:r>
      <w:r w:rsidR="00CF2B0B" w:rsidRPr="00807147">
        <w:rPr>
          <w:rFonts w:ascii="Tahoma" w:hAnsi="Tahoma" w:cs="Tahoma"/>
          <w:color w:val="auto"/>
          <w:lang w:val="ro-RO"/>
        </w:rPr>
        <w:t>3,6</w:t>
      </w:r>
      <w:r w:rsidRPr="00807147">
        <w:rPr>
          <w:rFonts w:ascii="Tahoma" w:hAnsi="Tahoma" w:cs="Tahoma"/>
          <w:color w:val="auto"/>
          <w:lang w:val="ro-RO"/>
        </w:rPr>
        <w:t xml:space="preserve">% din PIB, fiind cu </w:t>
      </w:r>
      <w:r w:rsidR="008E08AA" w:rsidRPr="00807147">
        <w:rPr>
          <w:rFonts w:ascii="Tahoma" w:hAnsi="Tahoma" w:cs="Tahoma"/>
          <w:color w:val="auto"/>
          <w:lang w:val="ro-RO"/>
        </w:rPr>
        <w:t>7,9</w:t>
      </w:r>
      <w:r w:rsidRPr="00807147">
        <w:rPr>
          <w:rFonts w:ascii="Tahoma" w:hAnsi="Tahoma" w:cs="Tahoma"/>
          <w:color w:val="auto"/>
          <w:lang w:val="ro-RO"/>
        </w:rPr>
        <w:t xml:space="preserve">% mai </w:t>
      </w:r>
      <w:r w:rsidR="0034724E" w:rsidRPr="00807147">
        <w:rPr>
          <w:rFonts w:ascii="Tahoma" w:hAnsi="Tahoma" w:cs="Tahoma"/>
          <w:color w:val="auto"/>
          <w:lang w:val="ro-RO"/>
        </w:rPr>
        <w:t>mari</w:t>
      </w:r>
      <w:r w:rsidRPr="00807147">
        <w:rPr>
          <w:rFonts w:ascii="Tahoma" w:hAnsi="Tahoma" w:cs="Tahoma"/>
          <w:color w:val="auto"/>
          <w:lang w:val="ro-RO"/>
        </w:rPr>
        <w:t xml:space="preserve"> comparativ cu încasările primului trimestru al anului 20</w:t>
      </w:r>
      <w:r w:rsidR="0034724E" w:rsidRPr="00807147">
        <w:rPr>
          <w:rFonts w:ascii="Tahoma" w:hAnsi="Tahoma" w:cs="Tahoma"/>
          <w:color w:val="auto"/>
          <w:lang w:val="ro-RO"/>
        </w:rPr>
        <w:t>2</w:t>
      </w:r>
      <w:r w:rsidR="008E08AA" w:rsidRPr="00807147">
        <w:rPr>
          <w:rFonts w:ascii="Tahoma" w:hAnsi="Tahoma" w:cs="Tahoma"/>
          <w:color w:val="auto"/>
          <w:lang w:val="ro-RO"/>
        </w:rPr>
        <w:t>2</w:t>
      </w:r>
      <w:r w:rsidRPr="00807147">
        <w:rPr>
          <w:rFonts w:ascii="Tahoma" w:hAnsi="Tahoma" w:cs="Tahoma"/>
          <w:color w:val="auto"/>
          <w:lang w:val="ro-RO"/>
        </w:rPr>
        <w:t>.</w:t>
      </w:r>
    </w:p>
    <w:p w14:paraId="736E9E98" w14:textId="77777777" w:rsidR="00AC08DB" w:rsidRPr="00807147" w:rsidRDefault="00186A0B" w:rsidP="00660150">
      <w:pPr>
        <w:pStyle w:val="NormalWeb"/>
        <w:shd w:val="clear" w:color="auto" w:fill="FFFFFF"/>
        <w:tabs>
          <w:tab w:val="left" w:pos="142"/>
        </w:tabs>
        <w:spacing w:before="280"/>
        <w:ind w:right="-57" w:firstLine="0"/>
        <w:rPr>
          <w:rFonts w:ascii="Tahoma" w:hAnsi="Tahoma" w:cs="Tahoma"/>
          <w:color w:val="auto"/>
          <w:lang w:val="ro-RO"/>
        </w:rPr>
      </w:pPr>
      <w:r w:rsidRPr="00807147">
        <w:rPr>
          <w:rFonts w:ascii="Tahoma" w:hAnsi="Tahoma" w:cs="Tahoma"/>
          <w:color w:val="auto"/>
          <w:lang w:val="ro-RO"/>
        </w:rPr>
        <w:object w:dxaOrig="9540" w:dyaOrig="6105" w14:anchorId="363C4082">
          <v:shape id="_x0000_i1026" type="#_x0000_t75" style="width:489.5pt;height:255pt" o:ole="">
            <v:imagedata r:id="rId10" o:title=""/>
          </v:shape>
          <o:OLEObject Type="Link" ProgID="Excel.Sheet.12" ShapeID="_x0000_i1026" DrawAspect="Content" r:id="rId11" UpdateMode="Always">
            <o:LinkType>EnhancedMetaFile</o:LinkType>
            <o:LockedField>false</o:LockedField>
          </o:OLEObject>
        </w:object>
      </w:r>
    </w:p>
    <w:p w14:paraId="75C71704" w14:textId="77777777" w:rsidR="00DD52A5" w:rsidRPr="00807147" w:rsidRDefault="00222906" w:rsidP="00AD5997">
      <w:pPr>
        <w:pStyle w:val="NormalWeb"/>
        <w:shd w:val="clear" w:color="auto" w:fill="FFFFFF"/>
        <w:spacing w:before="120" w:after="120"/>
        <w:ind w:firstLine="0"/>
        <w:rPr>
          <w:rFonts w:ascii="Tahoma" w:hAnsi="Tahoma" w:cs="Tahoma"/>
          <w:color w:val="00000A"/>
          <w:lang w:val="ro-RO"/>
        </w:rPr>
      </w:pPr>
      <w:r w:rsidRPr="00807147">
        <w:rPr>
          <w:rFonts w:ascii="Tahoma" w:hAnsi="Tahoma" w:cs="Tahoma"/>
          <w:lang w:val="ro-RO"/>
        </w:rPr>
        <w:t>În</w:t>
      </w:r>
      <w:r w:rsidR="0079445D" w:rsidRPr="00807147">
        <w:rPr>
          <w:rFonts w:ascii="Tahoma" w:hAnsi="Tahoma" w:cs="Tahoma"/>
          <w:lang w:val="ro-RO"/>
        </w:rPr>
        <w:t xml:space="preserve"> primul trimestru</w:t>
      </w:r>
      <w:r w:rsidR="008849D9" w:rsidRPr="00807147">
        <w:rPr>
          <w:rFonts w:ascii="Tahoma" w:hAnsi="Tahoma" w:cs="Tahoma"/>
          <w:lang w:val="ro-RO"/>
        </w:rPr>
        <w:t xml:space="preserve"> al anului 202</w:t>
      </w:r>
      <w:r w:rsidR="008E08AA" w:rsidRPr="00807147">
        <w:rPr>
          <w:rFonts w:ascii="Tahoma" w:hAnsi="Tahoma" w:cs="Tahoma"/>
          <w:lang w:val="ro-RO"/>
        </w:rPr>
        <w:t>3</w:t>
      </w:r>
      <w:r w:rsidR="0079445D" w:rsidRPr="00807147">
        <w:rPr>
          <w:rFonts w:ascii="Tahoma" w:hAnsi="Tahoma" w:cs="Tahoma"/>
          <w:lang w:val="ro-RO"/>
        </w:rPr>
        <w:t>, î</w:t>
      </w:r>
      <w:r w:rsidR="00DD52A5" w:rsidRPr="00807147">
        <w:rPr>
          <w:rFonts w:ascii="Tahoma" w:hAnsi="Tahoma" w:cs="Tahoma"/>
          <w:lang w:val="ro-RO"/>
        </w:rPr>
        <w:t>ncasările pe principalele categorii de impozite</w:t>
      </w:r>
      <w:r w:rsidR="0079445D" w:rsidRPr="00807147">
        <w:rPr>
          <w:rFonts w:ascii="Tahoma" w:hAnsi="Tahoma" w:cs="Tahoma"/>
          <w:lang w:val="ro-RO"/>
        </w:rPr>
        <w:t xml:space="preserve"> </w:t>
      </w:r>
      <w:r w:rsidR="00DD52A5" w:rsidRPr="00807147">
        <w:rPr>
          <w:rFonts w:ascii="Tahoma" w:hAnsi="Tahoma" w:cs="Tahoma"/>
          <w:lang w:val="ro-RO"/>
        </w:rPr>
        <w:t>au înregistrat următoarea evoluție:</w:t>
      </w:r>
    </w:p>
    <w:p w14:paraId="71CAE092" w14:textId="77777777" w:rsidR="008E08AA" w:rsidRPr="00807147" w:rsidRDefault="00363C11" w:rsidP="00AD5997">
      <w:pPr>
        <w:tabs>
          <w:tab w:val="left" w:pos="284"/>
        </w:tabs>
        <w:autoSpaceDE w:val="0"/>
        <w:autoSpaceDN w:val="0"/>
        <w:adjustRightInd w:val="0"/>
        <w:spacing w:after="120" w:line="276" w:lineRule="auto"/>
        <w:jc w:val="both"/>
        <w:rPr>
          <w:rFonts w:ascii="Tahoma" w:hAnsi="Tahoma" w:cs="Tahoma"/>
          <w:bCs/>
          <w:noProof/>
          <w:sz w:val="24"/>
          <w:szCs w:val="24"/>
          <w:lang w:eastAsia="ro-RO"/>
        </w:rPr>
      </w:pPr>
      <w:r w:rsidRPr="00807147">
        <w:rPr>
          <w:rFonts w:ascii="Tahoma" w:hAnsi="Tahoma" w:cs="Tahoma"/>
          <w:bCs/>
          <w:sz w:val="24"/>
          <w:szCs w:val="24"/>
        </w:rPr>
        <w:t xml:space="preserve">Încasările din </w:t>
      </w:r>
      <w:r w:rsidRPr="00807147">
        <w:rPr>
          <w:rFonts w:ascii="Tahoma" w:hAnsi="Tahoma" w:cs="Tahoma"/>
          <w:b/>
          <w:bCs/>
          <w:sz w:val="24"/>
          <w:szCs w:val="24"/>
        </w:rPr>
        <w:t>impozitul pe profit</w:t>
      </w:r>
      <w:r w:rsidRPr="00807147">
        <w:rPr>
          <w:rFonts w:ascii="Tahoma" w:hAnsi="Tahoma" w:cs="Tahoma"/>
          <w:bCs/>
          <w:sz w:val="24"/>
          <w:szCs w:val="24"/>
        </w:rPr>
        <w:t xml:space="preserve"> în primul trimestru al anului 202</w:t>
      </w:r>
      <w:r w:rsidR="008E08AA" w:rsidRPr="00807147">
        <w:rPr>
          <w:rFonts w:ascii="Tahoma" w:hAnsi="Tahoma" w:cs="Tahoma"/>
          <w:bCs/>
          <w:sz w:val="24"/>
          <w:szCs w:val="24"/>
        </w:rPr>
        <w:t>3</w:t>
      </w:r>
      <w:r w:rsidRPr="00807147">
        <w:rPr>
          <w:rFonts w:ascii="Tahoma" w:hAnsi="Tahoma" w:cs="Tahoma"/>
          <w:bCs/>
          <w:sz w:val="24"/>
          <w:szCs w:val="24"/>
        </w:rPr>
        <w:t xml:space="preserve"> au totalizat </w:t>
      </w:r>
      <w:r w:rsidR="008E08AA" w:rsidRPr="00807147">
        <w:rPr>
          <w:rFonts w:ascii="Tahoma" w:hAnsi="Tahoma" w:cs="Tahoma"/>
          <w:bCs/>
          <w:sz w:val="24"/>
          <w:szCs w:val="24"/>
        </w:rPr>
        <w:t>0,56</w:t>
      </w:r>
      <w:r w:rsidRPr="00807147">
        <w:rPr>
          <w:rFonts w:ascii="Tahoma" w:hAnsi="Tahoma" w:cs="Tahoma"/>
          <w:bCs/>
          <w:sz w:val="24"/>
          <w:szCs w:val="24"/>
        </w:rPr>
        <w:t xml:space="preserve"> miliard</w:t>
      </w:r>
      <w:r w:rsidR="008E08AA" w:rsidRPr="00807147">
        <w:rPr>
          <w:rFonts w:ascii="Tahoma" w:hAnsi="Tahoma" w:cs="Tahoma"/>
          <w:bCs/>
          <w:sz w:val="24"/>
          <w:szCs w:val="24"/>
        </w:rPr>
        <w:t>e</w:t>
      </w:r>
      <w:r w:rsidRPr="00807147">
        <w:rPr>
          <w:rFonts w:ascii="Tahoma" w:hAnsi="Tahoma" w:cs="Tahoma"/>
          <w:bCs/>
          <w:sz w:val="24"/>
          <w:szCs w:val="24"/>
        </w:rPr>
        <w:t xml:space="preserve"> lei, în scădere față de anul precedent cu </w:t>
      </w:r>
      <w:r w:rsidR="008E08AA" w:rsidRPr="00807147">
        <w:rPr>
          <w:rFonts w:ascii="Tahoma" w:hAnsi="Tahoma" w:cs="Tahoma"/>
          <w:bCs/>
          <w:sz w:val="24"/>
          <w:szCs w:val="24"/>
        </w:rPr>
        <w:t>4</w:t>
      </w:r>
      <w:r w:rsidRPr="00807147">
        <w:rPr>
          <w:rFonts w:ascii="Tahoma" w:hAnsi="Tahoma" w:cs="Tahoma"/>
          <w:bCs/>
          <w:sz w:val="24"/>
          <w:szCs w:val="24"/>
        </w:rPr>
        <w:t>3,9% (-</w:t>
      </w:r>
      <w:r w:rsidR="008E08AA" w:rsidRPr="00807147">
        <w:rPr>
          <w:rFonts w:ascii="Tahoma" w:hAnsi="Tahoma" w:cs="Tahoma"/>
          <w:bCs/>
          <w:sz w:val="24"/>
          <w:szCs w:val="24"/>
        </w:rPr>
        <w:t>0,44</w:t>
      </w:r>
      <w:r w:rsidRPr="00807147">
        <w:rPr>
          <w:rFonts w:ascii="Tahoma" w:hAnsi="Tahoma" w:cs="Tahoma"/>
          <w:bCs/>
          <w:sz w:val="24"/>
          <w:szCs w:val="24"/>
        </w:rPr>
        <w:t xml:space="preserve"> miliarde lei), </w:t>
      </w:r>
      <w:r w:rsidR="008E08AA" w:rsidRPr="00807147">
        <w:rPr>
          <w:rFonts w:ascii="Tahoma" w:hAnsi="Tahoma" w:cs="Tahoma"/>
          <w:bCs/>
          <w:noProof/>
          <w:sz w:val="24"/>
          <w:szCs w:val="24"/>
          <w:lang w:eastAsia="ro-RO"/>
        </w:rPr>
        <w:t xml:space="preserve">pe fondul modificării termenului legal de plată a impozitului și de depunere a </w:t>
      </w:r>
      <w:r w:rsidR="008E08AA" w:rsidRPr="00807147">
        <w:rPr>
          <w:rFonts w:ascii="Tahoma" w:eastAsia="Calibri" w:hAnsi="Tahoma" w:cs="Tahoma"/>
          <w:sz w:val="24"/>
          <w:szCs w:val="24"/>
        </w:rPr>
        <w:t>declarației anuale privind impozitul pe profit aferent anului fiscal 2022 de până la data de 25 iunie, inclusiv (O.U.G. nr. 153/2020</w:t>
      </w:r>
      <w:r w:rsidR="008E08AA" w:rsidRPr="00807147">
        <w:rPr>
          <w:rStyle w:val="FootnoteReference"/>
          <w:rFonts w:ascii="Tahoma" w:eastAsia="Calibri" w:hAnsi="Tahoma" w:cs="Tahoma"/>
          <w:sz w:val="24"/>
          <w:szCs w:val="24"/>
        </w:rPr>
        <w:footnoteReference w:id="1"/>
      </w:r>
      <w:r w:rsidR="008E08AA" w:rsidRPr="00807147">
        <w:rPr>
          <w:rFonts w:ascii="Tahoma" w:eastAsia="Calibri" w:hAnsi="Tahoma" w:cs="Tahoma"/>
          <w:sz w:val="24"/>
          <w:szCs w:val="24"/>
        </w:rPr>
        <w:t>) și al instituirii măsurii aprobate prin Legea nr. 322/2021</w:t>
      </w:r>
      <w:r w:rsidR="008E08AA" w:rsidRPr="00807147">
        <w:rPr>
          <w:rStyle w:val="FootnoteReference"/>
          <w:rFonts w:ascii="Tahoma" w:eastAsia="Calibri" w:hAnsi="Tahoma" w:cs="Tahoma"/>
          <w:sz w:val="24"/>
          <w:szCs w:val="24"/>
        </w:rPr>
        <w:footnoteReference w:id="2"/>
      </w:r>
      <w:r w:rsidR="008E08AA" w:rsidRPr="00807147">
        <w:rPr>
          <w:rFonts w:ascii="Tahoma" w:eastAsia="Calibri" w:hAnsi="Tahoma" w:cs="Tahoma"/>
          <w:sz w:val="24"/>
          <w:szCs w:val="24"/>
        </w:rPr>
        <w:t xml:space="preserve"> prin care operatorii economici au redirecționat din impozitul pe profit suma de 0,18 miliarde lei pentru efectuarea de sponsorizări și/sau acte de mecenat sau acordarea de burse private</w:t>
      </w:r>
      <w:r w:rsidR="008E08AA" w:rsidRPr="00807147">
        <w:rPr>
          <w:rFonts w:ascii="Tahoma" w:hAnsi="Tahoma" w:cs="Tahoma"/>
          <w:bCs/>
          <w:noProof/>
          <w:sz w:val="24"/>
          <w:szCs w:val="24"/>
          <w:lang w:eastAsia="ro-RO"/>
        </w:rPr>
        <w:t xml:space="preserve">. </w:t>
      </w:r>
    </w:p>
    <w:p w14:paraId="0F164571" w14:textId="77777777" w:rsidR="00AD5997" w:rsidRPr="00807147" w:rsidRDefault="006913E2" w:rsidP="00AD5997">
      <w:pPr>
        <w:tabs>
          <w:tab w:val="left" w:pos="284"/>
        </w:tabs>
        <w:autoSpaceDE w:val="0"/>
        <w:autoSpaceDN w:val="0"/>
        <w:adjustRightInd w:val="0"/>
        <w:spacing w:after="120" w:line="276" w:lineRule="auto"/>
        <w:jc w:val="both"/>
        <w:rPr>
          <w:rFonts w:ascii="Tahoma" w:eastAsia="Calibri" w:hAnsi="Tahoma" w:cs="Tahoma"/>
          <w:sz w:val="24"/>
          <w:szCs w:val="24"/>
        </w:rPr>
      </w:pPr>
      <w:r w:rsidRPr="00807147">
        <w:rPr>
          <w:rFonts w:ascii="Tahoma" w:hAnsi="Tahoma" w:cs="Tahoma"/>
          <w:bCs/>
          <w:noProof/>
          <w:sz w:val="24"/>
          <w:szCs w:val="24"/>
          <w:lang w:eastAsia="ro-RO"/>
        </w:rPr>
        <w:t xml:space="preserve">Gradul de realizare al impozitului pe profit față de programul stabilit este de </w:t>
      </w:r>
      <w:r w:rsidR="008E08AA" w:rsidRPr="00807147">
        <w:rPr>
          <w:rFonts w:ascii="Tahoma" w:hAnsi="Tahoma" w:cs="Tahoma"/>
          <w:bCs/>
          <w:noProof/>
          <w:sz w:val="24"/>
          <w:szCs w:val="24"/>
          <w:lang w:eastAsia="ro-RO"/>
        </w:rPr>
        <w:t>50,</w:t>
      </w:r>
      <w:r w:rsidR="00AD5997" w:rsidRPr="00807147">
        <w:rPr>
          <w:rFonts w:ascii="Tahoma" w:hAnsi="Tahoma" w:cs="Tahoma"/>
          <w:bCs/>
          <w:noProof/>
          <w:sz w:val="24"/>
          <w:szCs w:val="24"/>
          <w:lang w:eastAsia="ro-RO"/>
        </w:rPr>
        <w:t>4</w:t>
      </w:r>
      <w:r w:rsidRPr="00807147">
        <w:rPr>
          <w:rFonts w:ascii="Tahoma" w:hAnsi="Tahoma" w:cs="Tahoma"/>
          <w:bCs/>
          <w:noProof/>
          <w:sz w:val="24"/>
          <w:szCs w:val="24"/>
          <w:lang w:eastAsia="ro-RO"/>
        </w:rPr>
        <w:t xml:space="preserve">%, </w:t>
      </w:r>
      <w:r w:rsidR="008E08AA" w:rsidRPr="00807147">
        <w:rPr>
          <w:rFonts w:ascii="Tahoma" w:eastAsia="Calibri" w:hAnsi="Tahoma" w:cs="Tahoma"/>
          <w:sz w:val="24"/>
          <w:szCs w:val="24"/>
        </w:rPr>
        <w:t>nerealizarea datorându</w:t>
      </w:r>
      <w:r w:rsidR="00AC7A87" w:rsidRPr="00807147">
        <w:rPr>
          <w:rFonts w:ascii="Tahoma" w:eastAsia="Calibri" w:hAnsi="Tahoma" w:cs="Tahoma"/>
          <w:sz w:val="24"/>
          <w:szCs w:val="24"/>
        </w:rPr>
        <w:t>-</w:t>
      </w:r>
      <w:r w:rsidR="008E08AA" w:rsidRPr="00807147">
        <w:rPr>
          <w:rFonts w:ascii="Tahoma" w:eastAsia="Calibri" w:hAnsi="Tahoma" w:cs="Tahoma"/>
          <w:sz w:val="24"/>
          <w:szCs w:val="24"/>
        </w:rPr>
        <w:t>se, în principal, efectelor generate de cele două măsuri legislative (O.U.G. nr. 153/2020 și Legea nr. 322/2021).</w:t>
      </w:r>
    </w:p>
    <w:p w14:paraId="6472B207" w14:textId="77777777" w:rsidR="005F1823" w:rsidRPr="00807147" w:rsidRDefault="00DE15CB" w:rsidP="00AD5997">
      <w:pPr>
        <w:tabs>
          <w:tab w:val="left" w:pos="284"/>
        </w:tabs>
        <w:autoSpaceDE w:val="0"/>
        <w:autoSpaceDN w:val="0"/>
        <w:adjustRightInd w:val="0"/>
        <w:spacing w:after="120" w:line="276" w:lineRule="auto"/>
        <w:jc w:val="both"/>
        <w:rPr>
          <w:rFonts w:ascii="Tahoma" w:hAnsi="Tahoma" w:cs="Tahoma"/>
          <w:noProof/>
          <w:sz w:val="24"/>
          <w:szCs w:val="24"/>
          <w:lang w:eastAsia="ro-RO"/>
        </w:rPr>
      </w:pPr>
      <w:r w:rsidRPr="00807147">
        <w:rPr>
          <w:rFonts w:ascii="Tahoma" w:hAnsi="Tahoma" w:cs="Tahoma"/>
          <w:noProof/>
          <w:sz w:val="24"/>
          <w:szCs w:val="24"/>
          <w:lang w:eastAsia="ro-RO"/>
        </w:rPr>
        <w:lastRenderedPageBreak/>
        <w:t xml:space="preserve">Încasările din </w:t>
      </w:r>
      <w:r w:rsidRPr="00807147">
        <w:rPr>
          <w:rFonts w:ascii="Tahoma" w:hAnsi="Tahoma" w:cs="Tahoma"/>
          <w:b/>
          <w:noProof/>
          <w:sz w:val="24"/>
          <w:szCs w:val="24"/>
          <w:lang w:eastAsia="ro-RO"/>
        </w:rPr>
        <w:t>impozitul pe venit</w:t>
      </w:r>
      <w:r w:rsidRPr="00807147">
        <w:rPr>
          <w:rFonts w:ascii="Tahoma" w:hAnsi="Tahoma" w:cs="Tahoma"/>
          <w:noProof/>
          <w:sz w:val="24"/>
          <w:szCs w:val="24"/>
          <w:lang w:eastAsia="ro-RO"/>
        </w:rPr>
        <w:t xml:space="preserve"> în primul trimestru al anului 202</w:t>
      </w:r>
      <w:r w:rsidR="008E08AA" w:rsidRPr="00807147">
        <w:rPr>
          <w:rFonts w:ascii="Tahoma" w:hAnsi="Tahoma" w:cs="Tahoma"/>
          <w:noProof/>
          <w:sz w:val="24"/>
          <w:szCs w:val="24"/>
          <w:lang w:eastAsia="ro-RO"/>
        </w:rPr>
        <w:t>3</w:t>
      </w:r>
      <w:r w:rsidRPr="00807147">
        <w:rPr>
          <w:rFonts w:ascii="Tahoma" w:hAnsi="Tahoma" w:cs="Tahoma"/>
          <w:noProof/>
          <w:sz w:val="24"/>
          <w:szCs w:val="24"/>
          <w:lang w:eastAsia="ro-RO"/>
        </w:rPr>
        <w:t xml:space="preserve"> </w:t>
      </w:r>
      <w:r w:rsidR="005F1823" w:rsidRPr="00807147">
        <w:rPr>
          <w:rFonts w:ascii="Tahoma" w:hAnsi="Tahoma" w:cs="Tahoma"/>
          <w:noProof/>
          <w:sz w:val="24"/>
          <w:szCs w:val="24"/>
          <w:lang w:eastAsia="ro-RO"/>
        </w:rPr>
        <w:t xml:space="preserve">au totalizat </w:t>
      </w:r>
      <w:r w:rsidR="008E08AA" w:rsidRPr="00807147">
        <w:rPr>
          <w:rFonts w:ascii="Tahoma" w:hAnsi="Tahoma" w:cs="Tahoma"/>
          <w:noProof/>
          <w:sz w:val="24"/>
          <w:szCs w:val="24"/>
          <w:lang w:eastAsia="ro-RO"/>
        </w:rPr>
        <w:t>10,01</w:t>
      </w:r>
      <w:r w:rsidR="005F1823" w:rsidRPr="00807147">
        <w:rPr>
          <w:rFonts w:ascii="Tahoma" w:hAnsi="Tahoma" w:cs="Tahoma"/>
          <w:noProof/>
          <w:sz w:val="24"/>
          <w:szCs w:val="24"/>
          <w:lang w:eastAsia="ro-RO"/>
        </w:rPr>
        <w:t xml:space="preserve"> miliarde lei, în creștere cu </w:t>
      </w:r>
      <w:r w:rsidR="008E08AA" w:rsidRPr="00807147">
        <w:rPr>
          <w:rFonts w:ascii="Tahoma" w:hAnsi="Tahoma" w:cs="Tahoma"/>
          <w:noProof/>
          <w:sz w:val="24"/>
          <w:szCs w:val="24"/>
          <w:lang w:eastAsia="ro-RO"/>
        </w:rPr>
        <w:t>32,9</w:t>
      </w:r>
      <w:r w:rsidR="005F1823" w:rsidRPr="00807147">
        <w:rPr>
          <w:rFonts w:ascii="Tahoma" w:hAnsi="Tahoma" w:cs="Tahoma"/>
          <w:noProof/>
          <w:sz w:val="24"/>
          <w:szCs w:val="24"/>
          <w:lang w:eastAsia="ro-RO"/>
        </w:rPr>
        <w:t>% comparativ cu aceeași perioadă a anului precedent</w:t>
      </w:r>
      <w:r w:rsidR="002D0BFF" w:rsidRPr="00807147">
        <w:rPr>
          <w:rFonts w:ascii="Tahoma" w:hAnsi="Tahoma" w:cs="Tahoma"/>
          <w:noProof/>
          <w:sz w:val="24"/>
          <w:szCs w:val="24"/>
          <w:lang w:eastAsia="ro-RO"/>
        </w:rPr>
        <w:t xml:space="preserve">, </w:t>
      </w:r>
      <w:r w:rsidR="002D0BFF" w:rsidRPr="00807147">
        <w:rPr>
          <w:rFonts w:ascii="Tahoma" w:eastAsia="Calibri" w:hAnsi="Tahoma" w:cs="Tahoma"/>
          <w:sz w:val="24"/>
          <w:szCs w:val="24"/>
        </w:rPr>
        <w:t xml:space="preserve">gradul de realizare </w:t>
      </w:r>
      <w:r w:rsidR="00F25BB6" w:rsidRPr="00807147">
        <w:rPr>
          <w:rFonts w:ascii="Tahoma" w:eastAsia="Calibri" w:hAnsi="Tahoma" w:cs="Tahoma"/>
          <w:sz w:val="24"/>
          <w:szCs w:val="24"/>
        </w:rPr>
        <w:t>al programului pentru perioada analizată fiind de 118,7%</w:t>
      </w:r>
      <w:r w:rsidR="005F1823" w:rsidRPr="00807147">
        <w:rPr>
          <w:rFonts w:ascii="Tahoma" w:hAnsi="Tahoma" w:cs="Tahoma"/>
          <w:noProof/>
          <w:sz w:val="24"/>
          <w:szCs w:val="24"/>
          <w:lang w:eastAsia="ro-RO"/>
        </w:rPr>
        <w:t>.</w:t>
      </w:r>
    </w:p>
    <w:p w14:paraId="1F24964E" w14:textId="77777777" w:rsidR="00CB7882" w:rsidRPr="00807147" w:rsidRDefault="00CB7882" w:rsidP="00AD5997">
      <w:pPr>
        <w:tabs>
          <w:tab w:val="left" w:pos="284"/>
        </w:tabs>
        <w:autoSpaceDE w:val="0"/>
        <w:autoSpaceDN w:val="0"/>
        <w:adjustRightInd w:val="0"/>
        <w:spacing w:after="120" w:line="276" w:lineRule="auto"/>
        <w:jc w:val="both"/>
        <w:rPr>
          <w:rFonts w:ascii="Tahoma" w:eastAsia="Calibri" w:hAnsi="Tahoma" w:cs="Tahoma"/>
          <w:sz w:val="24"/>
          <w:szCs w:val="24"/>
        </w:rPr>
      </w:pPr>
      <w:r w:rsidRPr="00807147">
        <w:rPr>
          <w:rFonts w:ascii="Tahoma" w:eastAsia="Calibri" w:hAnsi="Tahoma" w:cs="Tahoma"/>
          <w:sz w:val="24"/>
          <w:szCs w:val="24"/>
        </w:rPr>
        <w:t>În structur</w:t>
      </w:r>
      <w:r w:rsidR="00AD5997" w:rsidRPr="00807147">
        <w:rPr>
          <w:rFonts w:ascii="Tahoma" w:eastAsia="Calibri" w:hAnsi="Tahoma" w:cs="Tahoma"/>
          <w:sz w:val="24"/>
          <w:szCs w:val="24"/>
        </w:rPr>
        <w:t>ă</w:t>
      </w:r>
      <w:r w:rsidRPr="00807147">
        <w:rPr>
          <w:rFonts w:ascii="Tahoma" w:eastAsia="Calibri" w:hAnsi="Tahoma" w:cs="Tahoma"/>
          <w:sz w:val="24"/>
          <w:szCs w:val="24"/>
        </w:rPr>
        <w:t>, încas</w:t>
      </w:r>
      <w:r w:rsidR="00AD5997" w:rsidRPr="00807147">
        <w:rPr>
          <w:rFonts w:ascii="Tahoma" w:eastAsia="Calibri" w:hAnsi="Tahoma" w:cs="Tahoma"/>
          <w:sz w:val="24"/>
          <w:szCs w:val="24"/>
        </w:rPr>
        <w:t>ă</w:t>
      </w:r>
      <w:r w:rsidRPr="00807147">
        <w:rPr>
          <w:rFonts w:ascii="Tahoma" w:eastAsia="Calibri" w:hAnsi="Tahoma" w:cs="Tahoma"/>
          <w:sz w:val="24"/>
          <w:szCs w:val="24"/>
        </w:rPr>
        <w:t>rile din impozitul pe venitul din salarii dețin o pondere de aproximativ 59,7% în aceast</w:t>
      </w:r>
      <w:r w:rsidR="00BC7A5A" w:rsidRPr="00807147">
        <w:rPr>
          <w:rFonts w:ascii="Tahoma" w:eastAsia="Calibri" w:hAnsi="Tahoma" w:cs="Tahoma"/>
          <w:sz w:val="24"/>
          <w:szCs w:val="24"/>
        </w:rPr>
        <w:t>ă</w:t>
      </w:r>
      <w:r w:rsidRPr="00807147">
        <w:rPr>
          <w:rFonts w:ascii="Tahoma" w:eastAsia="Calibri" w:hAnsi="Tahoma" w:cs="Tahoma"/>
          <w:sz w:val="24"/>
          <w:szCs w:val="24"/>
        </w:rPr>
        <w:t xml:space="preserve"> categorie și înregistreaz</w:t>
      </w:r>
      <w:r w:rsidR="00BC7A5A" w:rsidRPr="00807147">
        <w:rPr>
          <w:rFonts w:ascii="Tahoma" w:eastAsia="Calibri" w:hAnsi="Tahoma" w:cs="Tahoma"/>
          <w:sz w:val="24"/>
          <w:szCs w:val="24"/>
        </w:rPr>
        <w:t>ă</w:t>
      </w:r>
      <w:r w:rsidRPr="00807147">
        <w:rPr>
          <w:rFonts w:ascii="Tahoma" w:eastAsia="Calibri" w:hAnsi="Tahoma" w:cs="Tahoma"/>
          <w:sz w:val="24"/>
          <w:szCs w:val="24"/>
        </w:rPr>
        <w:t xml:space="preserve"> faț</w:t>
      </w:r>
      <w:r w:rsidR="00BC7A5A" w:rsidRPr="00807147">
        <w:rPr>
          <w:rFonts w:ascii="Tahoma" w:eastAsia="Calibri" w:hAnsi="Tahoma" w:cs="Tahoma"/>
          <w:sz w:val="24"/>
          <w:szCs w:val="24"/>
        </w:rPr>
        <w:t>ă</w:t>
      </w:r>
      <w:r w:rsidRPr="00807147">
        <w:rPr>
          <w:rFonts w:ascii="Tahoma" w:eastAsia="Calibri" w:hAnsi="Tahoma" w:cs="Tahoma"/>
          <w:sz w:val="24"/>
          <w:szCs w:val="24"/>
        </w:rPr>
        <w:t xml:space="preserve"> de aceeași perioad</w:t>
      </w:r>
      <w:r w:rsidR="00BC7A5A" w:rsidRPr="00807147">
        <w:rPr>
          <w:rFonts w:ascii="Tahoma" w:eastAsia="Calibri" w:hAnsi="Tahoma" w:cs="Tahoma"/>
          <w:sz w:val="24"/>
          <w:szCs w:val="24"/>
        </w:rPr>
        <w:t>ă</w:t>
      </w:r>
      <w:r w:rsidRPr="00807147">
        <w:rPr>
          <w:rFonts w:ascii="Tahoma" w:eastAsia="Calibri" w:hAnsi="Tahoma" w:cs="Tahoma"/>
          <w:sz w:val="24"/>
          <w:szCs w:val="24"/>
        </w:rPr>
        <w:t xml:space="preserve"> a anului 2022 o dinamic</w:t>
      </w:r>
      <w:r w:rsidR="00BC7A5A" w:rsidRPr="00807147">
        <w:rPr>
          <w:rFonts w:ascii="Tahoma" w:eastAsia="Calibri" w:hAnsi="Tahoma" w:cs="Tahoma"/>
          <w:sz w:val="24"/>
          <w:szCs w:val="24"/>
        </w:rPr>
        <w:t>ă</w:t>
      </w:r>
      <w:r w:rsidRPr="00807147">
        <w:rPr>
          <w:rFonts w:ascii="Tahoma" w:eastAsia="Calibri" w:hAnsi="Tahoma" w:cs="Tahoma"/>
          <w:sz w:val="24"/>
          <w:szCs w:val="24"/>
        </w:rPr>
        <w:t xml:space="preserve"> de 9,2%, sub evoluția fondului brut de salarii de 14,5%</w:t>
      </w:r>
      <w:r w:rsidR="00714122" w:rsidRPr="00807147">
        <w:rPr>
          <w:rFonts w:ascii="Tahoma" w:hAnsi="Tahoma" w:cs="Tahoma"/>
          <w:sz w:val="24"/>
          <w:szCs w:val="24"/>
          <w:vertAlign w:val="superscript"/>
        </w:rPr>
        <w:footnoteReference w:id="3"/>
      </w:r>
      <w:r w:rsidR="00714122" w:rsidRPr="00807147">
        <w:rPr>
          <w:rFonts w:ascii="Tahoma" w:eastAsia="Calibri" w:hAnsi="Tahoma" w:cs="Tahoma"/>
          <w:sz w:val="24"/>
          <w:szCs w:val="24"/>
          <w:vertAlign w:val="superscript"/>
        </w:rPr>
        <w:t>,</w:t>
      </w:r>
      <w:r w:rsidRPr="00807147">
        <w:rPr>
          <w:rFonts w:ascii="Tahoma" w:eastAsia="Calibri" w:hAnsi="Tahoma" w:cs="Tahoma"/>
          <w:sz w:val="24"/>
          <w:szCs w:val="24"/>
        </w:rPr>
        <w:t>, fiind influențat</w:t>
      </w:r>
      <w:r w:rsidR="00BC7A5A" w:rsidRPr="00807147">
        <w:rPr>
          <w:rFonts w:ascii="Tahoma" w:eastAsia="Calibri" w:hAnsi="Tahoma" w:cs="Tahoma"/>
          <w:sz w:val="24"/>
          <w:szCs w:val="24"/>
        </w:rPr>
        <w:t>ă</w:t>
      </w:r>
      <w:r w:rsidRPr="00807147">
        <w:rPr>
          <w:rFonts w:ascii="Tahoma" w:eastAsia="Calibri" w:hAnsi="Tahoma" w:cs="Tahoma"/>
          <w:sz w:val="24"/>
          <w:szCs w:val="24"/>
        </w:rPr>
        <w:t xml:space="preserve"> de m</w:t>
      </w:r>
      <w:r w:rsidR="00BC7A5A" w:rsidRPr="00807147">
        <w:rPr>
          <w:rFonts w:ascii="Tahoma" w:eastAsia="Calibri" w:hAnsi="Tahoma" w:cs="Tahoma"/>
          <w:sz w:val="24"/>
          <w:szCs w:val="24"/>
        </w:rPr>
        <w:t>ă</w:t>
      </w:r>
      <w:r w:rsidRPr="00807147">
        <w:rPr>
          <w:rFonts w:ascii="Tahoma" w:eastAsia="Calibri" w:hAnsi="Tahoma" w:cs="Tahoma"/>
          <w:sz w:val="24"/>
          <w:szCs w:val="24"/>
        </w:rPr>
        <w:t>surile privind extinderea facilit</w:t>
      </w:r>
      <w:r w:rsidR="00BC7A5A" w:rsidRPr="00807147">
        <w:rPr>
          <w:rFonts w:ascii="Tahoma" w:eastAsia="Calibri" w:hAnsi="Tahoma" w:cs="Tahoma"/>
          <w:sz w:val="24"/>
          <w:szCs w:val="24"/>
        </w:rPr>
        <w:t>ă</w:t>
      </w:r>
      <w:r w:rsidRPr="00807147">
        <w:rPr>
          <w:rFonts w:ascii="Tahoma" w:eastAsia="Calibri" w:hAnsi="Tahoma" w:cs="Tahoma"/>
          <w:sz w:val="24"/>
          <w:szCs w:val="24"/>
        </w:rPr>
        <w:t>ților acordate salariaților din sectorul agricol și industrie alimentar</w:t>
      </w:r>
      <w:r w:rsidR="00BC7A5A" w:rsidRPr="00807147">
        <w:rPr>
          <w:rFonts w:ascii="Tahoma" w:eastAsia="Calibri" w:hAnsi="Tahoma" w:cs="Tahoma"/>
          <w:sz w:val="24"/>
          <w:szCs w:val="24"/>
        </w:rPr>
        <w:t>ă</w:t>
      </w:r>
      <w:r w:rsidRPr="00807147">
        <w:rPr>
          <w:rFonts w:ascii="Tahoma" w:eastAsia="Calibri" w:hAnsi="Tahoma" w:cs="Tahoma"/>
          <w:sz w:val="24"/>
          <w:szCs w:val="24"/>
        </w:rPr>
        <w:t xml:space="preserve"> (efect negativ din scutirea de impozit pe venit din salarii, conform Legii nr. 135/2022 Legea nr. 135/2022 pentru modificarea și completarea unor acte normative),  neimpozitarea sumei de 200 lei/lun</w:t>
      </w:r>
      <w:r w:rsidR="00BC7A5A" w:rsidRPr="00807147">
        <w:rPr>
          <w:rFonts w:ascii="Tahoma" w:eastAsia="Calibri" w:hAnsi="Tahoma" w:cs="Tahoma"/>
          <w:sz w:val="24"/>
          <w:szCs w:val="24"/>
        </w:rPr>
        <w:t>ă</w:t>
      </w:r>
      <w:r w:rsidRPr="00807147">
        <w:rPr>
          <w:rFonts w:ascii="Tahoma" w:eastAsia="Calibri" w:hAnsi="Tahoma" w:cs="Tahoma"/>
          <w:sz w:val="24"/>
          <w:szCs w:val="24"/>
        </w:rPr>
        <w:t>, reprezentând venituri din salarii și asimilate salariilor pentru anumite categorii de salariați (salariații cu nivelul salariului de baz</w:t>
      </w:r>
      <w:r w:rsidR="00BC7A5A" w:rsidRPr="00807147">
        <w:rPr>
          <w:rFonts w:ascii="Tahoma" w:eastAsia="Calibri" w:hAnsi="Tahoma" w:cs="Tahoma"/>
          <w:sz w:val="24"/>
          <w:szCs w:val="24"/>
        </w:rPr>
        <w:t>ă</w:t>
      </w:r>
      <w:r w:rsidRPr="00807147">
        <w:rPr>
          <w:rFonts w:ascii="Tahoma" w:eastAsia="Calibri" w:hAnsi="Tahoma" w:cs="Tahoma"/>
          <w:sz w:val="24"/>
          <w:szCs w:val="24"/>
        </w:rPr>
        <w:t xml:space="preserve"> brut lunar egal cu nivelul salariului minim brut pe țar</w:t>
      </w:r>
      <w:r w:rsidR="00BC7A5A" w:rsidRPr="00807147">
        <w:rPr>
          <w:rFonts w:ascii="Tahoma" w:eastAsia="Calibri" w:hAnsi="Tahoma" w:cs="Tahoma"/>
          <w:sz w:val="24"/>
          <w:szCs w:val="24"/>
        </w:rPr>
        <w:t>ă</w:t>
      </w:r>
      <w:r w:rsidRPr="00807147">
        <w:rPr>
          <w:rFonts w:ascii="Tahoma" w:eastAsia="Calibri" w:hAnsi="Tahoma" w:cs="Tahoma"/>
          <w:sz w:val="24"/>
          <w:szCs w:val="24"/>
        </w:rPr>
        <w:t xml:space="preserve"> garantat în plat</w:t>
      </w:r>
      <w:r w:rsidR="00BC7A5A" w:rsidRPr="00807147">
        <w:rPr>
          <w:rFonts w:ascii="Tahoma" w:eastAsia="Calibri" w:hAnsi="Tahoma" w:cs="Tahoma"/>
          <w:sz w:val="24"/>
          <w:szCs w:val="24"/>
        </w:rPr>
        <w:t>ă</w:t>
      </w:r>
      <w:r w:rsidRPr="00807147">
        <w:rPr>
          <w:rFonts w:ascii="Tahoma" w:eastAsia="Calibri" w:hAnsi="Tahoma" w:cs="Tahoma"/>
          <w:sz w:val="24"/>
          <w:szCs w:val="24"/>
        </w:rPr>
        <w:t xml:space="preserve"> și venitul brut realizat din salarii și asimilate salariilor ce nu dep</w:t>
      </w:r>
      <w:r w:rsidR="00BC7A5A" w:rsidRPr="00807147">
        <w:rPr>
          <w:rFonts w:ascii="Tahoma" w:eastAsia="Calibri" w:hAnsi="Tahoma" w:cs="Tahoma"/>
          <w:sz w:val="24"/>
          <w:szCs w:val="24"/>
        </w:rPr>
        <w:t>ă</w:t>
      </w:r>
      <w:r w:rsidRPr="00807147">
        <w:rPr>
          <w:rFonts w:ascii="Tahoma" w:eastAsia="Calibri" w:hAnsi="Tahoma" w:cs="Tahoma"/>
          <w:sz w:val="24"/>
          <w:szCs w:val="24"/>
        </w:rPr>
        <w:t>șește nivelul de 4.000 lei inclusiv, conform O.U.G. nr. 168/2022), precum și de noile m</w:t>
      </w:r>
      <w:r w:rsidR="00BC7A5A" w:rsidRPr="00807147">
        <w:rPr>
          <w:rFonts w:ascii="Tahoma" w:eastAsia="Calibri" w:hAnsi="Tahoma" w:cs="Tahoma"/>
          <w:sz w:val="24"/>
          <w:szCs w:val="24"/>
        </w:rPr>
        <w:t>ă</w:t>
      </w:r>
      <w:r w:rsidRPr="00807147">
        <w:rPr>
          <w:rFonts w:ascii="Tahoma" w:eastAsia="Calibri" w:hAnsi="Tahoma" w:cs="Tahoma"/>
          <w:sz w:val="24"/>
          <w:szCs w:val="24"/>
        </w:rPr>
        <w:t>suri fiscale privind modificarea deducerilor personale introduse prin O.G. nr. 16/2022.</w:t>
      </w:r>
    </w:p>
    <w:p w14:paraId="59A6E70E" w14:textId="77777777" w:rsidR="00F25BB6" w:rsidRPr="00807147" w:rsidRDefault="002D0BFF" w:rsidP="00AD5997">
      <w:pPr>
        <w:tabs>
          <w:tab w:val="left" w:pos="284"/>
        </w:tabs>
        <w:autoSpaceDE w:val="0"/>
        <w:autoSpaceDN w:val="0"/>
        <w:adjustRightInd w:val="0"/>
        <w:spacing w:after="120" w:line="276" w:lineRule="auto"/>
        <w:jc w:val="both"/>
        <w:rPr>
          <w:rFonts w:ascii="Tahoma" w:hAnsi="Tahoma" w:cs="Tahoma"/>
          <w:sz w:val="24"/>
          <w:szCs w:val="24"/>
        </w:rPr>
      </w:pPr>
      <w:r w:rsidRPr="00807147">
        <w:rPr>
          <w:rFonts w:ascii="Tahoma" w:hAnsi="Tahoma" w:cs="Tahoma"/>
          <w:sz w:val="24"/>
          <w:szCs w:val="24"/>
        </w:rPr>
        <w:t>O evoluție pozitivă a veniturilor din această sursă a fost susținută în special de sporul încasărilor din impozitul pe veniturile din dividende</w:t>
      </w:r>
      <w:r w:rsidRPr="00807147">
        <w:rPr>
          <w:rStyle w:val="FootnoteReference"/>
          <w:rFonts w:ascii="Tahoma" w:hAnsi="Tahoma" w:cs="Tahoma"/>
          <w:sz w:val="24"/>
          <w:szCs w:val="24"/>
        </w:rPr>
        <w:footnoteReference w:id="4"/>
      </w:r>
      <w:r w:rsidRPr="00807147">
        <w:rPr>
          <w:rFonts w:ascii="Tahoma" w:hAnsi="Tahoma" w:cs="Tahoma"/>
          <w:sz w:val="24"/>
          <w:szCs w:val="24"/>
        </w:rPr>
        <w:t xml:space="preserve"> (+1,6 miliarde lei, pe seama creșterii semnificative a dividendelor distribuite în baza situațiilor financiare interimare întocmite în cursul anului 2022, cu reținerea cotei de impozit de 5%, conform art. IV^1 din Legea nr. 370/2022) și impozitul pe veniturile din pensii (+31,8%, creștere în care este inclusă majorarea valorii punctului de pensie cu 12,5%</w:t>
      </w:r>
      <w:r w:rsidRPr="00807147">
        <w:rPr>
          <w:rStyle w:val="FootnoteReference"/>
          <w:rFonts w:ascii="Tahoma" w:hAnsi="Tahoma" w:cs="Tahoma"/>
          <w:sz w:val="24"/>
          <w:szCs w:val="24"/>
        </w:rPr>
        <w:footnoteReference w:id="5"/>
      </w:r>
      <w:r w:rsidRPr="00807147">
        <w:rPr>
          <w:rFonts w:ascii="Tahoma" w:hAnsi="Tahoma" w:cs="Tahoma"/>
          <w:sz w:val="24"/>
          <w:szCs w:val="24"/>
        </w:rPr>
        <w:t>).</w:t>
      </w:r>
      <w:r w:rsidRPr="00807147">
        <w:rPr>
          <w:rFonts w:ascii="Tahoma" w:hAnsi="Tahoma" w:cs="Tahoma"/>
          <w:sz w:val="24"/>
          <w:szCs w:val="24"/>
        </w:rPr>
        <w:tab/>
      </w:r>
    </w:p>
    <w:p w14:paraId="72FAF12E" w14:textId="77777777" w:rsidR="005F1823" w:rsidRPr="00807147" w:rsidRDefault="00DD52A5" w:rsidP="00AD5997">
      <w:pPr>
        <w:tabs>
          <w:tab w:val="left" w:pos="284"/>
        </w:tabs>
        <w:autoSpaceDE w:val="0"/>
        <w:autoSpaceDN w:val="0"/>
        <w:adjustRightInd w:val="0"/>
        <w:spacing w:after="120" w:line="276" w:lineRule="auto"/>
        <w:jc w:val="both"/>
        <w:rPr>
          <w:rFonts w:ascii="Tahoma" w:hAnsi="Tahoma" w:cs="Tahoma"/>
          <w:sz w:val="24"/>
          <w:szCs w:val="24"/>
        </w:rPr>
      </w:pPr>
      <w:r w:rsidRPr="00807147">
        <w:rPr>
          <w:rFonts w:ascii="Tahoma" w:hAnsi="Tahoma" w:cs="Tahoma"/>
          <w:sz w:val="24"/>
          <w:szCs w:val="24"/>
        </w:rPr>
        <w:t xml:space="preserve">Încasările din </w:t>
      </w:r>
      <w:r w:rsidRPr="00807147">
        <w:rPr>
          <w:rFonts w:ascii="Tahoma" w:hAnsi="Tahoma" w:cs="Tahoma"/>
          <w:b/>
          <w:bCs/>
          <w:sz w:val="24"/>
          <w:szCs w:val="24"/>
        </w:rPr>
        <w:t xml:space="preserve">impozitele </w:t>
      </w:r>
      <w:r w:rsidR="00640FBB" w:rsidRPr="00807147">
        <w:rPr>
          <w:rFonts w:ascii="Tahoma" w:hAnsi="Tahoma" w:cs="Tahoma"/>
          <w:b/>
          <w:bCs/>
          <w:sz w:val="24"/>
          <w:szCs w:val="24"/>
        </w:rPr>
        <w:t>și</w:t>
      </w:r>
      <w:r w:rsidRPr="00807147">
        <w:rPr>
          <w:rFonts w:ascii="Tahoma" w:hAnsi="Tahoma" w:cs="Tahoma"/>
          <w:b/>
          <w:bCs/>
          <w:sz w:val="24"/>
          <w:szCs w:val="24"/>
        </w:rPr>
        <w:t xml:space="preserve"> taxele pe proprietate</w:t>
      </w:r>
      <w:r w:rsidRPr="00807147">
        <w:rPr>
          <w:rFonts w:ascii="Tahoma" w:hAnsi="Tahoma" w:cs="Tahoma"/>
          <w:sz w:val="24"/>
          <w:szCs w:val="24"/>
        </w:rPr>
        <w:t xml:space="preserve"> au însumat </w:t>
      </w:r>
      <w:r w:rsidR="00DE15CB" w:rsidRPr="00807147">
        <w:rPr>
          <w:rFonts w:ascii="Tahoma" w:hAnsi="Tahoma" w:cs="Tahoma"/>
          <w:sz w:val="24"/>
          <w:szCs w:val="24"/>
        </w:rPr>
        <w:t>4,</w:t>
      </w:r>
      <w:r w:rsidR="002D0BFF" w:rsidRPr="00807147">
        <w:rPr>
          <w:rFonts w:ascii="Tahoma" w:hAnsi="Tahoma" w:cs="Tahoma"/>
          <w:sz w:val="24"/>
          <w:szCs w:val="24"/>
        </w:rPr>
        <w:t>97</w:t>
      </w:r>
      <w:r w:rsidRPr="00807147">
        <w:rPr>
          <w:rFonts w:ascii="Tahoma" w:hAnsi="Tahoma" w:cs="Tahoma"/>
          <w:sz w:val="24"/>
          <w:szCs w:val="24"/>
        </w:rPr>
        <w:t xml:space="preserve"> </w:t>
      </w:r>
      <w:r w:rsidR="00602503" w:rsidRPr="00807147">
        <w:rPr>
          <w:rFonts w:ascii="Tahoma" w:hAnsi="Tahoma" w:cs="Tahoma"/>
          <w:sz w:val="24"/>
          <w:szCs w:val="24"/>
        </w:rPr>
        <w:t>miliarde</w:t>
      </w:r>
      <w:r w:rsidR="00713D80" w:rsidRPr="00807147">
        <w:rPr>
          <w:rFonts w:ascii="Tahoma" w:hAnsi="Tahoma" w:cs="Tahoma"/>
          <w:sz w:val="24"/>
          <w:szCs w:val="24"/>
        </w:rPr>
        <w:t xml:space="preserve"> </w:t>
      </w:r>
      <w:r w:rsidRPr="00807147">
        <w:rPr>
          <w:rFonts w:ascii="Tahoma" w:hAnsi="Tahoma" w:cs="Tahoma"/>
          <w:sz w:val="24"/>
          <w:szCs w:val="24"/>
        </w:rPr>
        <w:t>lei (0,</w:t>
      </w:r>
      <w:r w:rsidR="002D0BFF" w:rsidRPr="00807147">
        <w:rPr>
          <w:rFonts w:ascii="Tahoma" w:hAnsi="Tahoma" w:cs="Tahoma"/>
          <w:sz w:val="24"/>
          <w:szCs w:val="24"/>
        </w:rPr>
        <w:t>3</w:t>
      </w:r>
      <w:r w:rsidRPr="00807147">
        <w:rPr>
          <w:rFonts w:ascii="Tahoma" w:hAnsi="Tahoma" w:cs="Tahoma"/>
          <w:sz w:val="24"/>
          <w:szCs w:val="24"/>
        </w:rPr>
        <w:t xml:space="preserve">% din PIB) și s-au realizat în proporție de </w:t>
      </w:r>
      <w:r w:rsidR="002D0BFF" w:rsidRPr="00807147">
        <w:rPr>
          <w:rFonts w:ascii="Tahoma" w:hAnsi="Tahoma" w:cs="Tahoma"/>
          <w:sz w:val="24"/>
          <w:szCs w:val="24"/>
        </w:rPr>
        <w:t>77,2</w:t>
      </w:r>
      <w:r w:rsidRPr="00807147">
        <w:rPr>
          <w:rFonts w:ascii="Tahoma" w:hAnsi="Tahoma" w:cs="Tahoma"/>
          <w:sz w:val="24"/>
          <w:szCs w:val="24"/>
        </w:rPr>
        <w:t xml:space="preserve">%. </w:t>
      </w:r>
      <w:r w:rsidR="0033447D" w:rsidRPr="00807147">
        <w:rPr>
          <w:rFonts w:ascii="Tahoma" w:hAnsi="Tahoma" w:cs="Tahoma"/>
          <w:sz w:val="24"/>
          <w:szCs w:val="24"/>
        </w:rPr>
        <w:t>Totodată, c</w:t>
      </w:r>
      <w:r w:rsidRPr="00807147">
        <w:rPr>
          <w:rFonts w:ascii="Tahoma" w:hAnsi="Tahoma" w:cs="Tahoma"/>
          <w:sz w:val="24"/>
          <w:szCs w:val="24"/>
        </w:rPr>
        <w:t>omparativ cu încasările din trimestrul I 20</w:t>
      </w:r>
      <w:r w:rsidR="00DE15CB" w:rsidRPr="00807147">
        <w:rPr>
          <w:rFonts w:ascii="Tahoma" w:hAnsi="Tahoma" w:cs="Tahoma"/>
          <w:sz w:val="24"/>
          <w:szCs w:val="24"/>
        </w:rPr>
        <w:t>2</w:t>
      </w:r>
      <w:r w:rsidR="002D0BFF" w:rsidRPr="00807147">
        <w:rPr>
          <w:rFonts w:ascii="Tahoma" w:hAnsi="Tahoma" w:cs="Tahoma"/>
          <w:sz w:val="24"/>
          <w:szCs w:val="24"/>
        </w:rPr>
        <w:t>2</w:t>
      </w:r>
      <w:r w:rsidRPr="00807147">
        <w:rPr>
          <w:rFonts w:ascii="Tahoma" w:hAnsi="Tahoma" w:cs="Tahoma"/>
          <w:sz w:val="24"/>
          <w:szCs w:val="24"/>
        </w:rPr>
        <w:t xml:space="preserve">, acestea au </w:t>
      </w:r>
      <w:r w:rsidR="00DE15CB" w:rsidRPr="00807147">
        <w:rPr>
          <w:rFonts w:ascii="Tahoma" w:hAnsi="Tahoma" w:cs="Tahoma"/>
          <w:sz w:val="24"/>
          <w:szCs w:val="24"/>
        </w:rPr>
        <w:t>crescut</w:t>
      </w:r>
      <w:r w:rsidRPr="00807147">
        <w:rPr>
          <w:rFonts w:ascii="Tahoma" w:hAnsi="Tahoma" w:cs="Tahoma"/>
          <w:sz w:val="24"/>
          <w:szCs w:val="24"/>
        </w:rPr>
        <w:t xml:space="preserve"> cu </w:t>
      </w:r>
      <w:r w:rsidR="002D0BFF" w:rsidRPr="00807147">
        <w:rPr>
          <w:rFonts w:ascii="Tahoma" w:hAnsi="Tahoma" w:cs="Tahoma"/>
          <w:sz w:val="24"/>
          <w:szCs w:val="24"/>
        </w:rPr>
        <w:t>7</w:t>
      </w:r>
      <w:r w:rsidR="005F1823" w:rsidRPr="00807147">
        <w:rPr>
          <w:rFonts w:ascii="Tahoma" w:hAnsi="Tahoma" w:cs="Tahoma"/>
          <w:sz w:val="24"/>
          <w:szCs w:val="24"/>
        </w:rPr>
        <w:t>,9</w:t>
      </w:r>
      <w:r w:rsidRPr="00807147">
        <w:rPr>
          <w:rFonts w:ascii="Tahoma" w:hAnsi="Tahoma" w:cs="Tahoma"/>
          <w:sz w:val="24"/>
          <w:szCs w:val="24"/>
        </w:rPr>
        <w:t>%</w:t>
      </w:r>
      <w:r w:rsidR="00807147" w:rsidRPr="00807147">
        <w:rPr>
          <w:rFonts w:ascii="Tahoma" w:hAnsi="Tahoma" w:cs="Tahoma"/>
          <w:sz w:val="24"/>
          <w:szCs w:val="24"/>
        </w:rPr>
        <w:t xml:space="preserve"> </w:t>
      </w:r>
      <w:r w:rsidR="002D0BFF" w:rsidRPr="00807147">
        <w:rPr>
          <w:rFonts w:ascii="Tahoma" w:hAnsi="Tahoma" w:cs="Tahoma"/>
          <w:sz w:val="24"/>
          <w:szCs w:val="24"/>
        </w:rPr>
        <w:t>(+0,36 miliarde lei)</w:t>
      </w:r>
      <w:r w:rsidR="005F1823" w:rsidRPr="00807147">
        <w:rPr>
          <w:rFonts w:ascii="Tahoma" w:hAnsi="Tahoma" w:cs="Tahoma"/>
          <w:sz w:val="24"/>
          <w:szCs w:val="24"/>
        </w:rPr>
        <w:t>.</w:t>
      </w:r>
      <w:r w:rsidR="00124758" w:rsidRPr="00807147">
        <w:rPr>
          <w:rFonts w:ascii="Tahoma" w:hAnsi="Tahoma" w:cs="Tahoma"/>
          <w:sz w:val="24"/>
          <w:szCs w:val="24"/>
        </w:rPr>
        <w:t xml:space="preserve"> Nerealizarea programului de încasări pentru perioada analizată s-a datorat evoluției încasărilor la bugetele locale </w:t>
      </w:r>
      <w:r w:rsidR="00124758" w:rsidRPr="00807147">
        <w:rPr>
          <w:rFonts w:ascii="Tahoma" w:eastAsia="Calibri" w:hAnsi="Tahoma" w:cs="Tahoma"/>
          <w:sz w:val="24"/>
          <w:szCs w:val="24"/>
        </w:rPr>
        <w:t>ca urmare a modificărilor legislative aduse impozitului pe proprietate (impozit/taxa pe clădiri și impozit/taxa pe teren) prin Legea nr. 370/2022, ce au fost adoptate după aprobarea legilor bugetare pe anul 2023, în timp ce proiecția veniturilor a avut la bază prevederile O.G. nr. 16/2022.</w:t>
      </w:r>
    </w:p>
    <w:p w14:paraId="20035D89" w14:textId="77777777" w:rsidR="00AC7A87" w:rsidRPr="00807147" w:rsidRDefault="00DE15CB" w:rsidP="00AD5997">
      <w:pPr>
        <w:autoSpaceDE w:val="0"/>
        <w:autoSpaceDN w:val="0"/>
        <w:adjustRightInd w:val="0"/>
        <w:spacing w:after="120" w:line="276" w:lineRule="auto"/>
        <w:jc w:val="both"/>
        <w:rPr>
          <w:rFonts w:ascii="Tahoma" w:eastAsia="Calibri" w:hAnsi="Tahoma" w:cs="Tahoma"/>
          <w:sz w:val="24"/>
          <w:szCs w:val="24"/>
        </w:rPr>
      </w:pPr>
      <w:r w:rsidRPr="00807147">
        <w:rPr>
          <w:rFonts w:ascii="Tahoma" w:eastAsia="Calibri" w:hAnsi="Tahoma" w:cs="Tahoma"/>
          <w:sz w:val="24"/>
          <w:szCs w:val="24"/>
        </w:rPr>
        <w:t xml:space="preserve">Încasările din </w:t>
      </w:r>
      <w:r w:rsidRPr="00807147">
        <w:rPr>
          <w:rFonts w:ascii="Tahoma" w:eastAsia="Calibri" w:hAnsi="Tahoma" w:cs="Tahoma"/>
          <w:b/>
          <w:sz w:val="24"/>
          <w:szCs w:val="24"/>
        </w:rPr>
        <w:t>taxa pe valoarea adăugată</w:t>
      </w:r>
      <w:r w:rsidRPr="00807147">
        <w:rPr>
          <w:rFonts w:ascii="Tahoma" w:eastAsia="Calibri" w:hAnsi="Tahoma" w:cs="Tahoma"/>
          <w:sz w:val="24"/>
          <w:szCs w:val="24"/>
        </w:rPr>
        <w:t xml:space="preserve"> </w:t>
      </w:r>
      <w:r w:rsidR="00AC7A87" w:rsidRPr="00807147">
        <w:rPr>
          <w:rFonts w:ascii="Tahoma" w:eastAsia="Calibri" w:hAnsi="Tahoma" w:cs="Tahoma"/>
          <w:sz w:val="24"/>
          <w:szCs w:val="24"/>
        </w:rPr>
        <w:t xml:space="preserve">au fost în sumă de 25,85 miliarde lei, înregistrând o creștere a încasărilor din TVA cu 9,4% (+2,22 miliarde lei), comparativ cu încasările aferente trimestrului I 2022, și un grad de realizare al programului trimestrial de 94,6% (-1,46 miliarde lei). </w:t>
      </w:r>
    </w:p>
    <w:p w14:paraId="3C2812EF" w14:textId="77777777" w:rsidR="00AC7A87" w:rsidRPr="00807147" w:rsidRDefault="00AC7A87" w:rsidP="007A0021">
      <w:pPr>
        <w:autoSpaceDE w:val="0"/>
        <w:autoSpaceDN w:val="0"/>
        <w:adjustRightInd w:val="0"/>
        <w:spacing w:after="120" w:line="276" w:lineRule="auto"/>
        <w:jc w:val="both"/>
        <w:rPr>
          <w:rFonts w:ascii="Tahoma" w:eastAsia="Calibri" w:hAnsi="Tahoma" w:cs="Tahoma"/>
          <w:sz w:val="24"/>
          <w:szCs w:val="24"/>
        </w:rPr>
      </w:pPr>
      <w:r w:rsidRPr="00807147">
        <w:rPr>
          <w:rFonts w:ascii="Tahoma" w:eastAsia="Calibri" w:hAnsi="Tahoma" w:cs="Tahoma"/>
          <w:sz w:val="24"/>
          <w:szCs w:val="24"/>
        </w:rPr>
        <w:lastRenderedPageBreak/>
        <w:t>În structură, TVA încasată</w:t>
      </w:r>
      <w:r w:rsidRPr="00807147">
        <w:rPr>
          <w:rFonts w:ascii="Tahoma" w:eastAsia="Calibri" w:hAnsi="Tahoma" w:cs="Tahoma"/>
          <w:sz w:val="24"/>
          <w:szCs w:val="24"/>
          <w:vertAlign w:val="superscript"/>
        </w:rPr>
        <w:footnoteReference w:id="6"/>
      </w:r>
      <w:r w:rsidRPr="00807147">
        <w:rPr>
          <w:rFonts w:ascii="Tahoma" w:eastAsia="Calibri" w:hAnsi="Tahoma" w:cs="Tahoma"/>
          <w:sz w:val="24"/>
          <w:szCs w:val="24"/>
        </w:rPr>
        <w:t xml:space="preserve"> s-a majorat cu 10,5% (+3,0 miliarde lei) față de trimestrul I al anului 2022</w:t>
      </w:r>
      <w:r w:rsidRPr="00807147">
        <w:rPr>
          <w:rFonts w:ascii="Tahoma" w:eastAsia="Calibri" w:hAnsi="Tahoma" w:cs="Tahoma"/>
          <w:sz w:val="24"/>
          <w:szCs w:val="24"/>
          <w:vertAlign w:val="superscript"/>
        </w:rPr>
        <w:footnoteReference w:id="7"/>
      </w:r>
      <w:r w:rsidRPr="00807147">
        <w:rPr>
          <w:rFonts w:ascii="Tahoma" w:eastAsia="Calibri" w:hAnsi="Tahoma" w:cs="Tahoma"/>
          <w:sz w:val="24"/>
          <w:szCs w:val="24"/>
        </w:rPr>
        <w:t>, iar valoarea restituirilor de taxă pe valoare adăugată a crescut cu 17,3% (0,8 miliarde lei), influențând nerealizarea țintei trimestriale a veniturilor din TVA. În perioada analizată media TVA restituită a fost de 1,8 miliarde lei, situându-se peste media de 1,5 miliarde lei înregistrată în perioada similară a anului precedent.</w:t>
      </w:r>
    </w:p>
    <w:p w14:paraId="686B1D35" w14:textId="77777777" w:rsidR="00AC7A87" w:rsidRPr="00807147" w:rsidRDefault="00AC7A87" w:rsidP="007A0021">
      <w:pPr>
        <w:autoSpaceDE w:val="0"/>
        <w:autoSpaceDN w:val="0"/>
        <w:adjustRightInd w:val="0"/>
        <w:spacing w:after="120" w:line="276" w:lineRule="auto"/>
        <w:jc w:val="both"/>
        <w:rPr>
          <w:rFonts w:ascii="Tahoma" w:eastAsia="Calibri" w:hAnsi="Tahoma" w:cs="Tahoma"/>
          <w:sz w:val="24"/>
          <w:szCs w:val="24"/>
        </w:rPr>
      </w:pPr>
      <w:r w:rsidRPr="00807147">
        <w:rPr>
          <w:rFonts w:ascii="Tahoma" w:eastAsia="Calibri" w:hAnsi="Tahoma" w:cs="Tahoma"/>
          <w:sz w:val="24"/>
          <w:szCs w:val="24"/>
        </w:rPr>
        <w:t>Valoarea TVA de plată declarată în perioada analizată a crescut cu 16,1% (+4,2 miliarde lei), față de perioada similară a anului 2022. Activitățile economice care au înregistrat creșteri semnificative a TVA de plată, comparativ cu celelalte activități economice, au fost evidențiate pe codurile CAEN 46 (Comerț cu ridicata cu excepția comerțului cu autovehicule și motociclete) și CAEN 47 (</w:t>
      </w:r>
      <w:r w:rsidR="00346296" w:rsidRPr="00807147">
        <w:rPr>
          <w:rFonts w:ascii="Tahoma" w:eastAsia="Calibri" w:hAnsi="Tahoma" w:cs="Tahoma"/>
          <w:sz w:val="24"/>
          <w:szCs w:val="24"/>
        </w:rPr>
        <w:t>Comerț</w:t>
      </w:r>
      <w:r w:rsidRPr="00807147">
        <w:rPr>
          <w:rFonts w:ascii="Tahoma" w:eastAsia="Calibri" w:hAnsi="Tahoma" w:cs="Tahoma"/>
          <w:sz w:val="24"/>
          <w:szCs w:val="24"/>
        </w:rPr>
        <w:t xml:space="preserve"> cu amănuntul, cu </w:t>
      </w:r>
      <w:r w:rsidR="00346296" w:rsidRPr="00807147">
        <w:rPr>
          <w:rFonts w:ascii="Tahoma" w:eastAsia="Calibri" w:hAnsi="Tahoma" w:cs="Tahoma"/>
          <w:sz w:val="24"/>
          <w:szCs w:val="24"/>
        </w:rPr>
        <w:t>excepția</w:t>
      </w:r>
      <w:r w:rsidRPr="00807147">
        <w:rPr>
          <w:rFonts w:ascii="Tahoma" w:eastAsia="Calibri" w:hAnsi="Tahoma" w:cs="Tahoma"/>
          <w:sz w:val="24"/>
          <w:szCs w:val="24"/>
        </w:rPr>
        <w:t xml:space="preserve"> autovehiculelor </w:t>
      </w:r>
      <w:r w:rsidR="00346296" w:rsidRPr="00807147">
        <w:rPr>
          <w:rFonts w:ascii="Tahoma" w:eastAsia="Calibri" w:hAnsi="Tahoma" w:cs="Tahoma"/>
          <w:sz w:val="24"/>
          <w:szCs w:val="24"/>
        </w:rPr>
        <w:t>și</w:t>
      </w:r>
      <w:r w:rsidRPr="00807147">
        <w:rPr>
          <w:rFonts w:ascii="Tahoma" w:eastAsia="Calibri" w:hAnsi="Tahoma" w:cs="Tahoma"/>
          <w:sz w:val="24"/>
          <w:szCs w:val="24"/>
        </w:rPr>
        <w:t xml:space="preserve"> motocicletelor). Aceste ramuri economice au reprezentat 55% din totalul creșterii înregistrată în perioada analizată.</w:t>
      </w:r>
    </w:p>
    <w:p w14:paraId="704C77E8" w14:textId="77777777" w:rsidR="00AC7A87" w:rsidRPr="00807147" w:rsidRDefault="00AC7A87" w:rsidP="007A0021">
      <w:pPr>
        <w:autoSpaceDE w:val="0"/>
        <w:autoSpaceDN w:val="0"/>
        <w:adjustRightInd w:val="0"/>
        <w:spacing w:after="120" w:line="276" w:lineRule="auto"/>
        <w:jc w:val="both"/>
        <w:rPr>
          <w:rFonts w:ascii="Tahoma" w:eastAsia="Calibri" w:hAnsi="Tahoma" w:cs="Tahoma"/>
          <w:sz w:val="24"/>
          <w:szCs w:val="24"/>
        </w:rPr>
      </w:pPr>
      <w:r w:rsidRPr="00807147">
        <w:rPr>
          <w:rFonts w:ascii="Tahoma" w:eastAsia="Calibri" w:hAnsi="Tahoma" w:cs="Tahoma"/>
          <w:sz w:val="24"/>
          <w:szCs w:val="24"/>
        </w:rPr>
        <w:t xml:space="preserve">Volumul cifrei de afaceri din </w:t>
      </w:r>
      <w:r w:rsidR="00346296" w:rsidRPr="00807147">
        <w:rPr>
          <w:rFonts w:ascii="Tahoma" w:eastAsia="Calibri" w:hAnsi="Tahoma" w:cs="Tahoma"/>
          <w:sz w:val="24"/>
          <w:szCs w:val="24"/>
        </w:rPr>
        <w:t>comerțul</w:t>
      </w:r>
      <w:r w:rsidRPr="00807147">
        <w:rPr>
          <w:rFonts w:ascii="Tahoma" w:eastAsia="Calibri" w:hAnsi="Tahoma" w:cs="Tahoma"/>
          <w:sz w:val="24"/>
          <w:szCs w:val="24"/>
        </w:rPr>
        <w:t xml:space="preserve"> cu amănuntul</w:t>
      </w:r>
      <w:r w:rsidRPr="00807147">
        <w:rPr>
          <w:rFonts w:ascii="Tahoma" w:eastAsia="Calibri" w:hAnsi="Tahoma" w:cs="Tahoma"/>
          <w:sz w:val="24"/>
          <w:szCs w:val="24"/>
          <w:vertAlign w:val="superscript"/>
        </w:rPr>
        <w:footnoteReference w:id="8"/>
      </w:r>
      <w:r w:rsidRPr="00807147">
        <w:rPr>
          <w:rFonts w:ascii="Tahoma" w:eastAsia="Calibri" w:hAnsi="Tahoma" w:cs="Tahoma"/>
          <w:sz w:val="24"/>
          <w:szCs w:val="24"/>
        </w:rPr>
        <w:t xml:space="preserve"> (cu </w:t>
      </w:r>
      <w:r w:rsidR="00346296" w:rsidRPr="00807147">
        <w:rPr>
          <w:rFonts w:ascii="Tahoma" w:eastAsia="Calibri" w:hAnsi="Tahoma" w:cs="Tahoma"/>
          <w:sz w:val="24"/>
          <w:szCs w:val="24"/>
        </w:rPr>
        <w:t>excepția</w:t>
      </w:r>
      <w:r w:rsidRPr="00807147">
        <w:rPr>
          <w:rFonts w:ascii="Tahoma" w:eastAsia="Calibri" w:hAnsi="Tahoma" w:cs="Tahoma"/>
          <w:sz w:val="24"/>
          <w:szCs w:val="24"/>
        </w:rPr>
        <w:t xml:space="preserve"> </w:t>
      </w:r>
      <w:r w:rsidR="00346296" w:rsidRPr="00807147">
        <w:rPr>
          <w:rFonts w:ascii="Tahoma" w:eastAsia="Calibri" w:hAnsi="Tahoma" w:cs="Tahoma"/>
          <w:sz w:val="24"/>
          <w:szCs w:val="24"/>
        </w:rPr>
        <w:t>comerțului</w:t>
      </w:r>
      <w:r w:rsidRPr="00807147">
        <w:rPr>
          <w:rFonts w:ascii="Tahoma" w:eastAsia="Calibri" w:hAnsi="Tahoma" w:cs="Tahoma"/>
          <w:sz w:val="24"/>
          <w:szCs w:val="24"/>
        </w:rPr>
        <w:t xml:space="preserve"> cu autovehicule </w:t>
      </w:r>
      <w:r w:rsidR="00346296" w:rsidRPr="00807147">
        <w:rPr>
          <w:rFonts w:ascii="Tahoma" w:eastAsia="Calibri" w:hAnsi="Tahoma" w:cs="Tahoma"/>
          <w:sz w:val="24"/>
          <w:szCs w:val="24"/>
        </w:rPr>
        <w:t>și</w:t>
      </w:r>
      <w:r w:rsidRPr="00807147">
        <w:rPr>
          <w:rFonts w:ascii="Tahoma" w:eastAsia="Calibri" w:hAnsi="Tahoma" w:cs="Tahoma"/>
          <w:sz w:val="24"/>
          <w:szCs w:val="24"/>
        </w:rPr>
        <w:t xml:space="preserve"> motociclete), serie brută, în perioada 1.I-28.II.2023, comparativ cu perioada 1.I-28.II.2022, a înregistrat o </w:t>
      </w:r>
      <w:r w:rsidR="00346296" w:rsidRPr="00807147">
        <w:rPr>
          <w:rFonts w:ascii="Tahoma" w:eastAsia="Calibri" w:hAnsi="Tahoma" w:cs="Tahoma"/>
          <w:sz w:val="24"/>
          <w:szCs w:val="24"/>
        </w:rPr>
        <w:t>creștere</w:t>
      </w:r>
      <w:r w:rsidRPr="00807147">
        <w:rPr>
          <w:rFonts w:ascii="Tahoma" w:eastAsia="Calibri" w:hAnsi="Tahoma" w:cs="Tahoma"/>
          <w:sz w:val="24"/>
          <w:szCs w:val="24"/>
        </w:rPr>
        <w:t xml:space="preserve">, pe ansamblu, cu 3,9%, datorită </w:t>
      </w:r>
      <w:r w:rsidR="00346296" w:rsidRPr="00807147">
        <w:rPr>
          <w:rFonts w:ascii="Tahoma" w:eastAsia="Calibri" w:hAnsi="Tahoma" w:cs="Tahoma"/>
          <w:sz w:val="24"/>
          <w:szCs w:val="24"/>
        </w:rPr>
        <w:t>creșterilor</w:t>
      </w:r>
      <w:r w:rsidRPr="00807147">
        <w:rPr>
          <w:rFonts w:ascii="Tahoma" w:eastAsia="Calibri" w:hAnsi="Tahoma" w:cs="Tahoma"/>
          <w:sz w:val="24"/>
          <w:szCs w:val="24"/>
        </w:rPr>
        <w:t xml:space="preserve"> vânzărilor de produse alimentare, băuturi </w:t>
      </w:r>
      <w:r w:rsidR="00346296" w:rsidRPr="00807147">
        <w:rPr>
          <w:rFonts w:ascii="Tahoma" w:eastAsia="Calibri" w:hAnsi="Tahoma" w:cs="Tahoma"/>
          <w:sz w:val="24"/>
          <w:szCs w:val="24"/>
        </w:rPr>
        <w:t>și</w:t>
      </w:r>
      <w:r w:rsidRPr="00807147">
        <w:rPr>
          <w:rFonts w:ascii="Tahoma" w:eastAsia="Calibri" w:hAnsi="Tahoma" w:cs="Tahoma"/>
          <w:sz w:val="24"/>
          <w:szCs w:val="24"/>
        </w:rPr>
        <w:t xml:space="preserve"> tutun (+5,9%) </w:t>
      </w:r>
      <w:r w:rsidR="00346296" w:rsidRPr="00807147">
        <w:rPr>
          <w:rFonts w:ascii="Tahoma" w:eastAsia="Calibri" w:hAnsi="Tahoma" w:cs="Tahoma"/>
          <w:sz w:val="24"/>
          <w:szCs w:val="24"/>
        </w:rPr>
        <w:t>și</w:t>
      </w:r>
      <w:r w:rsidRPr="00807147">
        <w:rPr>
          <w:rFonts w:ascii="Tahoma" w:eastAsia="Calibri" w:hAnsi="Tahoma" w:cs="Tahoma"/>
          <w:sz w:val="24"/>
          <w:szCs w:val="24"/>
        </w:rPr>
        <w:t xml:space="preserve"> vânzărilor de produse nealimentare (+5,4%). </w:t>
      </w:r>
      <w:r w:rsidR="00346296" w:rsidRPr="00807147">
        <w:rPr>
          <w:rFonts w:ascii="Tahoma" w:eastAsia="Calibri" w:hAnsi="Tahoma" w:cs="Tahoma"/>
          <w:sz w:val="24"/>
          <w:szCs w:val="24"/>
        </w:rPr>
        <w:t>Comerțul</w:t>
      </w:r>
      <w:r w:rsidRPr="00807147">
        <w:rPr>
          <w:rFonts w:ascii="Tahoma" w:eastAsia="Calibri" w:hAnsi="Tahoma" w:cs="Tahoma"/>
          <w:sz w:val="24"/>
          <w:szCs w:val="24"/>
        </w:rPr>
        <w:t xml:space="preserve"> cu amănuntul al </w:t>
      </w:r>
      <w:r w:rsidR="00346296" w:rsidRPr="00807147">
        <w:rPr>
          <w:rFonts w:ascii="Tahoma" w:eastAsia="Calibri" w:hAnsi="Tahoma" w:cs="Tahoma"/>
          <w:sz w:val="24"/>
          <w:szCs w:val="24"/>
        </w:rPr>
        <w:t>carburanților</w:t>
      </w:r>
      <w:r w:rsidRPr="00807147">
        <w:rPr>
          <w:rFonts w:ascii="Tahoma" w:eastAsia="Calibri" w:hAnsi="Tahoma" w:cs="Tahoma"/>
          <w:sz w:val="24"/>
          <w:szCs w:val="24"/>
        </w:rPr>
        <w:t xml:space="preserve"> pentru autovehicule în magazine specializate a scăzut cu 2,7%.</w:t>
      </w:r>
    </w:p>
    <w:p w14:paraId="40A0F093" w14:textId="77777777" w:rsidR="00AC7A87" w:rsidRPr="00807147" w:rsidRDefault="00AC7A87" w:rsidP="007A0021">
      <w:pPr>
        <w:autoSpaceDE w:val="0"/>
        <w:autoSpaceDN w:val="0"/>
        <w:adjustRightInd w:val="0"/>
        <w:spacing w:after="120" w:line="276" w:lineRule="auto"/>
        <w:jc w:val="both"/>
        <w:rPr>
          <w:rFonts w:ascii="Tahoma" w:eastAsia="Calibri" w:hAnsi="Tahoma" w:cs="Tahoma"/>
          <w:sz w:val="24"/>
          <w:szCs w:val="24"/>
        </w:rPr>
      </w:pPr>
      <w:r w:rsidRPr="00807147">
        <w:rPr>
          <w:rFonts w:ascii="Tahoma" w:eastAsia="Calibri" w:hAnsi="Tahoma" w:cs="Tahoma"/>
          <w:sz w:val="24"/>
          <w:szCs w:val="24"/>
        </w:rPr>
        <w:t>Valoarea schimburilor extra comunitare de bunuri</w:t>
      </w:r>
      <w:r w:rsidRPr="00807147">
        <w:rPr>
          <w:rFonts w:ascii="Tahoma" w:eastAsia="Calibri" w:hAnsi="Tahoma" w:cs="Tahoma"/>
          <w:sz w:val="24"/>
          <w:szCs w:val="24"/>
          <w:vertAlign w:val="superscript"/>
        </w:rPr>
        <w:footnoteReference w:id="9"/>
      </w:r>
      <w:r w:rsidRPr="00807147">
        <w:rPr>
          <w:rFonts w:ascii="Tahoma" w:eastAsia="Calibri" w:hAnsi="Tahoma" w:cs="Tahoma"/>
          <w:sz w:val="24"/>
          <w:szCs w:val="24"/>
          <w:vertAlign w:val="superscript"/>
        </w:rPr>
        <w:t xml:space="preserve"> </w:t>
      </w:r>
      <w:r w:rsidRPr="00807147">
        <w:rPr>
          <w:rFonts w:ascii="Tahoma" w:eastAsia="Calibri" w:hAnsi="Tahoma" w:cs="Tahoma"/>
          <w:sz w:val="24"/>
          <w:szCs w:val="24"/>
        </w:rPr>
        <w:t xml:space="preserve">(Extra-UE27) (la valori exprimate în lei)  s-a diminuat cu 4,7% la importuri, iar la exporturi a crescut cu 3,0% în primele 2 luni ale anului 2023 comparativ cu perioada similară a anului precedent. </w:t>
      </w:r>
    </w:p>
    <w:p w14:paraId="793A0374" w14:textId="77777777" w:rsidR="00714122" w:rsidRPr="00807147" w:rsidRDefault="00090FD5" w:rsidP="007A0021">
      <w:pPr>
        <w:autoSpaceDE w:val="0"/>
        <w:autoSpaceDN w:val="0"/>
        <w:adjustRightInd w:val="0"/>
        <w:spacing w:after="120" w:line="276" w:lineRule="auto"/>
        <w:jc w:val="both"/>
        <w:rPr>
          <w:rFonts w:ascii="Tahoma" w:eastAsia="Calibri" w:hAnsi="Tahoma" w:cs="Tahoma"/>
          <w:sz w:val="24"/>
          <w:szCs w:val="24"/>
        </w:rPr>
      </w:pPr>
      <w:r w:rsidRPr="00807147">
        <w:rPr>
          <w:rFonts w:ascii="Tahoma" w:eastAsia="Calibri" w:hAnsi="Tahoma" w:cs="Tahoma"/>
          <w:sz w:val="24"/>
          <w:szCs w:val="24"/>
        </w:rPr>
        <w:t xml:space="preserve">Veniturile din </w:t>
      </w:r>
      <w:r w:rsidRPr="00807147">
        <w:rPr>
          <w:rFonts w:ascii="Tahoma" w:eastAsia="Calibri" w:hAnsi="Tahoma" w:cs="Tahoma"/>
          <w:b/>
          <w:sz w:val="24"/>
          <w:szCs w:val="24"/>
        </w:rPr>
        <w:t>accize</w:t>
      </w:r>
      <w:r w:rsidRPr="00807147">
        <w:rPr>
          <w:rFonts w:ascii="Tahoma" w:eastAsia="Calibri" w:hAnsi="Tahoma" w:cs="Tahoma"/>
          <w:sz w:val="24"/>
          <w:szCs w:val="24"/>
        </w:rPr>
        <w:t xml:space="preserve"> au însumat </w:t>
      </w:r>
      <w:r w:rsidR="009670AA" w:rsidRPr="00807147">
        <w:rPr>
          <w:rFonts w:ascii="Tahoma" w:eastAsia="Calibri" w:hAnsi="Tahoma" w:cs="Tahoma"/>
          <w:sz w:val="24"/>
          <w:szCs w:val="24"/>
        </w:rPr>
        <w:t>au însumat 8,</w:t>
      </w:r>
      <w:r w:rsidR="00AC7A87" w:rsidRPr="00807147">
        <w:rPr>
          <w:rFonts w:ascii="Tahoma" w:eastAsia="Calibri" w:hAnsi="Tahoma" w:cs="Tahoma"/>
          <w:sz w:val="24"/>
          <w:szCs w:val="24"/>
        </w:rPr>
        <w:t>18</w:t>
      </w:r>
      <w:r w:rsidR="009670AA" w:rsidRPr="00807147">
        <w:rPr>
          <w:rFonts w:ascii="Tahoma" w:eastAsia="Calibri" w:hAnsi="Tahoma" w:cs="Tahoma"/>
          <w:sz w:val="24"/>
          <w:szCs w:val="24"/>
        </w:rPr>
        <w:t xml:space="preserve"> miliarde lei, </w:t>
      </w:r>
      <w:r w:rsidR="008E4687" w:rsidRPr="00807147">
        <w:rPr>
          <w:rFonts w:ascii="Tahoma" w:eastAsia="Calibri" w:hAnsi="Tahoma" w:cs="Tahoma"/>
          <w:sz w:val="24"/>
          <w:szCs w:val="24"/>
        </w:rPr>
        <w:t xml:space="preserve">în scădere cu 2,2% (-0,2 miliarde lei), comparativ cu aceeași perioadă a anului precedent, influențată de reducerea încasărilor la accizele din vânzarea produselor energetice cu 7,5% (-0,3 miliarde lei) </w:t>
      </w:r>
      <w:r w:rsidR="00714122" w:rsidRPr="00807147">
        <w:rPr>
          <w:rFonts w:ascii="Tahoma" w:eastAsia="Calibri" w:hAnsi="Tahoma" w:cs="Tahoma"/>
          <w:sz w:val="24"/>
          <w:szCs w:val="24"/>
        </w:rPr>
        <w:t>pe fondul unui nivel</w:t>
      </w:r>
      <w:r w:rsidR="00714122" w:rsidRPr="00807147">
        <w:rPr>
          <w:rFonts w:ascii="Tahoma" w:eastAsia="Calibri" w:hAnsi="Tahoma" w:cs="Tahoma"/>
          <w:sz w:val="24"/>
          <w:szCs w:val="24"/>
          <w:vertAlign w:val="superscript"/>
        </w:rPr>
        <w:footnoteReference w:id="10"/>
      </w:r>
      <w:r w:rsidR="00BC7A5A" w:rsidRPr="00807147">
        <w:rPr>
          <w:rFonts w:ascii="Tahoma" w:eastAsia="Calibri" w:hAnsi="Tahoma" w:cs="Tahoma"/>
          <w:sz w:val="24"/>
          <w:szCs w:val="24"/>
        </w:rPr>
        <w:t xml:space="preserve"> </w:t>
      </w:r>
      <w:r w:rsidR="00714122" w:rsidRPr="00807147">
        <w:rPr>
          <w:rFonts w:ascii="Tahoma" w:eastAsia="Calibri" w:hAnsi="Tahoma" w:cs="Tahoma"/>
          <w:sz w:val="24"/>
          <w:szCs w:val="24"/>
        </w:rPr>
        <w:t xml:space="preserve">redus aplicat de la 1 ianuarie 2023 la accizele din vânzarea de benzină cu plumb cu -6,2%, iar de motorină cu -5,9% și al scăderii cu 2,7% a </w:t>
      </w:r>
      <w:r w:rsidR="00346296" w:rsidRPr="00807147">
        <w:rPr>
          <w:rFonts w:ascii="Tahoma" w:eastAsia="Calibri" w:hAnsi="Tahoma" w:cs="Tahoma"/>
          <w:sz w:val="24"/>
          <w:szCs w:val="24"/>
        </w:rPr>
        <w:t>comerțului</w:t>
      </w:r>
      <w:r w:rsidR="00714122" w:rsidRPr="00807147">
        <w:rPr>
          <w:rFonts w:ascii="Tahoma" w:eastAsia="Calibri" w:hAnsi="Tahoma" w:cs="Tahoma"/>
          <w:sz w:val="24"/>
          <w:szCs w:val="24"/>
        </w:rPr>
        <w:t xml:space="preserve"> cu amănuntul la </w:t>
      </w:r>
      <w:r w:rsidR="00346296" w:rsidRPr="00807147">
        <w:rPr>
          <w:rFonts w:ascii="Tahoma" w:eastAsia="Calibri" w:hAnsi="Tahoma" w:cs="Tahoma"/>
          <w:sz w:val="24"/>
          <w:szCs w:val="24"/>
        </w:rPr>
        <w:t>carburanți</w:t>
      </w:r>
      <w:r w:rsidR="00714122" w:rsidRPr="00807147">
        <w:rPr>
          <w:rFonts w:ascii="Tahoma" w:eastAsia="Calibri" w:hAnsi="Tahoma" w:cs="Tahoma"/>
          <w:sz w:val="24"/>
          <w:szCs w:val="24"/>
        </w:rPr>
        <w:t xml:space="preserve"> pentru autovehicule în magazine specializate, însă ușor atenuată de revenirea din ultimele două luni a încasărilor la accizele din vânzarea produselor pentru produsele din tutun (+0,1 miliarde lei, +3,8% trimestru/trimestru).</w:t>
      </w:r>
    </w:p>
    <w:p w14:paraId="41A360FE" w14:textId="77777777" w:rsidR="008E4687" w:rsidRPr="00807147" w:rsidRDefault="008E4687" w:rsidP="007A0021">
      <w:pPr>
        <w:autoSpaceDE w:val="0"/>
        <w:autoSpaceDN w:val="0"/>
        <w:adjustRightInd w:val="0"/>
        <w:spacing w:after="120" w:line="276" w:lineRule="auto"/>
        <w:jc w:val="both"/>
        <w:rPr>
          <w:rFonts w:ascii="Tahoma" w:eastAsia="Calibri" w:hAnsi="Tahoma" w:cs="Tahoma"/>
          <w:sz w:val="24"/>
          <w:szCs w:val="24"/>
        </w:rPr>
      </w:pPr>
      <w:r w:rsidRPr="00807147">
        <w:rPr>
          <w:rFonts w:ascii="Tahoma" w:eastAsia="Calibri" w:hAnsi="Tahoma" w:cs="Tahoma"/>
          <w:sz w:val="24"/>
          <w:szCs w:val="24"/>
        </w:rPr>
        <w:t>Gradul de realizare din accize față de programul stabilit pentru această perioadă este de 90,7% (-0,8 miliard lei), iar nerealizarea se datorează în principal scăderii încasărilor din luna ianuarie 2023 cu 38,8% (-1,0 miliard lei) la accizele din vânzarea produselor din tutun, față de luna ianuarie 2022.</w:t>
      </w:r>
    </w:p>
    <w:p w14:paraId="33CCC0D3" w14:textId="77777777" w:rsidR="009670AA" w:rsidRPr="00807147" w:rsidRDefault="009670AA" w:rsidP="007A0021">
      <w:pPr>
        <w:autoSpaceDE w:val="0"/>
        <w:autoSpaceDN w:val="0"/>
        <w:adjustRightInd w:val="0"/>
        <w:spacing w:after="120" w:line="276" w:lineRule="auto"/>
        <w:jc w:val="both"/>
        <w:rPr>
          <w:rFonts w:ascii="Tahoma" w:hAnsi="Tahoma" w:cs="Tahoma"/>
          <w:bCs/>
          <w:sz w:val="24"/>
          <w:szCs w:val="24"/>
        </w:rPr>
      </w:pPr>
      <w:r w:rsidRPr="00807147">
        <w:rPr>
          <w:rFonts w:ascii="Tahoma" w:hAnsi="Tahoma" w:cs="Tahoma"/>
          <w:bCs/>
          <w:sz w:val="24"/>
          <w:szCs w:val="24"/>
        </w:rPr>
        <w:lastRenderedPageBreak/>
        <w:t>Încasările din categoria</w:t>
      </w:r>
      <w:r w:rsidRPr="00807147">
        <w:rPr>
          <w:rFonts w:ascii="Tahoma" w:hAnsi="Tahoma" w:cs="Tahoma"/>
          <w:b/>
          <w:bCs/>
          <w:sz w:val="24"/>
          <w:szCs w:val="24"/>
        </w:rPr>
        <w:t xml:space="preserve"> alte impozite și taxe generale pe bunuri și servicii</w:t>
      </w:r>
      <w:r w:rsidRPr="00807147">
        <w:rPr>
          <w:rFonts w:ascii="Tahoma" w:hAnsi="Tahoma" w:cs="Tahoma"/>
          <w:bCs/>
          <w:sz w:val="24"/>
          <w:szCs w:val="24"/>
        </w:rPr>
        <w:t xml:space="preserve"> în primul trimestru al anului curent au fost în sumă de 4,</w:t>
      </w:r>
      <w:r w:rsidR="008E4687" w:rsidRPr="00807147">
        <w:rPr>
          <w:rFonts w:ascii="Tahoma" w:hAnsi="Tahoma" w:cs="Tahoma"/>
          <w:bCs/>
          <w:sz w:val="24"/>
          <w:szCs w:val="24"/>
        </w:rPr>
        <w:t xml:space="preserve">43 </w:t>
      </w:r>
      <w:r w:rsidRPr="00807147">
        <w:rPr>
          <w:rFonts w:ascii="Tahoma" w:hAnsi="Tahoma" w:cs="Tahoma"/>
          <w:bCs/>
          <w:sz w:val="24"/>
          <w:szCs w:val="24"/>
        </w:rPr>
        <w:t>miliarde lei (0,</w:t>
      </w:r>
      <w:r w:rsidR="008E4687" w:rsidRPr="00807147">
        <w:rPr>
          <w:rFonts w:ascii="Tahoma" w:hAnsi="Tahoma" w:cs="Tahoma"/>
          <w:bCs/>
          <w:sz w:val="24"/>
          <w:szCs w:val="24"/>
        </w:rPr>
        <w:t>3</w:t>
      </w:r>
      <w:r w:rsidRPr="00807147">
        <w:rPr>
          <w:rFonts w:ascii="Tahoma" w:hAnsi="Tahoma" w:cs="Tahoma"/>
          <w:bCs/>
          <w:sz w:val="24"/>
          <w:szCs w:val="24"/>
        </w:rPr>
        <w:t xml:space="preserve">% din PIB), </w:t>
      </w:r>
      <w:r w:rsidR="008E4687" w:rsidRPr="00807147">
        <w:rPr>
          <w:rFonts w:ascii="Tahoma" w:hAnsi="Tahoma" w:cs="Tahoma"/>
          <w:bCs/>
          <w:sz w:val="24"/>
          <w:szCs w:val="24"/>
        </w:rPr>
        <w:t xml:space="preserve">gradul de realizare al </w:t>
      </w:r>
      <w:r w:rsidRPr="00807147">
        <w:rPr>
          <w:rFonts w:ascii="Tahoma" w:hAnsi="Tahoma" w:cs="Tahoma"/>
          <w:bCs/>
          <w:sz w:val="24"/>
          <w:szCs w:val="24"/>
        </w:rPr>
        <w:t>programul</w:t>
      </w:r>
      <w:r w:rsidR="008E4687" w:rsidRPr="00807147">
        <w:rPr>
          <w:rFonts w:ascii="Tahoma" w:hAnsi="Tahoma" w:cs="Tahoma"/>
          <w:bCs/>
          <w:sz w:val="24"/>
          <w:szCs w:val="24"/>
        </w:rPr>
        <w:t>ui</w:t>
      </w:r>
      <w:r w:rsidRPr="00807147">
        <w:rPr>
          <w:rFonts w:ascii="Tahoma" w:hAnsi="Tahoma" w:cs="Tahoma"/>
          <w:bCs/>
          <w:sz w:val="24"/>
          <w:szCs w:val="24"/>
        </w:rPr>
        <w:t xml:space="preserve"> trimestrial</w:t>
      </w:r>
      <w:r w:rsidR="008E4687" w:rsidRPr="00807147">
        <w:rPr>
          <w:rFonts w:ascii="Tahoma" w:hAnsi="Tahoma" w:cs="Tahoma"/>
          <w:bCs/>
          <w:sz w:val="24"/>
          <w:szCs w:val="24"/>
        </w:rPr>
        <w:t xml:space="preserve"> fiind de 75,9%, iar comparativ cu anul anterior au scăzut cu 8%</w:t>
      </w:r>
      <w:r w:rsidRPr="00807147">
        <w:rPr>
          <w:rFonts w:ascii="Tahoma" w:hAnsi="Tahoma" w:cs="Tahoma"/>
          <w:bCs/>
          <w:sz w:val="24"/>
          <w:szCs w:val="24"/>
        </w:rPr>
        <w:t>.</w:t>
      </w:r>
      <w:r w:rsidR="00AF0A9B" w:rsidRPr="00807147">
        <w:rPr>
          <w:rFonts w:ascii="Tahoma" w:hAnsi="Tahoma" w:cs="Tahoma"/>
          <w:bCs/>
          <w:sz w:val="24"/>
          <w:szCs w:val="24"/>
        </w:rPr>
        <w:t xml:space="preserve"> </w:t>
      </w:r>
    </w:p>
    <w:p w14:paraId="510E1C3E" w14:textId="77777777" w:rsidR="008E4687" w:rsidRPr="00807147" w:rsidRDefault="00AF0A9B" w:rsidP="007A0021">
      <w:pPr>
        <w:autoSpaceDE w:val="0"/>
        <w:autoSpaceDN w:val="0"/>
        <w:adjustRightInd w:val="0"/>
        <w:spacing w:after="120" w:line="276" w:lineRule="auto"/>
        <w:jc w:val="both"/>
        <w:rPr>
          <w:rFonts w:ascii="Tahoma" w:hAnsi="Tahoma" w:cs="Tahoma"/>
          <w:bCs/>
          <w:sz w:val="24"/>
          <w:szCs w:val="24"/>
        </w:rPr>
      </w:pPr>
      <w:r w:rsidRPr="00807147">
        <w:rPr>
          <w:rFonts w:ascii="Tahoma" w:hAnsi="Tahoma" w:cs="Tahoma"/>
          <w:bCs/>
          <w:sz w:val="24"/>
          <w:szCs w:val="24"/>
        </w:rPr>
        <w:t>Evoluția încasărilor</w:t>
      </w:r>
      <w:r w:rsidR="00346296">
        <w:rPr>
          <w:rFonts w:ascii="Tahoma" w:hAnsi="Tahoma" w:cs="Tahoma"/>
          <w:bCs/>
          <w:sz w:val="24"/>
          <w:szCs w:val="24"/>
        </w:rPr>
        <w:t>,</w:t>
      </w:r>
      <w:r w:rsidRPr="00807147">
        <w:rPr>
          <w:rFonts w:ascii="Tahoma" w:hAnsi="Tahoma" w:cs="Tahoma"/>
          <w:bCs/>
          <w:sz w:val="24"/>
          <w:szCs w:val="24"/>
        </w:rPr>
        <w:t xml:space="preserve"> atât față de programul trimestrial</w:t>
      </w:r>
      <w:r w:rsidR="00346296">
        <w:rPr>
          <w:rFonts w:ascii="Tahoma" w:hAnsi="Tahoma" w:cs="Tahoma"/>
          <w:bCs/>
          <w:sz w:val="24"/>
          <w:szCs w:val="24"/>
        </w:rPr>
        <w:t>,</w:t>
      </w:r>
      <w:r w:rsidRPr="00807147">
        <w:rPr>
          <w:rFonts w:ascii="Tahoma" w:hAnsi="Tahoma" w:cs="Tahoma"/>
          <w:bCs/>
          <w:sz w:val="24"/>
          <w:szCs w:val="24"/>
        </w:rPr>
        <w:t xml:space="preserve"> cât și față de încasările din perioada similară a anului precedent s-a datorat încasărilor înregistrate la bugetul de stat </w:t>
      </w:r>
      <w:r w:rsidR="008E4687" w:rsidRPr="00807147">
        <w:rPr>
          <w:rFonts w:ascii="Tahoma" w:hAnsi="Tahoma" w:cs="Tahoma"/>
          <w:bCs/>
          <w:sz w:val="24"/>
          <w:szCs w:val="24"/>
        </w:rPr>
        <w:t>pe fondul modificărilor legislative privind impozitarea operatorilor economici ce își desfășoară activitatea în domeniul energiei electrice și a gazelor naturale</w:t>
      </w:r>
      <w:r w:rsidR="008E4687" w:rsidRPr="00807147">
        <w:rPr>
          <w:rFonts w:ascii="Tahoma" w:hAnsi="Tahoma" w:cs="Tahoma"/>
          <w:bCs/>
          <w:sz w:val="24"/>
          <w:szCs w:val="24"/>
          <w:vertAlign w:val="superscript"/>
        </w:rPr>
        <w:t xml:space="preserve"> </w:t>
      </w:r>
      <w:r w:rsidR="008E4687" w:rsidRPr="00807147">
        <w:rPr>
          <w:rFonts w:ascii="Tahoma" w:hAnsi="Tahoma" w:cs="Tahoma"/>
          <w:bCs/>
          <w:sz w:val="24"/>
          <w:szCs w:val="24"/>
        </w:rPr>
        <w:t xml:space="preserve">aprobate în cursul anului 2022. Modificări în impozitare și în structură ale acestui capitol au avut loc prin O.U.G. nr. 119/2022, începând cu 1 septembrie 2022, prin abrogarea impozitului pe venitul suplimentar realizat de producătorii de energie electrică (instituit prin Legea nr. 259/2021) și introducerea contribuției la Fondul de tranziție energetică datorată de producătorii de energie electrică, </w:t>
      </w:r>
      <w:r w:rsidR="00346296" w:rsidRPr="00807147">
        <w:rPr>
          <w:rFonts w:ascii="Tahoma" w:hAnsi="Tahoma" w:cs="Tahoma"/>
          <w:bCs/>
          <w:sz w:val="24"/>
          <w:szCs w:val="24"/>
        </w:rPr>
        <w:t>entitățile</w:t>
      </w:r>
      <w:r w:rsidR="008E4687" w:rsidRPr="00807147">
        <w:rPr>
          <w:rFonts w:ascii="Tahoma" w:hAnsi="Tahoma" w:cs="Tahoma"/>
          <w:bCs/>
          <w:sz w:val="24"/>
          <w:szCs w:val="24"/>
        </w:rPr>
        <w:t xml:space="preserve"> agregate de producere a energiei electrice, </w:t>
      </w:r>
      <w:proofErr w:type="spellStart"/>
      <w:r w:rsidR="008E4687" w:rsidRPr="00807147">
        <w:rPr>
          <w:rFonts w:ascii="Tahoma" w:hAnsi="Tahoma" w:cs="Tahoma"/>
          <w:bCs/>
          <w:sz w:val="24"/>
          <w:szCs w:val="24"/>
        </w:rPr>
        <w:t>traderii</w:t>
      </w:r>
      <w:proofErr w:type="spellEnd"/>
      <w:r w:rsidR="008E4687" w:rsidRPr="00807147">
        <w:rPr>
          <w:rFonts w:ascii="Tahoma" w:hAnsi="Tahoma" w:cs="Tahoma"/>
          <w:bCs/>
          <w:sz w:val="24"/>
          <w:szCs w:val="24"/>
        </w:rPr>
        <w:t xml:space="preserve">, furnizorii care </w:t>
      </w:r>
      <w:r w:rsidR="00346296" w:rsidRPr="00807147">
        <w:rPr>
          <w:rFonts w:ascii="Tahoma" w:hAnsi="Tahoma" w:cs="Tahoma"/>
          <w:bCs/>
          <w:sz w:val="24"/>
          <w:szCs w:val="24"/>
        </w:rPr>
        <w:t>desfășoară</w:t>
      </w:r>
      <w:r w:rsidR="008E4687" w:rsidRPr="00807147">
        <w:rPr>
          <w:rFonts w:ascii="Tahoma" w:hAnsi="Tahoma" w:cs="Tahoma"/>
          <w:bCs/>
          <w:sz w:val="24"/>
          <w:szCs w:val="24"/>
        </w:rPr>
        <w:t xml:space="preserve"> activitatea de </w:t>
      </w:r>
      <w:proofErr w:type="spellStart"/>
      <w:r w:rsidR="008E4687" w:rsidRPr="00807147">
        <w:rPr>
          <w:rFonts w:ascii="Tahoma" w:hAnsi="Tahoma" w:cs="Tahoma"/>
          <w:bCs/>
          <w:sz w:val="24"/>
          <w:szCs w:val="24"/>
        </w:rPr>
        <w:t>trading</w:t>
      </w:r>
      <w:proofErr w:type="spellEnd"/>
      <w:r w:rsidR="008E4687" w:rsidRPr="00807147">
        <w:rPr>
          <w:rFonts w:ascii="Tahoma" w:hAnsi="Tahoma" w:cs="Tahoma"/>
          <w:bCs/>
          <w:sz w:val="24"/>
          <w:szCs w:val="24"/>
        </w:rPr>
        <w:t xml:space="preserve"> </w:t>
      </w:r>
      <w:proofErr w:type="spellStart"/>
      <w:r w:rsidR="008E4687" w:rsidRPr="00807147">
        <w:rPr>
          <w:rFonts w:ascii="Tahoma" w:hAnsi="Tahoma" w:cs="Tahoma"/>
          <w:bCs/>
          <w:sz w:val="24"/>
          <w:szCs w:val="24"/>
        </w:rPr>
        <w:t>şi</w:t>
      </w:r>
      <w:proofErr w:type="spellEnd"/>
      <w:r w:rsidR="008E4687" w:rsidRPr="00807147">
        <w:rPr>
          <w:rFonts w:ascii="Tahoma" w:hAnsi="Tahoma" w:cs="Tahoma"/>
          <w:bCs/>
          <w:sz w:val="24"/>
          <w:szCs w:val="24"/>
        </w:rPr>
        <w:t xml:space="preserve"> agregatorii care </w:t>
      </w:r>
      <w:r w:rsidR="00346296" w:rsidRPr="00807147">
        <w:rPr>
          <w:rFonts w:ascii="Tahoma" w:hAnsi="Tahoma" w:cs="Tahoma"/>
          <w:bCs/>
          <w:sz w:val="24"/>
          <w:szCs w:val="24"/>
        </w:rPr>
        <w:t>tranzacționează</w:t>
      </w:r>
      <w:r w:rsidR="008E4687" w:rsidRPr="00807147">
        <w:rPr>
          <w:rFonts w:ascii="Tahoma" w:hAnsi="Tahoma" w:cs="Tahoma"/>
          <w:bCs/>
          <w:sz w:val="24"/>
          <w:szCs w:val="24"/>
        </w:rPr>
        <w:t xml:space="preserve"> </w:t>
      </w:r>
      <w:r w:rsidR="00346296" w:rsidRPr="00807147">
        <w:rPr>
          <w:rFonts w:ascii="Tahoma" w:hAnsi="Tahoma" w:cs="Tahoma"/>
          <w:bCs/>
          <w:sz w:val="24"/>
          <w:szCs w:val="24"/>
        </w:rPr>
        <w:t>cantități</w:t>
      </w:r>
      <w:r w:rsidR="008E4687" w:rsidRPr="00807147">
        <w:rPr>
          <w:rFonts w:ascii="Tahoma" w:hAnsi="Tahoma" w:cs="Tahoma"/>
          <w:bCs/>
          <w:sz w:val="24"/>
          <w:szCs w:val="24"/>
        </w:rPr>
        <w:t xml:space="preserve"> de energie electrică </w:t>
      </w:r>
      <w:proofErr w:type="spellStart"/>
      <w:r w:rsidR="008E4687" w:rsidRPr="00807147">
        <w:rPr>
          <w:rFonts w:ascii="Tahoma" w:hAnsi="Tahoma" w:cs="Tahoma"/>
          <w:bCs/>
          <w:sz w:val="24"/>
          <w:szCs w:val="24"/>
        </w:rPr>
        <w:t>şi</w:t>
      </w:r>
      <w:proofErr w:type="spellEnd"/>
      <w:r w:rsidR="008E4687" w:rsidRPr="00807147">
        <w:rPr>
          <w:rFonts w:ascii="Tahoma" w:hAnsi="Tahoma" w:cs="Tahoma"/>
          <w:bCs/>
          <w:sz w:val="24"/>
          <w:szCs w:val="24"/>
        </w:rPr>
        <w:t xml:space="preserve">/sau gaze naturale pe </w:t>
      </w:r>
      <w:r w:rsidR="00346296" w:rsidRPr="00807147">
        <w:rPr>
          <w:rFonts w:ascii="Tahoma" w:hAnsi="Tahoma" w:cs="Tahoma"/>
          <w:bCs/>
          <w:sz w:val="24"/>
          <w:szCs w:val="24"/>
        </w:rPr>
        <w:t>piața</w:t>
      </w:r>
      <w:r w:rsidR="008E4687" w:rsidRPr="00807147">
        <w:rPr>
          <w:rFonts w:ascii="Tahoma" w:hAnsi="Tahoma" w:cs="Tahoma"/>
          <w:bCs/>
          <w:sz w:val="24"/>
          <w:szCs w:val="24"/>
        </w:rPr>
        <w:t xml:space="preserve"> angro, precum </w:t>
      </w:r>
      <w:r w:rsidR="00346296" w:rsidRPr="00807147">
        <w:rPr>
          <w:rFonts w:ascii="Tahoma" w:hAnsi="Tahoma" w:cs="Tahoma"/>
          <w:bCs/>
          <w:sz w:val="24"/>
          <w:szCs w:val="24"/>
        </w:rPr>
        <w:t>și</w:t>
      </w:r>
      <w:r w:rsidR="008E4687" w:rsidRPr="00807147">
        <w:rPr>
          <w:rFonts w:ascii="Tahoma" w:hAnsi="Tahoma" w:cs="Tahoma"/>
          <w:bCs/>
          <w:sz w:val="24"/>
          <w:szCs w:val="24"/>
        </w:rPr>
        <w:t xml:space="preserve"> partenerii din contractele financiare de asigurare a riscurilor (contracte de </w:t>
      </w:r>
      <w:proofErr w:type="spellStart"/>
      <w:r w:rsidR="008E4687" w:rsidRPr="00807147">
        <w:rPr>
          <w:rFonts w:ascii="Tahoma" w:hAnsi="Tahoma" w:cs="Tahoma"/>
          <w:bCs/>
          <w:sz w:val="24"/>
          <w:szCs w:val="24"/>
        </w:rPr>
        <w:t>hedging</w:t>
      </w:r>
      <w:proofErr w:type="spellEnd"/>
      <w:r w:rsidR="008E4687" w:rsidRPr="00807147">
        <w:rPr>
          <w:rFonts w:ascii="Tahoma" w:hAnsi="Tahoma" w:cs="Tahoma"/>
          <w:bCs/>
          <w:sz w:val="24"/>
          <w:szCs w:val="24"/>
        </w:rPr>
        <w:t xml:space="preserve">). </w:t>
      </w:r>
    </w:p>
    <w:p w14:paraId="255E5C34" w14:textId="77777777" w:rsidR="00240604" w:rsidRPr="00807147" w:rsidRDefault="008E4687" w:rsidP="007A0021">
      <w:pPr>
        <w:autoSpaceDE w:val="0"/>
        <w:autoSpaceDN w:val="0"/>
        <w:adjustRightInd w:val="0"/>
        <w:spacing w:after="120" w:line="276" w:lineRule="auto"/>
        <w:jc w:val="both"/>
        <w:rPr>
          <w:rFonts w:ascii="Tahoma" w:hAnsi="Tahoma" w:cs="Tahoma"/>
          <w:bCs/>
          <w:sz w:val="24"/>
          <w:szCs w:val="24"/>
        </w:rPr>
      </w:pPr>
      <w:r w:rsidRPr="00807147">
        <w:rPr>
          <w:rFonts w:ascii="Tahoma" w:hAnsi="Tahoma" w:cs="Tahoma"/>
          <w:bCs/>
          <w:sz w:val="24"/>
          <w:szCs w:val="24"/>
        </w:rPr>
        <w:t xml:space="preserve">Nerealizarea </w:t>
      </w:r>
      <w:r w:rsidR="00240604" w:rsidRPr="00807147">
        <w:rPr>
          <w:rFonts w:ascii="Tahoma" w:hAnsi="Tahoma" w:cs="Tahoma"/>
          <w:bCs/>
          <w:sz w:val="24"/>
          <w:szCs w:val="24"/>
        </w:rPr>
        <w:t>programului trimestrial s-a</w:t>
      </w:r>
      <w:r w:rsidRPr="00807147">
        <w:rPr>
          <w:rFonts w:ascii="Tahoma" w:hAnsi="Tahoma" w:cs="Tahoma"/>
          <w:bCs/>
          <w:sz w:val="24"/>
          <w:szCs w:val="24"/>
        </w:rPr>
        <w:t xml:space="preserve"> dator</w:t>
      </w:r>
      <w:r w:rsidR="00240604" w:rsidRPr="00807147">
        <w:rPr>
          <w:rFonts w:ascii="Tahoma" w:hAnsi="Tahoma" w:cs="Tahoma"/>
          <w:bCs/>
          <w:sz w:val="24"/>
          <w:szCs w:val="24"/>
        </w:rPr>
        <w:t>at</w:t>
      </w:r>
      <w:r w:rsidRPr="00807147">
        <w:rPr>
          <w:rFonts w:ascii="Tahoma" w:hAnsi="Tahoma" w:cs="Tahoma"/>
          <w:bCs/>
          <w:sz w:val="24"/>
          <w:szCs w:val="24"/>
        </w:rPr>
        <w:t xml:space="preserve"> în principal </w:t>
      </w:r>
      <w:r w:rsidR="002C3474" w:rsidRPr="00807147">
        <w:rPr>
          <w:rFonts w:ascii="Tahoma" w:hAnsi="Tahoma" w:cs="Tahoma"/>
          <w:bCs/>
          <w:sz w:val="24"/>
          <w:szCs w:val="24"/>
        </w:rPr>
        <w:t xml:space="preserve">veniturilor din </w:t>
      </w:r>
      <w:r w:rsidRPr="00807147">
        <w:rPr>
          <w:rFonts w:ascii="Tahoma" w:hAnsi="Tahoma" w:cs="Tahoma"/>
          <w:bCs/>
          <w:sz w:val="24"/>
          <w:szCs w:val="24"/>
        </w:rPr>
        <w:t xml:space="preserve">impozitul pe veniturile suplimentare obținute ca urmare a </w:t>
      </w:r>
      <w:proofErr w:type="spellStart"/>
      <w:r w:rsidRPr="00807147">
        <w:rPr>
          <w:rFonts w:ascii="Tahoma" w:hAnsi="Tahoma" w:cs="Tahoma"/>
          <w:bCs/>
          <w:sz w:val="24"/>
          <w:szCs w:val="24"/>
        </w:rPr>
        <w:t>dereglementării</w:t>
      </w:r>
      <w:proofErr w:type="spellEnd"/>
      <w:r w:rsidRPr="00807147">
        <w:rPr>
          <w:rFonts w:ascii="Tahoma" w:hAnsi="Tahoma" w:cs="Tahoma"/>
          <w:bCs/>
          <w:sz w:val="24"/>
          <w:szCs w:val="24"/>
        </w:rPr>
        <w:t xml:space="preserve"> prețurilor din sectorul gazelor naturale, pe fondul modificărilor legislative ale O.U.G. nr. 27/2022 modificată și completată prin O.U.G. nr. 119/2022.</w:t>
      </w:r>
    </w:p>
    <w:p w14:paraId="3003FD06" w14:textId="77777777" w:rsidR="009D126E" w:rsidRPr="00807147" w:rsidRDefault="00DD52A5" w:rsidP="007A0021">
      <w:pPr>
        <w:autoSpaceDE w:val="0"/>
        <w:autoSpaceDN w:val="0"/>
        <w:adjustRightInd w:val="0"/>
        <w:spacing w:after="120" w:line="276" w:lineRule="auto"/>
        <w:jc w:val="both"/>
        <w:rPr>
          <w:rFonts w:ascii="Tahoma" w:hAnsi="Tahoma" w:cs="Tahoma"/>
          <w:sz w:val="24"/>
          <w:szCs w:val="24"/>
        </w:rPr>
      </w:pPr>
      <w:r w:rsidRPr="00807147">
        <w:rPr>
          <w:rFonts w:ascii="Tahoma" w:hAnsi="Tahoma" w:cs="Tahoma"/>
          <w:sz w:val="24"/>
          <w:szCs w:val="24"/>
        </w:rPr>
        <w:t xml:space="preserve">Încasările din </w:t>
      </w:r>
      <w:r w:rsidRPr="00807147">
        <w:rPr>
          <w:rFonts w:ascii="Tahoma" w:hAnsi="Tahoma" w:cs="Tahoma"/>
          <w:b/>
          <w:sz w:val="24"/>
          <w:szCs w:val="24"/>
        </w:rPr>
        <w:t>taxele pe utilizarea bunurilor</w:t>
      </w:r>
      <w:r w:rsidR="002C3B7D" w:rsidRPr="00807147">
        <w:rPr>
          <w:rFonts w:ascii="Tahoma" w:hAnsi="Tahoma" w:cs="Tahoma"/>
          <w:b/>
          <w:i/>
          <w:sz w:val="24"/>
          <w:szCs w:val="24"/>
        </w:rPr>
        <w:t xml:space="preserve"> </w:t>
      </w:r>
      <w:r w:rsidR="00502B73" w:rsidRPr="00807147">
        <w:rPr>
          <w:rFonts w:ascii="Tahoma" w:hAnsi="Tahoma" w:cs="Tahoma"/>
          <w:sz w:val="24"/>
          <w:szCs w:val="24"/>
        </w:rPr>
        <w:t xml:space="preserve">au fost în sumă de </w:t>
      </w:r>
      <w:r w:rsidR="00AF0A9B" w:rsidRPr="00807147">
        <w:rPr>
          <w:rFonts w:ascii="Tahoma" w:hAnsi="Tahoma" w:cs="Tahoma"/>
          <w:sz w:val="24"/>
          <w:szCs w:val="24"/>
        </w:rPr>
        <w:t>2</w:t>
      </w:r>
      <w:r w:rsidR="00502B73" w:rsidRPr="00807147">
        <w:rPr>
          <w:rFonts w:ascii="Tahoma" w:hAnsi="Tahoma" w:cs="Tahoma"/>
          <w:sz w:val="24"/>
          <w:szCs w:val="24"/>
        </w:rPr>
        <w:t>,</w:t>
      </w:r>
      <w:r w:rsidR="00240604" w:rsidRPr="00807147">
        <w:rPr>
          <w:rFonts w:ascii="Tahoma" w:hAnsi="Tahoma" w:cs="Tahoma"/>
          <w:sz w:val="24"/>
          <w:szCs w:val="24"/>
        </w:rPr>
        <w:t>35</w:t>
      </w:r>
      <w:r w:rsidRPr="00807147">
        <w:rPr>
          <w:rFonts w:ascii="Tahoma" w:hAnsi="Tahoma" w:cs="Tahoma"/>
          <w:sz w:val="24"/>
          <w:szCs w:val="24"/>
        </w:rPr>
        <w:t xml:space="preserve"> </w:t>
      </w:r>
      <w:r w:rsidR="00602503" w:rsidRPr="00807147">
        <w:rPr>
          <w:rFonts w:ascii="Tahoma" w:hAnsi="Tahoma" w:cs="Tahoma"/>
          <w:sz w:val="24"/>
          <w:szCs w:val="24"/>
        </w:rPr>
        <w:t>miliarde</w:t>
      </w:r>
      <w:r w:rsidR="00713D80" w:rsidRPr="00807147">
        <w:rPr>
          <w:rFonts w:ascii="Tahoma" w:hAnsi="Tahoma" w:cs="Tahoma"/>
          <w:sz w:val="24"/>
          <w:szCs w:val="24"/>
        </w:rPr>
        <w:t xml:space="preserve"> </w:t>
      </w:r>
      <w:r w:rsidRPr="00807147">
        <w:rPr>
          <w:rFonts w:ascii="Tahoma" w:hAnsi="Tahoma" w:cs="Tahoma"/>
          <w:sz w:val="24"/>
          <w:szCs w:val="24"/>
        </w:rPr>
        <w:t xml:space="preserve">lei, </w:t>
      </w:r>
      <w:r w:rsidR="004840C3" w:rsidRPr="00807147">
        <w:rPr>
          <w:rFonts w:ascii="Tahoma" w:hAnsi="Tahoma" w:cs="Tahoma"/>
          <w:sz w:val="24"/>
          <w:szCs w:val="24"/>
        </w:rPr>
        <w:t xml:space="preserve">cu </w:t>
      </w:r>
      <w:r w:rsidR="00240604" w:rsidRPr="00807147">
        <w:rPr>
          <w:rFonts w:ascii="Tahoma" w:hAnsi="Tahoma" w:cs="Tahoma"/>
          <w:sz w:val="24"/>
          <w:szCs w:val="24"/>
        </w:rPr>
        <w:t>12</w:t>
      </w:r>
      <w:r w:rsidR="004840C3" w:rsidRPr="00807147">
        <w:rPr>
          <w:rFonts w:ascii="Tahoma" w:hAnsi="Tahoma" w:cs="Tahoma"/>
          <w:sz w:val="24"/>
          <w:szCs w:val="24"/>
        </w:rPr>
        <w:t xml:space="preserve">,8% mai </w:t>
      </w:r>
      <w:r w:rsidR="00AF0A9B" w:rsidRPr="00807147">
        <w:rPr>
          <w:rFonts w:ascii="Tahoma" w:hAnsi="Tahoma" w:cs="Tahoma"/>
          <w:sz w:val="24"/>
          <w:szCs w:val="24"/>
        </w:rPr>
        <w:t>mari</w:t>
      </w:r>
      <w:r w:rsidR="004840C3" w:rsidRPr="00807147">
        <w:rPr>
          <w:rFonts w:ascii="Tahoma" w:hAnsi="Tahoma" w:cs="Tahoma"/>
          <w:sz w:val="24"/>
          <w:szCs w:val="24"/>
        </w:rPr>
        <w:t xml:space="preserve"> </w:t>
      </w:r>
      <w:r w:rsidR="00565196" w:rsidRPr="00807147">
        <w:rPr>
          <w:rFonts w:ascii="Tahoma" w:hAnsi="Tahoma" w:cs="Tahoma"/>
          <w:sz w:val="24"/>
          <w:szCs w:val="24"/>
        </w:rPr>
        <w:t>comparativ cu primele 3 luni ale anului 20</w:t>
      </w:r>
      <w:r w:rsidR="004840C3" w:rsidRPr="00807147">
        <w:rPr>
          <w:rFonts w:ascii="Tahoma" w:hAnsi="Tahoma" w:cs="Tahoma"/>
          <w:sz w:val="24"/>
          <w:szCs w:val="24"/>
        </w:rPr>
        <w:t>2</w:t>
      </w:r>
      <w:r w:rsidR="00240604" w:rsidRPr="00807147">
        <w:rPr>
          <w:rFonts w:ascii="Tahoma" w:hAnsi="Tahoma" w:cs="Tahoma"/>
          <w:sz w:val="24"/>
          <w:szCs w:val="24"/>
        </w:rPr>
        <w:t>2</w:t>
      </w:r>
      <w:r w:rsidR="00565196" w:rsidRPr="00807147">
        <w:rPr>
          <w:rFonts w:ascii="Tahoma" w:hAnsi="Tahoma" w:cs="Tahoma"/>
          <w:sz w:val="24"/>
          <w:szCs w:val="24"/>
        </w:rPr>
        <w:t xml:space="preserve">, în principal ca urmare a </w:t>
      </w:r>
      <w:r w:rsidR="009D126E" w:rsidRPr="00807147">
        <w:rPr>
          <w:rFonts w:ascii="Tahoma" w:hAnsi="Tahoma" w:cs="Tahoma"/>
          <w:sz w:val="24"/>
          <w:szCs w:val="24"/>
        </w:rPr>
        <w:t>evoluției pozitive înregistrate atât l</w:t>
      </w:r>
      <w:r w:rsidR="00005DE0" w:rsidRPr="00807147">
        <w:rPr>
          <w:rFonts w:ascii="Tahoma" w:hAnsi="Tahoma" w:cs="Tahoma"/>
          <w:sz w:val="24"/>
          <w:szCs w:val="24"/>
        </w:rPr>
        <w:t>a</w:t>
      </w:r>
      <w:r w:rsidR="009D126E" w:rsidRPr="00807147">
        <w:rPr>
          <w:rFonts w:ascii="Tahoma" w:hAnsi="Tahoma" w:cs="Tahoma"/>
          <w:sz w:val="24"/>
          <w:szCs w:val="24"/>
        </w:rPr>
        <w:t xml:space="preserve"> bugetul de stat (+</w:t>
      </w:r>
      <w:r w:rsidR="00240604" w:rsidRPr="00807147">
        <w:rPr>
          <w:rFonts w:ascii="Tahoma" w:hAnsi="Tahoma" w:cs="Tahoma"/>
          <w:sz w:val="24"/>
          <w:szCs w:val="24"/>
        </w:rPr>
        <w:t>20,7</w:t>
      </w:r>
      <w:r w:rsidR="009D126E" w:rsidRPr="00807147">
        <w:rPr>
          <w:rFonts w:ascii="Tahoma" w:hAnsi="Tahoma" w:cs="Tahoma"/>
          <w:sz w:val="24"/>
          <w:szCs w:val="24"/>
        </w:rPr>
        <w:t>%) cât și la bugetele locale (+</w:t>
      </w:r>
      <w:r w:rsidR="00240604" w:rsidRPr="00807147">
        <w:rPr>
          <w:rFonts w:ascii="Tahoma" w:hAnsi="Tahoma" w:cs="Tahoma"/>
          <w:sz w:val="24"/>
          <w:szCs w:val="24"/>
        </w:rPr>
        <w:t>8,0</w:t>
      </w:r>
      <w:r w:rsidR="009D126E" w:rsidRPr="00807147">
        <w:rPr>
          <w:rFonts w:ascii="Tahoma" w:hAnsi="Tahoma" w:cs="Tahoma"/>
          <w:sz w:val="24"/>
          <w:szCs w:val="24"/>
        </w:rPr>
        <w:t>%).</w:t>
      </w:r>
    </w:p>
    <w:p w14:paraId="240EA99F" w14:textId="77777777" w:rsidR="009D126E" w:rsidRPr="00807147" w:rsidRDefault="009D126E" w:rsidP="007A0021">
      <w:pPr>
        <w:autoSpaceDE w:val="0"/>
        <w:autoSpaceDN w:val="0"/>
        <w:adjustRightInd w:val="0"/>
        <w:spacing w:after="120" w:line="276" w:lineRule="auto"/>
        <w:jc w:val="both"/>
        <w:rPr>
          <w:rFonts w:ascii="Tahoma" w:eastAsia="Calibri" w:hAnsi="Tahoma" w:cs="Tahoma"/>
          <w:sz w:val="24"/>
          <w:szCs w:val="24"/>
        </w:rPr>
      </w:pPr>
      <w:r w:rsidRPr="00807147">
        <w:rPr>
          <w:rFonts w:ascii="Tahoma" w:eastAsia="Calibri" w:hAnsi="Tahoma" w:cs="Tahoma"/>
          <w:sz w:val="24"/>
          <w:szCs w:val="24"/>
        </w:rPr>
        <w:t>La bugetul de stat creșterea în</w:t>
      </w:r>
      <w:r w:rsidR="00240604" w:rsidRPr="00807147">
        <w:rPr>
          <w:rFonts w:ascii="Tahoma" w:eastAsia="Calibri" w:hAnsi="Tahoma" w:cs="Tahoma"/>
          <w:sz w:val="24"/>
          <w:szCs w:val="24"/>
        </w:rPr>
        <w:t>casărilor a fost determinată de evoluția î</w:t>
      </w:r>
      <w:r w:rsidR="00240604" w:rsidRPr="00807147">
        <w:rPr>
          <w:rFonts w:ascii="Tahoma" w:eastAsia="Calibri" w:hAnsi="Tahoma" w:cs="Tahoma"/>
          <w:bCs/>
          <w:sz w:val="24"/>
          <w:szCs w:val="24"/>
        </w:rPr>
        <w:t>ncasărilor din taxele pentru jocurile de noroc</w:t>
      </w:r>
      <w:r w:rsidR="00240604" w:rsidRPr="00807147">
        <w:rPr>
          <w:rFonts w:ascii="Tahoma" w:eastAsia="Calibri" w:hAnsi="Tahoma" w:cs="Tahoma"/>
          <w:bCs/>
          <w:sz w:val="24"/>
          <w:szCs w:val="24"/>
          <w:vertAlign w:val="superscript"/>
        </w:rPr>
        <w:footnoteReference w:id="11"/>
      </w:r>
      <w:r w:rsidR="00240604" w:rsidRPr="00807147">
        <w:rPr>
          <w:rFonts w:ascii="Tahoma" w:eastAsia="Calibri" w:hAnsi="Tahoma" w:cs="Tahoma"/>
          <w:bCs/>
          <w:sz w:val="24"/>
          <w:szCs w:val="24"/>
        </w:rPr>
        <w:t xml:space="preserve"> </w:t>
      </w:r>
      <w:r w:rsidR="00240604" w:rsidRPr="00807147">
        <w:rPr>
          <w:rFonts w:ascii="Tahoma" w:eastAsia="Calibri" w:hAnsi="Tahoma" w:cs="Tahoma"/>
          <w:sz w:val="24"/>
          <w:szCs w:val="24"/>
        </w:rPr>
        <w:t>înregistrează față de aceeași perioadă a anului 2022 o dinamică de</w:t>
      </w:r>
      <w:r w:rsidR="00240604" w:rsidRPr="00807147">
        <w:rPr>
          <w:rFonts w:ascii="Tahoma" w:eastAsia="Calibri" w:hAnsi="Tahoma" w:cs="Tahoma"/>
          <w:bCs/>
          <w:sz w:val="24"/>
          <w:szCs w:val="24"/>
        </w:rPr>
        <w:t xml:space="preserve"> 21,8% (+0,2 miliarde lei), în condițiile unor majorări de taxe aprobate prin O.G nr. 15/2022</w:t>
      </w:r>
      <w:r w:rsidR="00240604" w:rsidRPr="00807147">
        <w:rPr>
          <w:rFonts w:ascii="Tahoma" w:eastAsia="Calibri" w:hAnsi="Tahoma" w:cs="Tahoma"/>
          <w:bCs/>
          <w:sz w:val="24"/>
          <w:szCs w:val="24"/>
          <w:vertAlign w:val="superscript"/>
        </w:rPr>
        <w:footnoteReference w:id="12"/>
      </w:r>
      <w:r w:rsidR="00240604" w:rsidRPr="00807147">
        <w:rPr>
          <w:rFonts w:ascii="Tahoma" w:eastAsia="Calibri" w:hAnsi="Tahoma" w:cs="Tahoma"/>
          <w:bCs/>
          <w:sz w:val="24"/>
          <w:szCs w:val="24"/>
        </w:rPr>
        <w:t xml:space="preserve">. </w:t>
      </w:r>
    </w:p>
    <w:p w14:paraId="618DF574" w14:textId="77777777" w:rsidR="00334D05" w:rsidRPr="00807147" w:rsidRDefault="00D64FFE" w:rsidP="007A0021">
      <w:pPr>
        <w:autoSpaceDE w:val="0"/>
        <w:autoSpaceDN w:val="0"/>
        <w:adjustRightInd w:val="0"/>
        <w:spacing w:after="120" w:line="276" w:lineRule="auto"/>
        <w:jc w:val="both"/>
        <w:rPr>
          <w:rFonts w:ascii="Tahoma" w:hAnsi="Tahoma" w:cs="Tahoma"/>
          <w:sz w:val="24"/>
          <w:szCs w:val="24"/>
        </w:rPr>
      </w:pPr>
      <w:r w:rsidRPr="00807147">
        <w:rPr>
          <w:rFonts w:ascii="Tahoma" w:hAnsi="Tahoma" w:cs="Tahoma"/>
          <w:sz w:val="24"/>
          <w:szCs w:val="24"/>
        </w:rPr>
        <w:t xml:space="preserve">Gradul de realizare al programului de încasări pentru perioada analizată este de </w:t>
      </w:r>
      <w:r w:rsidR="00240604" w:rsidRPr="00807147">
        <w:rPr>
          <w:rFonts w:ascii="Tahoma" w:hAnsi="Tahoma" w:cs="Tahoma"/>
          <w:sz w:val="24"/>
          <w:szCs w:val="24"/>
        </w:rPr>
        <w:t>102,5</w:t>
      </w:r>
      <w:r w:rsidRPr="00807147">
        <w:rPr>
          <w:rFonts w:ascii="Tahoma" w:hAnsi="Tahoma" w:cs="Tahoma"/>
          <w:sz w:val="24"/>
          <w:szCs w:val="24"/>
        </w:rPr>
        <w:t xml:space="preserve">%, această evoluție fiind susținută în principal de creșterea peste nivelul programat al </w:t>
      </w:r>
      <w:r w:rsidR="009D126E" w:rsidRPr="00807147">
        <w:rPr>
          <w:rFonts w:ascii="Tahoma" w:hAnsi="Tahoma" w:cs="Tahoma"/>
          <w:sz w:val="24"/>
          <w:szCs w:val="24"/>
        </w:rPr>
        <w:t>încasărilor la buget</w:t>
      </w:r>
      <w:r w:rsidR="00240604" w:rsidRPr="00807147">
        <w:rPr>
          <w:rFonts w:ascii="Tahoma" w:hAnsi="Tahoma" w:cs="Tahoma"/>
          <w:sz w:val="24"/>
          <w:szCs w:val="24"/>
        </w:rPr>
        <w:t xml:space="preserve">ele locale </w:t>
      </w:r>
      <w:r w:rsidR="009D126E" w:rsidRPr="00807147">
        <w:rPr>
          <w:rFonts w:ascii="Tahoma" w:hAnsi="Tahoma" w:cs="Tahoma"/>
          <w:sz w:val="24"/>
          <w:szCs w:val="24"/>
        </w:rPr>
        <w:t xml:space="preserve">unde gradul de realizare a fost de </w:t>
      </w:r>
      <w:r w:rsidR="00B802A4" w:rsidRPr="00807147">
        <w:rPr>
          <w:rFonts w:ascii="Tahoma" w:hAnsi="Tahoma" w:cs="Tahoma"/>
          <w:sz w:val="24"/>
          <w:szCs w:val="24"/>
        </w:rPr>
        <w:t>104,7</w:t>
      </w:r>
      <w:r w:rsidR="009D126E" w:rsidRPr="00807147">
        <w:rPr>
          <w:rFonts w:ascii="Tahoma" w:hAnsi="Tahoma" w:cs="Tahoma"/>
          <w:sz w:val="24"/>
          <w:szCs w:val="24"/>
        </w:rPr>
        <w:t>%</w:t>
      </w:r>
      <w:r w:rsidR="00346296">
        <w:rPr>
          <w:rFonts w:ascii="Tahoma" w:hAnsi="Tahoma" w:cs="Tahoma"/>
          <w:sz w:val="24"/>
          <w:szCs w:val="24"/>
        </w:rPr>
        <w:t xml:space="preserve"> </w:t>
      </w:r>
      <w:r w:rsidR="009D126E" w:rsidRPr="00807147">
        <w:rPr>
          <w:rFonts w:ascii="Tahoma" w:eastAsia="Calibri" w:hAnsi="Tahoma" w:cs="Tahoma"/>
          <w:sz w:val="24"/>
          <w:szCs w:val="24"/>
        </w:rPr>
        <w:t xml:space="preserve">(+0,2 miliarde lei) pe fondul </w:t>
      </w:r>
      <w:r w:rsidR="00334D05" w:rsidRPr="00807147">
        <w:rPr>
          <w:rFonts w:ascii="Tahoma" w:eastAsia="Calibri" w:hAnsi="Tahoma" w:cs="Tahoma"/>
          <w:sz w:val="24"/>
          <w:szCs w:val="24"/>
        </w:rPr>
        <w:t xml:space="preserve">majorării veniturilor din </w:t>
      </w:r>
      <w:r w:rsidR="00B802A4" w:rsidRPr="00807147">
        <w:rPr>
          <w:rFonts w:ascii="Tahoma" w:eastAsia="Calibri" w:hAnsi="Tahoma" w:cs="Tahoma"/>
          <w:sz w:val="24"/>
          <w:szCs w:val="24"/>
        </w:rPr>
        <w:t>impozitul pe mijloacele de transport</w:t>
      </w:r>
      <w:r w:rsidR="009D126E" w:rsidRPr="00807147">
        <w:rPr>
          <w:rFonts w:ascii="Tahoma" w:eastAsia="Calibri" w:hAnsi="Tahoma" w:cs="Tahoma"/>
          <w:sz w:val="24"/>
          <w:szCs w:val="24"/>
        </w:rPr>
        <w:t>.</w:t>
      </w:r>
      <w:r w:rsidR="009D126E" w:rsidRPr="00807147">
        <w:rPr>
          <w:rFonts w:ascii="Tahoma" w:hAnsi="Tahoma" w:cs="Tahoma"/>
          <w:sz w:val="24"/>
          <w:szCs w:val="24"/>
        </w:rPr>
        <w:t xml:space="preserve"> </w:t>
      </w:r>
    </w:p>
    <w:p w14:paraId="1E0E41ED" w14:textId="77777777" w:rsidR="00B802A4" w:rsidRPr="00807147" w:rsidRDefault="00DD52A5" w:rsidP="007A0021">
      <w:pPr>
        <w:shd w:val="clear" w:color="auto" w:fill="FFFFFF"/>
        <w:tabs>
          <w:tab w:val="left" w:pos="810"/>
          <w:tab w:val="left" w:pos="1710"/>
        </w:tabs>
        <w:suppressAutoHyphens/>
        <w:autoSpaceDE w:val="0"/>
        <w:autoSpaceDN w:val="0"/>
        <w:adjustRightInd w:val="0"/>
        <w:spacing w:before="120" w:after="120" w:line="276" w:lineRule="auto"/>
        <w:jc w:val="both"/>
        <w:rPr>
          <w:rFonts w:ascii="Tahoma" w:hAnsi="Tahoma" w:cs="Tahoma"/>
          <w:sz w:val="24"/>
          <w:szCs w:val="24"/>
        </w:rPr>
      </w:pPr>
      <w:r w:rsidRPr="00807147">
        <w:rPr>
          <w:rFonts w:ascii="Tahoma" w:hAnsi="Tahoma" w:cs="Tahoma"/>
          <w:sz w:val="24"/>
          <w:szCs w:val="24"/>
        </w:rPr>
        <w:t>Încasările din</w:t>
      </w:r>
      <w:r w:rsidRPr="00807147">
        <w:rPr>
          <w:rFonts w:ascii="Tahoma" w:hAnsi="Tahoma" w:cs="Tahoma"/>
          <w:b/>
          <w:bCs/>
          <w:sz w:val="24"/>
          <w:szCs w:val="24"/>
        </w:rPr>
        <w:t xml:space="preserve"> impozitul pe comerț exterior </w:t>
      </w:r>
      <w:r w:rsidR="00640FBB" w:rsidRPr="00807147">
        <w:rPr>
          <w:rFonts w:ascii="Tahoma" w:hAnsi="Tahoma" w:cs="Tahoma"/>
          <w:b/>
          <w:bCs/>
          <w:sz w:val="24"/>
          <w:szCs w:val="24"/>
        </w:rPr>
        <w:t>și</w:t>
      </w:r>
      <w:r w:rsidRPr="00807147">
        <w:rPr>
          <w:rFonts w:ascii="Tahoma" w:hAnsi="Tahoma" w:cs="Tahoma"/>
          <w:b/>
          <w:bCs/>
          <w:sz w:val="24"/>
          <w:szCs w:val="24"/>
        </w:rPr>
        <w:t xml:space="preserve"> tranzacțiile internaționale</w:t>
      </w:r>
      <w:r w:rsidRPr="00807147">
        <w:rPr>
          <w:rFonts w:ascii="Tahoma" w:hAnsi="Tahoma" w:cs="Tahoma"/>
          <w:sz w:val="24"/>
          <w:szCs w:val="24"/>
        </w:rPr>
        <w:t xml:space="preserve"> s-au realizat în proporție de </w:t>
      </w:r>
      <w:r w:rsidR="00B802A4" w:rsidRPr="00807147">
        <w:rPr>
          <w:rFonts w:ascii="Tahoma" w:hAnsi="Tahoma" w:cs="Tahoma"/>
          <w:sz w:val="24"/>
          <w:szCs w:val="24"/>
        </w:rPr>
        <w:t>68,3</w:t>
      </w:r>
      <w:r w:rsidRPr="00807147">
        <w:rPr>
          <w:rFonts w:ascii="Tahoma" w:hAnsi="Tahoma" w:cs="Tahoma"/>
          <w:sz w:val="24"/>
          <w:szCs w:val="24"/>
        </w:rPr>
        <w:t xml:space="preserve">%, </w:t>
      </w:r>
      <w:r w:rsidR="00B802A4" w:rsidRPr="00807147">
        <w:rPr>
          <w:rFonts w:ascii="Tahoma" w:hAnsi="Tahoma" w:cs="Tahoma"/>
          <w:bCs/>
          <w:sz w:val="24"/>
          <w:szCs w:val="24"/>
        </w:rPr>
        <w:t>în condițiile unei scăderi</w:t>
      </w:r>
      <w:r w:rsidR="00B802A4" w:rsidRPr="00807147">
        <w:rPr>
          <w:rFonts w:ascii="Tahoma" w:hAnsi="Tahoma" w:cs="Tahoma"/>
          <w:sz w:val="24"/>
          <w:szCs w:val="24"/>
        </w:rPr>
        <w:t xml:space="preserve"> a importurilor (Extra-UE27)</w:t>
      </w:r>
      <w:r w:rsidR="00B802A4" w:rsidRPr="00807147">
        <w:rPr>
          <w:rFonts w:ascii="Tahoma" w:hAnsi="Tahoma" w:cs="Tahoma"/>
          <w:bCs/>
          <w:sz w:val="24"/>
          <w:szCs w:val="24"/>
        </w:rPr>
        <w:t xml:space="preserve"> </w:t>
      </w:r>
      <w:r w:rsidR="00B802A4" w:rsidRPr="00807147">
        <w:rPr>
          <w:rFonts w:ascii="Tahoma" w:hAnsi="Tahoma" w:cs="Tahoma"/>
          <w:sz w:val="24"/>
          <w:szCs w:val="24"/>
        </w:rPr>
        <w:t>cu 4,7%</w:t>
      </w:r>
      <w:r w:rsidR="00B802A4" w:rsidRPr="00807147">
        <w:rPr>
          <w:rFonts w:ascii="Tahoma" w:hAnsi="Tahoma" w:cs="Tahoma"/>
          <w:sz w:val="24"/>
          <w:szCs w:val="24"/>
          <w:vertAlign w:val="superscript"/>
        </w:rPr>
        <w:footnoteReference w:id="13"/>
      </w:r>
      <w:r w:rsidR="00B802A4" w:rsidRPr="00807147">
        <w:rPr>
          <w:rFonts w:ascii="Tahoma" w:hAnsi="Tahoma" w:cs="Tahoma"/>
          <w:sz w:val="24"/>
          <w:szCs w:val="24"/>
        </w:rPr>
        <w:t>.</w:t>
      </w:r>
    </w:p>
    <w:p w14:paraId="2403F252" w14:textId="77777777" w:rsidR="00B802A4" w:rsidRPr="00807147" w:rsidRDefault="00B802A4" w:rsidP="00B802A4">
      <w:pPr>
        <w:shd w:val="clear" w:color="auto" w:fill="FFFFFF"/>
        <w:tabs>
          <w:tab w:val="left" w:pos="810"/>
          <w:tab w:val="left" w:pos="1710"/>
        </w:tabs>
        <w:suppressAutoHyphens/>
        <w:autoSpaceDE w:val="0"/>
        <w:autoSpaceDN w:val="0"/>
        <w:adjustRightInd w:val="0"/>
        <w:spacing w:before="120" w:after="120" w:line="276" w:lineRule="auto"/>
        <w:jc w:val="both"/>
        <w:rPr>
          <w:rFonts w:ascii="Tahoma" w:hAnsi="Tahoma" w:cs="Tahoma"/>
          <w:sz w:val="24"/>
          <w:szCs w:val="24"/>
        </w:rPr>
      </w:pPr>
    </w:p>
    <w:p w14:paraId="467409BB" w14:textId="77777777" w:rsidR="004F33F6" w:rsidRPr="00807147" w:rsidRDefault="00186A0B" w:rsidP="00B802A4">
      <w:pPr>
        <w:shd w:val="clear" w:color="auto" w:fill="FFFFFF"/>
        <w:tabs>
          <w:tab w:val="left" w:pos="810"/>
          <w:tab w:val="left" w:pos="1710"/>
        </w:tabs>
        <w:suppressAutoHyphens/>
        <w:autoSpaceDE w:val="0"/>
        <w:autoSpaceDN w:val="0"/>
        <w:adjustRightInd w:val="0"/>
        <w:spacing w:before="120" w:after="120" w:line="276" w:lineRule="auto"/>
        <w:jc w:val="both"/>
        <w:rPr>
          <w:rFonts w:ascii="Tahoma" w:hAnsi="Tahoma" w:cs="Tahoma"/>
          <w:noProof/>
          <w:sz w:val="24"/>
          <w:szCs w:val="24"/>
        </w:rPr>
      </w:pPr>
      <w:r w:rsidRPr="00807147">
        <w:rPr>
          <w:rFonts w:ascii="Tahoma" w:hAnsi="Tahoma" w:cs="Tahoma"/>
          <w:noProof/>
          <w:sz w:val="24"/>
          <w:szCs w:val="24"/>
        </w:rPr>
        <w:object w:dxaOrig="11430" w:dyaOrig="4905" w14:anchorId="40839511">
          <v:shape id="_x0000_i1027" type="#_x0000_t75" style="width:490pt;height:209.5pt" o:ole="">
            <v:imagedata r:id="rId12" o:title=""/>
          </v:shape>
          <o:OLEObject Type="Link" ProgID="Excel.Sheet.12" ShapeID="_x0000_i1027" DrawAspect="Content" r:id="rId13" UpdateMode="Always">
            <o:LinkType>EnhancedMetaFile</o:LinkType>
            <o:LockedField>false</o:LockedField>
          </o:OLEObject>
        </w:object>
      </w:r>
    </w:p>
    <w:p w14:paraId="6CA631E2" w14:textId="77777777" w:rsidR="00753D9F" w:rsidRPr="00807147" w:rsidRDefault="00753D9F" w:rsidP="00B802A4">
      <w:pPr>
        <w:shd w:val="clear" w:color="auto" w:fill="FFFFFF"/>
        <w:tabs>
          <w:tab w:val="left" w:pos="810"/>
          <w:tab w:val="left" w:pos="1710"/>
        </w:tabs>
        <w:suppressAutoHyphens/>
        <w:autoSpaceDE w:val="0"/>
        <w:autoSpaceDN w:val="0"/>
        <w:adjustRightInd w:val="0"/>
        <w:spacing w:before="120" w:after="120" w:line="276" w:lineRule="auto"/>
        <w:jc w:val="both"/>
        <w:rPr>
          <w:rFonts w:ascii="Tahoma" w:hAnsi="Tahoma" w:cs="Tahoma"/>
          <w:sz w:val="24"/>
          <w:szCs w:val="24"/>
        </w:rPr>
      </w:pPr>
    </w:p>
    <w:p w14:paraId="3ED49AF8" w14:textId="77777777" w:rsidR="00B802A4" w:rsidRPr="00807147" w:rsidRDefault="009F5BBF" w:rsidP="007A0021">
      <w:pPr>
        <w:pStyle w:val="ListParagraph"/>
        <w:spacing w:before="120" w:after="120" w:line="276" w:lineRule="auto"/>
        <w:ind w:left="0"/>
        <w:contextualSpacing w:val="0"/>
        <w:jc w:val="both"/>
        <w:rPr>
          <w:rFonts w:ascii="Tahoma" w:eastAsia="Calibri" w:hAnsi="Tahoma" w:cs="Tahoma"/>
          <w:sz w:val="24"/>
          <w:szCs w:val="24"/>
        </w:rPr>
      </w:pPr>
      <w:r w:rsidRPr="00807147">
        <w:rPr>
          <w:rFonts w:ascii="Tahoma" w:eastAsia="Calibri" w:hAnsi="Tahoma" w:cs="Tahoma"/>
          <w:b/>
          <w:sz w:val="24"/>
          <w:szCs w:val="24"/>
        </w:rPr>
        <w:t>Contribuțiile sociale</w:t>
      </w:r>
      <w:r w:rsidRPr="00807147">
        <w:rPr>
          <w:rFonts w:ascii="Tahoma" w:eastAsia="Calibri" w:hAnsi="Tahoma" w:cs="Tahoma"/>
          <w:sz w:val="24"/>
          <w:szCs w:val="24"/>
        </w:rPr>
        <w:t xml:space="preserve"> </w:t>
      </w:r>
      <w:r w:rsidR="00FF1D8D" w:rsidRPr="00807147">
        <w:rPr>
          <w:rFonts w:ascii="Tahoma" w:eastAsia="Calibri" w:hAnsi="Tahoma" w:cs="Tahoma"/>
          <w:sz w:val="24"/>
          <w:szCs w:val="24"/>
        </w:rPr>
        <w:t>realizate în primul trimestru al anului 202</w:t>
      </w:r>
      <w:r w:rsidR="00B802A4" w:rsidRPr="00807147">
        <w:rPr>
          <w:rFonts w:ascii="Tahoma" w:eastAsia="Calibri" w:hAnsi="Tahoma" w:cs="Tahoma"/>
          <w:sz w:val="24"/>
          <w:szCs w:val="24"/>
        </w:rPr>
        <w:t>3</w:t>
      </w:r>
      <w:r w:rsidR="00FF1D8D" w:rsidRPr="00807147">
        <w:rPr>
          <w:rFonts w:ascii="Tahoma" w:eastAsia="Calibri" w:hAnsi="Tahoma" w:cs="Tahoma"/>
          <w:sz w:val="24"/>
          <w:szCs w:val="24"/>
        </w:rPr>
        <w:t xml:space="preserve"> în sumă de </w:t>
      </w:r>
      <w:r w:rsidR="00B802A4" w:rsidRPr="00807147">
        <w:rPr>
          <w:rFonts w:ascii="Tahoma" w:eastAsia="Calibri" w:hAnsi="Tahoma" w:cs="Tahoma"/>
          <w:sz w:val="24"/>
          <w:szCs w:val="24"/>
        </w:rPr>
        <w:t>36,92</w:t>
      </w:r>
      <w:r w:rsidR="00FF1D8D" w:rsidRPr="00807147">
        <w:rPr>
          <w:rFonts w:ascii="Tahoma" w:eastAsia="Calibri" w:hAnsi="Tahoma" w:cs="Tahoma"/>
          <w:sz w:val="24"/>
          <w:szCs w:val="24"/>
        </w:rPr>
        <w:t xml:space="preserve"> miliarde lei</w:t>
      </w:r>
      <w:r w:rsidR="009D6EDB" w:rsidRPr="00807147">
        <w:rPr>
          <w:rFonts w:ascii="Tahoma" w:eastAsia="Calibri" w:hAnsi="Tahoma" w:cs="Tahoma"/>
          <w:sz w:val="24"/>
          <w:szCs w:val="24"/>
        </w:rPr>
        <w:t xml:space="preserve"> (2,</w:t>
      </w:r>
      <w:r w:rsidR="00B802A4" w:rsidRPr="00807147">
        <w:rPr>
          <w:rFonts w:ascii="Tahoma" w:eastAsia="Calibri" w:hAnsi="Tahoma" w:cs="Tahoma"/>
          <w:sz w:val="24"/>
          <w:szCs w:val="24"/>
        </w:rPr>
        <w:t>3</w:t>
      </w:r>
      <w:r w:rsidR="009D6EDB" w:rsidRPr="00807147">
        <w:rPr>
          <w:rFonts w:ascii="Tahoma" w:eastAsia="Calibri" w:hAnsi="Tahoma" w:cs="Tahoma"/>
          <w:sz w:val="24"/>
          <w:szCs w:val="24"/>
        </w:rPr>
        <w:t>% din PIB)</w:t>
      </w:r>
      <w:r w:rsidR="00FF1D8D" w:rsidRPr="00807147">
        <w:rPr>
          <w:rFonts w:ascii="Tahoma" w:eastAsia="Calibri" w:hAnsi="Tahoma" w:cs="Tahoma"/>
          <w:sz w:val="24"/>
          <w:szCs w:val="24"/>
        </w:rPr>
        <w:t xml:space="preserve">, </w:t>
      </w:r>
      <w:r w:rsidR="00B802A4" w:rsidRPr="00807147">
        <w:rPr>
          <w:rFonts w:ascii="Tahoma" w:eastAsia="Calibri" w:hAnsi="Tahoma" w:cs="Tahoma"/>
          <w:sz w:val="24"/>
          <w:szCs w:val="24"/>
        </w:rPr>
        <w:t>înregistrează, comparativ cu aceeași perioadă a anului precedent, o creștere de 10,</w:t>
      </w:r>
      <w:r w:rsidR="00705D89" w:rsidRPr="00807147">
        <w:rPr>
          <w:rFonts w:ascii="Tahoma" w:eastAsia="Calibri" w:hAnsi="Tahoma" w:cs="Tahoma"/>
          <w:sz w:val="24"/>
          <w:szCs w:val="24"/>
        </w:rPr>
        <w:t>9</w:t>
      </w:r>
      <w:r w:rsidR="00B802A4" w:rsidRPr="00807147">
        <w:rPr>
          <w:rFonts w:ascii="Tahoma" w:eastAsia="Calibri" w:hAnsi="Tahoma" w:cs="Tahoma"/>
          <w:sz w:val="24"/>
          <w:szCs w:val="24"/>
        </w:rPr>
        <w:t>% (+3,62 miliarde lei), sub evoluția fondului brut de salarii la nivel de economie de 14,5%</w:t>
      </w:r>
      <w:r w:rsidR="00B802A4" w:rsidRPr="00807147">
        <w:rPr>
          <w:rFonts w:ascii="Tahoma" w:eastAsia="Calibri" w:hAnsi="Tahoma" w:cs="Tahoma"/>
          <w:sz w:val="24"/>
          <w:szCs w:val="24"/>
          <w:vertAlign w:val="superscript"/>
        </w:rPr>
        <w:footnoteReference w:id="14"/>
      </w:r>
      <w:r w:rsidR="00B802A4" w:rsidRPr="00807147">
        <w:rPr>
          <w:rFonts w:ascii="Tahoma" w:eastAsia="Calibri" w:hAnsi="Tahoma" w:cs="Tahoma"/>
          <w:sz w:val="24"/>
          <w:szCs w:val="24"/>
        </w:rPr>
        <w:t>, gradul de realizare a programului fiind de 95,2 % (-1,86 miliarde lei).</w:t>
      </w:r>
    </w:p>
    <w:p w14:paraId="7D49FD46" w14:textId="77777777" w:rsidR="00714122" w:rsidRPr="00807147" w:rsidRDefault="00714122" w:rsidP="007A0021">
      <w:pPr>
        <w:tabs>
          <w:tab w:val="left" w:pos="284"/>
        </w:tabs>
        <w:autoSpaceDE w:val="0"/>
        <w:autoSpaceDN w:val="0"/>
        <w:adjustRightInd w:val="0"/>
        <w:spacing w:line="276" w:lineRule="auto"/>
        <w:jc w:val="both"/>
        <w:rPr>
          <w:rFonts w:ascii="Tahoma" w:eastAsia="Calibri" w:hAnsi="Tahoma" w:cs="Tahoma"/>
          <w:sz w:val="24"/>
          <w:szCs w:val="24"/>
        </w:rPr>
      </w:pPr>
      <w:r w:rsidRPr="00807147">
        <w:rPr>
          <w:rFonts w:ascii="Tahoma" w:eastAsia="Calibri" w:hAnsi="Tahoma" w:cs="Tahoma"/>
          <w:sz w:val="24"/>
          <w:szCs w:val="24"/>
        </w:rPr>
        <w:t>Evoluția încasărilor din contribuții sociale în perioada analizată se situează sub evoluția fondului brut de salarii la nivel de economie de 14,5%, ca urmare a efectelor generate în trimestrul I 2023 de măsurile privind extinderea facilităților fiscale acordate în sectorul agricol și industrie alimentară (conform prevederilor Legii nr. 135/2022</w:t>
      </w:r>
      <w:r w:rsidRPr="00807147">
        <w:rPr>
          <w:rStyle w:val="FootnoteReference"/>
          <w:rFonts w:ascii="Tahoma" w:eastAsia="Calibri" w:hAnsi="Tahoma" w:cs="Tahoma"/>
          <w:sz w:val="24"/>
          <w:szCs w:val="24"/>
        </w:rPr>
        <w:footnoteReference w:id="15"/>
      </w:r>
      <w:r w:rsidRPr="00807147">
        <w:rPr>
          <w:rFonts w:ascii="Tahoma" w:eastAsia="Calibri" w:hAnsi="Tahoma" w:cs="Tahoma"/>
          <w:sz w:val="24"/>
          <w:szCs w:val="24"/>
        </w:rPr>
        <w:t xml:space="preserve">, cu modificările și completările ulterioare), neincluderea în baza lunară de calcul a contribuțiilor sociale obligatorii a sumei de 200 lei/lună, reprezentând venituri din salarii și asimilate salariilor (pentru salariații cu nivelul salariului de bază brut lunar egal cu nivelul salariului minim brut pe </w:t>
      </w:r>
      <w:r w:rsidR="00C71C51" w:rsidRPr="00807147">
        <w:rPr>
          <w:rFonts w:ascii="Tahoma" w:eastAsia="Calibri" w:hAnsi="Tahoma" w:cs="Tahoma"/>
          <w:sz w:val="24"/>
          <w:szCs w:val="24"/>
        </w:rPr>
        <w:t>țară</w:t>
      </w:r>
      <w:r w:rsidRPr="00807147">
        <w:rPr>
          <w:rFonts w:ascii="Tahoma" w:eastAsia="Calibri" w:hAnsi="Tahoma" w:cs="Tahoma"/>
          <w:sz w:val="24"/>
          <w:szCs w:val="24"/>
        </w:rPr>
        <w:t xml:space="preserve"> garantat în plată și venitul brut realizat din salarii </w:t>
      </w:r>
      <w:proofErr w:type="spellStart"/>
      <w:r w:rsidRPr="00807147">
        <w:rPr>
          <w:rFonts w:ascii="Tahoma" w:eastAsia="Calibri" w:hAnsi="Tahoma" w:cs="Tahoma"/>
          <w:sz w:val="24"/>
          <w:szCs w:val="24"/>
        </w:rPr>
        <w:t>şi</w:t>
      </w:r>
      <w:proofErr w:type="spellEnd"/>
      <w:r w:rsidRPr="00807147">
        <w:rPr>
          <w:rFonts w:ascii="Tahoma" w:eastAsia="Calibri" w:hAnsi="Tahoma" w:cs="Tahoma"/>
          <w:sz w:val="24"/>
          <w:szCs w:val="24"/>
        </w:rPr>
        <w:t xml:space="preserve"> asimilate salariilor ce nu </w:t>
      </w:r>
      <w:r w:rsidR="00C71C51" w:rsidRPr="00807147">
        <w:rPr>
          <w:rFonts w:ascii="Tahoma" w:eastAsia="Calibri" w:hAnsi="Tahoma" w:cs="Tahoma"/>
          <w:sz w:val="24"/>
          <w:szCs w:val="24"/>
        </w:rPr>
        <w:t>depășește</w:t>
      </w:r>
      <w:r w:rsidRPr="00807147">
        <w:rPr>
          <w:rFonts w:ascii="Tahoma" w:eastAsia="Calibri" w:hAnsi="Tahoma" w:cs="Tahoma"/>
          <w:sz w:val="24"/>
          <w:szCs w:val="24"/>
        </w:rPr>
        <w:t xml:space="preserve"> nivelul de 4.000 lei inclusiv, conform O.U.G. nr. 168/2022), încetarea de la plată a CASS pentru veniturile din pensii mai mari de 4.000 lei (în baza Deciziei CCR nr. 650/15.12.2022 privind neconstituționalitatea dispozițiilor O.U.G. nr. 130/2021</w:t>
      </w:r>
      <w:r w:rsidRPr="00807147">
        <w:rPr>
          <w:rStyle w:val="FootnoteReference"/>
          <w:rFonts w:ascii="Tahoma" w:eastAsia="Calibri" w:hAnsi="Tahoma" w:cs="Tahoma"/>
          <w:sz w:val="24"/>
          <w:szCs w:val="24"/>
        </w:rPr>
        <w:footnoteReference w:id="16"/>
      </w:r>
      <w:r w:rsidRPr="00807147">
        <w:rPr>
          <w:rFonts w:ascii="Tahoma" w:eastAsia="Calibri" w:hAnsi="Tahoma" w:cs="Tahoma"/>
          <w:sz w:val="24"/>
          <w:szCs w:val="24"/>
        </w:rPr>
        <w:t xml:space="preserve">, efectul bugetar fiind de -0,13 miliarde lei) și restituirea (începând cu data de 1 martie 2023) sumei </w:t>
      </w:r>
      <w:r w:rsidR="00C71C51" w:rsidRPr="00807147">
        <w:rPr>
          <w:rFonts w:ascii="Tahoma" w:eastAsia="Calibri" w:hAnsi="Tahoma" w:cs="Tahoma"/>
          <w:sz w:val="24"/>
          <w:szCs w:val="24"/>
        </w:rPr>
        <w:t>reținute</w:t>
      </w:r>
      <w:r w:rsidRPr="00807147">
        <w:rPr>
          <w:rFonts w:ascii="Tahoma" w:eastAsia="Calibri" w:hAnsi="Tahoma" w:cs="Tahoma"/>
          <w:sz w:val="24"/>
          <w:szCs w:val="24"/>
        </w:rPr>
        <w:t xml:space="preserve"> cu titlul de CASS din veniturile din pensii (efect bugetar de -0,07 miliarde lei, din aplicarea prevederilor O.U.G. nr.  4/2023</w:t>
      </w:r>
      <w:r w:rsidRPr="00807147">
        <w:rPr>
          <w:rStyle w:val="FootnoteReference"/>
          <w:rFonts w:ascii="Tahoma" w:eastAsia="Calibri" w:hAnsi="Tahoma" w:cs="Tahoma"/>
          <w:sz w:val="24"/>
          <w:szCs w:val="24"/>
        </w:rPr>
        <w:footnoteReference w:id="17"/>
      </w:r>
      <w:r w:rsidRPr="00807147">
        <w:rPr>
          <w:rFonts w:ascii="Tahoma" w:eastAsia="Calibri" w:hAnsi="Tahoma" w:cs="Tahoma"/>
          <w:sz w:val="24"/>
          <w:szCs w:val="24"/>
        </w:rPr>
        <w:t xml:space="preserve">). </w:t>
      </w:r>
    </w:p>
    <w:p w14:paraId="1A8656D3" w14:textId="77777777" w:rsidR="00714122" w:rsidRPr="00807147" w:rsidRDefault="00B802A4" w:rsidP="007A0021">
      <w:pPr>
        <w:shd w:val="clear" w:color="auto" w:fill="FFFFFF" w:themeFill="background1"/>
        <w:autoSpaceDE w:val="0"/>
        <w:autoSpaceDN w:val="0"/>
        <w:adjustRightInd w:val="0"/>
        <w:spacing w:after="120" w:line="276" w:lineRule="auto"/>
        <w:jc w:val="both"/>
        <w:rPr>
          <w:rFonts w:ascii="Tahoma" w:eastAsia="Calibri" w:hAnsi="Tahoma" w:cs="Tahoma"/>
          <w:sz w:val="24"/>
          <w:szCs w:val="24"/>
        </w:rPr>
      </w:pPr>
      <w:r w:rsidRPr="00807147">
        <w:rPr>
          <w:rFonts w:ascii="Tahoma" w:eastAsia="Calibri" w:hAnsi="Tahoma" w:cs="Tahoma"/>
          <w:sz w:val="24"/>
          <w:szCs w:val="24"/>
        </w:rPr>
        <w:lastRenderedPageBreak/>
        <w:t xml:space="preserve">Pe bugete, gradul de realizare a programului de încasări stabilit pentru primul trimestru al anului 2023, se prezintă astfel: bugetul de stat (98,7%), bugetul </w:t>
      </w:r>
      <w:r w:rsidR="00714122" w:rsidRPr="00807147">
        <w:rPr>
          <w:rFonts w:ascii="Tahoma" w:eastAsia="Calibri" w:hAnsi="Tahoma" w:cs="Tahoma"/>
          <w:sz w:val="24"/>
          <w:szCs w:val="24"/>
        </w:rPr>
        <w:t>F</w:t>
      </w:r>
      <w:r w:rsidRPr="00807147">
        <w:rPr>
          <w:rFonts w:ascii="Tahoma" w:eastAsia="Calibri" w:hAnsi="Tahoma" w:cs="Tahoma"/>
          <w:sz w:val="24"/>
          <w:szCs w:val="24"/>
        </w:rPr>
        <w:t xml:space="preserve">ondului național unic de asigurări sociale de sănătate (95,8%), bugetul asigurărilor sociale de </w:t>
      </w:r>
      <w:r w:rsidR="00705D89" w:rsidRPr="00807147">
        <w:rPr>
          <w:rFonts w:ascii="Tahoma" w:eastAsia="Calibri" w:hAnsi="Tahoma" w:cs="Tahoma"/>
          <w:sz w:val="24"/>
          <w:szCs w:val="24"/>
        </w:rPr>
        <w:t>stat (94,8%)</w:t>
      </w:r>
      <w:r w:rsidRPr="00807147">
        <w:rPr>
          <w:rFonts w:ascii="Tahoma" w:eastAsia="Calibri" w:hAnsi="Tahoma" w:cs="Tahoma"/>
          <w:sz w:val="24"/>
          <w:szCs w:val="24"/>
        </w:rPr>
        <w:t xml:space="preserve"> și bugetul asigurărilor pentru șomaj (85,6%). </w:t>
      </w:r>
      <w:r w:rsidR="00714122" w:rsidRPr="00807147">
        <w:rPr>
          <w:rFonts w:ascii="Tahoma" w:eastAsia="Calibri" w:hAnsi="Tahoma" w:cs="Tahoma"/>
          <w:sz w:val="24"/>
          <w:szCs w:val="24"/>
        </w:rPr>
        <w:t>Implicații negative asupra atingerii țintei trimestriale au și modificările legislative adoptate ulterior aprobării legilor bugetare anuale, și anume O.U.G. nr. 168/2022 (neincluderea în baza lunară de calcul a contribuțiilor sociale obligatorii a sumei de 200 lei/lună, reprezentând venituri din salarii și asimilate salariilor), Decizia CCR nr. 650/15.12.2022 privind neconstituționalitatea dispozițiilor O.U.G. nr. 130/2021</w:t>
      </w:r>
      <w:r w:rsidR="00714122" w:rsidRPr="00807147">
        <w:rPr>
          <w:rStyle w:val="FootnoteReference"/>
          <w:rFonts w:ascii="Tahoma" w:eastAsia="Calibri" w:hAnsi="Tahoma" w:cs="Tahoma"/>
          <w:sz w:val="24"/>
          <w:szCs w:val="24"/>
        </w:rPr>
        <w:footnoteReference w:id="18"/>
      </w:r>
      <w:r w:rsidR="00714122" w:rsidRPr="00807147">
        <w:rPr>
          <w:rFonts w:ascii="Tahoma" w:eastAsia="Calibri" w:hAnsi="Tahoma" w:cs="Tahoma"/>
          <w:sz w:val="24"/>
          <w:szCs w:val="24"/>
        </w:rPr>
        <w:t xml:space="preserve"> și O.U.G. nr.  4/2023 privind restituirea sumei </w:t>
      </w:r>
      <w:r w:rsidR="00C71C51" w:rsidRPr="00807147">
        <w:rPr>
          <w:rFonts w:ascii="Tahoma" w:eastAsia="Calibri" w:hAnsi="Tahoma" w:cs="Tahoma"/>
          <w:sz w:val="24"/>
          <w:szCs w:val="24"/>
        </w:rPr>
        <w:t>reținute</w:t>
      </w:r>
      <w:r w:rsidR="00714122" w:rsidRPr="00807147">
        <w:rPr>
          <w:rFonts w:ascii="Tahoma" w:eastAsia="Calibri" w:hAnsi="Tahoma" w:cs="Tahoma"/>
          <w:sz w:val="24"/>
          <w:szCs w:val="24"/>
        </w:rPr>
        <w:t xml:space="preserve"> cu titlul de CASS din veniturile din pensii. </w:t>
      </w:r>
    </w:p>
    <w:p w14:paraId="2EBDA1D0" w14:textId="77777777" w:rsidR="00FF1D8D" w:rsidRPr="00807147" w:rsidRDefault="00FF1D8D" w:rsidP="007A0021">
      <w:pPr>
        <w:pStyle w:val="ListParagraph"/>
        <w:spacing w:before="120" w:after="120" w:line="276" w:lineRule="auto"/>
        <w:ind w:left="0"/>
        <w:contextualSpacing w:val="0"/>
        <w:jc w:val="both"/>
        <w:rPr>
          <w:rFonts w:ascii="Tahoma" w:eastAsia="Calibri" w:hAnsi="Tahoma" w:cs="Tahoma"/>
          <w:sz w:val="24"/>
          <w:szCs w:val="24"/>
        </w:rPr>
      </w:pPr>
      <w:r w:rsidRPr="00807147">
        <w:rPr>
          <w:rFonts w:ascii="Tahoma" w:eastAsia="Calibri" w:hAnsi="Tahoma" w:cs="Tahoma"/>
          <w:sz w:val="24"/>
          <w:szCs w:val="24"/>
        </w:rPr>
        <w:t>Comparativ cu aceeași perioadă a anului 202</w:t>
      </w:r>
      <w:r w:rsidR="00066FE7" w:rsidRPr="00807147">
        <w:rPr>
          <w:rFonts w:ascii="Tahoma" w:eastAsia="Calibri" w:hAnsi="Tahoma" w:cs="Tahoma"/>
          <w:sz w:val="24"/>
          <w:szCs w:val="24"/>
        </w:rPr>
        <w:t>2</w:t>
      </w:r>
      <w:r w:rsidRPr="00807147">
        <w:rPr>
          <w:rFonts w:ascii="Tahoma" w:eastAsia="Calibri" w:hAnsi="Tahoma" w:cs="Tahoma"/>
          <w:sz w:val="24"/>
          <w:szCs w:val="24"/>
        </w:rPr>
        <w:t xml:space="preserve"> s-au înregistrat creșteri ale contribuțiilor sociale încasate, pe bugete componente, astfel: bugetul Fondului național unic de asigurări sociale de sănătate (+</w:t>
      </w:r>
      <w:r w:rsidR="00066FE7" w:rsidRPr="00807147">
        <w:rPr>
          <w:rFonts w:ascii="Tahoma" w:eastAsia="Calibri" w:hAnsi="Tahoma" w:cs="Tahoma"/>
          <w:sz w:val="24"/>
          <w:szCs w:val="24"/>
        </w:rPr>
        <w:t>9,3%</w:t>
      </w:r>
      <w:r w:rsidRPr="00807147">
        <w:rPr>
          <w:rFonts w:ascii="Tahoma" w:eastAsia="Calibri" w:hAnsi="Tahoma" w:cs="Tahoma"/>
          <w:sz w:val="24"/>
          <w:szCs w:val="24"/>
        </w:rPr>
        <w:t>), bugetul asigurărilor sociale de stat (+</w:t>
      </w:r>
      <w:r w:rsidR="00066FE7" w:rsidRPr="00807147">
        <w:rPr>
          <w:rFonts w:ascii="Tahoma" w:eastAsia="Calibri" w:hAnsi="Tahoma" w:cs="Tahoma"/>
          <w:sz w:val="24"/>
          <w:szCs w:val="24"/>
        </w:rPr>
        <w:t>11,3</w:t>
      </w:r>
      <w:r w:rsidRPr="00807147">
        <w:rPr>
          <w:rFonts w:ascii="Tahoma" w:eastAsia="Calibri" w:hAnsi="Tahoma" w:cs="Tahoma"/>
          <w:sz w:val="24"/>
          <w:szCs w:val="24"/>
        </w:rPr>
        <w:t xml:space="preserve">%), </w:t>
      </w:r>
      <w:r w:rsidR="00066FE7" w:rsidRPr="00807147">
        <w:rPr>
          <w:rFonts w:ascii="Tahoma" w:eastAsia="Calibri" w:hAnsi="Tahoma" w:cs="Tahoma"/>
          <w:sz w:val="24"/>
          <w:szCs w:val="24"/>
        </w:rPr>
        <w:t>bugetul de stat (+</w:t>
      </w:r>
      <w:r w:rsidR="006A20D2" w:rsidRPr="00807147">
        <w:rPr>
          <w:rFonts w:ascii="Tahoma" w:eastAsia="Calibri" w:hAnsi="Tahoma" w:cs="Tahoma"/>
          <w:sz w:val="24"/>
          <w:szCs w:val="24"/>
        </w:rPr>
        <w:t>16,7</w:t>
      </w:r>
      <w:r w:rsidR="00066FE7" w:rsidRPr="00807147">
        <w:rPr>
          <w:rFonts w:ascii="Tahoma" w:eastAsia="Calibri" w:hAnsi="Tahoma" w:cs="Tahoma"/>
          <w:sz w:val="24"/>
          <w:szCs w:val="24"/>
        </w:rPr>
        <w:t xml:space="preserve">) </w:t>
      </w:r>
      <w:r w:rsidRPr="00807147">
        <w:rPr>
          <w:rFonts w:ascii="Tahoma" w:eastAsia="Calibri" w:hAnsi="Tahoma" w:cs="Tahoma"/>
          <w:sz w:val="24"/>
          <w:szCs w:val="24"/>
        </w:rPr>
        <w:t xml:space="preserve">și o ușoară scădere a contribuțiilor de asigurări la </w:t>
      </w:r>
      <w:r w:rsidR="00066FE7" w:rsidRPr="00807147">
        <w:rPr>
          <w:rFonts w:ascii="Tahoma" w:eastAsia="Calibri" w:hAnsi="Tahoma" w:cs="Tahoma"/>
          <w:sz w:val="24"/>
          <w:szCs w:val="24"/>
        </w:rPr>
        <w:t xml:space="preserve">bugetul asigurărilor pentru șomaj </w:t>
      </w:r>
      <w:r w:rsidRPr="00807147">
        <w:rPr>
          <w:rFonts w:ascii="Tahoma" w:eastAsia="Calibri" w:hAnsi="Tahoma" w:cs="Tahoma"/>
          <w:sz w:val="24"/>
          <w:szCs w:val="24"/>
        </w:rPr>
        <w:t>(-</w:t>
      </w:r>
      <w:r w:rsidR="00066FE7" w:rsidRPr="00807147">
        <w:rPr>
          <w:rFonts w:ascii="Tahoma" w:eastAsia="Calibri" w:hAnsi="Tahoma" w:cs="Tahoma"/>
          <w:sz w:val="24"/>
          <w:szCs w:val="24"/>
        </w:rPr>
        <w:t>1,9</w:t>
      </w:r>
      <w:r w:rsidRPr="00807147">
        <w:rPr>
          <w:rFonts w:ascii="Tahoma" w:eastAsia="Calibri" w:hAnsi="Tahoma" w:cs="Tahoma"/>
          <w:sz w:val="24"/>
          <w:szCs w:val="24"/>
        </w:rPr>
        <w:t>%).</w:t>
      </w:r>
    </w:p>
    <w:p w14:paraId="3BF57524" w14:textId="77777777" w:rsidR="00DD52A5" w:rsidRPr="00807147" w:rsidRDefault="00DD52A5" w:rsidP="007A0021">
      <w:pPr>
        <w:pStyle w:val="ListParagraph"/>
        <w:spacing w:before="240" w:after="120" w:line="276" w:lineRule="auto"/>
        <w:ind w:left="0"/>
        <w:contextualSpacing w:val="0"/>
        <w:jc w:val="both"/>
        <w:rPr>
          <w:rFonts w:ascii="Tahoma" w:hAnsi="Tahoma" w:cs="Tahoma"/>
          <w:sz w:val="24"/>
          <w:szCs w:val="24"/>
        </w:rPr>
      </w:pPr>
      <w:r w:rsidRPr="00807147">
        <w:rPr>
          <w:rFonts w:ascii="Tahoma" w:hAnsi="Tahoma" w:cs="Tahoma"/>
          <w:b/>
          <w:sz w:val="24"/>
          <w:szCs w:val="24"/>
        </w:rPr>
        <w:t>Veniturile nefiscale</w:t>
      </w:r>
      <w:r w:rsidRPr="00807147">
        <w:rPr>
          <w:rFonts w:ascii="Tahoma" w:hAnsi="Tahoma" w:cs="Tahoma"/>
          <w:sz w:val="24"/>
          <w:szCs w:val="24"/>
        </w:rPr>
        <w:t xml:space="preserve"> au fost în sumă de </w:t>
      </w:r>
      <w:r w:rsidR="006A20D2" w:rsidRPr="00807147">
        <w:rPr>
          <w:rFonts w:ascii="Tahoma" w:hAnsi="Tahoma" w:cs="Tahoma"/>
          <w:bCs/>
          <w:sz w:val="24"/>
          <w:szCs w:val="24"/>
        </w:rPr>
        <w:t>9,86</w:t>
      </w:r>
      <w:r w:rsidRPr="00807147">
        <w:rPr>
          <w:rFonts w:ascii="Tahoma" w:hAnsi="Tahoma" w:cs="Tahoma"/>
          <w:bCs/>
          <w:sz w:val="24"/>
          <w:szCs w:val="24"/>
        </w:rPr>
        <w:t xml:space="preserve"> </w:t>
      </w:r>
      <w:r w:rsidR="00602503" w:rsidRPr="00807147">
        <w:rPr>
          <w:rFonts w:ascii="Tahoma" w:hAnsi="Tahoma" w:cs="Tahoma"/>
          <w:bCs/>
          <w:sz w:val="24"/>
          <w:szCs w:val="24"/>
        </w:rPr>
        <w:t>miliarde</w:t>
      </w:r>
      <w:r w:rsidR="00713D80" w:rsidRPr="00807147">
        <w:rPr>
          <w:rFonts w:ascii="Tahoma" w:hAnsi="Tahoma" w:cs="Tahoma"/>
          <w:bCs/>
          <w:sz w:val="24"/>
          <w:szCs w:val="24"/>
        </w:rPr>
        <w:t xml:space="preserve"> </w:t>
      </w:r>
      <w:r w:rsidRPr="00807147">
        <w:rPr>
          <w:rFonts w:ascii="Tahoma" w:hAnsi="Tahoma" w:cs="Tahoma"/>
          <w:bCs/>
          <w:sz w:val="24"/>
          <w:szCs w:val="24"/>
        </w:rPr>
        <w:t xml:space="preserve">lei </w:t>
      </w:r>
      <w:r w:rsidRPr="00807147">
        <w:rPr>
          <w:rFonts w:ascii="Tahoma" w:hAnsi="Tahoma" w:cs="Tahoma"/>
          <w:sz w:val="24"/>
          <w:szCs w:val="24"/>
        </w:rPr>
        <w:t>(</w:t>
      </w:r>
      <w:r w:rsidR="006D1425" w:rsidRPr="00807147">
        <w:rPr>
          <w:rFonts w:ascii="Tahoma" w:hAnsi="Tahoma" w:cs="Tahoma"/>
          <w:sz w:val="24"/>
          <w:szCs w:val="24"/>
        </w:rPr>
        <w:t>0,6</w:t>
      </w:r>
      <w:r w:rsidRPr="00807147">
        <w:rPr>
          <w:rFonts w:ascii="Tahoma" w:hAnsi="Tahoma" w:cs="Tahoma"/>
          <w:sz w:val="24"/>
          <w:szCs w:val="24"/>
        </w:rPr>
        <w:t>%</w:t>
      </w:r>
      <w:r w:rsidRPr="00807147">
        <w:rPr>
          <w:rFonts w:ascii="Tahoma" w:hAnsi="Tahoma" w:cs="Tahoma"/>
          <w:b/>
          <w:bCs/>
          <w:sz w:val="24"/>
          <w:szCs w:val="24"/>
        </w:rPr>
        <w:t xml:space="preserve"> </w:t>
      </w:r>
      <w:r w:rsidRPr="00807147">
        <w:rPr>
          <w:rFonts w:ascii="Tahoma" w:hAnsi="Tahoma" w:cs="Tahoma"/>
          <w:sz w:val="24"/>
          <w:szCs w:val="24"/>
        </w:rPr>
        <w:t>din PIB)</w:t>
      </w:r>
      <w:r w:rsidR="004F35DA" w:rsidRPr="00807147">
        <w:rPr>
          <w:rFonts w:ascii="Tahoma" w:hAnsi="Tahoma" w:cs="Tahoma"/>
          <w:sz w:val="24"/>
          <w:szCs w:val="24"/>
        </w:rPr>
        <w:t xml:space="preserve"> în primele trei luni ale anului</w:t>
      </w:r>
      <w:r w:rsidR="00705D89" w:rsidRPr="00807147">
        <w:rPr>
          <w:rFonts w:ascii="Tahoma" w:hAnsi="Tahoma" w:cs="Tahoma"/>
          <w:sz w:val="24"/>
          <w:szCs w:val="24"/>
        </w:rPr>
        <w:t xml:space="preserve"> curent</w:t>
      </w:r>
      <w:r w:rsidRPr="00807147">
        <w:rPr>
          <w:rFonts w:ascii="Tahoma" w:hAnsi="Tahoma" w:cs="Tahoma"/>
          <w:sz w:val="24"/>
          <w:szCs w:val="24"/>
        </w:rPr>
        <w:t xml:space="preserve">, gradul de realizare al programului trimestrial fiind de </w:t>
      </w:r>
      <w:r w:rsidR="006A20D2" w:rsidRPr="00807147">
        <w:rPr>
          <w:rFonts w:ascii="Tahoma" w:hAnsi="Tahoma" w:cs="Tahoma"/>
          <w:sz w:val="24"/>
          <w:szCs w:val="24"/>
        </w:rPr>
        <w:t>99</w:t>
      </w:r>
      <w:r w:rsidRPr="00807147">
        <w:rPr>
          <w:rFonts w:ascii="Tahoma" w:hAnsi="Tahoma" w:cs="Tahoma"/>
          <w:sz w:val="24"/>
          <w:szCs w:val="24"/>
        </w:rPr>
        <w:t>%.</w:t>
      </w:r>
      <w:r w:rsidR="00006CCB" w:rsidRPr="00807147">
        <w:rPr>
          <w:rFonts w:ascii="Tahoma" w:hAnsi="Tahoma" w:cs="Tahoma"/>
          <w:sz w:val="24"/>
          <w:szCs w:val="24"/>
        </w:rPr>
        <w:t xml:space="preserve"> Încasările la bugetul de stat au fost în sumă de 4,83 miliarde lei, depășind nivelul prognozat pentru perioada analizată cu 20,3%.</w:t>
      </w:r>
    </w:p>
    <w:p w14:paraId="529BB1FB" w14:textId="77777777" w:rsidR="00D870FD" w:rsidRPr="00807147" w:rsidRDefault="004E25FC" w:rsidP="007A0021">
      <w:pPr>
        <w:shd w:val="clear" w:color="auto" w:fill="FFFFFF"/>
        <w:autoSpaceDE w:val="0"/>
        <w:autoSpaceDN w:val="0"/>
        <w:adjustRightInd w:val="0"/>
        <w:spacing w:after="120" w:line="276" w:lineRule="auto"/>
        <w:jc w:val="both"/>
        <w:rPr>
          <w:rFonts w:ascii="Tahoma" w:hAnsi="Tahoma" w:cs="Tahoma"/>
          <w:sz w:val="24"/>
          <w:szCs w:val="24"/>
        </w:rPr>
      </w:pPr>
      <w:r w:rsidRPr="00807147">
        <w:rPr>
          <w:rFonts w:ascii="Tahoma" w:hAnsi="Tahoma" w:cs="Tahoma"/>
          <w:sz w:val="24"/>
          <w:szCs w:val="24"/>
        </w:rPr>
        <w:t xml:space="preserve">Comparativ cu anul anterior încasările din venituri nefiscale </w:t>
      </w:r>
      <w:r w:rsidR="00006CCB" w:rsidRPr="00807147">
        <w:rPr>
          <w:rFonts w:ascii="Tahoma" w:hAnsi="Tahoma" w:cs="Tahoma"/>
          <w:sz w:val="24"/>
          <w:szCs w:val="24"/>
        </w:rPr>
        <w:t>au crescut cu 16,7%</w:t>
      </w:r>
      <w:r w:rsidR="00C71C51">
        <w:rPr>
          <w:rFonts w:ascii="Tahoma" w:hAnsi="Tahoma" w:cs="Tahoma"/>
          <w:sz w:val="24"/>
          <w:szCs w:val="24"/>
        </w:rPr>
        <w:t xml:space="preserve"> </w:t>
      </w:r>
      <w:r w:rsidR="00006CCB" w:rsidRPr="00807147">
        <w:rPr>
          <w:rFonts w:ascii="Tahoma" w:hAnsi="Tahoma" w:cs="Tahoma"/>
          <w:sz w:val="24"/>
          <w:szCs w:val="24"/>
        </w:rPr>
        <w:t xml:space="preserve">(+1,41 miliarde lei) în principal ca urmare a </w:t>
      </w:r>
      <w:r w:rsidR="00DD52A5" w:rsidRPr="00807147">
        <w:rPr>
          <w:rFonts w:ascii="Tahoma" w:hAnsi="Tahoma" w:cs="Tahoma"/>
          <w:sz w:val="24"/>
          <w:szCs w:val="24"/>
        </w:rPr>
        <w:t>evoluției încasărilor la bugetul</w:t>
      </w:r>
      <w:r w:rsidR="00B4077C" w:rsidRPr="00807147">
        <w:rPr>
          <w:rFonts w:ascii="Tahoma" w:hAnsi="Tahoma" w:cs="Tahoma"/>
          <w:sz w:val="24"/>
          <w:szCs w:val="24"/>
        </w:rPr>
        <w:t>ui</w:t>
      </w:r>
      <w:r w:rsidR="00DD52A5" w:rsidRPr="00807147">
        <w:rPr>
          <w:rFonts w:ascii="Tahoma" w:hAnsi="Tahoma" w:cs="Tahoma"/>
          <w:sz w:val="24"/>
          <w:szCs w:val="24"/>
        </w:rPr>
        <w:t xml:space="preserve"> de stat</w:t>
      </w:r>
      <w:r w:rsidR="00D870FD" w:rsidRPr="00807147">
        <w:rPr>
          <w:rFonts w:ascii="Tahoma" w:hAnsi="Tahoma" w:cs="Tahoma"/>
          <w:sz w:val="24"/>
          <w:szCs w:val="24"/>
        </w:rPr>
        <w:t xml:space="preserve"> </w:t>
      </w:r>
      <w:r w:rsidR="00006CCB" w:rsidRPr="00807147">
        <w:rPr>
          <w:rFonts w:ascii="Tahoma" w:hAnsi="Tahoma" w:cs="Tahoma"/>
          <w:sz w:val="24"/>
          <w:szCs w:val="24"/>
        </w:rPr>
        <w:t>(+16,6%) și bugetele instituțiilor/activităților finanțate integral sau parțial din venituri proprii(+19,9%)</w:t>
      </w:r>
      <w:r w:rsidR="00C77B5C" w:rsidRPr="00807147">
        <w:rPr>
          <w:rFonts w:ascii="Tahoma" w:hAnsi="Tahoma" w:cs="Tahoma"/>
          <w:sz w:val="24"/>
          <w:szCs w:val="24"/>
        </w:rPr>
        <w:t>.</w:t>
      </w:r>
    </w:p>
    <w:p w14:paraId="3A07C419" w14:textId="77777777" w:rsidR="00E15D34" w:rsidRPr="00807147" w:rsidRDefault="00DD52A5" w:rsidP="007A0021">
      <w:pPr>
        <w:pStyle w:val="NormalWeb"/>
        <w:spacing w:before="120" w:after="120"/>
        <w:ind w:firstLine="0"/>
        <w:rPr>
          <w:rFonts w:ascii="Tahoma" w:hAnsi="Tahoma" w:cs="Tahoma"/>
          <w:lang w:val="ro-RO" w:eastAsia="ro-RO"/>
        </w:rPr>
      </w:pPr>
      <w:r w:rsidRPr="00807147">
        <w:rPr>
          <w:rFonts w:ascii="Tahoma" w:hAnsi="Tahoma" w:cs="Tahoma"/>
          <w:b/>
          <w:bCs/>
          <w:lang w:val="ro-RO" w:eastAsia="ro-RO"/>
        </w:rPr>
        <w:t>Sumele primite de la Uniunea Europeană</w:t>
      </w:r>
      <w:r w:rsidRPr="00807147">
        <w:rPr>
          <w:rFonts w:ascii="Tahoma" w:hAnsi="Tahoma" w:cs="Tahoma"/>
          <w:lang w:val="ro-RO" w:eastAsia="ro-RO"/>
        </w:rPr>
        <w:t xml:space="preserve"> aferente proiectelor finanțate atât din cadrul financiar 2007-2013, cât și din cadru financiar 2014-2020</w:t>
      </w:r>
      <w:r w:rsidR="00B56642" w:rsidRPr="00807147">
        <w:rPr>
          <w:rFonts w:ascii="Tahoma" w:hAnsi="Tahoma" w:cs="Tahoma"/>
          <w:lang w:val="ro-RO" w:eastAsia="ro-RO"/>
        </w:rPr>
        <w:t xml:space="preserve"> dar și </w:t>
      </w:r>
      <w:r w:rsidR="00102D79" w:rsidRPr="00807147">
        <w:rPr>
          <w:rFonts w:ascii="Tahoma" w:hAnsi="Tahoma" w:cs="Tahoma"/>
          <w:lang w:val="ro-RO" w:eastAsia="ro-RO"/>
        </w:rPr>
        <w:t>sumele aferente</w:t>
      </w:r>
      <w:r w:rsidR="00102D79" w:rsidRPr="00807147">
        <w:rPr>
          <w:rFonts w:ascii="Tahoma" w:hAnsi="Tahoma" w:cs="Tahoma"/>
          <w:b/>
          <w:bCs/>
          <w:lang w:val="ro-RO" w:eastAsia="ro-RO"/>
        </w:rPr>
        <w:t xml:space="preserve"> </w:t>
      </w:r>
      <w:r w:rsidR="00102D79" w:rsidRPr="00807147">
        <w:rPr>
          <w:rFonts w:ascii="Tahoma" w:hAnsi="Tahoma" w:cs="Tahoma"/>
          <w:bCs/>
          <w:lang w:val="ro-RO" w:eastAsia="ro-RO"/>
        </w:rPr>
        <w:t>perioadei de programare a Uniunii Europene 2021-2027</w:t>
      </w:r>
      <w:r w:rsidRPr="00807147">
        <w:rPr>
          <w:rFonts w:ascii="Tahoma" w:hAnsi="Tahoma" w:cs="Tahoma"/>
          <w:lang w:val="ro-RO" w:eastAsia="ro-RO"/>
        </w:rPr>
        <w:t>,</w:t>
      </w:r>
      <w:r w:rsidR="00D870FD" w:rsidRPr="00807147">
        <w:rPr>
          <w:rFonts w:ascii="Tahoma" w:hAnsi="Tahoma" w:cs="Tahoma"/>
          <w:lang w:val="ro-RO" w:eastAsia="ro-RO"/>
        </w:rPr>
        <w:t xml:space="preserve"> </w:t>
      </w:r>
      <w:r w:rsidR="00006CCB" w:rsidRPr="00807147">
        <w:rPr>
          <w:rFonts w:ascii="Tahoma" w:hAnsi="Tahoma" w:cs="Tahoma"/>
          <w:lang w:val="ro-RO" w:eastAsia="ro-RO"/>
        </w:rPr>
        <w:t xml:space="preserve">cât și </w:t>
      </w:r>
      <w:r w:rsidR="00705D89" w:rsidRPr="00807147">
        <w:rPr>
          <w:rFonts w:ascii="Tahoma" w:hAnsi="Tahoma" w:cs="Tahoma"/>
          <w:lang w:val="ro-RO" w:eastAsia="ro-RO"/>
        </w:rPr>
        <w:t xml:space="preserve">cele </w:t>
      </w:r>
      <w:r w:rsidR="00006CCB" w:rsidRPr="00807147">
        <w:rPr>
          <w:rFonts w:ascii="Tahoma" w:hAnsi="Tahoma" w:cs="Tahoma"/>
          <w:lang w:val="ro-RO" w:eastAsia="ro-RO"/>
        </w:rPr>
        <w:t xml:space="preserve">aferente asistenței financiare nerambursabile alocate PNRR </w:t>
      </w:r>
      <w:r w:rsidRPr="00807147">
        <w:rPr>
          <w:rFonts w:ascii="Tahoma" w:hAnsi="Tahoma" w:cs="Tahoma"/>
          <w:lang w:val="ro-RO" w:eastAsia="ro-RO"/>
        </w:rPr>
        <w:t>încasate în primul trimestru al anului 202</w:t>
      </w:r>
      <w:r w:rsidR="00006CCB" w:rsidRPr="00807147">
        <w:rPr>
          <w:rFonts w:ascii="Tahoma" w:hAnsi="Tahoma" w:cs="Tahoma"/>
          <w:lang w:val="ro-RO" w:eastAsia="ro-RO"/>
        </w:rPr>
        <w:t>3</w:t>
      </w:r>
      <w:r w:rsidRPr="00807147">
        <w:rPr>
          <w:rFonts w:ascii="Tahoma" w:hAnsi="Tahoma" w:cs="Tahoma"/>
          <w:lang w:val="ro-RO" w:eastAsia="ro-RO"/>
        </w:rPr>
        <w:t xml:space="preserve">, au </w:t>
      </w:r>
      <w:r w:rsidR="00006CCB" w:rsidRPr="00807147">
        <w:rPr>
          <w:rFonts w:ascii="Tahoma" w:hAnsi="Tahoma" w:cs="Tahoma"/>
          <w:lang w:val="ro-RO" w:eastAsia="ro-RO"/>
        </w:rPr>
        <w:t>fost în sumă de 9,35 miliarde lei (</w:t>
      </w:r>
      <w:r w:rsidRPr="00807147">
        <w:rPr>
          <w:rFonts w:ascii="Tahoma" w:hAnsi="Tahoma" w:cs="Tahoma"/>
          <w:lang w:val="ro-RO" w:eastAsia="ro-RO"/>
        </w:rPr>
        <w:t>0,</w:t>
      </w:r>
      <w:r w:rsidR="009D6EDB" w:rsidRPr="00807147">
        <w:rPr>
          <w:rFonts w:ascii="Tahoma" w:hAnsi="Tahoma" w:cs="Tahoma"/>
          <w:lang w:val="ro-RO" w:eastAsia="ro-RO"/>
        </w:rPr>
        <w:t>6</w:t>
      </w:r>
      <w:r w:rsidRPr="00807147">
        <w:rPr>
          <w:rFonts w:ascii="Tahoma" w:hAnsi="Tahoma" w:cs="Tahoma"/>
          <w:lang w:val="ro-RO" w:eastAsia="ro-RO"/>
        </w:rPr>
        <w:t>% din PIB</w:t>
      </w:r>
      <w:r w:rsidR="00006CCB" w:rsidRPr="00807147">
        <w:rPr>
          <w:rFonts w:ascii="Tahoma" w:hAnsi="Tahoma" w:cs="Tahoma"/>
          <w:lang w:val="ro-RO" w:eastAsia="ro-RO"/>
        </w:rPr>
        <w:t>)</w:t>
      </w:r>
      <w:r w:rsidR="0097352C" w:rsidRPr="00807147">
        <w:rPr>
          <w:rFonts w:ascii="Tahoma" w:hAnsi="Tahoma" w:cs="Tahoma"/>
          <w:lang w:val="ro-RO" w:eastAsia="ro-RO"/>
        </w:rPr>
        <w:t>, corespunzător</w:t>
      </w:r>
      <w:r w:rsidRPr="00807147">
        <w:rPr>
          <w:rFonts w:ascii="Tahoma" w:hAnsi="Tahoma" w:cs="Tahoma"/>
          <w:lang w:val="ro-RO" w:eastAsia="ro-RO"/>
        </w:rPr>
        <w:t xml:space="preserve"> un</w:t>
      </w:r>
      <w:r w:rsidR="0097352C" w:rsidRPr="00807147">
        <w:rPr>
          <w:rFonts w:ascii="Tahoma" w:hAnsi="Tahoma" w:cs="Tahoma"/>
          <w:lang w:val="ro-RO" w:eastAsia="ro-RO"/>
        </w:rPr>
        <w:t>ui</w:t>
      </w:r>
      <w:r w:rsidRPr="00807147">
        <w:rPr>
          <w:rFonts w:ascii="Tahoma" w:hAnsi="Tahoma" w:cs="Tahoma"/>
          <w:lang w:val="ro-RO" w:eastAsia="ro-RO"/>
        </w:rPr>
        <w:t xml:space="preserve"> grad de realizare</w:t>
      </w:r>
      <w:r w:rsidR="00E001D0" w:rsidRPr="00807147">
        <w:rPr>
          <w:rFonts w:ascii="Tahoma" w:hAnsi="Tahoma" w:cs="Tahoma"/>
          <w:lang w:val="ro-RO" w:eastAsia="ro-RO"/>
        </w:rPr>
        <w:t xml:space="preserve"> de </w:t>
      </w:r>
      <w:r w:rsidR="00006CCB" w:rsidRPr="00807147">
        <w:rPr>
          <w:rFonts w:ascii="Tahoma" w:hAnsi="Tahoma" w:cs="Tahoma"/>
          <w:lang w:val="ro-RO" w:eastAsia="ro-RO"/>
        </w:rPr>
        <w:t>46,2</w:t>
      </w:r>
      <w:r w:rsidR="00E001D0" w:rsidRPr="00807147">
        <w:rPr>
          <w:rFonts w:ascii="Tahoma" w:hAnsi="Tahoma" w:cs="Tahoma"/>
          <w:lang w:val="ro-RO" w:eastAsia="ro-RO"/>
        </w:rPr>
        <w:t>%</w:t>
      </w:r>
      <w:r w:rsidRPr="00807147">
        <w:rPr>
          <w:rFonts w:ascii="Tahoma" w:hAnsi="Tahoma" w:cs="Tahoma"/>
          <w:lang w:val="ro-RO" w:eastAsia="ro-RO"/>
        </w:rPr>
        <w:t xml:space="preserve"> </w:t>
      </w:r>
      <w:r w:rsidR="0079445D" w:rsidRPr="00807147">
        <w:rPr>
          <w:rFonts w:ascii="Tahoma" w:hAnsi="Tahoma" w:cs="Tahoma"/>
          <w:lang w:val="ro-RO" w:eastAsia="ro-RO"/>
        </w:rPr>
        <w:t>a</w:t>
      </w:r>
      <w:r w:rsidRPr="00807147">
        <w:rPr>
          <w:rFonts w:ascii="Tahoma" w:hAnsi="Tahoma" w:cs="Tahoma"/>
          <w:lang w:val="ro-RO" w:eastAsia="ro-RO"/>
        </w:rPr>
        <w:t xml:space="preserve"> programului trimestrial</w:t>
      </w:r>
      <w:r w:rsidR="00E001D0" w:rsidRPr="00807147">
        <w:rPr>
          <w:rFonts w:ascii="Tahoma" w:hAnsi="Tahoma" w:cs="Tahoma"/>
          <w:lang w:val="ro-RO" w:eastAsia="ro-RO"/>
        </w:rPr>
        <w:t>.</w:t>
      </w:r>
      <w:r w:rsidR="00102D79" w:rsidRPr="00807147">
        <w:rPr>
          <w:rFonts w:ascii="Tahoma" w:hAnsi="Tahoma" w:cs="Tahoma"/>
          <w:lang w:val="ro-RO" w:eastAsia="ro-RO"/>
        </w:rPr>
        <w:t xml:space="preserve"> </w:t>
      </w:r>
    </w:p>
    <w:p w14:paraId="56FACBB9" w14:textId="77777777" w:rsidR="009270AB" w:rsidRPr="00807147" w:rsidRDefault="009270AB" w:rsidP="007A0021">
      <w:pPr>
        <w:spacing w:after="120" w:line="276" w:lineRule="auto"/>
        <w:jc w:val="both"/>
        <w:rPr>
          <w:rFonts w:ascii="Tahoma" w:hAnsi="Tahoma" w:cs="Tahoma"/>
          <w:sz w:val="24"/>
          <w:szCs w:val="24"/>
          <w:lang w:eastAsia="ro-RO"/>
        </w:rPr>
      </w:pPr>
      <w:r w:rsidRPr="00807147">
        <w:rPr>
          <w:rFonts w:ascii="Tahoma" w:hAnsi="Tahoma" w:cs="Tahoma"/>
          <w:sz w:val="24"/>
          <w:szCs w:val="24"/>
          <w:lang w:eastAsia="ro-RO"/>
        </w:rPr>
        <w:t xml:space="preserve">Comparativ cu </w:t>
      </w:r>
      <w:r w:rsidR="00164710" w:rsidRPr="00807147">
        <w:rPr>
          <w:rFonts w:ascii="Tahoma" w:hAnsi="Tahoma" w:cs="Tahoma"/>
          <w:sz w:val="24"/>
          <w:szCs w:val="24"/>
          <w:lang w:eastAsia="ro-RO"/>
        </w:rPr>
        <w:t xml:space="preserve">primul </w:t>
      </w:r>
      <w:r w:rsidRPr="00807147">
        <w:rPr>
          <w:rFonts w:ascii="Tahoma" w:hAnsi="Tahoma" w:cs="Tahoma"/>
          <w:sz w:val="24"/>
          <w:szCs w:val="24"/>
          <w:lang w:eastAsia="ro-RO"/>
        </w:rPr>
        <w:t xml:space="preserve">trimestrul al anului precedent sumele nerambursabile primite de la </w:t>
      </w:r>
      <w:r w:rsidRPr="00807147">
        <w:rPr>
          <w:rFonts w:ascii="Tahoma" w:hAnsi="Tahoma" w:cs="Tahoma"/>
          <w:bCs/>
          <w:sz w:val="24"/>
          <w:szCs w:val="24"/>
          <w:lang w:eastAsia="ro-RO"/>
        </w:rPr>
        <w:t>Uniunea Europeană</w:t>
      </w:r>
      <w:r w:rsidRPr="00807147">
        <w:rPr>
          <w:rFonts w:ascii="Tahoma" w:hAnsi="Tahoma" w:cs="Tahoma"/>
          <w:sz w:val="24"/>
          <w:szCs w:val="24"/>
          <w:lang w:eastAsia="ro-RO"/>
        </w:rPr>
        <w:t xml:space="preserve"> au înregistrat o creștere cu </w:t>
      </w:r>
      <w:r w:rsidR="002B0928" w:rsidRPr="00807147">
        <w:rPr>
          <w:rFonts w:ascii="Tahoma" w:hAnsi="Tahoma" w:cs="Tahoma"/>
          <w:sz w:val="24"/>
          <w:szCs w:val="24"/>
          <w:lang w:eastAsia="ro-RO"/>
        </w:rPr>
        <w:t>11,3%</w:t>
      </w:r>
      <w:r w:rsidRPr="00807147">
        <w:rPr>
          <w:rFonts w:ascii="Tahoma" w:hAnsi="Tahoma" w:cs="Tahoma"/>
          <w:sz w:val="24"/>
          <w:szCs w:val="24"/>
          <w:lang w:eastAsia="ro-RO"/>
        </w:rPr>
        <w:t xml:space="preserve"> (+</w:t>
      </w:r>
      <w:r w:rsidR="002B0928" w:rsidRPr="00807147">
        <w:rPr>
          <w:rFonts w:ascii="Tahoma" w:hAnsi="Tahoma" w:cs="Tahoma"/>
          <w:sz w:val="24"/>
          <w:szCs w:val="24"/>
          <w:lang w:eastAsia="ro-RO"/>
        </w:rPr>
        <w:t>0,95 miliarde lei</w:t>
      </w:r>
      <w:r w:rsidRPr="00807147">
        <w:rPr>
          <w:rFonts w:ascii="Tahoma" w:hAnsi="Tahoma" w:cs="Tahoma"/>
          <w:sz w:val="24"/>
          <w:szCs w:val="24"/>
          <w:lang w:eastAsia="ro-RO"/>
        </w:rPr>
        <w:t>)</w:t>
      </w:r>
      <w:r w:rsidR="002B0928" w:rsidRPr="00807147">
        <w:rPr>
          <w:rFonts w:ascii="Tahoma" w:hAnsi="Tahoma" w:cs="Tahoma"/>
          <w:sz w:val="24"/>
          <w:szCs w:val="24"/>
          <w:lang w:eastAsia="ro-RO"/>
        </w:rPr>
        <w:t>.</w:t>
      </w:r>
      <w:r w:rsidRPr="00807147">
        <w:rPr>
          <w:rFonts w:ascii="Tahoma" w:hAnsi="Tahoma" w:cs="Tahoma"/>
          <w:sz w:val="24"/>
          <w:szCs w:val="24"/>
          <w:lang w:eastAsia="ro-RO"/>
        </w:rPr>
        <w:t xml:space="preserve"> </w:t>
      </w:r>
    </w:p>
    <w:p w14:paraId="6E664D79" w14:textId="77777777" w:rsidR="00E15D34" w:rsidRPr="00807147" w:rsidRDefault="00E15D34">
      <w:pPr>
        <w:rPr>
          <w:rFonts w:ascii="Tahoma" w:eastAsia="Times New Roman" w:hAnsi="Tahoma" w:cs="Tahoma"/>
          <w:color w:val="000000"/>
          <w:sz w:val="24"/>
          <w:szCs w:val="24"/>
          <w:lang w:eastAsia="ro-RO"/>
        </w:rPr>
      </w:pPr>
      <w:r w:rsidRPr="00807147">
        <w:rPr>
          <w:rFonts w:ascii="Tahoma" w:hAnsi="Tahoma" w:cs="Tahoma"/>
          <w:lang w:eastAsia="ro-RO"/>
        </w:rPr>
        <w:br w:type="page"/>
      </w:r>
    </w:p>
    <w:p w14:paraId="65B70FEB" w14:textId="77777777" w:rsidR="007D0985" w:rsidRPr="00807147" w:rsidRDefault="007D0985" w:rsidP="007D0985">
      <w:pPr>
        <w:pStyle w:val="ListParagraph"/>
        <w:numPr>
          <w:ilvl w:val="0"/>
          <w:numId w:val="2"/>
        </w:numPr>
        <w:shd w:val="clear" w:color="auto" w:fill="D9D9D9" w:themeFill="background1" w:themeFillShade="D9"/>
        <w:spacing w:after="120" w:line="360" w:lineRule="auto"/>
        <w:ind w:hanging="1080"/>
        <w:jc w:val="both"/>
        <w:rPr>
          <w:rFonts w:ascii="Tahoma" w:hAnsi="Tahoma" w:cs="Tahoma"/>
          <w:b/>
          <w:caps/>
          <w:color w:val="0070C0"/>
          <w:sz w:val="24"/>
          <w:szCs w:val="24"/>
        </w:rPr>
      </w:pPr>
      <w:r w:rsidRPr="00807147">
        <w:rPr>
          <w:rFonts w:ascii="Tahoma" w:hAnsi="Tahoma" w:cs="Tahoma"/>
          <w:b/>
          <w:caps/>
          <w:color w:val="0070C0"/>
          <w:sz w:val="24"/>
          <w:szCs w:val="24"/>
        </w:rPr>
        <w:lastRenderedPageBreak/>
        <w:t>CHELTUIELILE bugetului general consolidat</w:t>
      </w:r>
    </w:p>
    <w:p w14:paraId="3AEA990A" w14:textId="77777777" w:rsidR="007D0985" w:rsidRPr="00807147" w:rsidRDefault="00950B7A" w:rsidP="00660150">
      <w:pPr>
        <w:shd w:val="clear" w:color="auto" w:fill="D9D9D9" w:themeFill="background1" w:themeFillShade="D9"/>
        <w:spacing w:after="120" w:line="276" w:lineRule="auto"/>
        <w:jc w:val="both"/>
        <w:rPr>
          <w:rFonts w:ascii="Tahoma" w:hAnsi="Tahoma" w:cs="Tahoma"/>
          <w:sz w:val="24"/>
          <w:szCs w:val="24"/>
        </w:rPr>
      </w:pPr>
      <w:r w:rsidRPr="00807147">
        <w:rPr>
          <w:rFonts w:ascii="Tahoma" w:hAnsi="Tahoma" w:cs="Tahoma"/>
          <w:b/>
          <w:sz w:val="24"/>
          <w:szCs w:val="24"/>
        </w:rPr>
        <w:t>Cheltuielile bugetului general consolidat</w:t>
      </w:r>
      <w:r w:rsidR="003C4703" w:rsidRPr="00807147">
        <w:rPr>
          <w:rFonts w:ascii="Tahoma" w:hAnsi="Tahoma" w:cs="Tahoma"/>
          <w:sz w:val="24"/>
          <w:szCs w:val="24"/>
        </w:rPr>
        <w:t xml:space="preserve"> </w:t>
      </w:r>
      <w:r w:rsidR="000913C6" w:rsidRPr="00807147">
        <w:rPr>
          <w:rFonts w:ascii="Tahoma" w:hAnsi="Tahoma" w:cs="Tahoma"/>
          <w:sz w:val="24"/>
          <w:szCs w:val="24"/>
        </w:rPr>
        <w:t xml:space="preserve">în perioada analizată </w:t>
      </w:r>
      <w:r w:rsidR="003C4703" w:rsidRPr="00807147">
        <w:rPr>
          <w:rFonts w:ascii="Tahoma" w:hAnsi="Tahoma" w:cs="Tahoma"/>
          <w:sz w:val="24"/>
          <w:szCs w:val="24"/>
        </w:rPr>
        <w:t xml:space="preserve">au fost în sumă de </w:t>
      </w:r>
      <w:r w:rsidR="000913C6" w:rsidRPr="00807147">
        <w:rPr>
          <w:rFonts w:ascii="Tahoma" w:hAnsi="Tahoma" w:cs="Tahoma"/>
          <w:sz w:val="24"/>
          <w:szCs w:val="24"/>
        </w:rPr>
        <w:t>136,92</w:t>
      </w:r>
      <w:r w:rsidRPr="00807147">
        <w:rPr>
          <w:rFonts w:ascii="Tahoma" w:hAnsi="Tahoma" w:cs="Tahoma"/>
          <w:sz w:val="24"/>
          <w:szCs w:val="24"/>
        </w:rPr>
        <w:t xml:space="preserve"> </w:t>
      </w:r>
      <w:r w:rsidR="00602503" w:rsidRPr="00807147">
        <w:rPr>
          <w:rFonts w:ascii="Tahoma" w:hAnsi="Tahoma" w:cs="Tahoma"/>
          <w:sz w:val="24"/>
          <w:szCs w:val="24"/>
        </w:rPr>
        <w:t>miliarde</w:t>
      </w:r>
      <w:r w:rsidR="00713D80" w:rsidRPr="00807147">
        <w:rPr>
          <w:rFonts w:ascii="Tahoma" w:hAnsi="Tahoma" w:cs="Tahoma"/>
          <w:sz w:val="24"/>
          <w:szCs w:val="24"/>
        </w:rPr>
        <w:t xml:space="preserve"> </w:t>
      </w:r>
      <w:r w:rsidRPr="00807147">
        <w:rPr>
          <w:rFonts w:ascii="Tahoma" w:hAnsi="Tahoma" w:cs="Tahoma"/>
          <w:sz w:val="24"/>
          <w:szCs w:val="24"/>
        </w:rPr>
        <w:t xml:space="preserve">lei, au reprezentat </w:t>
      </w:r>
      <w:r w:rsidR="000913C6" w:rsidRPr="00807147">
        <w:rPr>
          <w:rFonts w:ascii="Tahoma" w:hAnsi="Tahoma" w:cs="Tahoma"/>
          <w:sz w:val="24"/>
          <w:szCs w:val="24"/>
        </w:rPr>
        <w:t>8,6</w:t>
      </w:r>
      <w:r w:rsidRPr="00807147">
        <w:rPr>
          <w:rFonts w:ascii="Tahoma" w:hAnsi="Tahoma" w:cs="Tahoma"/>
          <w:sz w:val="24"/>
          <w:szCs w:val="24"/>
        </w:rPr>
        <w:t xml:space="preserve">% ca pondere în PIB și s-au efectuat în proporție de </w:t>
      </w:r>
      <w:r w:rsidR="000913C6" w:rsidRPr="00807147">
        <w:rPr>
          <w:rFonts w:ascii="Tahoma" w:hAnsi="Tahoma" w:cs="Tahoma"/>
          <w:sz w:val="24"/>
          <w:szCs w:val="24"/>
        </w:rPr>
        <w:t>80,5</w:t>
      </w:r>
      <w:r w:rsidRPr="00807147">
        <w:rPr>
          <w:rFonts w:ascii="Tahoma" w:hAnsi="Tahoma" w:cs="Tahoma"/>
          <w:sz w:val="24"/>
          <w:szCs w:val="24"/>
        </w:rPr>
        <w:t>% comparativ cu programul pentru trimestrul I 202</w:t>
      </w:r>
      <w:r w:rsidR="000913C6" w:rsidRPr="00807147">
        <w:rPr>
          <w:rFonts w:ascii="Tahoma" w:hAnsi="Tahoma" w:cs="Tahoma"/>
          <w:sz w:val="24"/>
          <w:szCs w:val="24"/>
        </w:rPr>
        <w:t>3</w:t>
      </w:r>
      <w:r w:rsidRPr="00807147">
        <w:rPr>
          <w:rFonts w:ascii="Tahoma" w:hAnsi="Tahoma" w:cs="Tahoma"/>
          <w:sz w:val="24"/>
          <w:szCs w:val="24"/>
        </w:rPr>
        <w:t>.</w:t>
      </w:r>
    </w:p>
    <w:p w14:paraId="54FDF956" w14:textId="77777777" w:rsidR="00B10206" w:rsidRPr="00807147" w:rsidRDefault="00B10206" w:rsidP="00660150">
      <w:pPr>
        <w:tabs>
          <w:tab w:val="left" w:pos="567"/>
        </w:tabs>
        <w:spacing w:after="0" w:line="276" w:lineRule="auto"/>
        <w:ind w:right="6"/>
        <w:jc w:val="both"/>
        <w:rPr>
          <w:rFonts w:ascii="Tahoma" w:hAnsi="Tahoma" w:cs="Tahoma"/>
          <w:sz w:val="24"/>
          <w:szCs w:val="24"/>
        </w:rPr>
      </w:pPr>
      <w:r w:rsidRPr="00807147">
        <w:rPr>
          <w:rFonts w:ascii="Tahoma" w:hAnsi="Tahoma" w:cs="Tahoma"/>
          <w:sz w:val="24"/>
          <w:szCs w:val="24"/>
        </w:rPr>
        <w:t>Față de nivelul înregistrat în primul trimestru al anului 20</w:t>
      </w:r>
      <w:r w:rsidR="004F33F6" w:rsidRPr="00807147">
        <w:rPr>
          <w:rFonts w:ascii="Tahoma" w:hAnsi="Tahoma" w:cs="Tahoma"/>
          <w:sz w:val="24"/>
          <w:szCs w:val="24"/>
        </w:rPr>
        <w:t>2</w:t>
      </w:r>
      <w:r w:rsidR="000913C6" w:rsidRPr="00807147">
        <w:rPr>
          <w:rFonts w:ascii="Tahoma" w:hAnsi="Tahoma" w:cs="Tahoma"/>
          <w:sz w:val="24"/>
          <w:szCs w:val="24"/>
        </w:rPr>
        <w:t>2</w:t>
      </w:r>
      <w:r w:rsidRPr="00807147">
        <w:rPr>
          <w:rFonts w:ascii="Tahoma" w:hAnsi="Tahoma" w:cs="Tahoma"/>
          <w:sz w:val="24"/>
          <w:szCs w:val="24"/>
        </w:rPr>
        <w:t xml:space="preserve">, cheltuielile bugetare au fost mai mari cu </w:t>
      </w:r>
      <w:r w:rsidR="000913C6" w:rsidRPr="00807147">
        <w:rPr>
          <w:rFonts w:ascii="Tahoma" w:hAnsi="Tahoma" w:cs="Tahoma"/>
          <w:sz w:val="24"/>
          <w:szCs w:val="24"/>
        </w:rPr>
        <w:t>14,3</w:t>
      </w:r>
      <w:r w:rsidRPr="00807147">
        <w:rPr>
          <w:rFonts w:ascii="Tahoma" w:hAnsi="Tahoma" w:cs="Tahoma"/>
          <w:sz w:val="24"/>
          <w:szCs w:val="24"/>
        </w:rPr>
        <w:t>%.</w:t>
      </w:r>
    </w:p>
    <w:p w14:paraId="2E5336E1" w14:textId="77777777" w:rsidR="00B10206" w:rsidRPr="00807147" w:rsidRDefault="00B10206" w:rsidP="00B10206">
      <w:pPr>
        <w:tabs>
          <w:tab w:val="left" w:pos="567"/>
        </w:tabs>
        <w:spacing w:after="0"/>
        <w:ind w:right="6" w:firstLine="567"/>
        <w:jc w:val="both"/>
        <w:rPr>
          <w:rFonts w:ascii="Tahoma" w:hAnsi="Tahoma" w:cs="Tahoma"/>
          <w:sz w:val="24"/>
          <w:szCs w:val="24"/>
        </w:rPr>
      </w:pPr>
    </w:p>
    <w:p w14:paraId="496D1906" w14:textId="77777777" w:rsidR="00B10206" w:rsidRPr="00807147" w:rsidRDefault="00186A0B" w:rsidP="00B10206">
      <w:pPr>
        <w:tabs>
          <w:tab w:val="left" w:pos="567"/>
        </w:tabs>
        <w:ind w:right="6"/>
        <w:jc w:val="both"/>
        <w:rPr>
          <w:rFonts w:ascii="Tahoma" w:hAnsi="Tahoma" w:cs="Tahoma"/>
          <w:sz w:val="24"/>
          <w:szCs w:val="24"/>
        </w:rPr>
      </w:pPr>
      <w:r w:rsidRPr="00807147">
        <w:rPr>
          <w:rFonts w:ascii="Tahoma" w:hAnsi="Tahoma" w:cs="Tahoma"/>
          <w:noProof/>
          <w:sz w:val="24"/>
          <w:szCs w:val="24"/>
        </w:rPr>
        <w:object w:dxaOrig="9360" w:dyaOrig="5265" w14:anchorId="12FA7EDA">
          <v:shape id="_x0000_i1028" type="#_x0000_t75" style="width:488pt;height:227pt" o:ole="">
            <v:imagedata r:id="rId14" o:title=""/>
          </v:shape>
          <o:OLEObject Type="Link" ProgID="Excel.Sheet.12" ShapeID="_x0000_i1028" DrawAspect="Content" r:id="rId15" UpdateMode="Always">
            <o:LinkType>EnhancedMetaFile</o:LinkType>
            <o:LockedField>false</o:LockedField>
          </o:OLEObject>
        </w:object>
      </w:r>
    </w:p>
    <w:p w14:paraId="7965D95D" w14:textId="77777777" w:rsidR="00BA678C" w:rsidRPr="00807147" w:rsidRDefault="00BA678C" w:rsidP="00620B19">
      <w:pPr>
        <w:spacing w:after="0"/>
        <w:jc w:val="both"/>
        <w:rPr>
          <w:rFonts w:ascii="Tahoma" w:hAnsi="Tahoma" w:cs="Tahoma"/>
          <w:b/>
          <w:i/>
          <w:sz w:val="24"/>
          <w:szCs w:val="24"/>
        </w:rPr>
      </w:pPr>
    </w:p>
    <w:p w14:paraId="5350AAFD" w14:textId="77777777" w:rsidR="00024773" w:rsidRPr="00807147" w:rsidRDefault="00B10206" w:rsidP="00753D9F">
      <w:pPr>
        <w:spacing w:after="120" w:line="276" w:lineRule="auto"/>
        <w:jc w:val="both"/>
        <w:rPr>
          <w:rFonts w:ascii="Tahoma" w:hAnsi="Tahoma" w:cs="Tahoma"/>
          <w:sz w:val="24"/>
          <w:szCs w:val="24"/>
        </w:rPr>
      </w:pPr>
      <w:r w:rsidRPr="00807147">
        <w:rPr>
          <w:rFonts w:ascii="Tahoma" w:hAnsi="Tahoma" w:cs="Tahoma"/>
          <w:b/>
          <w:sz w:val="24"/>
          <w:szCs w:val="24"/>
        </w:rPr>
        <w:t>Cheltuielile de personal</w:t>
      </w:r>
      <w:r w:rsidRPr="00807147">
        <w:rPr>
          <w:rFonts w:ascii="Tahoma" w:hAnsi="Tahoma" w:cs="Tahoma"/>
          <w:sz w:val="24"/>
          <w:szCs w:val="24"/>
        </w:rPr>
        <w:t>,</w:t>
      </w:r>
      <w:r w:rsidRPr="00807147">
        <w:rPr>
          <w:rFonts w:ascii="Tahoma" w:hAnsi="Tahoma" w:cs="Tahoma"/>
          <w:color w:val="C00000"/>
          <w:sz w:val="24"/>
          <w:szCs w:val="24"/>
        </w:rPr>
        <w:t xml:space="preserve"> </w:t>
      </w:r>
      <w:r w:rsidRPr="00807147">
        <w:rPr>
          <w:rFonts w:ascii="Tahoma" w:hAnsi="Tahoma" w:cs="Tahoma"/>
          <w:sz w:val="24"/>
          <w:szCs w:val="24"/>
        </w:rPr>
        <w:t>prezentate detaliat în Anexele n</w:t>
      </w:r>
      <w:r w:rsidR="003C4703" w:rsidRPr="00807147">
        <w:rPr>
          <w:rFonts w:ascii="Tahoma" w:hAnsi="Tahoma" w:cs="Tahoma"/>
          <w:sz w:val="24"/>
          <w:szCs w:val="24"/>
        </w:rPr>
        <w:t xml:space="preserve">r.3 </w:t>
      </w:r>
      <w:r w:rsidR="005B36B4" w:rsidRPr="00807147">
        <w:rPr>
          <w:rFonts w:ascii="Tahoma" w:hAnsi="Tahoma" w:cs="Tahoma"/>
          <w:sz w:val="24"/>
          <w:szCs w:val="24"/>
        </w:rPr>
        <w:t>și</w:t>
      </w:r>
      <w:r w:rsidR="003C4703" w:rsidRPr="00807147">
        <w:rPr>
          <w:rFonts w:ascii="Tahoma" w:hAnsi="Tahoma" w:cs="Tahoma"/>
          <w:sz w:val="24"/>
          <w:szCs w:val="24"/>
        </w:rPr>
        <w:t xml:space="preserve"> 4 au fost în sumă de </w:t>
      </w:r>
      <w:r w:rsidR="000913C6" w:rsidRPr="00807147">
        <w:rPr>
          <w:rFonts w:ascii="Tahoma" w:hAnsi="Tahoma" w:cs="Tahoma"/>
          <w:sz w:val="24"/>
          <w:szCs w:val="24"/>
        </w:rPr>
        <w:t>30,54</w:t>
      </w:r>
      <w:r w:rsidR="003C4703" w:rsidRPr="00807147">
        <w:rPr>
          <w:rFonts w:ascii="Tahoma" w:hAnsi="Tahoma" w:cs="Tahoma"/>
          <w:sz w:val="24"/>
          <w:szCs w:val="24"/>
        </w:rPr>
        <w:t xml:space="preserve"> </w:t>
      </w:r>
      <w:r w:rsidR="00602503" w:rsidRPr="00807147">
        <w:rPr>
          <w:rFonts w:ascii="Tahoma" w:hAnsi="Tahoma" w:cs="Tahoma"/>
          <w:sz w:val="24"/>
          <w:szCs w:val="24"/>
        </w:rPr>
        <w:t>miliarde</w:t>
      </w:r>
      <w:r w:rsidRPr="00807147">
        <w:rPr>
          <w:rFonts w:ascii="Tahoma" w:hAnsi="Tahoma" w:cs="Tahoma"/>
          <w:sz w:val="24"/>
          <w:szCs w:val="24"/>
        </w:rPr>
        <w:t xml:space="preserve"> lei și s-au efectuat în proporție de </w:t>
      </w:r>
      <w:r w:rsidR="000913C6" w:rsidRPr="00807147">
        <w:rPr>
          <w:rFonts w:ascii="Tahoma" w:hAnsi="Tahoma" w:cs="Tahoma"/>
          <w:sz w:val="24"/>
          <w:szCs w:val="24"/>
        </w:rPr>
        <w:t>93,9</w:t>
      </w:r>
      <w:r w:rsidRPr="00807147">
        <w:rPr>
          <w:rFonts w:ascii="Tahoma" w:hAnsi="Tahoma" w:cs="Tahoma"/>
          <w:sz w:val="24"/>
          <w:szCs w:val="24"/>
        </w:rPr>
        <w:t>% față de nivelul estimat a se efectua în trimestrul I 202</w:t>
      </w:r>
      <w:r w:rsidR="000913C6" w:rsidRPr="00807147">
        <w:rPr>
          <w:rFonts w:ascii="Tahoma" w:hAnsi="Tahoma" w:cs="Tahoma"/>
          <w:sz w:val="24"/>
          <w:szCs w:val="24"/>
        </w:rPr>
        <w:t>3</w:t>
      </w:r>
      <w:r w:rsidRPr="00807147">
        <w:rPr>
          <w:rFonts w:ascii="Tahoma" w:hAnsi="Tahoma" w:cs="Tahoma"/>
          <w:sz w:val="24"/>
          <w:szCs w:val="24"/>
        </w:rPr>
        <w:t xml:space="preserve">. </w:t>
      </w:r>
      <w:r w:rsidR="00024773" w:rsidRPr="00807147">
        <w:rPr>
          <w:rFonts w:ascii="Tahoma" w:hAnsi="Tahoma" w:cs="Tahoma"/>
          <w:sz w:val="24"/>
          <w:szCs w:val="24"/>
        </w:rPr>
        <w:t xml:space="preserve">Exprimate ca pondere în PIB, cheltuielile de personal reprezintă un nivel de </w:t>
      </w:r>
      <w:r w:rsidR="000913C6" w:rsidRPr="00807147">
        <w:rPr>
          <w:rFonts w:ascii="Tahoma" w:hAnsi="Tahoma" w:cs="Tahoma"/>
          <w:sz w:val="24"/>
          <w:szCs w:val="24"/>
        </w:rPr>
        <w:t>1,9</w:t>
      </w:r>
      <w:r w:rsidR="00024773" w:rsidRPr="00807147">
        <w:rPr>
          <w:rFonts w:ascii="Tahoma" w:hAnsi="Tahoma" w:cs="Tahoma"/>
          <w:sz w:val="24"/>
          <w:szCs w:val="24"/>
        </w:rPr>
        <w:t xml:space="preserve">% din PIB, cu 0,1 puncte procentuale mai puțin față de aceeași perioadă a anului anterior. </w:t>
      </w:r>
    </w:p>
    <w:p w14:paraId="58BC7C75" w14:textId="77777777" w:rsidR="00482979" w:rsidRPr="00807147" w:rsidRDefault="00B10206" w:rsidP="00753D9F">
      <w:pPr>
        <w:spacing w:before="120" w:after="120" w:line="276" w:lineRule="auto"/>
        <w:jc w:val="both"/>
        <w:rPr>
          <w:rFonts w:ascii="Tahoma" w:hAnsi="Tahoma" w:cs="Tahoma"/>
          <w:bCs/>
          <w:sz w:val="24"/>
          <w:szCs w:val="24"/>
        </w:rPr>
      </w:pPr>
      <w:r w:rsidRPr="00807147">
        <w:rPr>
          <w:rFonts w:ascii="Tahoma" w:hAnsi="Tahoma" w:cs="Tahoma"/>
          <w:bCs/>
          <w:sz w:val="24"/>
          <w:szCs w:val="24"/>
        </w:rPr>
        <w:t xml:space="preserve">Cheltuielile de personal au </w:t>
      </w:r>
      <w:r w:rsidR="00E37855" w:rsidRPr="00807147">
        <w:rPr>
          <w:rFonts w:ascii="Tahoma" w:hAnsi="Tahoma" w:cs="Tahoma"/>
          <w:bCs/>
          <w:sz w:val="24"/>
          <w:szCs w:val="24"/>
        </w:rPr>
        <w:t xml:space="preserve">crescut cu </w:t>
      </w:r>
      <w:r w:rsidR="000913C6" w:rsidRPr="00807147">
        <w:rPr>
          <w:rFonts w:ascii="Tahoma" w:hAnsi="Tahoma" w:cs="Tahoma"/>
          <w:bCs/>
          <w:sz w:val="24"/>
          <w:szCs w:val="24"/>
        </w:rPr>
        <w:t>7,8</w:t>
      </w:r>
      <w:r w:rsidR="00E37855" w:rsidRPr="00807147">
        <w:rPr>
          <w:rFonts w:ascii="Tahoma" w:hAnsi="Tahoma" w:cs="Tahoma"/>
          <w:bCs/>
          <w:sz w:val="24"/>
          <w:szCs w:val="24"/>
        </w:rPr>
        <w:t>% comparativ cu trimestrul I 202</w:t>
      </w:r>
      <w:r w:rsidR="000913C6" w:rsidRPr="00807147">
        <w:rPr>
          <w:rFonts w:ascii="Tahoma" w:hAnsi="Tahoma" w:cs="Tahoma"/>
          <w:bCs/>
          <w:sz w:val="24"/>
          <w:szCs w:val="24"/>
        </w:rPr>
        <w:t>2</w:t>
      </w:r>
      <w:r w:rsidR="00E37855" w:rsidRPr="00807147">
        <w:rPr>
          <w:rFonts w:ascii="Tahoma" w:hAnsi="Tahoma" w:cs="Tahoma"/>
          <w:bCs/>
          <w:sz w:val="24"/>
          <w:szCs w:val="24"/>
        </w:rPr>
        <w:t xml:space="preserve">, </w:t>
      </w:r>
      <w:r w:rsidR="00883B23" w:rsidRPr="00807147">
        <w:rPr>
          <w:rFonts w:ascii="Tahoma" w:hAnsi="Tahoma" w:cs="Tahoma"/>
          <w:bCs/>
          <w:sz w:val="24"/>
          <w:szCs w:val="24"/>
        </w:rPr>
        <w:t>pe fondul creșterilor salariale din sectorul bugetar acordate începând cu 1 ianuarie 2023</w:t>
      </w:r>
      <w:r w:rsidR="00AB3FB4" w:rsidRPr="00807147">
        <w:rPr>
          <w:rFonts w:ascii="Tahoma" w:hAnsi="Tahoma" w:cs="Tahoma"/>
          <w:bCs/>
          <w:sz w:val="24"/>
          <w:szCs w:val="24"/>
        </w:rPr>
        <w:t>.</w:t>
      </w:r>
    </w:p>
    <w:p w14:paraId="51FF7875" w14:textId="77777777" w:rsidR="00883B23" w:rsidRPr="00807147" w:rsidRDefault="00B10206" w:rsidP="00753D9F">
      <w:pPr>
        <w:spacing w:before="120" w:after="120" w:line="276" w:lineRule="auto"/>
        <w:jc w:val="both"/>
        <w:rPr>
          <w:rFonts w:ascii="Tahoma" w:hAnsi="Tahoma" w:cs="Tahoma"/>
          <w:sz w:val="24"/>
          <w:szCs w:val="24"/>
        </w:rPr>
      </w:pPr>
      <w:r w:rsidRPr="00807147">
        <w:rPr>
          <w:rFonts w:ascii="Tahoma" w:hAnsi="Tahoma" w:cs="Tahoma"/>
          <w:b/>
          <w:bCs/>
          <w:sz w:val="24"/>
          <w:szCs w:val="24"/>
        </w:rPr>
        <w:t>Cheltuielile cu bunuri și servicii</w:t>
      </w:r>
      <w:r w:rsidR="00AB3FB4" w:rsidRPr="00807147">
        <w:rPr>
          <w:rFonts w:ascii="Tahoma" w:hAnsi="Tahoma" w:cs="Tahoma"/>
          <w:b/>
          <w:bCs/>
          <w:sz w:val="24"/>
          <w:szCs w:val="24"/>
        </w:rPr>
        <w:t xml:space="preserve"> </w:t>
      </w:r>
      <w:r w:rsidR="003C4703" w:rsidRPr="00807147">
        <w:rPr>
          <w:rFonts w:ascii="Tahoma" w:hAnsi="Tahoma" w:cs="Tahoma"/>
          <w:sz w:val="24"/>
          <w:szCs w:val="24"/>
        </w:rPr>
        <w:t xml:space="preserve">au însumat </w:t>
      </w:r>
      <w:r w:rsidR="00883B23" w:rsidRPr="00807147">
        <w:rPr>
          <w:rFonts w:ascii="Tahoma" w:hAnsi="Tahoma" w:cs="Tahoma"/>
          <w:sz w:val="24"/>
          <w:szCs w:val="24"/>
        </w:rPr>
        <w:t>17,51</w:t>
      </w:r>
      <w:r w:rsidRPr="00807147">
        <w:rPr>
          <w:rFonts w:ascii="Tahoma" w:hAnsi="Tahoma" w:cs="Tahoma"/>
          <w:sz w:val="24"/>
          <w:szCs w:val="24"/>
        </w:rPr>
        <w:t xml:space="preserve"> </w:t>
      </w:r>
      <w:r w:rsidR="00602503" w:rsidRPr="00807147">
        <w:rPr>
          <w:rFonts w:ascii="Tahoma" w:hAnsi="Tahoma" w:cs="Tahoma"/>
          <w:sz w:val="24"/>
          <w:szCs w:val="24"/>
        </w:rPr>
        <w:t>miliarde</w:t>
      </w:r>
      <w:r w:rsidRPr="00807147">
        <w:rPr>
          <w:rFonts w:ascii="Tahoma" w:hAnsi="Tahoma" w:cs="Tahoma"/>
          <w:sz w:val="24"/>
          <w:szCs w:val="24"/>
        </w:rPr>
        <w:t xml:space="preserve"> lei (1,</w:t>
      </w:r>
      <w:r w:rsidR="00362EA3" w:rsidRPr="00807147">
        <w:rPr>
          <w:rFonts w:ascii="Tahoma" w:hAnsi="Tahoma" w:cs="Tahoma"/>
          <w:sz w:val="24"/>
          <w:szCs w:val="24"/>
        </w:rPr>
        <w:t>1</w:t>
      </w:r>
      <w:r w:rsidRPr="00807147">
        <w:rPr>
          <w:rFonts w:ascii="Tahoma" w:hAnsi="Tahoma" w:cs="Tahoma"/>
          <w:sz w:val="24"/>
          <w:szCs w:val="24"/>
        </w:rPr>
        <w:t xml:space="preserve">% din PIB) și s-au efectuat în proporție de </w:t>
      </w:r>
      <w:r w:rsidR="00883B23" w:rsidRPr="00807147">
        <w:rPr>
          <w:rFonts w:ascii="Tahoma" w:hAnsi="Tahoma" w:cs="Tahoma"/>
          <w:sz w:val="24"/>
          <w:szCs w:val="24"/>
        </w:rPr>
        <w:t>94,2</w:t>
      </w:r>
      <w:r w:rsidRPr="00807147">
        <w:rPr>
          <w:rFonts w:ascii="Tahoma" w:hAnsi="Tahoma" w:cs="Tahoma"/>
          <w:sz w:val="24"/>
          <w:szCs w:val="24"/>
        </w:rPr>
        <w:t xml:space="preserve">% comparativ cu programul trimestrial. </w:t>
      </w:r>
      <w:r w:rsidR="001B1117" w:rsidRPr="00807147">
        <w:rPr>
          <w:rFonts w:ascii="Tahoma" w:hAnsi="Tahoma" w:cs="Tahoma"/>
          <w:sz w:val="24"/>
          <w:szCs w:val="24"/>
        </w:rPr>
        <w:t>Comparativ cu trimestrul I 202</w:t>
      </w:r>
      <w:r w:rsidR="00883B23" w:rsidRPr="00807147">
        <w:rPr>
          <w:rFonts w:ascii="Tahoma" w:hAnsi="Tahoma" w:cs="Tahoma"/>
          <w:sz w:val="24"/>
          <w:szCs w:val="24"/>
        </w:rPr>
        <w:t>2</w:t>
      </w:r>
      <w:r w:rsidR="001B1117" w:rsidRPr="00807147">
        <w:rPr>
          <w:rFonts w:ascii="Tahoma" w:hAnsi="Tahoma" w:cs="Tahoma"/>
          <w:sz w:val="24"/>
          <w:szCs w:val="24"/>
        </w:rPr>
        <w:t xml:space="preserve"> cheltuielile cu bunuri și servicii au crescut cu </w:t>
      </w:r>
      <w:r w:rsidR="00883B23" w:rsidRPr="00807147">
        <w:rPr>
          <w:rFonts w:ascii="Tahoma" w:hAnsi="Tahoma" w:cs="Tahoma"/>
          <w:sz w:val="24"/>
          <w:szCs w:val="24"/>
        </w:rPr>
        <w:t>17,2</w:t>
      </w:r>
      <w:r w:rsidR="001B1117" w:rsidRPr="00807147">
        <w:rPr>
          <w:rFonts w:ascii="Tahoma" w:hAnsi="Tahoma" w:cs="Tahoma"/>
          <w:sz w:val="24"/>
          <w:szCs w:val="24"/>
        </w:rPr>
        <w:t xml:space="preserve">% în special ca urmare a evoluției acestora la nivelul </w:t>
      </w:r>
      <w:r w:rsidR="00AB3FB4" w:rsidRPr="00807147">
        <w:rPr>
          <w:rFonts w:ascii="Tahoma" w:hAnsi="Tahoma" w:cs="Tahoma"/>
          <w:sz w:val="24"/>
          <w:szCs w:val="24"/>
        </w:rPr>
        <w:t>bugetelor locale</w:t>
      </w:r>
      <w:r w:rsidR="006E39B6" w:rsidRPr="00807147">
        <w:rPr>
          <w:rFonts w:ascii="Tahoma" w:hAnsi="Tahoma" w:cs="Tahoma"/>
          <w:sz w:val="24"/>
          <w:szCs w:val="24"/>
        </w:rPr>
        <w:t xml:space="preserve">, bugetului </w:t>
      </w:r>
      <w:r w:rsidR="00111330" w:rsidRPr="00807147">
        <w:rPr>
          <w:rFonts w:ascii="Tahoma" w:hAnsi="Tahoma" w:cs="Tahoma"/>
          <w:sz w:val="24"/>
          <w:szCs w:val="24"/>
        </w:rPr>
        <w:t>instituțiilor</w:t>
      </w:r>
      <w:r w:rsidR="006E39B6" w:rsidRPr="00807147">
        <w:rPr>
          <w:rFonts w:ascii="Tahoma" w:hAnsi="Tahoma" w:cs="Tahoma"/>
          <w:sz w:val="24"/>
          <w:szCs w:val="24"/>
        </w:rPr>
        <w:t xml:space="preserve"> publice </w:t>
      </w:r>
      <w:r w:rsidR="00111330" w:rsidRPr="00807147">
        <w:rPr>
          <w:rFonts w:ascii="Tahoma" w:hAnsi="Tahoma" w:cs="Tahoma"/>
          <w:sz w:val="24"/>
          <w:szCs w:val="24"/>
        </w:rPr>
        <w:t>finanțate</w:t>
      </w:r>
      <w:r w:rsidR="006E39B6" w:rsidRPr="00807147">
        <w:rPr>
          <w:rFonts w:ascii="Tahoma" w:hAnsi="Tahoma" w:cs="Tahoma"/>
          <w:sz w:val="24"/>
          <w:szCs w:val="24"/>
        </w:rPr>
        <w:t xml:space="preserve"> integral sau </w:t>
      </w:r>
      <w:r w:rsidR="00111330" w:rsidRPr="00807147">
        <w:rPr>
          <w:rFonts w:ascii="Tahoma" w:hAnsi="Tahoma" w:cs="Tahoma"/>
          <w:sz w:val="24"/>
          <w:szCs w:val="24"/>
        </w:rPr>
        <w:t>parțial</w:t>
      </w:r>
      <w:r w:rsidR="006E39B6" w:rsidRPr="00807147">
        <w:rPr>
          <w:rFonts w:ascii="Tahoma" w:hAnsi="Tahoma" w:cs="Tahoma"/>
          <w:sz w:val="24"/>
          <w:szCs w:val="24"/>
        </w:rPr>
        <w:t xml:space="preserve"> din venituri proprii</w:t>
      </w:r>
      <w:r w:rsidR="00AB3FB4" w:rsidRPr="00807147">
        <w:rPr>
          <w:rFonts w:ascii="Tahoma" w:hAnsi="Tahoma" w:cs="Tahoma"/>
          <w:sz w:val="24"/>
          <w:szCs w:val="24"/>
        </w:rPr>
        <w:t xml:space="preserve"> </w:t>
      </w:r>
      <w:r w:rsidR="00362EA3" w:rsidRPr="00807147">
        <w:rPr>
          <w:rFonts w:ascii="Tahoma" w:hAnsi="Tahoma" w:cs="Tahoma"/>
          <w:sz w:val="24"/>
          <w:szCs w:val="24"/>
        </w:rPr>
        <w:t>și bugetul</w:t>
      </w:r>
      <w:r w:rsidR="006B6A3A" w:rsidRPr="00807147">
        <w:rPr>
          <w:rFonts w:ascii="Tahoma" w:hAnsi="Tahoma" w:cs="Tahoma"/>
          <w:sz w:val="24"/>
          <w:szCs w:val="24"/>
        </w:rPr>
        <w:t>ui</w:t>
      </w:r>
      <w:r w:rsidR="00362EA3" w:rsidRPr="00807147">
        <w:rPr>
          <w:rFonts w:ascii="Tahoma" w:hAnsi="Tahoma" w:cs="Tahoma"/>
          <w:sz w:val="24"/>
          <w:szCs w:val="24"/>
        </w:rPr>
        <w:t xml:space="preserve"> Fondului național unic de asigurări sociale de sănătate</w:t>
      </w:r>
      <w:r w:rsidR="00F81DCA" w:rsidRPr="00807147">
        <w:rPr>
          <w:rFonts w:ascii="Tahoma" w:hAnsi="Tahoma" w:cs="Tahoma"/>
          <w:sz w:val="24"/>
          <w:szCs w:val="24"/>
        </w:rPr>
        <w:t>.</w:t>
      </w:r>
      <w:r w:rsidR="00883B23" w:rsidRPr="00807147">
        <w:rPr>
          <w:rFonts w:ascii="Tahoma" w:eastAsia="Calibri" w:hAnsi="Tahoma" w:cs="Tahoma"/>
          <w:sz w:val="24"/>
          <w:szCs w:val="28"/>
        </w:rPr>
        <w:t xml:space="preserve"> </w:t>
      </w:r>
    </w:p>
    <w:p w14:paraId="50BD062E" w14:textId="77777777" w:rsidR="00F81DCA" w:rsidRPr="00807147" w:rsidRDefault="00B10206" w:rsidP="00753D9F">
      <w:pPr>
        <w:spacing w:after="120" w:line="276" w:lineRule="auto"/>
        <w:ind w:right="6"/>
        <w:jc w:val="both"/>
        <w:rPr>
          <w:rFonts w:ascii="Tahoma" w:hAnsi="Tahoma" w:cs="Tahoma"/>
          <w:sz w:val="24"/>
          <w:szCs w:val="24"/>
        </w:rPr>
      </w:pPr>
      <w:r w:rsidRPr="00807147">
        <w:rPr>
          <w:rFonts w:ascii="Tahoma" w:hAnsi="Tahoma" w:cs="Tahoma"/>
          <w:b/>
          <w:bCs/>
          <w:sz w:val="24"/>
          <w:szCs w:val="24"/>
        </w:rPr>
        <w:t>Cheltuielile cu dobânzile</w:t>
      </w:r>
      <w:r w:rsidRPr="00807147">
        <w:rPr>
          <w:rFonts w:ascii="Tahoma" w:hAnsi="Tahoma" w:cs="Tahoma"/>
          <w:sz w:val="24"/>
          <w:szCs w:val="24"/>
        </w:rPr>
        <w:t xml:space="preserve"> a</w:t>
      </w:r>
      <w:r w:rsidR="003C4703" w:rsidRPr="00807147">
        <w:rPr>
          <w:rFonts w:ascii="Tahoma" w:hAnsi="Tahoma" w:cs="Tahoma"/>
          <w:sz w:val="24"/>
          <w:szCs w:val="24"/>
        </w:rPr>
        <w:t xml:space="preserve">u fost în termeni nominali de </w:t>
      </w:r>
      <w:r w:rsidR="00F81DCA" w:rsidRPr="00807147">
        <w:rPr>
          <w:rFonts w:ascii="Tahoma" w:hAnsi="Tahoma" w:cs="Tahoma"/>
          <w:sz w:val="24"/>
          <w:szCs w:val="24"/>
        </w:rPr>
        <w:t>9,12</w:t>
      </w:r>
      <w:r w:rsidRPr="00807147">
        <w:rPr>
          <w:rFonts w:ascii="Tahoma" w:hAnsi="Tahoma" w:cs="Tahoma"/>
          <w:sz w:val="24"/>
          <w:szCs w:val="24"/>
        </w:rPr>
        <w:t xml:space="preserve"> </w:t>
      </w:r>
      <w:r w:rsidR="00602503" w:rsidRPr="00807147">
        <w:rPr>
          <w:rFonts w:ascii="Tahoma" w:hAnsi="Tahoma" w:cs="Tahoma"/>
          <w:sz w:val="24"/>
          <w:szCs w:val="24"/>
        </w:rPr>
        <w:t>miliarde</w:t>
      </w:r>
      <w:r w:rsidRPr="00807147">
        <w:rPr>
          <w:rFonts w:ascii="Tahoma" w:hAnsi="Tahoma" w:cs="Tahoma"/>
          <w:sz w:val="24"/>
          <w:szCs w:val="24"/>
        </w:rPr>
        <w:t xml:space="preserve"> lei (0,</w:t>
      </w:r>
      <w:r w:rsidR="00F81DCA" w:rsidRPr="00807147">
        <w:rPr>
          <w:rFonts w:ascii="Tahoma" w:hAnsi="Tahoma" w:cs="Tahoma"/>
          <w:sz w:val="24"/>
          <w:szCs w:val="24"/>
        </w:rPr>
        <w:t>6</w:t>
      </w:r>
      <w:r w:rsidRPr="00807147">
        <w:rPr>
          <w:rFonts w:ascii="Tahoma" w:hAnsi="Tahoma" w:cs="Tahoma"/>
          <w:sz w:val="24"/>
          <w:szCs w:val="24"/>
        </w:rPr>
        <w:t xml:space="preserve">% din PIB) și s-au efectuat în proporție de </w:t>
      </w:r>
      <w:r w:rsidR="00F81DCA" w:rsidRPr="00807147">
        <w:rPr>
          <w:rFonts w:ascii="Tahoma" w:hAnsi="Tahoma" w:cs="Tahoma"/>
          <w:sz w:val="24"/>
          <w:szCs w:val="24"/>
        </w:rPr>
        <w:t>82,0</w:t>
      </w:r>
      <w:r w:rsidRPr="00807147">
        <w:rPr>
          <w:rFonts w:ascii="Tahoma" w:hAnsi="Tahoma" w:cs="Tahoma"/>
          <w:sz w:val="24"/>
          <w:szCs w:val="24"/>
        </w:rPr>
        <w:t xml:space="preserve">% din programul trimestrial. </w:t>
      </w:r>
      <w:r w:rsidR="006E39B6" w:rsidRPr="00807147">
        <w:rPr>
          <w:rFonts w:ascii="Tahoma" w:hAnsi="Tahoma" w:cs="Tahoma"/>
          <w:sz w:val="24"/>
          <w:szCs w:val="24"/>
        </w:rPr>
        <w:t>Comparativ cu aceeași perioadă a anului precedent</w:t>
      </w:r>
      <w:r w:rsidR="000D5A57" w:rsidRPr="00807147">
        <w:rPr>
          <w:rFonts w:ascii="Tahoma" w:hAnsi="Tahoma" w:cs="Tahoma"/>
          <w:sz w:val="24"/>
          <w:szCs w:val="24"/>
        </w:rPr>
        <w:t>,</w:t>
      </w:r>
      <w:r w:rsidR="006E39B6" w:rsidRPr="00807147">
        <w:rPr>
          <w:rFonts w:ascii="Tahoma" w:hAnsi="Tahoma" w:cs="Tahoma"/>
          <w:sz w:val="24"/>
          <w:szCs w:val="24"/>
        </w:rPr>
        <w:t xml:space="preserve"> plățile de dobânzi s-au majorat cu </w:t>
      </w:r>
      <w:r w:rsidR="00F81DCA" w:rsidRPr="00807147">
        <w:rPr>
          <w:rFonts w:ascii="Tahoma" w:hAnsi="Tahoma" w:cs="Tahoma"/>
          <w:sz w:val="24"/>
          <w:szCs w:val="24"/>
        </w:rPr>
        <w:t>58,3</w:t>
      </w:r>
      <w:r w:rsidR="006E39B6" w:rsidRPr="00807147">
        <w:rPr>
          <w:rFonts w:ascii="Tahoma" w:hAnsi="Tahoma" w:cs="Tahoma"/>
          <w:sz w:val="24"/>
          <w:szCs w:val="24"/>
        </w:rPr>
        <w:t>%</w:t>
      </w:r>
      <w:r w:rsidR="001C5D69">
        <w:rPr>
          <w:rFonts w:ascii="Tahoma" w:hAnsi="Tahoma" w:cs="Tahoma"/>
          <w:sz w:val="24"/>
          <w:szCs w:val="24"/>
        </w:rPr>
        <w:t xml:space="preserve"> </w:t>
      </w:r>
      <w:r w:rsidR="006E39B6" w:rsidRPr="00807147">
        <w:rPr>
          <w:rFonts w:ascii="Tahoma" w:hAnsi="Tahoma" w:cs="Tahoma"/>
          <w:sz w:val="24"/>
          <w:szCs w:val="24"/>
        </w:rPr>
        <w:t>(+</w:t>
      </w:r>
      <w:r w:rsidR="00F81DCA" w:rsidRPr="00807147">
        <w:rPr>
          <w:rFonts w:ascii="Tahoma" w:hAnsi="Tahoma" w:cs="Tahoma"/>
          <w:sz w:val="24"/>
          <w:szCs w:val="24"/>
        </w:rPr>
        <w:t>3,36</w:t>
      </w:r>
      <w:r w:rsidR="006E39B6" w:rsidRPr="00807147">
        <w:rPr>
          <w:rFonts w:ascii="Tahoma" w:hAnsi="Tahoma" w:cs="Tahoma"/>
          <w:sz w:val="24"/>
          <w:szCs w:val="24"/>
        </w:rPr>
        <w:t xml:space="preserve"> </w:t>
      </w:r>
      <w:r w:rsidR="00602503" w:rsidRPr="00807147">
        <w:rPr>
          <w:rFonts w:ascii="Tahoma" w:hAnsi="Tahoma" w:cs="Tahoma"/>
          <w:sz w:val="24"/>
          <w:szCs w:val="24"/>
        </w:rPr>
        <w:t>miliarde</w:t>
      </w:r>
      <w:r w:rsidR="006E39B6" w:rsidRPr="00807147">
        <w:rPr>
          <w:rFonts w:ascii="Tahoma" w:hAnsi="Tahoma" w:cs="Tahoma"/>
          <w:sz w:val="24"/>
          <w:szCs w:val="24"/>
        </w:rPr>
        <w:t xml:space="preserve"> lei) </w:t>
      </w:r>
      <w:r w:rsidR="00F81DCA" w:rsidRPr="00807147">
        <w:rPr>
          <w:rFonts w:ascii="Tahoma" w:hAnsi="Tahoma" w:cs="Tahoma"/>
          <w:sz w:val="24"/>
          <w:szCs w:val="24"/>
        </w:rPr>
        <w:t xml:space="preserve">ca urmare a </w:t>
      </w:r>
      <w:proofErr w:type="spellStart"/>
      <w:r w:rsidR="00F81DCA" w:rsidRPr="00807147">
        <w:rPr>
          <w:rFonts w:ascii="Tahoma" w:hAnsi="Tahoma" w:cs="Tahoma"/>
          <w:sz w:val="24"/>
          <w:szCs w:val="24"/>
        </w:rPr>
        <w:t>prefinanțării</w:t>
      </w:r>
      <w:proofErr w:type="spellEnd"/>
      <w:r w:rsidR="00F81DCA" w:rsidRPr="00807147">
        <w:rPr>
          <w:rFonts w:ascii="Tahoma" w:hAnsi="Tahoma" w:cs="Tahoma"/>
          <w:sz w:val="24"/>
          <w:szCs w:val="24"/>
        </w:rPr>
        <w:t xml:space="preserve"> </w:t>
      </w:r>
      <w:r w:rsidR="00E044D0" w:rsidRPr="00807147">
        <w:rPr>
          <w:rFonts w:ascii="Tahoma" w:hAnsi="Tahoma" w:cs="Tahoma"/>
          <w:sz w:val="24"/>
          <w:szCs w:val="24"/>
        </w:rPr>
        <w:t>î</w:t>
      </w:r>
      <w:r w:rsidR="00F81DCA" w:rsidRPr="00807147">
        <w:rPr>
          <w:rFonts w:ascii="Tahoma" w:hAnsi="Tahoma" w:cs="Tahoma"/>
          <w:sz w:val="24"/>
          <w:szCs w:val="24"/>
        </w:rPr>
        <w:t>n primele 3 luni a necesarului brut de finanțare pentru anul 2023.</w:t>
      </w:r>
    </w:p>
    <w:p w14:paraId="7EA2FF34" w14:textId="77777777" w:rsidR="00F81DCA" w:rsidRPr="00807147" w:rsidRDefault="00B10206" w:rsidP="005F4DF1">
      <w:pPr>
        <w:spacing w:before="120" w:after="120" w:line="276" w:lineRule="auto"/>
        <w:jc w:val="both"/>
        <w:rPr>
          <w:rFonts w:ascii="Tahoma" w:eastAsia="Calibri" w:hAnsi="Tahoma" w:cs="Tahoma"/>
          <w:sz w:val="24"/>
          <w:szCs w:val="24"/>
        </w:rPr>
      </w:pPr>
      <w:r w:rsidRPr="00807147">
        <w:rPr>
          <w:rFonts w:ascii="Tahoma" w:hAnsi="Tahoma" w:cs="Tahoma"/>
          <w:b/>
          <w:bCs/>
          <w:sz w:val="24"/>
          <w:szCs w:val="24"/>
        </w:rPr>
        <w:lastRenderedPageBreak/>
        <w:t>Cheltuielile cu subvențiile</w:t>
      </w:r>
      <w:r w:rsidR="003C4703" w:rsidRPr="00807147">
        <w:rPr>
          <w:rFonts w:ascii="Tahoma" w:hAnsi="Tahoma" w:cs="Tahoma"/>
          <w:bCs/>
          <w:sz w:val="24"/>
          <w:szCs w:val="24"/>
        </w:rPr>
        <w:t xml:space="preserve"> au fost în sumă de </w:t>
      </w:r>
      <w:r w:rsidR="00F81DCA" w:rsidRPr="00807147">
        <w:rPr>
          <w:rFonts w:ascii="Tahoma" w:hAnsi="Tahoma" w:cs="Tahoma"/>
          <w:bCs/>
          <w:sz w:val="24"/>
          <w:szCs w:val="24"/>
        </w:rPr>
        <w:t>5,02</w:t>
      </w:r>
      <w:r w:rsidR="003C4703" w:rsidRPr="00807147">
        <w:rPr>
          <w:rFonts w:ascii="Tahoma" w:hAnsi="Tahoma" w:cs="Tahoma"/>
          <w:bCs/>
          <w:sz w:val="24"/>
          <w:szCs w:val="24"/>
        </w:rPr>
        <w:t xml:space="preserve"> </w:t>
      </w:r>
      <w:r w:rsidR="00602503" w:rsidRPr="00807147">
        <w:rPr>
          <w:rFonts w:ascii="Tahoma" w:hAnsi="Tahoma" w:cs="Tahoma"/>
          <w:bCs/>
          <w:sz w:val="24"/>
          <w:szCs w:val="24"/>
        </w:rPr>
        <w:t>miliarde</w:t>
      </w:r>
      <w:r w:rsidR="001B1117" w:rsidRPr="00807147">
        <w:rPr>
          <w:rFonts w:ascii="Tahoma" w:hAnsi="Tahoma" w:cs="Tahoma"/>
          <w:bCs/>
          <w:sz w:val="24"/>
          <w:szCs w:val="24"/>
        </w:rPr>
        <w:t xml:space="preserve"> lei, au reprezentat 0,</w:t>
      </w:r>
      <w:r w:rsidR="00F81DCA" w:rsidRPr="00807147">
        <w:rPr>
          <w:rFonts w:ascii="Tahoma" w:hAnsi="Tahoma" w:cs="Tahoma"/>
          <w:bCs/>
          <w:sz w:val="24"/>
          <w:szCs w:val="24"/>
        </w:rPr>
        <w:t>3</w:t>
      </w:r>
      <w:r w:rsidRPr="00807147">
        <w:rPr>
          <w:rFonts w:ascii="Tahoma" w:hAnsi="Tahoma" w:cs="Tahoma"/>
          <w:bCs/>
          <w:sz w:val="24"/>
          <w:szCs w:val="24"/>
        </w:rPr>
        <w:t xml:space="preserve">% din PIB și s-au efectuat în proporție de </w:t>
      </w:r>
      <w:r w:rsidR="00F81DCA" w:rsidRPr="00807147">
        <w:rPr>
          <w:rFonts w:ascii="Tahoma" w:hAnsi="Tahoma" w:cs="Tahoma"/>
          <w:bCs/>
          <w:sz w:val="24"/>
          <w:szCs w:val="24"/>
        </w:rPr>
        <w:t>99,3</w:t>
      </w:r>
      <w:r w:rsidRPr="00807147">
        <w:rPr>
          <w:rFonts w:ascii="Tahoma" w:hAnsi="Tahoma" w:cs="Tahoma"/>
          <w:bCs/>
          <w:sz w:val="24"/>
          <w:szCs w:val="24"/>
        </w:rPr>
        <w:t>% comparativ cu programul trimestrial</w:t>
      </w:r>
      <w:r w:rsidR="00925E6D" w:rsidRPr="00807147">
        <w:rPr>
          <w:rFonts w:ascii="Tahoma" w:hAnsi="Tahoma" w:cs="Tahoma"/>
          <w:bCs/>
          <w:sz w:val="24"/>
          <w:szCs w:val="24"/>
        </w:rPr>
        <w:t xml:space="preserve">. </w:t>
      </w:r>
      <w:r w:rsidR="00F81DCA" w:rsidRPr="00807147">
        <w:rPr>
          <w:rFonts w:ascii="Tahoma" w:hAnsi="Tahoma" w:cs="Tahoma"/>
          <w:bCs/>
          <w:sz w:val="24"/>
          <w:szCs w:val="24"/>
        </w:rPr>
        <w:t xml:space="preserve">Cheltuielile efectuate </w:t>
      </w:r>
      <w:r w:rsidR="00F81DCA" w:rsidRPr="00807147">
        <w:rPr>
          <w:rFonts w:ascii="Tahoma" w:eastAsia="Calibri" w:hAnsi="Tahoma" w:cs="Tahoma"/>
          <w:sz w:val="24"/>
          <w:szCs w:val="24"/>
        </w:rPr>
        <w:t xml:space="preserve">reprezintă subvenții pentru transportul de călători, pentru sprijinirea producătorilor agricoli, precum și pentru schema de compensare pentru consumul de energie electrică și gaze naturale al consumatorilor noncasnici (1,42 </w:t>
      </w:r>
      <w:r w:rsidR="00D12554" w:rsidRPr="00807147">
        <w:rPr>
          <w:rFonts w:ascii="Tahoma" w:eastAsia="Calibri" w:hAnsi="Tahoma" w:cs="Tahoma"/>
          <w:sz w:val="24"/>
          <w:szCs w:val="24"/>
        </w:rPr>
        <w:t>miliarde</w:t>
      </w:r>
      <w:r w:rsidR="00F81DCA" w:rsidRPr="00807147">
        <w:rPr>
          <w:rFonts w:ascii="Tahoma" w:eastAsia="Calibri" w:hAnsi="Tahoma" w:cs="Tahoma"/>
          <w:sz w:val="24"/>
          <w:szCs w:val="24"/>
        </w:rPr>
        <w:t xml:space="preserve"> lei) care reprezintă 28,26% din total subvenții.</w:t>
      </w:r>
    </w:p>
    <w:p w14:paraId="4E256EB1" w14:textId="77777777" w:rsidR="00E044D0" w:rsidRPr="00807147" w:rsidRDefault="00E044D0" w:rsidP="005F4DF1">
      <w:pPr>
        <w:spacing w:before="120" w:after="120" w:line="276" w:lineRule="auto"/>
        <w:jc w:val="both"/>
        <w:rPr>
          <w:rFonts w:ascii="Tahoma" w:eastAsia="Calibri" w:hAnsi="Tahoma" w:cs="Tahoma"/>
          <w:sz w:val="24"/>
          <w:szCs w:val="24"/>
        </w:rPr>
      </w:pPr>
      <w:r w:rsidRPr="00807147">
        <w:rPr>
          <w:rFonts w:ascii="Tahoma" w:eastAsia="Calibri" w:hAnsi="Tahoma" w:cs="Tahoma"/>
          <w:sz w:val="24"/>
          <w:szCs w:val="24"/>
        </w:rPr>
        <w:t xml:space="preserve">Comparativ cu aceeași perioada a anului anterior cheltuielile cu subvențiile s-au majorat cu </w:t>
      </w:r>
      <w:r w:rsidR="00D12554" w:rsidRPr="00807147">
        <w:rPr>
          <w:rFonts w:ascii="Tahoma" w:eastAsia="Calibri" w:hAnsi="Tahoma" w:cs="Tahoma"/>
          <w:sz w:val="24"/>
          <w:szCs w:val="24"/>
        </w:rPr>
        <w:t>68%</w:t>
      </w:r>
      <w:r w:rsidR="001C5D69">
        <w:rPr>
          <w:rFonts w:ascii="Tahoma" w:eastAsia="Calibri" w:hAnsi="Tahoma" w:cs="Tahoma"/>
          <w:sz w:val="24"/>
          <w:szCs w:val="24"/>
        </w:rPr>
        <w:t xml:space="preserve"> </w:t>
      </w:r>
      <w:r w:rsidR="00D12554" w:rsidRPr="00807147">
        <w:rPr>
          <w:rFonts w:ascii="Tahoma" w:eastAsia="Calibri" w:hAnsi="Tahoma" w:cs="Tahoma"/>
          <w:sz w:val="24"/>
          <w:szCs w:val="24"/>
        </w:rPr>
        <w:t>(+2,03 miliarde lei).</w:t>
      </w:r>
    </w:p>
    <w:p w14:paraId="0D145F6F" w14:textId="77777777" w:rsidR="00F81DCA" w:rsidRPr="00807147" w:rsidRDefault="00B10206" w:rsidP="00753D9F">
      <w:pPr>
        <w:spacing w:after="120" w:line="276" w:lineRule="auto"/>
        <w:jc w:val="both"/>
        <w:rPr>
          <w:rFonts w:ascii="Tahoma" w:hAnsi="Tahoma" w:cs="Tahoma"/>
          <w:bCs/>
          <w:sz w:val="24"/>
          <w:szCs w:val="24"/>
        </w:rPr>
      </w:pPr>
      <w:r w:rsidRPr="00807147">
        <w:rPr>
          <w:rFonts w:ascii="Tahoma" w:hAnsi="Tahoma" w:cs="Tahoma"/>
          <w:b/>
          <w:bCs/>
          <w:sz w:val="24"/>
          <w:szCs w:val="24"/>
        </w:rPr>
        <w:t>Cheltuielile cu asistența socială</w:t>
      </w:r>
      <w:r w:rsidR="003C4703" w:rsidRPr="00807147">
        <w:rPr>
          <w:rFonts w:ascii="Tahoma" w:hAnsi="Tahoma" w:cs="Tahoma"/>
          <w:sz w:val="24"/>
          <w:szCs w:val="24"/>
        </w:rPr>
        <w:t xml:space="preserve"> au fost în sumă de </w:t>
      </w:r>
      <w:r w:rsidR="00F81DCA" w:rsidRPr="00807147">
        <w:rPr>
          <w:rFonts w:ascii="Tahoma" w:hAnsi="Tahoma" w:cs="Tahoma"/>
          <w:sz w:val="24"/>
          <w:szCs w:val="24"/>
        </w:rPr>
        <w:t>50,53</w:t>
      </w:r>
      <w:r w:rsidR="003C4703" w:rsidRPr="00807147">
        <w:rPr>
          <w:rFonts w:ascii="Tahoma" w:hAnsi="Tahoma" w:cs="Tahoma"/>
          <w:sz w:val="24"/>
          <w:szCs w:val="24"/>
        </w:rPr>
        <w:t xml:space="preserve"> </w:t>
      </w:r>
      <w:r w:rsidR="00602503" w:rsidRPr="00807147">
        <w:rPr>
          <w:rFonts w:ascii="Tahoma" w:hAnsi="Tahoma" w:cs="Tahoma"/>
          <w:sz w:val="24"/>
          <w:szCs w:val="24"/>
        </w:rPr>
        <w:t>miliarde</w:t>
      </w:r>
      <w:r w:rsidRPr="00807147">
        <w:rPr>
          <w:rFonts w:ascii="Tahoma" w:hAnsi="Tahoma" w:cs="Tahoma"/>
          <w:sz w:val="24"/>
          <w:szCs w:val="24"/>
        </w:rPr>
        <w:t xml:space="preserve"> lei, au reprezentat 3,</w:t>
      </w:r>
      <w:r w:rsidR="00F81DCA" w:rsidRPr="00807147">
        <w:rPr>
          <w:rFonts w:ascii="Tahoma" w:hAnsi="Tahoma" w:cs="Tahoma"/>
          <w:sz w:val="24"/>
          <w:szCs w:val="24"/>
        </w:rPr>
        <w:t>2</w:t>
      </w:r>
      <w:r w:rsidRPr="00807147">
        <w:rPr>
          <w:rFonts w:ascii="Tahoma" w:hAnsi="Tahoma" w:cs="Tahoma"/>
          <w:sz w:val="24"/>
          <w:szCs w:val="24"/>
        </w:rPr>
        <w:t xml:space="preserve">% din PIB </w:t>
      </w:r>
      <w:r w:rsidR="00C145D7" w:rsidRPr="00807147">
        <w:rPr>
          <w:rFonts w:ascii="Tahoma" w:hAnsi="Tahoma" w:cs="Tahoma"/>
          <w:sz w:val="24"/>
          <w:szCs w:val="24"/>
        </w:rPr>
        <w:t>și</w:t>
      </w:r>
      <w:r w:rsidRPr="00807147">
        <w:rPr>
          <w:rFonts w:ascii="Tahoma" w:hAnsi="Tahoma" w:cs="Tahoma"/>
          <w:sz w:val="24"/>
          <w:szCs w:val="24"/>
        </w:rPr>
        <w:t xml:space="preserve"> s-au efectuat în proporție de </w:t>
      </w:r>
      <w:r w:rsidR="00F81DCA" w:rsidRPr="00807147">
        <w:rPr>
          <w:rFonts w:ascii="Tahoma" w:hAnsi="Tahoma" w:cs="Tahoma"/>
          <w:sz w:val="24"/>
          <w:szCs w:val="24"/>
        </w:rPr>
        <w:t>99,2</w:t>
      </w:r>
      <w:r w:rsidRPr="00807147">
        <w:rPr>
          <w:rFonts w:ascii="Tahoma" w:hAnsi="Tahoma" w:cs="Tahoma"/>
          <w:sz w:val="24"/>
          <w:szCs w:val="24"/>
        </w:rPr>
        <w:t>% față de programul trimestrial.</w:t>
      </w:r>
      <w:r w:rsidR="006737B0" w:rsidRPr="00807147">
        <w:rPr>
          <w:rFonts w:ascii="Tahoma" w:hAnsi="Tahoma" w:cs="Tahoma"/>
          <w:sz w:val="24"/>
          <w:szCs w:val="24"/>
        </w:rPr>
        <w:t xml:space="preserve"> </w:t>
      </w:r>
      <w:r w:rsidR="00EA6101" w:rsidRPr="00807147">
        <w:rPr>
          <w:rFonts w:ascii="Tahoma" w:hAnsi="Tahoma" w:cs="Tahoma"/>
          <w:sz w:val="24"/>
          <w:szCs w:val="24"/>
        </w:rPr>
        <w:t xml:space="preserve">Cheltuielile cu </w:t>
      </w:r>
      <w:r w:rsidR="00C145D7" w:rsidRPr="00807147">
        <w:rPr>
          <w:rFonts w:ascii="Tahoma" w:hAnsi="Tahoma" w:cs="Tahoma"/>
          <w:sz w:val="24"/>
          <w:szCs w:val="24"/>
        </w:rPr>
        <w:t>asistența</w:t>
      </w:r>
      <w:r w:rsidR="00EA6101" w:rsidRPr="00807147">
        <w:rPr>
          <w:rFonts w:ascii="Tahoma" w:hAnsi="Tahoma" w:cs="Tahoma"/>
          <w:sz w:val="24"/>
          <w:szCs w:val="24"/>
        </w:rPr>
        <w:t xml:space="preserve"> socială au crescut comparati</w:t>
      </w:r>
      <w:r w:rsidR="00567D77" w:rsidRPr="00807147">
        <w:rPr>
          <w:rFonts w:ascii="Tahoma" w:hAnsi="Tahoma" w:cs="Tahoma"/>
          <w:sz w:val="24"/>
          <w:szCs w:val="24"/>
        </w:rPr>
        <w:t>v</w:t>
      </w:r>
      <w:r w:rsidR="00EA6101" w:rsidRPr="00807147">
        <w:rPr>
          <w:rFonts w:ascii="Tahoma" w:hAnsi="Tahoma" w:cs="Tahoma"/>
          <w:sz w:val="24"/>
          <w:szCs w:val="24"/>
        </w:rPr>
        <w:t xml:space="preserve"> cu trimestr</w:t>
      </w:r>
      <w:r w:rsidR="00567D77" w:rsidRPr="00807147">
        <w:rPr>
          <w:rFonts w:ascii="Tahoma" w:hAnsi="Tahoma" w:cs="Tahoma"/>
          <w:sz w:val="24"/>
          <w:szCs w:val="24"/>
        </w:rPr>
        <w:t>u</w:t>
      </w:r>
      <w:r w:rsidR="00EA6101" w:rsidRPr="00807147">
        <w:rPr>
          <w:rFonts w:ascii="Tahoma" w:hAnsi="Tahoma" w:cs="Tahoma"/>
          <w:sz w:val="24"/>
          <w:szCs w:val="24"/>
        </w:rPr>
        <w:t>l I 202</w:t>
      </w:r>
      <w:r w:rsidR="00F81DCA" w:rsidRPr="00807147">
        <w:rPr>
          <w:rFonts w:ascii="Tahoma" w:hAnsi="Tahoma" w:cs="Tahoma"/>
          <w:sz w:val="24"/>
          <w:szCs w:val="24"/>
        </w:rPr>
        <w:t>2</w:t>
      </w:r>
      <w:r w:rsidR="00EA6101" w:rsidRPr="00807147">
        <w:rPr>
          <w:rFonts w:ascii="Tahoma" w:hAnsi="Tahoma" w:cs="Tahoma"/>
          <w:sz w:val="24"/>
          <w:szCs w:val="24"/>
        </w:rPr>
        <w:t xml:space="preserve"> cu </w:t>
      </w:r>
      <w:r w:rsidR="00F81DCA" w:rsidRPr="00807147">
        <w:rPr>
          <w:rFonts w:ascii="Tahoma" w:hAnsi="Tahoma" w:cs="Tahoma"/>
          <w:sz w:val="24"/>
          <w:szCs w:val="24"/>
        </w:rPr>
        <w:t>9,5</w:t>
      </w:r>
      <w:r w:rsidR="00EA6101" w:rsidRPr="00807147">
        <w:rPr>
          <w:rFonts w:ascii="Tahoma" w:hAnsi="Tahoma" w:cs="Tahoma"/>
          <w:sz w:val="24"/>
          <w:szCs w:val="24"/>
        </w:rPr>
        <w:t xml:space="preserve">%. </w:t>
      </w:r>
      <w:r w:rsidR="006737B0" w:rsidRPr="00807147">
        <w:rPr>
          <w:rFonts w:ascii="Tahoma" w:hAnsi="Tahoma" w:cs="Tahoma"/>
          <w:sz w:val="24"/>
          <w:szCs w:val="24"/>
        </w:rPr>
        <w:t xml:space="preserve">Evoluția cheltuielilor cu asistența socială a fost influențată, în principal, </w:t>
      </w:r>
      <w:r w:rsidR="00F81DCA" w:rsidRPr="00807147">
        <w:rPr>
          <w:rFonts w:ascii="Tahoma" w:hAnsi="Tahoma" w:cs="Tahoma"/>
          <w:bCs/>
          <w:sz w:val="24"/>
          <w:szCs w:val="24"/>
        </w:rPr>
        <w:t>de majorarea de la 1 ianuarie 2023, a punctului de pensie cu 12,5%</w:t>
      </w:r>
      <w:r w:rsidR="00D12554" w:rsidRPr="00807147">
        <w:rPr>
          <w:rStyle w:val="FootnoteReference"/>
          <w:rFonts w:ascii="Tahoma" w:hAnsi="Tahoma" w:cs="Tahoma"/>
          <w:bCs/>
          <w:sz w:val="24"/>
          <w:szCs w:val="24"/>
        </w:rPr>
        <w:footnoteReference w:id="19"/>
      </w:r>
      <w:r w:rsidR="00F81DCA" w:rsidRPr="00807147">
        <w:rPr>
          <w:rFonts w:ascii="Tahoma" w:hAnsi="Tahoma" w:cs="Tahoma"/>
          <w:bCs/>
          <w:sz w:val="24"/>
          <w:szCs w:val="24"/>
        </w:rPr>
        <w:t xml:space="preserve">, respectiv de la 1.586 lei la 1.785 lei, a nivelului îndemnizației sociale pentru pensionari (pensia minimă) de la 1.000 lei la 1.125 lei, de acordarea unui ajutor financiar pensionarilor sistemului public de pensii, pensionarilor din sistemul pensiilor militare de stat </w:t>
      </w:r>
      <w:proofErr w:type="spellStart"/>
      <w:r w:rsidR="00F81DCA" w:rsidRPr="00807147">
        <w:rPr>
          <w:rFonts w:ascii="Tahoma" w:hAnsi="Tahoma" w:cs="Tahoma"/>
          <w:bCs/>
          <w:sz w:val="24"/>
          <w:szCs w:val="24"/>
        </w:rPr>
        <w:t>şi</w:t>
      </w:r>
      <w:proofErr w:type="spellEnd"/>
      <w:r w:rsidR="00F81DCA" w:rsidRPr="00807147">
        <w:rPr>
          <w:rFonts w:ascii="Tahoma" w:hAnsi="Tahoma" w:cs="Tahoma"/>
          <w:bCs/>
          <w:sz w:val="24"/>
          <w:szCs w:val="24"/>
        </w:rPr>
        <w:t xml:space="preserve"> beneficiarilor de drepturi prevăzute de legi cu caracter special plătite de casele teritoriale de pensii/casele de pensii sectoriale ale căror venituri lunare sunt mai mici sau egale cu 3.000 lei, precum și de acordarea celei de-a 13-a </w:t>
      </w:r>
      <w:r w:rsidR="001C5D69">
        <w:rPr>
          <w:rFonts w:ascii="Tahoma" w:hAnsi="Tahoma" w:cs="Tahoma"/>
          <w:bCs/>
          <w:sz w:val="24"/>
          <w:szCs w:val="24"/>
        </w:rPr>
        <w:t>i</w:t>
      </w:r>
      <w:r w:rsidR="001C5D69" w:rsidRPr="00807147">
        <w:rPr>
          <w:rFonts w:ascii="Tahoma" w:hAnsi="Tahoma" w:cs="Tahoma"/>
          <w:bCs/>
          <w:sz w:val="24"/>
          <w:szCs w:val="24"/>
        </w:rPr>
        <w:t>ndemnizații</w:t>
      </w:r>
      <w:r w:rsidR="00F81DCA" w:rsidRPr="00807147">
        <w:rPr>
          <w:rFonts w:ascii="Tahoma" w:hAnsi="Tahoma" w:cs="Tahoma"/>
          <w:bCs/>
          <w:sz w:val="24"/>
          <w:szCs w:val="24"/>
        </w:rPr>
        <w:t xml:space="preserve"> pentru persoanele cu </w:t>
      </w:r>
      <w:r w:rsidR="001C5D69" w:rsidRPr="00807147">
        <w:rPr>
          <w:rFonts w:ascii="Tahoma" w:hAnsi="Tahoma" w:cs="Tahoma"/>
          <w:bCs/>
          <w:sz w:val="24"/>
          <w:szCs w:val="24"/>
        </w:rPr>
        <w:t>dizabilități</w:t>
      </w:r>
      <w:r w:rsidR="00F81DCA" w:rsidRPr="00807147">
        <w:rPr>
          <w:rFonts w:ascii="Tahoma" w:hAnsi="Tahoma" w:cs="Tahoma"/>
          <w:bCs/>
          <w:sz w:val="24"/>
          <w:szCs w:val="24"/>
        </w:rPr>
        <w:t xml:space="preserve"> sub forma unei </w:t>
      </w:r>
      <w:r w:rsidR="001C5D69" w:rsidRPr="00807147">
        <w:rPr>
          <w:rFonts w:ascii="Tahoma" w:hAnsi="Tahoma" w:cs="Tahoma"/>
          <w:bCs/>
          <w:sz w:val="24"/>
          <w:szCs w:val="24"/>
        </w:rPr>
        <w:t>indemnizații</w:t>
      </w:r>
      <w:r w:rsidR="00F81DCA" w:rsidRPr="00807147">
        <w:rPr>
          <w:rFonts w:ascii="Tahoma" w:hAnsi="Tahoma" w:cs="Tahoma"/>
          <w:bCs/>
          <w:sz w:val="24"/>
          <w:szCs w:val="24"/>
        </w:rPr>
        <w:t xml:space="preserve"> compensatorii. </w:t>
      </w:r>
    </w:p>
    <w:p w14:paraId="619DE4B6" w14:textId="77777777" w:rsidR="00F81DCA" w:rsidRPr="00807147" w:rsidRDefault="00F81DCA" w:rsidP="00753D9F">
      <w:pPr>
        <w:spacing w:after="120" w:line="276" w:lineRule="auto"/>
        <w:jc w:val="both"/>
        <w:rPr>
          <w:rFonts w:ascii="Tahoma" w:hAnsi="Tahoma" w:cs="Tahoma"/>
          <w:bCs/>
          <w:sz w:val="24"/>
          <w:szCs w:val="24"/>
        </w:rPr>
      </w:pPr>
      <w:r w:rsidRPr="00807147">
        <w:rPr>
          <w:rFonts w:ascii="Tahoma" w:hAnsi="Tahoma" w:cs="Tahoma"/>
          <w:bCs/>
          <w:sz w:val="24"/>
          <w:szCs w:val="24"/>
        </w:rPr>
        <w:t>Cheltuielile cu asistența socială au fost influențate și de plățile suportate de la bugetul de stat pentru compensarea facturilor aferente consumului de energie electrică și gaze naturale,</w:t>
      </w:r>
      <w:r w:rsidR="005F4DF1" w:rsidRPr="00807147">
        <w:rPr>
          <w:rFonts w:ascii="Tahoma" w:hAnsi="Tahoma" w:cs="Tahoma"/>
          <w:bCs/>
          <w:sz w:val="24"/>
          <w:szCs w:val="24"/>
        </w:rPr>
        <w:t xml:space="preserve"> </w:t>
      </w:r>
      <w:r w:rsidR="00D12554" w:rsidRPr="00807147">
        <w:rPr>
          <w:rFonts w:ascii="Tahoma" w:hAnsi="Tahoma" w:cs="Tahoma"/>
          <w:bCs/>
          <w:sz w:val="24"/>
          <w:szCs w:val="24"/>
        </w:rPr>
        <w:t xml:space="preserve">care în perioada analizată </w:t>
      </w:r>
      <w:r w:rsidRPr="00807147">
        <w:rPr>
          <w:rFonts w:ascii="Tahoma" w:hAnsi="Tahoma" w:cs="Tahoma"/>
          <w:bCs/>
          <w:sz w:val="24"/>
          <w:szCs w:val="24"/>
        </w:rPr>
        <w:t>au fost în sumă de 1,12 mld lei, precum și de majorarea alocațiilor de stat pentru copii începând cu 1 ianuarie 2023.</w:t>
      </w:r>
    </w:p>
    <w:p w14:paraId="015C0D96" w14:textId="77777777" w:rsidR="006737B0" w:rsidRPr="00807147" w:rsidRDefault="006737B0" w:rsidP="00753D9F">
      <w:pPr>
        <w:spacing w:after="120" w:line="276" w:lineRule="auto"/>
        <w:jc w:val="both"/>
        <w:rPr>
          <w:rFonts w:ascii="Tahoma" w:hAnsi="Tahoma" w:cs="Tahoma"/>
          <w:bCs/>
          <w:sz w:val="24"/>
          <w:szCs w:val="24"/>
        </w:rPr>
      </w:pPr>
      <w:r w:rsidRPr="00807147">
        <w:rPr>
          <w:rFonts w:ascii="Tahoma" w:hAnsi="Tahoma" w:cs="Tahoma"/>
          <w:b/>
          <w:bCs/>
          <w:sz w:val="24"/>
          <w:szCs w:val="24"/>
        </w:rPr>
        <w:t>Alte cheltuieli</w:t>
      </w:r>
      <w:r w:rsidRPr="00807147">
        <w:rPr>
          <w:rFonts w:ascii="Tahoma" w:hAnsi="Tahoma" w:cs="Tahoma"/>
          <w:bCs/>
          <w:sz w:val="24"/>
          <w:szCs w:val="24"/>
        </w:rPr>
        <w:t xml:space="preserve"> reprezentând, în principal, </w:t>
      </w:r>
      <w:r w:rsidR="00BA3242" w:rsidRPr="00807147">
        <w:rPr>
          <w:rFonts w:ascii="Tahoma" w:hAnsi="Tahoma" w:cs="Tahoma"/>
          <w:bCs/>
          <w:sz w:val="24"/>
          <w:szCs w:val="24"/>
        </w:rPr>
        <w:t>sume aferente titlurilor de plată emise de Autoritatea Națională pentru Restituirea Proprietăților, conform legislației în vigoare, burse pentru elevi și studenți, alte despăgubiri civile, precum și îndemnizații acordate părinților pentru supravegherea copiilor pe perioada închiderii temporare a unităților de învățământ</w:t>
      </w:r>
      <w:r w:rsidRPr="00807147">
        <w:rPr>
          <w:rFonts w:ascii="Tahoma" w:hAnsi="Tahoma" w:cs="Tahoma"/>
          <w:bCs/>
          <w:sz w:val="24"/>
          <w:szCs w:val="24"/>
        </w:rPr>
        <w:t xml:space="preserve">, au însumat </w:t>
      </w:r>
      <w:r w:rsidR="00F81DCA" w:rsidRPr="00807147">
        <w:rPr>
          <w:rFonts w:ascii="Tahoma" w:hAnsi="Tahoma" w:cs="Tahoma"/>
          <w:bCs/>
          <w:sz w:val="24"/>
          <w:szCs w:val="24"/>
        </w:rPr>
        <w:t>2,09</w:t>
      </w:r>
      <w:r w:rsidRPr="00807147">
        <w:rPr>
          <w:rFonts w:ascii="Tahoma" w:hAnsi="Tahoma" w:cs="Tahoma"/>
          <w:bCs/>
          <w:sz w:val="24"/>
          <w:szCs w:val="24"/>
        </w:rPr>
        <w:t xml:space="preserve"> </w:t>
      </w:r>
      <w:r w:rsidR="00602503" w:rsidRPr="00807147">
        <w:rPr>
          <w:rFonts w:ascii="Tahoma" w:hAnsi="Tahoma" w:cs="Tahoma"/>
          <w:bCs/>
          <w:sz w:val="24"/>
          <w:szCs w:val="24"/>
        </w:rPr>
        <w:t>miliarde</w:t>
      </w:r>
      <w:r w:rsidRPr="00807147">
        <w:rPr>
          <w:rFonts w:ascii="Tahoma" w:hAnsi="Tahoma" w:cs="Tahoma"/>
          <w:bCs/>
          <w:sz w:val="24"/>
          <w:szCs w:val="24"/>
        </w:rPr>
        <w:t xml:space="preserve"> lei</w:t>
      </w:r>
      <w:r w:rsidR="004260FF" w:rsidRPr="00807147">
        <w:rPr>
          <w:rFonts w:ascii="Tahoma" w:hAnsi="Tahoma" w:cs="Tahoma"/>
          <w:bCs/>
          <w:sz w:val="24"/>
          <w:szCs w:val="24"/>
        </w:rPr>
        <w:t xml:space="preserve">, reprezentând </w:t>
      </w:r>
      <w:r w:rsidR="00F81DCA" w:rsidRPr="00807147">
        <w:rPr>
          <w:rFonts w:ascii="Tahoma" w:hAnsi="Tahoma" w:cs="Tahoma"/>
          <w:bCs/>
          <w:sz w:val="24"/>
          <w:szCs w:val="24"/>
        </w:rPr>
        <w:t>92,2</w:t>
      </w:r>
      <w:r w:rsidRPr="00807147">
        <w:rPr>
          <w:rFonts w:ascii="Tahoma" w:hAnsi="Tahoma" w:cs="Tahoma"/>
          <w:bCs/>
          <w:sz w:val="24"/>
          <w:szCs w:val="24"/>
        </w:rPr>
        <w:t>% din programul estimat pe</w:t>
      </w:r>
      <w:r w:rsidR="00CC56B5" w:rsidRPr="00807147">
        <w:rPr>
          <w:rFonts w:ascii="Tahoma" w:hAnsi="Tahoma" w:cs="Tahoma"/>
          <w:bCs/>
          <w:sz w:val="24"/>
          <w:szCs w:val="24"/>
        </w:rPr>
        <w:t>ntru</w:t>
      </w:r>
      <w:r w:rsidR="00DB3A55" w:rsidRPr="00807147">
        <w:rPr>
          <w:rFonts w:ascii="Tahoma" w:hAnsi="Tahoma" w:cs="Tahoma"/>
          <w:bCs/>
          <w:sz w:val="24"/>
          <w:szCs w:val="24"/>
        </w:rPr>
        <w:t xml:space="preserve"> primul trimestru a</w:t>
      </w:r>
      <w:r w:rsidR="00BA3242" w:rsidRPr="00807147">
        <w:rPr>
          <w:rFonts w:ascii="Tahoma" w:hAnsi="Tahoma" w:cs="Tahoma"/>
          <w:bCs/>
          <w:sz w:val="24"/>
          <w:szCs w:val="24"/>
        </w:rPr>
        <w:t>l</w:t>
      </w:r>
      <w:r w:rsidR="00DB3A55" w:rsidRPr="00807147">
        <w:rPr>
          <w:rFonts w:ascii="Tahoma" w:hAnsi="Tahoma" w:cs="Tahoma"/>
          <w:bCs/>
          <w:sz w:val="24"/>
          <w:szCs w:val="24"/>
        </w:rPr>
        <w:t xml:space="preserve"> anului 202</w:t>
      </w:r>
      <w:r w:rsidR="00F81DCA" w:rsidRPr="00807147">
        <w:rPr>
          <w:rFonts w:ascii="Tahoma" w:hAnsi="Tahoma" w:cs="Tahoma"/>
          <w:bCs/>
          <w:sz w:val="24"/>
          <w:szCs w:val="24"/>
        </w:rPr>
        <w:t>3</w:t>
      </w:r>
      <w:r w:rsidRPr="00807147">
        <w:rPr>
          <w:rFonts w:ascii="Tahoma" w:hAnsi="Tahoma" w:cs="Tahoma"/>
          <w:bCs/>
          <w:sz w:val="24"/>
          <w:szCs w:val="24"/>
        </w:rPr>
        <w:t>.</w:t>
      </w:r>
    </w:p>
    <w:p w14:paraId="4381E372" w14:textId="77777777" w:rsidR="0087489E" w:rsidRPr="00807147" w:rsidRDefault="00B10206" w:rsidP="0087489E">
      <w:pPr>
        <w:spacing w:before="120" w:after="120" w:line="276" w:lineRule="auto"/>
        <w:jc w:val="both"/>
        <w:rPr>
          <w:rFonts w:ascii="Tahoma" w:hAnsi="Tahoma" w:cs="Tahoma"/>
          <w:sz w:val="24"/>
          <w:szCs w:val="24"/>
        </w:rPr>
      </w:pPr>
      <w:r w:rsidRPr="00807147">
        <w:rPr>
          <w:rFonts w:ascii="Tahoma" w:hAnsi="Tahoma" w:cs="Tahoma"/>
          <w:b/>
          <w:bCs/>
          <w:sz w:val="24"/>
          <w:szCs w:val="24"/>
        </w:rPr>
        <w:t>Plățile pentru proiectele cu finanțare din fonduri UE</w:t>
      </w:r>
      <w:r w:rsidR="001C5D69">
        <w:rPr>
          <w:rFonts w:ascii="Tahoma" w:hAnsi="Tahoma" w:cs="Tahoma"/>
          <w:b/>
          <w:bCs/>
          <w:sz w:val="24"/>
          <w:szCs w:val="24"/>
        </w:rPr>
        <w:t xml:space="preserve"> </w:t>
      </w:r>
      <w:r w:rsidR="00AE2267" w:rsidRPr="00807147">
        <w:rPr>
          <w:rFonts w:ascii="Tahoma" w:hAnsi="Tahoma" w:cs="Tahoma"/>
          <w:bCs/>
          <w:sz w:val="24"/>
          <w:szCs w:val="24"/>
        </w:rPr>
        <w:t>(inclusiv cele finanțate din asistența financiară nerambursabilă aferentă PNRR)</w:t>
      </w:r>
      <w:r w:rsidR="00AE2267" w:rsidRPr="00807147">
        <w:rPr>
          <w:rFonts w:ascii="Tahoma" w:hAnsi="Tahoma" w:cs="Tahoma"/>
          <w:b/>
          <w:bCs/>
          <w:sz w:val="24"/>
          <w:szCs w:val="24"/>
        </w:rPr>
        <w:t xml:space="preserve"> </w:t>
      </w:r>
      <w:r w:rsidRPr="00807147">
        <w:rPr>
          <w:rFonts w:ascii="Tahoma" w:hAnsi="Tahoma" w:cs="Tahoma"/>
          <w:sz w:val="24"/>
          <w:szCs w:val="24"/>
        </w:rPr>
        <w:t>au reprezentat 0,</w:t>
      </w:r>
      <w:r w:rsidR="00F91725" w:rsidRPr="00807147">
        <w:rPr>
          <w:rFonts w:ascii="Tahoma" w:hAnsi="Tahoma" w:cs="Tahoma"/>
          <w:sz w:val="24"/>
          <w:szCs w:val="24"/>
        </w:rPr>
        <w:t>7</w:t>
      </w:r>
      <w:r w:rsidRPr="00807147">
        <w:rPr>
          <w:rFonts w:ascii="Tahoma" w:hAnsi="Tahoma" w:cs="Tahoma"/>
          <w:sz w:val="24"/>
          <w:szCs w:val="24"/>
        </w:rPr>
        <w:t xml:space="preserve">% din PIB </w:t>
      </w:r>
      <w:r w:rsidR="00030BC0" w:rsidRPr="00807147">
        <w:rPr>
          <w:rFonts w:ascii="Tahoma" w:hAnsi="Tahoma" w:cs="Tahoma"/>
          <w:sz w:val="24"/>
          <w:szCs w:val="24"/>
        </w:rPr>
        <w:t>și</w:t>
      </w:r>
      <w:r w:rsidRPr="00807147">
        <w:rPr>
          <w:rFonts w:ascii="Tahoma" w:hAnsi="Tahoma" w:cs="Tahoma"/>
          <w:sz w:val="24"/>
          <w:szCs w:val="24"/>
        </w:rPr>
        <w:t xml:space="preserve"> </w:t>
      </w:r>
      <w:r w:rsidR="00030BC0" w:rsidRPr="00807147">
        <w:rPr>
          <w:rFonts w:ascii="Tahoma" w:hAnsi="Tahoma" w:cs="Tahoma"/>
          <w:sz w:val="24"/>
          <w:szCs w:val="24"/>
        </w:rPr>
        <w:t>s-</w:t>
      </w:r>
      <w:r w:rsidRPr="00807147">
        <w:rPr>
          <w:rFonts w:ascii="Tahoma" w:hAnsi="Tahoma" w:cs="Tahoma"/>
          <w:sz w:val="24"/>
          <w:szCs w:val="24"/>
        </w:rPr>
        <w:t xml:space="preserve">au efectuat în proporție de </w:t>
      </w:r>
      <w:r w:rsidR="00D60A49" w:rsidRPr="00807147">
        <w:rPr>
          <w:rFonts w:ascii="Tahoma" w:hAnsi="Tahoma" w:cs="Tahoma"/>
          <w:sz w:val="24"/>
          <w:szCs w:val="24"/>
        </w:rPr>
        <w:t>47,4</w:t>
      </w:r>
      <w:r w:rsidRPr="00807147">
        <w:rPr>
          <w:rFonts w:ascii="Tahoma" w:hAnsi="Tahoma" w:cs="Tahoma"/>
          <w:sz w:val="24"/>
          <w:szCs w:val="24"/>
        </w:rPr>
        <w:t>%</w:t>
      </w:r>
      <w:r w:rsidR="00102D79" w:rsidRPr="00807147">
        <w:rPr>
          <w:rFonts w:ascii="Tahoma" w:hAnsi="Tahoma" w:cs="Tahoma"/>
          <w:sz w:val="24"/>
          <w:szCs w:val="24"/>
        </w:rPr>
        <w:t xml:space="preserve"> din plățile prog</w:t>
      </w:r>
      <w:r w:rsidR="00AD3A0B" w:rsidRPr="00807147">
        <w:rPr>
          <w:rFonts w:ascii="Tahoma" w:hAnsi="Tahoma" w:cs="Tahoma"/>
          <w:sz w:val="24"/>
          <w:szCs w:val="24"/>
        </w:rPr>
        <w:t xml:space="preserve">ramate pentru perioada analizată. </w:t>
      </w:r>
    </w:p>
    <w:p w14:paraId="68FF6FD8" w14:textId="77777777" w:rsidR="00AD3A0B" w:rsidRPr="00807147" w:rsidRDefault="00BA3242" w:rsidP="00AD3A0B">
      <w:pPr>
        <w:spacing w:before="120" w:after="120" w:line="276" w:lineRule="auto"/>
        <w:ind w:right="6"/>
        <w:jc w:val="both"/>
        <w:rPr>
          <w:rFonts w:ascii="Tahoma" w:hAnsi="Tahoma" w:cs="Tahoma"/>
          <w:sz w:val="24"/>
          <w:szCs w:val="24"/>
        </w:rPr>
      </w:pPr>
      <w:r w:rsidRPr="00807147">
        <w:rPr>
          <w:rFonts w:ascii="Tahoma" w:hAnsi="Tahoma" w:cs="Tahoma"/>
          <w:sz w:val="24"/>
          <w:szCs w:val="24"/>
        </w:rPr>
        <w:t>Comparativ cu trimestrul I 202</w:t>
      </w:r>
      <w:r w:rsidR="00D60A49" w:rsidRPr="00807147">
        <w:rPr>
          <w:rFonts w:ascii="Tahoma" w:hAnsi="Tahoma" w:cs="Tahoma"/>
          <w:sz w:val="24"/>
          <w:szCs w:val="24"/>
        </w:rPr>
        <w:t>2</w:t>
      </w:r>
      <w:r w:rsidRPr="00807147">
        <w:rPr>
          <w:rFonts w:ascii="Tahoma" w:hAnsi="Tahoma" w:cs="Tahoma"/>
          <w:sz w:val="24"/>
          <w:szCs w:val="24"/>
        </w:rPr>
        <w:t xml:space="preserve"> plățile pentru proiectele cu finanțare din fonduri externe nerambursabile au crescut cu </w:t>
      </w:r>
      <w:r w:rsidR="00D60A49" w:rsidRPr="00807147">
        <w:rPr>
          <w:rFonts w:ascii="Tahoma" w:hAnsi="Tahoma" w:cs="Tahoma"/>
          <w:sz w:val="24"/>
          <w:szCs w:val="24"/>
        </w:rPr>
        <w:t>15,7</w:t>
      </w:r>
      <w:r w:rsidR="00643323" w:rsidRPr="00807147">
        <w:rPr>
          <w:rFonts w:ascii="Tahoma" w:hAnsi="Tahoma" w:cs="Tahoma"/>
          <w:sz w:val="24"/>
          <w:szCs w:val="24"/>
        </w:rPr>
        <w:t>%</w:t>
      </w:r>
      <w:r w:rsidR="00030BC0" w:rsidRPr="00807147">
        <w:rPr>
          <w:rFonts w:ascii="Tahoma" w:hAnsi="Tahoma" w:cs="Tahoma"/>
          <w:sz w:val="24"/>
          <w:szCs w:val="24"/>
        </w:rPr>
        <w:t>,</w:t>
      </w:r>
      <w:r w:rsidRPr="00807147">
        <w:rPr>
          <w:rFonts w:ascii="Tahoma" w:hAnsi="Tahoma" w:cs="Tahoma"/>
          <w:sz w:val="24"/>
          <w:szCs w:val="24"/>
        </w:rPr>
        <w:t xml:space="preserve"> iar ca procent în PIB </w:t>
      </w:r>
      <w:r w:rsidR="00D60A49" w:rsidRPr="00807147">
        <w:rPr>
          <w:rFonts w:ascii="Tahoma" w:hAnsi="Tahoma" w:cs="Tahoma"/>
          <w:sz w:val="24"/>
          <w:szCs w:val="24"/>
        </w:rPr>
        <w:t>s-</w:t>
      </w:r>
      <w:r w:rsidRPr="00807147">
        <w:rPr>
          <w:rFonts w:ascii="Tahoma" w:hAnsi="Tahoma" w:cs="Tahoma"/>
          <w:sz w:val="24"/>
          <w:szCs w:val="24"/>
        </w:rPr>
        <w:t>au</w:t>
      </w:r>
      <w:r w:rsidR="001C5D69">
        <w:rPr>
          <w:rFonts w:ascii="Tahoma" w:hAnsi="Tahoma" w:cs="Tahoma"/>
          <w:sz w:val="24"/>
          <w:szCs w:val="24"/>
        </w:rPr>
        <w:t xml:space="preserve"> menținut la același nivel de 0,</w:t>
      </w:r>
      <w:r w:rsidR="00D60A49" w:rsidRPr="00807147">
        <w:rPr>
          <w:rFonts w:ascii="Tahoma" w:hAnsi="Tahoma" w:cs="Tahoma"/>
          <w:sz w:val="24"/>
          <w:szCs w:val="24"/>
        </w:rPr>
        <w:t>7% din PIB.</w:t>
      </w:r>
      <w:r w:rsidRPr="00807147">
        <w:rPr>
          <w:rFonts w:ascii="Tahoma" w:hAnsi="Tahoma" w:cs="Tahoma"/>
          <w:sz w:val="24"/>
          <w:szCs w:val="24"/>
        </w:rPr>
        <w:t xml:space="preserve"> </w:t>
      </w:r>
      <w:r w:rsidR="00AD3A0B" w:rsidRPr="00807147">
        <w:rPr>
          <w:rFonts w:ascii="Tahoma" w:hAnsi="Tahoma" w:cs="Tahoma"/>
          <w:sz w:val="24"/>
          <w:szCs w:val="24"/>
        </w:rPr>
        <w:t xml:space="preserve">În comparație cu primul trimestru al anului 2022 în perioada analizată au fost </w:t>
      </w:r>
      <w:r w:rsidR="00AD3A0B" w:rsidRPr="00807147">
        <w:rPr>
          <w:rFonts w:ascii="Tahoma" w:hAnsi="Tahoma" w:cs="Tahoma"/>
          <w:sz w:val="24"/>
          <w:szCs w:val="24"/>
        </w:rPr>
        <w:lastRenderedPageBreak/>
        <w:t>înregistrate plăți aferente proiectelor finanțate din fonduri externe nerambursabile aferente noului cadru financiar 2021-2027 cât și aferente proiectelor cu finanțare din sumele reprezentând asistența financiară nerambursabilă aferentă PNRR ceea ce reprezintă o influență de +</w:t>
      </w:r>
      <w:r w:rsidR="00750523" w:rsidRPr="00807147">
        <w:rPr>
          <w:rFonts w:ascii="Tahoma" w:hAnsi="Tahoma" w:cs="Tahoma"/>
          <w:sz w:val="24"/>
          <w:szCs w:val="24"/>
        </w:rPr>
        <w:t>1,09 miliarde lei</w:t>
      </w:r>
      <w:r w:rsidR="00AD3A0B" w:rsidRPr="00807147">
        <w:rPr>
          <w:rFonts w:ascii="Tahoma" w:hAnsi="Tahoma" w:cs="Tahoma"/>
          <w:sz w:val="24"/>
          <w:szCs w:val="24"/>
        </w:rPr>
        <w:t>.</w:t>
      </w:r>
    </w:p>
    <w:p w14:paraId="2A729832" w14:textId="77777777" w:rsidR="00733B62" w:rsidRPr="00807147" w:rsidRDefault="00B10206" w:rsidP="00AD3A0B">
      <w:pPr>
        <w:spacing w:before="120" w:after="120" w:line="276" w:lineRule="auto"/>
        <w:ind w:right="6"/>
        <w:jc w:val="both"/>
        <w:rPr>
          <w:rFonts w:ascii="Tahoma" w:hAnsi="Tahoma" w:cs="Tahoma"/>
          <w:bCs/>
          <w:sz w:val="24"/>
          <w:szCs w:val="24"/>
        </w:rPr>
      </w:pPr>
      <w:r w:rsidRPr="00807147">
        <w:rPr>
          <w:rFonts w:ascii="Tahoma" w:hAnsi="Tahoma" w:cs="Tahoma"/>
          <w:b/>
          <w:sz w:val="24"/>
          <w:szCs w:val="24"/>
        </w:rPr>
        <w:t xml:space="preserve">Cheltuielile de capital </w:t>
      </w:r>
      <w:r w:rsidRPr="00807147">
        <w:rPr>
          <w:rFonts w:ascii="Tahoma" w:hAnsi="Tahoma" w:cs="Tahoma"/>
          <w:sz w:val="24"/>
          <w:szCs w:val="24"/>
        </w:rPr>
        <w:t>au reprezentat 0,</w:t>
      </w:r>
      <w:r w:rsidR="00643323" w:rsidRPr="00807147">
        <w:rPr>
          <w:rFonts w:ascii="Tahoma" w:hAnsi="Tahoma" w:cs="Tahoma"/>
          <w:sz w:val="24"/>
          <w:szCs w:val="24"/>
        </w:rPr>
        <w:t>3</w:t>
      </w:r>
      <w:r w:rsidRPr="00807147">
        <w:rPr>
          <w:rFonts w:ascii="Tahoma" w:hAnsi="Tahoma" w:cs="Tahoma"/>
          <w:sz w:val="24"/>
          <w:szCs w:val="24"/>
        </w:rPr>
        <w:t xml:space="preserve">% din PIB și s-au efectuat în proporție de </w:t>
      </w:r>
      <w:r w:rsidR="00D60A49" w:rsidRPr="00807147">
        <w:rPr>
          <w:rFonts w:ascii="Tahoma" w:hAnsi="Tahoma" w:cs="Tahoma"/>
          <w:sz w:val="24"/>
          <w:szCs w:val="24"/>
        </w:rPr>
        <w:t>43,1</w:t>
      </w:r>
      <w:r w:rsidRPr="00807147">
        <w:rPr>
          <w:rFonts w:ascii="Tahoma" w:hAnsi="Tahoma" w:cs="Tahoma"/>
          <w:sz w:val="24"/>
          <w:szCs w:val="24"/>
        </w:rPr>
        <w:t>% comparativ cu programul trimestrial.</w:t>
      </w:r>
      <w:r w:rsidR="000D317D" w:rsidRPr="00807147">
        <w:rPr>
          <w:rFonts w:ascii="Tahoma" w:hAnsi="Tahoma" w:cs="Tahoma"/>
          <w:sz w:val="24"/>
          <w:szCs w:val="24"/>
        </w:rPr>
        <w:t xml:space="preserve"> </w:t>
      </w:r>
      <w:r w:rsidR="004D41CA" w:rsidRPr="00807147">
        <w:rPr>
          <w:rFonts w:ascii="Tahoma" w:hAnsi="Tahoma" w:cs="Tahoma"/>
          <w:bCs/>
          <w:sz w:val="24"/>
          <w:szCs w:val="24"/>
        </w:rPr>
        <w:t>Comparativ cu aceeași perioadă a anului 202</w:t>
      </w:r>
      <w:r w:rsidR="00D60A49" w:rsidRPr="00807147">
        <w:rPr>
          <w:rFonts w:ascii="Tahoma" w:hAnsi="Tahoma" w:cs="Tahoma"/>
          <w:bCs/>
          <w:sz w:val="24"/>
          <w:szCs w:val="24"/>
        </w:rPr>
        <w:t>2</w:t>
      </w:r>
      <w:r w:rsidR="004D41CA" w:rsidRPr="00807147">
        <w:rPr>
          <w:rFonts w:ascii="Tahoma" w:hAnsi="Tahoma" w:cs="Tahoma"/>
          <w:bCs/>
          <w:sz w:val="24"/>
          <w:szCs w:val="24"/>
        </w:rPr>
        <w:t xml:space="preserve"> cheltuielile de capital </w:t>
      </w:r>
      <w:r w:rsidR="00D60A49" w:rsidRPr="00807147">
        <w:rPr>
          <w:rFonts w:ascii="Tahoma" w:hAnsi="Tahoma" w:cs="Tahoma"/>
          <w:bCs/>
          <w:sz w:val="24"/>
          <w:szCs w:val="24"/>
        </w:rPr>
        <w:t>au crescut</w:t>
      </w:r>
      <w:r w:rsidR="004D41CA" w:rsidRPr="00807147">
        <w:rPr>
          <w:rFonts w:ascii="Tahoma" w:hAnsi="Tahoma" w:cs="Tahoma"/>
          <w:bCs/>
          <w:sz w:val="24"/>
          <w:szCs w:val="24"/>
        </w:rPr>
        <w:t xml:space="preserve"> în termeni nominali cu </w:t>
      </w:r>
      <w:r w:rsidR="00D60A49" w:rsidRPr="00807147">
        <w:rPr>
          <w:rFonts w:ascii="Tahoma" w:hAnsi="Tahoma" w:cs="Tahoma"/>
          <w:bCs/>
          <w:sz w:val="24"/>
          <w:szCs w:val="24"/>
        </w:rPr>
        <w:t>18,2</w:t>
      </w:r>
      <w:r w:rsidR="004D41CA" w:rsidRPr="00807147">
        <w:rPr>
          <w:rFonts w:ascii="Tahoma" w:hAnsi="Tahoma" w:cs="Tahoma"/>
          <w:bCs/>
          <w:sz w:val="24"/>
          <w:szCs w:val="24"/>
        </w:rPr>
        <w:t>%</w:t>
      </w:r>
      <w:r w:rsidR="00030BC0" w:rsidRPr="00807147">
        <w:rPr>
          <w:rFonts w:ascii="Tahoma" w:hAnsi="Tahoma" w:cs="Tahoma"/>
          <w:bCs/>
          <w:sz w:val="24"/>
          <w:szCs w:val="24"/>
        </w:rPr>
        <w:t>,</w:t>
      </w:r>
      <w:r w:rsidR="004D41CA" w:rsidRPr="00807147">
        <w:rPr>
          <w:rFonts w:ascii="Tahoma" w:hAnsi="Tahoma" w:cs="Tahoma"/>
          <w:bCs/>
          <w:sz w:val="24"/>
          <w:szCs w:val="24"/>
        </w:rPr>
        <w:t xml:space="preserve"> iar ca pondere în PIB s-au </w:t>
      </w:r>
      <w:r w:rsidR="00D60A49" w:rsidRPr="00807147">
        <w:rPr>
          <w:rFonts w:ascii="Tahoma" w:hAnsi="Tahoma" w:cs="Tahoma"/>
          <w:bCs/>
          <w:sz w:val="24"/>
          <w:szCs w:val="24"/>
        </w:rPr>
        <w:t>menținut la valoarea de 0,3</w:t>
      </w:r>
      <w:r w:rsidR="001C5D69">
        <w:rPr>
          <w:rFonts w:ascii="Tahoma" w:hAnsi="Tahoma" w:cs="Tahoma"/>
          <w:bCs/>
          <w:sz w:val="24"/>
          <w:szCs w:val="24"/>
        </w:rPr>
        <w:t>%</w:t>
      </w:r>
      <w:r w:rsidR="00D60A49" w:rsidRPr="00807147">
        <w:rPr>
          <w:rFonts w:ascii="Tahoma" w:hAnsi="Tahoma" w:cs="Tahoma"/>
          <w:bCs/>
          <w:sz w:val="24"/>
          <w:szCs w:val="24"/>
        </w:rPr>
        <w:t xml:space="preserve"> din PIB</w:t>
      </w:r>
      <w:r w:rsidR="004D41CA" w:rsidRPr="00807147">
        <w:rPr>
          <w:rFonts w:ascii="Tahoma" w:hAnsi="Tahoma" w:cs="Tahoma"/>
          <w:bCs/>
          <w:sz w:val="24"/>
          <w:szCs w:val="24"/>
        </w:rPr>
        <w:t xml:space="preserve">. </w:t>
      </w:r>
      <w:r w:rsidR="00643323" w:rsidRPr="00807147">
        <w:rPr>
          <w:rFonts w:ascii="Tahoma" w:hAnsi="Tahoma" w:cs="Tahoma"/>
          <w:bCs/>
          <w:sz w:val="24"/>
          <w:szCs w:val="24"/>
        </w:rPr>
        <w:t>Nerealizarea plăților programate pentru perioada analizată a fost determinată</w:t>
      </w:r>
      <w:r w:rsidR="001E19BB" w:rsidRPr="00807147">
        <w:rPr>
          <w:rFonts w:ascii="Tahoma" w:hAnsi="Tahoma" w:cs="Tahoma"/>
          <w:bCs/>
          <w:sz w:val="24"/>
          <w:szCs w:val="24"/>
        </w:rPr>
        <w:t>,</w:t>
      </w:r>
      <w:r w:rsidR="00643323" w:rsidRPr="00807147">
        <w:rPr>
          <w:rFonts w:ascii="Tahoma" w:hAnsi="Tahoma" w:cs="Tahoma"/>
          <w:bCs/>
          <w:sz w:val="24"/>
          <w:szCs w:val="24"/>
        </w:rPr>
        <w:t xml:space="preserve"> în principal</w:t>
      </w:r>
      <w:r w:rsidR="001E19BB" w:rsidRPr="00807147">
        <w:rPr>
          <w:rFonts w:ascii="Tahoma" w:hAnsi="Tahoma" w:cs="Tahoma"/>
          <w:bCs/>
          <w:sz w:val="24"/>
          <w:szCs w:val="24"/>
        </w:rPr>
        <w:t>,</w:t>
      </w:r>
      <w:r w:rsidR="00643323" w:rsidRPr="00807147">
        <w:rPr>
          <w:rFonts w:ascii="Tahoma" w:hAnsi="Tahoma" w:cs="Tahoma"/>
          <w:bCs/>
          <w:sz w:val="24"/>
          <w:szCs w:val="24"/>
        </w:rPr>
        <w:t xml:space="preserve"> de nerealizarea înregistrată la bugetul de stat pe fondul neefectuării cheltuielilor în domeniul apărării, la bugetul </w:t>
      </w:r>
      <w:r w:rsidR="000D5A57" w:rsidRPr="00807147">
        <w:rPr>
          <w:rFonts w:ascii="Tahoma" w:hAnsi="Tahoma" w:cs="Tahoma"/>
          <w:bCs/>
          <w:sz w:val="24"/>
          <w:szCs w:val="24"/>
        </w:rPr>
        <w:t>instituțiilor</w:t>
      </w:r>
      <w:r w:rsidR="00643323" w:rsidRPr="00807147">
        <w:rPr>
          <w:rFonts w:ascii="Tahoma" w:hAnsi="Tahoma" w:cs="Tahoma"/>
          <w:bCs/>
          <w:sz w:val="24"/>
          <w:szCs w:val="24"/>
        </w:rPr>
        <w:t xml:space="preserve"> publice </w:t>
      </w:r>
      <w:r w:rsidR="000D5A57" w:rsidRPr="00807147">
        <w:rPr>
          <w:rFonts w:ascii="Tahoma" w:hAnsi="Tahoma" w:cs="Tahoma"/>
          <w:bCs/>
          <w:sz w:val="24"/>
          <w:szCs w:val="24"/>
        </w:rPr>
        <w:t>finanțate</w:t>
      </w:r>
      <w:r w:rsidR="00643323" w:rsidRPr="00807147">
        <w:rPr>
          <w:rFonts w:ascii="Tahoma" w:hAnsi="Tahoma" w:cs="Tahoma"/>
          <w:bCs/>
          <w:sz w:val="24"/>
          <w:szCs w:val="24"/>
        </w:rPr>
        <w:t xml:space="preserve"> integral sau </w:t>
      </w:r>
      <w:r w:rsidR="000D5A57" w:rsidRPr="00807147">
        <w:rPr>
          <w:rFonts w:ascii="Tahoma" w:hAnsi="Tahoma" w:cs="Tahoma"/>
          <w:bCs/>
          <w:sz w:val="24"/>
          <w:szCs w:val="24"/>
        </w:rPr>
        <w:t>parțial</w:t>
      </w:r>
      <w:r w:rsidR="00643323" w:rsidRPr="00807147">
        <w:rPr>
          <w:rFonts w:ascii="Tahoma" w:hAnsi="Tahoma" w:cs="Tahoma"/>
          <w:bCs/>
          <w:sz w:val="24"/>
          <w:szCs w:val="24"/>
        </w:rPr>
        <w:t xml:space="preserve"> din venituri proprii precum și la bugetul Companiei Naționale de Administrare a Infrastructurii Rutiere.</w:t>
      </w:r>
    </w:p>
    <w:p w14:paraId="09459121" w14:textId="77777777" w:rsidR="00CB7882" w:rsidRPr="00807147" w:rsidRDefault="00B10206" w:rsidP="00CB7882">
      <w:pPr>
        <w:spacing w:after="120" w:line="276" w:lineRule="auto"/>
        <w:jc w:val="both"/>
        <w:rPr>
          <w:rFonts w:ascii="Tahoma" w:eastAsia="Calibri" w:hAnsi="Tahoma" w:cs="Tahoma"/>
          <w:sz w:val="24"/>
          <w:szCs w:val="24"/>
        </w:rPr>
      </w:pPr>
      <w:r w:rsidRPr="00807147">
        <w:rPr>
          <w:rFonts w:ascii="Tahoma" w:hAnsi="Tahoma" w:cs="Tahoma"/>
          <w:b/>
          <w:sz w:val="24"/>
          <w:szCs w:val="24"/>
        </w:rPr>
        <w:t>Cheltuielile pentru investiții</w:t>
      </w:r>
      <w:r w:rsidRPr="00807147">
        <w:rPr>
          <w:rFonts w:ascii="Tahoma" w:hAnsi="Tahoma" w:cs="Tahoma"/>
          <w:sz w:val="24"/>
          <w:szCs w:val="24"/>
        </w:rPr>
        <w:t xml:space="preserve"> (includ cheltuielile de capital, precum </w:t>
      </w:r>
      <w:r w:rsidR="00030BC0" w:rsidRPr="00807147">
        <w:rPr>
          <w:rFonts w:ascii="Tahoma" w:hAnsi="Tahoma" w:cs="Tahoma"/>
          <w:sz w:val="24"/>
          <w:szCs w:val="24"/>
        </w:rPr>
        <w:t>și</w:t>
      </w:r>
      <w:r w:rsidRPr="00807147">
        <w:rPr>
          <w:rFonts w:ascii="Tahoma" w:hAnsi="Tahoma" w:cs="Tahoma"/>
          <w:sz w:val="24"/>
          <w:szCs w:val="24"/>
        </w:rPr>
        <w:t xml:space="preserve"> cele aferente programelor de dezvoltare finanțate din surse interne </w:t>
      </w:r>
      <w:r w:rsidR="00030BC0" w:rsidRPr="00807147">
        <w:rPr>
          <w:rFonts w:ascii="Tahoma" w:hAnsi="Tahoma" w:cs="Tahoma"/>
          <w:sz w:val="24"/>
          <w:szCs w:val="24"/>
        </w:rPr>
        <w:t>și</w:t>
      </w:r>
      <w:r w:rsidRPr="00807147">
        <w:rPr>
          <w:rFonts w:ascii="Tahoma" w:hAnsi="Tahoma" w:cs="Tahoma"/>
          <w:sz w:val="24"/>
          <w:szCs w:val="24"/>
        </w:rPr>
        <w:t xml:space="preserve"> externe) în primul trimestru al anului 202</w:t>
      </w:r>
      <w:r w:rsidR="001E19BB" w:rsidRPr="00807147">
        <w:rPr>
          <w:rFonts w:ascii="Tahoma" w:hAnsi="Tahoma" w:cs="Tahoma"/>
          <w:sz w:val="24"/>
          <w:szCs w:val="24"/>
        </w:rPr>
        <w:t>3</w:t>
      </w:r>
      <w:r w:rsidRPr="00807147">
        <w:rPr>
          <w:rFonts w:ascii="Tahoma" w:hAnsi="Tahoma" w:cs="Tahoma"/>
          <w:sz w:val="24"/>
          <w:szCs w:val="24"/>
        </w:rPr>
        <w:t xml:space="preserve"> au totalizat în termeni nominali </w:t>
      </w:r>
      <w:r w:rsidR="001E19BB" w:rsidRPr="00807147">
        <w:rPr>
          <w:rFonts w:ascii="Tahoma" w:hAnsi="Tahoma" w:cs="Tahoma"/>
          <w:bCs/>
          <w:sz w:val="24"/>
          <w:szCs w:val="24"/>
        </w:rPr>
        <w:t>13,16</w:t>
      </w:r>
      <w:r w:rsidR="004D41CA" w:rsidRPr="00807147">
        <w:rPr>
          <w:rFonts w:ascii="Tahoma" w:hAnsi="Tahoma" w:cs="Tahoma"/>
          <w:b/>
          <w:bCs/>
          <w:sz w:val="24"/>
          <w:szCs w:val="24"/>
        </w:rPr>
        <w:t xml:space="preserve"> </w:t>
      </w:r>
      <w:r w:rsidR="00602503" w:rsidRPr="00807147">
        <w:rPr>
          <w:rFonts w:ascii="Tahoma" w:hAnsi="Tahoma" w:cs="Tahoma"/>
          <w:bCs/>
          <w:sz w:val="24"/>
          <w:szCs w:val="24"/>
        </w:rPr>
        <w:t>miliarde</w:t>
      </w:r>
      <w:r w:rsidR="004D41CA" w:rsidRPr="00807147">
        <w:rPr>
          <w:rFonts w:ascii="Tahoma" w:hAnsi="Tahoma" w:cs="Tahoma"/>
          <w:bCs/>
          <w:sz w:val="24"/>
          <w:szCs w:val="24"/>
        </w:rPr>
        <w:t xml:space="preserve"> lei (0,</w:t>
      </w:r>
      <w:r w:rsidR="001E19BB" w:rsidRPr="00807147">
        <w:rPr>
          <w:rFonts w:ascii="Tahoma" w:hAnsi="Tahoma" w:cs="Tahoma"/>
          <w:bCs/>
          <w:sz w:val="24"/>
          <w:szCs w:val="24"/>
        </w:rPr>
        <w:t>8</w:t>
      </w:r>
      <w:r w:rsidR="004D41CA" w:rsidRPr="00807147">
        <w:rPr>
          <w:rFonts w:ascii="Tahoma" w:hAnsi="Tahoma" w:cs="Tahoma"/>
          <w:bCs/>
          <w:sz w:val="24"/>
          <w:szCs w:val="24"/>
        </w:rPr>
        <w:t xml:space="preserve"> % din PIB)</w:t>
      </w:r>
      <w:r w:rsidR="004D41CA" w:rsidRPr="00807147">
        <w:rPr>
          <w:rFonts w:ascii="Tahoma" w:eastAsia="Calibri" w:hAnsi="Tahoma" w:cs="Tahoma"/>
          <w:sz w:val="24"/>
          <w:szCs w:val="24"/>
        </w:rPr>
        <w:t xml:space="preserve"> în creștere cu </w:t>
      </w:r>
      <w:r w:rsidR="001E19BB" w:rsidRPr="00807147">
        <w:rPr>
          <w:rFonts w:ascii="Tahoma" w:eastAsia="Calibri" w:hAnsi="Tahoma" w:cs="Tahoma"/>
          <w:sz w:val="24"/>
          <w:szCs w:val="24"/>
        </w:rPr>
        <w:t>56,5</w:t>
      </w:r>
      <w:r w:rsidR="004D41CA" w:rsidRPr="00807147">
        <w:rPr>
          <w:rFonts w:ascii="Tahoma" w:eastAsia="Calibri" w:hAnsi="Tahoma" w:cs="Tahoma"/>
          <w:sz w:val="24"/>
          <w:szCs w:val="24"/>
        </w:rPr>
        <w:t>% comparativ cu aceeași perioadă a anului precedent</w:t>
      </w:r>
      <w:r w:rsidR="003774BA" w:rsidRPr="00807147">
        <w:rPr>
          <w:rFonts w:ascii="Tahoma" w:eastAsia="Calibri" w:hAnsi="Tahoma" w:cs="Tahoma"/>
          <w:sz w:val="24"/>
          <w:szCs w:val="24"/>
        </w:rPr>
        <w:t>.</w:t>
      </w:r>
      <w:r w:rsidR="004D41CA" w:rsidRPr="00807147">
        <w:rPr>
          <w:rFonts w:ascii="Tahoma" w:eastAsia="Calibri" w:hAnsi="Tahoma" w:cs="Tahoma"/>
          <w:sz w:val="24"/>
          <w:szCs w:val="24"/>
        </w:rPr>
        <w:t xml:space="preserve"> </w:t>
      </w:r>
    </w:p>
    <w:p w14:paraId="4CDD6618" w14:textId="77777777" w:rsidR="003774BA" w:rsidRPr="00807147" w:rsidRDefault="003774BA" w:rsidP="00753D9F">
      <w:pPr>
        <w:spacing w:after="120" w:line="276" w:lineRule="auto"/>
        <w:jc w:val="both"/>
        <w:rPr>
          <w:rFonts w:ascii="Tahoma" w:eastAsia="Calibri" w:hAnsi="Tahoma" w:cs="Tahoma"/>
          <w:sz w:val="24"/>
          <w:szCs w:val="24"/>
        </w:rPr>
      </w:pPr>
    </w:p>
    <w:p w14:paraId="64A28F04" w14:textId="77777777" w:rsidR="00753D9F" w:rsidRPr="00807147" w:rsidRDefault="00753D9F">
      <w:pPr>
        <w:rPr>
          <w:rFonts w:ascii="Tahoma" w:hAnsi="Tahoma" w:cs="Tahoma"/>
          <w:bCs/>
          <w:sz w:val="24"/>
          <w:szCs w:val="24"/>
        </w:rPr>
      </w:pPr>
      <w:r w:rsidRPr="00807147">
        <w:rPr>
          <w:rFonts w:ascii="Tahoma" w:hAnsi="Tahoma" w:cs="Tahoma"/>
          <w:bCs/>
          <w:sz w:val="24"/>
          <w:szCs w:val="24"/>
        </w:rPr>
        <w:br w:type="page"/>
      </w:r>
    </w:p>
    <w:p w14:paraId="4B5586A9" w14:textId="77777777" w:rsidR="00373FDE" w:rsidRPr="00807147" w:rsidRDefault="00373FDE" w:rsidP="00373FDE">
      <w:pPr>
        <w:pStyle w:val="ListParagraph"/>
        <w:numPr>
          <w:ilvl w:val="0"/>
          <w:numId w:val="2"/>
        </w:numPr>
        <w:shd w:val="clear" w:color="auto" w:fill="D9D9D9" w:themeFill="background1" w:themeFillShade="D9"/>
        <w:spacing w:after="120" w:line="360" w:lineRule="auto"/>
        <w:ind w:hanging="1080"/>
        <w:jc w:val="both"/>
        <w:rPr>
          <w:rFonts w:ascii="Tahoma" w:hAnsi="Tahoma" w:cs="Tahoma"/>
          <w:b/>
          <w:caps/>
          <w:color w:val="0070C0"/>
          <w:sz w:val="24"/>
          <w:szCs w:val="24"/>
        </w:rPr>
      </w:pPr>
      <w:r w:rsidRPr="00807147">
        <w:rPr>
          <w:rFonts w:ascii="Tahoma" w:hAnsi="Tahoma" w:cs="Tahoma"/>
          <w:b/>
          <w:caps/>
          <w:color w:val="0070C0"/>
          <w:sz w:val="24"/>
          <w:szCs w:val="24"/>
        </w:rPr>
        <w:lastRenderedPageBreak/>
        <w:t>CONCLUZII</w:t>
      </w:r>
    </w:p>
    <w:p w14:paraId="2B1BE50D" w14:textId="77777777" w:rsidR="00415B7E" w:rsidRPr="00807147" w:rsidRDefault="00415B7E" w:rsidP="00662448">
      <w:pPr>
        <w:spacing w:after="120" w:line="276" w:lineRule="auto"/>
        <w:ind w:right="6"/>
        <w:jc w:val="both"/>
        <w:rPr>
          <w:rFonts w:ascii="Tahoma" w:hAnsi="Tahoma" w:cs="Tahoma"/>
          <w:bCs/>
          <w:sz w:val="24"/>
          <w:szCs w:val="24"/>
        </w:rPr>
      </w:pPr>
      <w:r w:rsidRPr="00807147">
        <w:rPr>
          <w:rFonts w:ascii="Tahoma" w:hAnsi="Tahoma" w:cs="Tahoma"/>
          <w:bCs/>
          <w:sz w:val="24"/>
          <w:szCs w:val="24"/>
        </w:rPr>
        <w:t>Având în vedere evoluția veniturilor</w:t>
      </w:r>
      <w:r w:rsidR="00315666" w:rsidRPr="00807147">
        <w:rPr>
          <w:rFonts w:ascii="Tahoma" w:hAnsi="Tahoma" w:cs="Tahoma"/>
          <w:bCs/>
          <w:sz w:val="24"/>
          <w:szCs w:val="24"/>
        </w:rPr>
        <w:t xml:space="preserve"> și cheltuielilor</w:t>
      </w:r>
      <w:r w:rsidRPr="00807147">
        <w:rPr>
          <w:rFonts w:ascii="Tahoma" w:hAnsi="Tahoma" w:cs="Tahoma"/>
          <w:bCs/>
          <w:sz w:val="24"/>
          <w:szCs w:val="24"/>
        </w:rPr>
        <w:t xml:space="preserve"> bugetare, soldul bugetar </w:t>
      </w:r>
      <w:r w:rsidR="00315666" w:rsidRPr="00807147">
        <w:rPr>
          <w:rFonts w:ascii="Tahoma" w:hAnsi="Tahoma" w:cs="Tahoma"/>
          <w:bCs/>
          <w:sz w:val="24"/>
          <w:szCs w:val="24"/>
        </w:rPr>
        <w:t>aferent</w:t>
      </w:r>
      <w:r w:rsidRPr="00807147">
        <w:rPr>
          <w:rFonts w:ascii="Tahoma" w:hAnsi="Tahoma" w:cs="Tahoma"/>
          <w:bCs/>
          <w:sz w:val="24"/>
          <w:szCs w:val="24"/>
        </w:rPr>
        <w:t xml:space="preserve"> primul</w:t>
      </w:r>
      <w:r w:rsidR="00315666" w:rsidRPr="00807147">
        <w:rPr>
          <w:rFonts w:ascii="Tahoma" w:hAnsi="Tahoma" w:cs="Tahoma"/>
          <w:bCs/>
          <w:sz w:val="24"/>
          <w:szCs w:val="24"/>
        </w:rPr>
        <w:t>ui</w:t>
      </w:r>
      <w:r w:rsidRPr="00807147">
        <w:rPr>
          <w:rFonts w:ascii="Tahoma" w:hAnsi="Tahoma" w:cs="Tahoma"/>
          <w:bCs/>
          <w:sz w:val="24"/>
          <w:szCs w:val="24"/>
        </w:rPr>
        <w:t xml:space="preserve"> trimestru </w:t>
      </w:r>
      <w:r w:rsidR="00A1466E" w:rsidRPr="00807147">
        <w:rPr>
          <w:rFonts w:ascii="Tahoma" w:hAnsi="Tahoma" w:cs="Tahoma"/>
          <w:bCs/>
          <w:sz w:val="24"/>
          <w:szCs w:val="24"/>
        </w:rPr>
        <w:t xml:space="preserve">s-a situat sub </w:t>
      </w:r>
      <w:r w:rsidR="003C4703" w:rsidRPr="00807147">
        <w:rPr>
          <w:rFonts w:ascii="Tahoma" w:hAnsi="Tahoma" w:cs="Tahoma"/>
          <w:bCs/>
          <w:sz w:val="24"/>
          <w:szCs w:val="24"/>
        </w:rPr>
        <w:t xml:space="preserve">ținta stabilită cu </w:t>
      </w:r>
      <w:r w:rsidR="001E19BB" w:rsidRPr="00807147">
        <w:rPr>
          <w:rFonts w:ascii="Tahoma" w:hAnsi="Tahoma" w:cs="Tahoma"/>
          <w:bCs/>
          <w:sz w:val="24"/>
          <w:szCs w:val="24"/>
        </w:rPr>
        <w:t>15,96</w:t>
      </w:r>
      <w:r w:rsidR="003C4703" w:rsidRPr="00807147">
        <w:rPr>
          <w:rFonts w:ascii="Tahoma" w:hAnsi="Tahoma" w:cs="Tahoma"/>
          <w:bCs/>
          <w:sz w:val="24"/>
          <w:szCs w:val="24"/>
        </w:rPr>
        <w:t xml:space="preserve"> </w:t>
      </w:r>
      <w:r w:rsidR="00602503" w:rsidRPr="00807147">
        <w:rPr>
          <w:rFonts w:ascii="Tahoma" w:hAnsi="Tahoma" w:cs="Tahoma"/>
          <w:bCs/>
          <w:sz w:val="24"/>
          <w:szCs w:val="24"/>
        </w:rPr>
        <w:t>miliarde</w:t>
      </w:r>
      <w:r w:rsidRPr="00807147">
        <w:rPr>
          <w:rFonts w:ascii="Tahoma" w:hAnsi="Tahoma" w:cs="Tahoma"/>
          <w:bCs/>
          <w:sz w:val="24"/>
          <w:szCs w:val="24"/>
        </w:rPr>
        <w:t xml:space="preserve"> lei.</w:t>
      </w:r>
    </w:p>
    <w:p w14:paraId="682EED86" w14:textId="77777777" w:rsidR="00D750B6" w:rsidRPr="00807147" w:rsidRDefault="001E19BB" w:rsidP="00662448">
      <w:pPr>
        <w:spacing w:after="120"/>
        <w:ind w:right="6"/>
        <w:jc w:val="both"/>
        <w:rPr>
          <w:rFonts w:ascii="Tahoma" w:hAnsi="Tahoma" w:cs="Tahoma"/>
          <w:bCs/>
          <w:sz w:val="24"/>
          <w:szCs w:val="24"/>
        </w:rPr>
      </w:pPr>
      <w:r w:rsidRPr="00807147">
        <w:rPr>
          <w:rFonts w:ascii="Tahoma" w:hAnsi="Tahoma" w:cs="Tahoma"/>
          <w:bCs/>
          <w:sz w:val="24"/>
          <w:szCs w:val="24"/>
        </w:rPr>
        <w:t>În perioada analizată</w:t>
      </w:r>
      <w:r w:rsidR="008849D9" w:rsidRPr="00807147">
        <w:rPr>
          <w:rFonts w:ascii="Tahoma" w:hAnsi="Tahoma" w:cs="Tahoma"/>
          <w:bCs/>
          <w:sz w:val="24"/>
          <w:szCs w:val="24"/>
        </w:rPr>
        <w:t xml:space="preserve"> </w:t>
      </w:r>
      <w:r w:rsidRPr="00807147">
        <w:rPr>
          <w:rFonts w:ascii="Tahoma" w:hAnsi="Tahoma" w:cs="Tahoma"/>
          <w:bCs/>
          <w:sz w:val="24"/>
          <w:szCs w:val="24"/>
        </w:rPr>
        <w:t xml:space="preserve">veniturile bugetului general consolidat nu au reușit să atingă nivelul programat atât pe fondul nerealizării </w:t>
      </w:r>
      <w:r w:rsidR="002D0E08" w:rsidRPr="00807147">
        <w:rPr>
          <w:rFonts w:ascii="Tahoma" w:hAnsi="Tahoma" w:cs="Tahoma"/>
          <w:bCs/>
          <w:sz w:val="24"/>
          <w:szCs w:val="24"/>
        </w:rPr>
        <w:t>v</w:t>
      </w:r>
      <w:r w:rsidR="005E607E" w:rsidRPr="00807147">
        <w:rPr>
          <w:rFonts w:ascii="Tahoma" w:hAnsi="Tahoma" w:cs="Tahoma"/>
          <w:bCs/>
          <w:sz w:val="24"/>
          <w:szCs w:val="24"/>
        </w:rPr>
        <w:t>enituril</w:t>
      </w:r>
      <w:r w:rsidR="00021BE4" w:rsidRPr="00807147">
        <w:rPr>
          <w:rFonts w:ascii="Tahoma" w:hAnsi="Tahoma" w:cs="Tahoma"/>
          <w:bCs/>
          <w:sz w:val="24"/>
          <w:szCs w:val="24"/>
        </w:rPr>
        <w:t>or</w:t>
      </w:r>
      <w:r w:rsidR="005E607E" w:rsidRPr="00807147">
        <w:rPr>
          <w:rFonts w:ascii="Tahoma" w:hAnsi="Tahoma" w:cs="Tahoma"/>
          <w:bCs/>
          <w:sz w:val="24"/>
          <w:szCs w:val="24"/>
        </w:rPr>
        <w:t xml:space="preserve"> programate a fi încasate din economia internă</w:t>
      </w:r>
      <w:r w:rsidR="00D750B6" w:rsidRPr="00807147">
        <w:rPr>
          <w:rFonts w:ascii="Tahoma" w:hAnsi="Tahoma" w:cs="Tahoma"/>
          <w:bCs/>
          <w:sz w:val="24"/>
          <w:szCs w:val="24"/>
        </w:rPr>
        <w:t xml:space="preserve">, dar </w:t>
      </w:r>
      <w:r w:rsidR="00021BE4" w:rsidRPr="00807147">
        <w:rPr>
          <w:rFonts w:ascii="Tahoma" w:hAnsi="Tahoma" w:cs="Tahoma"/>
          <w:bCs/>
          <w:sz w:val="24"/>
          <w:szCs w:val="24"/>
        </w:rPr>
        <w:t xml:space="preserve">mai ales pe fondul nerealizării veniturilor programate a fi atrase din fondurile externe nerambursabile. </w:t>
      </w:r>
      <w:r w:rsidR="00D750B6" w:rsidRPr="00807147">
        <w:rPr>
          <w:rFonts w:ascii="Tahoma" w:hAnsi="Tahoma" w:cs="Tahoma"/>
          <w:bCs/>
          <w:sz w:val="24"/>
          <w:szCs w:val="24"/>
        </w:rPr>
        <w:t>În primul trimestru al anului 2022, veniturilor prevăzute a fi încasate din fonduri externe nerambursabile și în special a celor aferente asistenței financiare nerambursabile alocate PNRR al căror nivel este corelat cu propunerile ordonatorilor principali de credite privind prevederile bugetare pentru proiectele</w:t>
      </w:r>
      <w:r w:rsidR="00D750B6" w:rsidRPr="00807147">
        <w:rPr>
          <w:sz w:val="24"/>
          <w:szCs w:val="24"/>
        </w:rPr>
        <w:t xml:space="preserve"> </w:t>
      </w:r>
      <w:r w:rsidR="00D750B6" w:rsidRPr="00807147">
        <w:rPr>
          <w:rFonts w:ascii="Tahoma" w:hAnsi="Tahoma" w:cs="Tahoma"/>
          <w:bCs/>
          <w:sz w:val="24"/>
          <w:szCs w:val="24"/>
        </w:rPr>
        <w:t>finanțate din fonduri externe nerambursabile sunt mult sub nivelul programat.</w:t>
      </w:r>
    </w:p>
    <w:p w14:paraId="6B5B2AA8" w14:textId="77777777" w:rsidR="003C6E28" w:rsidRPr="00807147" w:rsidRDefault="00FC0CA1" w:rsidP="00662448">
      <w:pPr>
        <w:spacing w:after="120" w:line="276" w:lineRule="auto"/>
        <w:ind w:right="6"/>
        <w:jc w:val="both"/>
        <w:rPr>
          <w:rFonts w:ascii="Tahoma" w:hAnsi="Tahoma" w:cs="Tahoma"/>
          <w:bCs/>
          <w:sz w:val="24"/>
          <w:szCs w:val="24"/>
        </w:rPr>
      </w:pPr>
      <w:r w:rsidRPr="00807147">
        <w:rPr>
          <w:rFonts w:ascii="Tahoma" w:hAnsi="Tahoma" w:cs="Tahoma"/>
          <w:bCs/>
          <w:sz w:val="24"/>
          <w:szCs w:val="24"/>
        </w:rPr>
        <w:t>Cheltuielile</w:t>
      </w:r>
      <w:r w:rsidR="00BA3E99" w:rsidRPr="00807147">
        <w:rPr>
          <w:rFonts w:ascii="Tahoma" w:hAnsi="Tahoma" w:cs="Tahoma"/>
          <w:bCs/>
          <w:sz w:val="24"/>
          <w:szCs w:val="24"/>
        </w:rPr>
        <w:t xml:space="preserve"> bugetului general consolidat</w:t>
      </w:r>
      <w:r w:rsidRPr="00807147">
        <w:rPr>
          <w:rFonts w:ascii="Tahoma" w:hAnsi="Tahoma" w:cs="Tahoma"/>
          <w:bCs/>
          <w:sz w:val="24"/>
          <w:szCs w:val="24"/>
        </w:rPr>
        <w:t xml:space="preserve"> </w:t>
      </w:r>
      <w:r w:rsidR="00BA3E99" w:rsidRPr="00807147">
        <w:rPr>
          <w:rFonts w:ascii="Tahoma" w:hAnsi="Tahoma" w:cs="Tahoma"/>
          <w:bCs/>
          <w:sz w:val="24"/>
          <w:szCs w:val="24"/>
        </w:rPr>
        <w:t>e</w:t>
      </w:r>
      <w:r w:rsidRPr="00807147">
        <w:rPr>
          <w:rFonts w:ascii="Tahoma" w:hAnsi="Tahoma" w:cs="Tahoma"/>
          <w:bCs/>
          <w:sz w:val="24"/>
          <w:szCs w:val="24"/>
        </w:rPr>
        <w:t>fectuate în primul trimestru al anului 202</w:t>
      </w:r>
      <w:r w:rsidR="00021BE4" w:rsidRPr="00807147">
        <w:rPr>
          <w:rFonts w:ascii="Tahoma" w:hAnsi="Tahoma" w:cs="Tahoma"/>
          <w:bCs/>
          <w:sz w:val="24"/>
          <w:szCs w:val="24"/>
        </w:rPr>
        <w:t>3</w:t>
      </w:r>
      <w:r w:rsidRPr="00807147">
        <w:rPr>
          <w:rFonts w:ascii="Tahoma" w:hAnsi="Tahoma" w:cs="Tahoma"/>
          <w:bCs/>
          <w:sz w:val="24"/>
          <w:szCs w:val="24"/>
        </w:rPr>
        <w:t xml:space="preserve"> s-au situat sub nivelul programat </w:t>
      </w:r>
      <w:r w:rsidR="00CB4A48" w:rsidRPr="00807147">
        <w:rPr>
          <w:rFonts w:ascii="Tahoma" w:hAnsi="Tahoma" w:cs="Tahoma"/>
          <w:bCs/>
          <w:sz w:val="24"/>
          <w:szCs w:val="24"/>
        </w:rPr>
        <w:t xml:space="preserve">la </w:t>
      </w:r>
      <w:r w:rsidRPr="00807147">
        <w:rPr>
          <w:rFonts w:ascii="Tahoma" w:hAnsi="Tahoma" w:cs="Tahoma"/>
          <w:bCs/>
          <w:sz w:val="24"/>
          <w:szCs w:val="24"/>
        </w:rPr>
        <w:t xml:space="preserve">toate titlurile de cheltuieli, niveluri </w:t>
      </w:r>
      <w:r w:rsidR="00D81272" w:rsidRPr="00807147">
        <w:rPr>
          <w:rFonts w:ascii="Tahoma" w:hAnsi="Tahoma" w:cs="Tahoma"/>
          <w:bCs/>
          <w:sz w:val="24"/>
          <w:szCs w:val="24"/>
        </w:rPr>
        <w:t xml:space="preserve">mult </w:t>
      </w:r>
      <w:r w:rsidRPr="00807147">
        <w:rPr>
          <w:rFonts w:ascii="Tahoma" w:hAnsi="Tahoma" w:cs="Tahoma"/>
          <w:bCs/>
          <w:sz w:val="24"/>
          <w:szCs w:val="24"/>
        </w:rPr>
        <w:t xml:space="preserve">diminuate fiind înregistrate în cazul cheltuielilor de </w:t>
      </w:r>
      <w:r w:rsidR="00F67270" w:rsidRPr="00807147">
        <w:rPr>
          <w:rFonts w:ascii="Tahoma" w:hAnsi="Tahoma" w:cs="Tahoma"/>
          <w:bCs/>
          <w:sz w:val="24"/>
          <w:szCs w:val="24"/>
        </w:rPr>
        <w:t>i</w:t>
      </w:r>
      <w:r w:rsidR="003C6E28" w:rsidRPr="00807147">
        <w:rPr>
          <w:rFonts w:ascii="Tahoma" w:hAnsi="Tahoma" w:cs="Tahoma"/>
          <w:bCs/>
          <w:sz w:val="24"/>
          <w:szCs w:val="24"/>
        </w:rPr>
        <w:t>nvestiții, atât cheltu</w:t>
      </w:r>
      <w:r w:rsidR="001C5D69">
        <w:rPr>
          <w:rFonts w:ascii="Tahoma" w:hAnsi="Tahoma" w:cs="Tahoma"/>
          <w:bCs/>
          <w:sz w:val="24"/>
          <w:szCs w:val="24"/>
        </w:rPr>
        <w:t>ieli de capital cât și în cazul</w:t>
      </w:r>
      <w:r w:rsidRPr="00807147">
        <w:rPr>
          <w:rFonts w:ascii="Tahoma" w:hAnsi="Tahoma" w:cs="Tahoma"/>
          <w:bCs/>
          <w:sz w:val="24"/>
          <w:szCs w:val="24"/>
        </w:rPr>
        <w:t xml:space="preserve"> cheltuielilor cu proiecte finanțate din </w:t>
      </w:r>
      <w:r w:rsidR="00CB4A48" w:rsidRPr="00807147">
        <w:rPr>
          <w:rFonts w:ascii="Tahoma" w:hAnsi="Tahoma" w:cs="Tahoma"/>
          <w:bCs/>
          <w:sz w:val="24"/>
          <w:szCs w:val="24"/>
        </w:rPr>
        <w:t>fonduri externe nerambursabile.</w:t>
      </w:r>
    </w:p>
    <w:p w14:paraId="23806E56" w14:textId="77777777" w:rsidR="00D750B6" w:rsidRPr="00807147" w:rsidRDefault="00D750B6" w:rsidP="00662448">
      <w:pPr>
        <w:spacing w:after="120" w:line="276" w:lineRule="auto"/>
        <w:ind w:right="6"/>
        <w:jc w:val="both"/>
        <w:rPr>
          <w:rFonts w:ascii="Tahoma" w:hAnsi="Tahoma" w:cs="Tahoma"/>
          <w:bCs/>
          <w:sz w:val="24"/>
          <w:szCs w:val="24"/>
        </w:rPr>
      </w:pPr>
      <w:r w:rsidRPr="00807147">
        <w:rPr>
          <w:rFonts w:ascii="Tahoma" w:hAnsi="Tahoma" w:cs="Tahoma"/>
          <w:bCs/>
          <w:sz w:val="24"/>
          <w:szCs w:val="24"/>
        </w:rPr>
        <w:t xml:space="preserve">Cea mai mare discrepanță între nivelul programat </w:t>
      </w:r>
      <w:r w:rsidR="003C6E28" w:rsidRPr="00807147">
        <w:rPr>
          <w:rFonts w:ascii="Tahoma" w:hAnsi="Tahoma" w:cs="Tahoma"/>
          <w:bCs/>
          <w:sz w:val="24"/>
          <w:szCs w:val="24"/>
        </w:rPr>
        <w:t>și</w:t>
      </w:r>
      <w:r w:rsidRPr="00807147">
        <w:rPr>
          <w:rFonts w:ascii="Tahoma" w:hAnsi="Tahoma" w:cs="Tahoma"/>
          <w:bCs/>
          <w:sz w:val="24"/>
          <w:szCs w:val="24"/>
        </w:rPr>
        <w:t xml:space="preserve"> plăți s-a înregistrat în cazul cheltuielilor cu </w:t>
      </w:r>
      <w:r w:rsidR="003C6E28" w:rsidRPr="00807147">
        <w:rPr>
          <w:rFonts w:ascii="Tahoma" w:hAnsi="Tahoma" w:cs="Tahoma"/>
          <w:bCs/>
          <w:sz w:val="24"/>
          <w:szCs w:val="24"/>
        </w:rPr>
        <w:t xml:space="preserve">proiectele finanțate din PNRR, atât din componenta de grant cât și din împrumut. </w:t>
      </w:r>
    </w:p>
    <w:p w14:paraId="1115A419" w14:textId="77777777" w:rsidR="00EC6E30" w:rsidRDefault="0064606E" w:rsidP="00662448">
      <w:pPr>
        <w:spacing w:after="120" w:line="276" w:lineRule="auto"/>
        <w:ind w:right="6"/>
        <w:jc w:val="both"/>
        <w:rPr>
          <w:rFonts w:ascii="Tahoma" w:hAnsi="Tahoma" w:cs="Tahoma"/>
          <w:bCs/>
          <w:sz w:val="24"/>
          <w:szCs w:val="24"/>
        </w:rPr>
      </w:pPr>
      <w:r w:rsidRPr="001C5D69">
        <w:rPr>
          <w:rFonts w:ascii="Tahoma" w:hAnsi="Tahoma" w:cs="Tahoma"/>
          <w:bCs/>
          <w:sz w:val="24"/>
          <w:szCs w:val="24"/>
        </w:rPr>
        <w:t xml:space="preserve">Absorbția fondurilor externe nerambursabile, cât și a sumelor atrase din Planul Național de redresare și reziliență reprezintă una dintre prioritățile Guvernului României. Alocarea substanțială de fonduri din partea Uniunii Europene trebuie valorificată optim, reprezentând un element central al sustenabilității bugetare prin prisma strategiei investiționale și a caracterului nerambursabil al acestor fonduri. </w:t>
      </w:r>
      <w:r w:rsidR="00BA3E99" w:rsidRPr="001C5D69">
        <w:rPr>
          <w:rFonts w:ascii="Tahoma" w:hAnsi="Tahoma" w:cs="Tahoma"/>
          <w:bCs/>
          <w:sz w:val="24"/>
          <w:szCs w:val="24"/>
        </w:rPr>
        <w:t>C</w:t>
      </w:r>
      <w:r w:rsidRPr="001C5D69">
        <w:rPr>
          <w:rFonts w:ascii="Tahoma" w:hAnsi="Tahoma" w:cs="Tahoma"/>
          <w:bCs/>
          <w:sz w:val="24"/>
          <w:szCs w:val="24"/>
        </w:rPr>
        <w:t>onsiderăm că ordonatorii principali de credite trebuie să acorde o atenție deosebită și să întreprindă toate eforturile în vederea utilizării creditelor bugetare alocate cu această destinație</w:t>
      </w:r>
      <w:r w:rsidR="00BA3E99" w:rsidRPr="001C5D69">
        <w:rPr>
          <w:rFonts w:ascii="Tahoma" w:hAnsi="Tahoma" w:cs="Tahoma"/>
          <w:bCs/>
          <w:sz w:val="24"/>
          <w:szCs w:val="24"/>
        </w:rPr>
        <w:t>,</w:t>
      </w:r>
      <w:r w:rsidR="00BA3E99" w:rsidRPr="00807147">
        <w:rPr>
          <w:rFonts w:ascii="Tahoma" w:hAnsi="Tahoma" w:cs="Tahoma"/>
          <w:bCs/>
          <w:sz w:val="24"/>
          <w:szCs w:val="24"/>
        </w:rPr>
        <w:t xml:space="preserve"> să fie depuse eforturi de accelerare a implementării proiectelor astfel încât sumele atrase din fonduri externe nerambursabile cât și cele aferente proiectelor finanțate din PNRR în perioada următoare să recupereze din decalajul înregistrat în perioada analizată</w:t>
      </w:r>
      <w:r w:rsidR="006C08A3" w:rsidRPr="006C08A3">
        <w:rPr>
          <w:rFonts w:ascii="Tahoma" w:hAnsi="Tahoma" w:cs="Tahoma"/>
          <w:bCs/>
          <w:sz w:val="24"/>
          <w:szCs w:val="24"/>
        </w:rPr>
        <w:t xml:space="preserve"> ținând cont că 2023 este ultimul an de eligibilitate </w:t>
      </w:r>
      <w:r w:rsidR="006C08A3">
        <w:rPr>
          <w:rFonts w:ascii="Tahoma" w:hAnsi="Tahoma" w:cs="Tahoma"/>
          <w:bCs/>
          <w:sz w:val="24"/>
          <w:szCs w:val="24"/>
        </w:rPr>
        <w:t>pentru cadrul</w:t>
      </w:r>
      <w:r w:rsidR="006C08A3" w:rsidRPr="006C08A3">
        <w:rPr>
          <w:rFonts w:ascii="Tahoma" w:hAnsi="Tahoma" w:cs="Tahoma"/>
          <w:bCs/>
          <w:sz w:val="24"/>
          <w:szCs w:val="24"/>
        </w:rPr>
        <w:t xml:space="preserve"> de</w:t>
      </w:r>
      <w:r w:rsidR="006C08A3">
        <w:rPr>
          <w:rFonts w:ascii="Tahoma" w:hAnsi="Tahoma" w:cs="Tahoma"/>
          <w:bCs/>
          <w:sz w:val="24"/>
          <w:szCs w:val="24"/>
        </w:rPr>
        <w:t xml:space="preserve"> programare financiar 2014-2020</w:t>
      </w:r>
      <w:r w:rsidR="00BA3E99" w:rsidRPr="00807147">
        <w:rPr>
          <w:rFonts w:ascii="Tahoma" w:hAnsi="Tahoma" w:cs="Tahoma"/>
          <w:bCs/>
          <w:sz w:val="24"/>
          <w:szCs w:val="24"/>
        </w:rPr>
        <w:t xml:space="preserve">. </w:t>
      </w:r>
    </w:p>
    <w:p w14:paraId="0645182B" w14:textId="77777777" w:rsidR="00753D9F" w:rsidRPr="00807147" w:rsidRDefault="00753D9F" w:rsidP="00662448">
      <w:pPr>
        <w:spacing w:after="120" w:line="276" w:lineRule="auto"/>
        <w:ind w:right="6"/>
        <w:jc w:val="both"/>
        <w:rPr>
          <w:rFonts w:ascii="Tahoma" w:hAnsi="Tahoma" w:cs="Tahoma"/>
          <w:bCs/>
          <w:sz w:val="24"/>
          <w:szCs w:val="24"/>
        </w:rPr>
      </w:pPr>
      <w:r w:rsidRPr="00807147">
        <w:rPr>
          <w:rFonts w:ascii="Tahoma" w:hAnsi="Tahoma" w:cs="Tahoma"/>
          <w:bCs/>
          <w:sz w:val="24"/>
          <w:szCs w:val="24"/>
        </w:rPr>
        <w:t xml:space="preserve">Totodată este necesar ca în perioada următoare să fie intensificate eforturile de colectare astfel încât să fie recuperat în proporție cât mai mare decalajul </w:t>
      </w:r>
      <w:r w:rsidR="00D81272" w:rsidRPr="00807147">
        <w:rPr>
          <w:rFonts w:ascii="Tahoma" w:hAnsi="Tahoma" w:cs="Tahoma"/>
          <w:bCs/>
          <w:sz w:val="24"/>
          <w:szCs w:val="24"/>
        </w:rPr>
        <w:t xml:space="preserve">față de nivelul programat al veniturilor din economia internă </w:t>
      </w:r>
      <w:r w:rsidRPr="00807147">
        <w:rPr>
          <w:rFonts w:ascii="Tahoma" w:hAnsi="Tahoma" w:cs="Tahoma"/>
          <w:bCs/>
          <w:sz w:val="24"/>
          <w:szCs w:val="24"/>
        </w:rPr>
        <w:t xml:space="preserve">înregistrat în primul trimestru al anului 2023. </w:t>
      </w:r>
    </w:p>
    <w:p w14:paraId="23BCEF3B" w14:textId="77777777" w:rsidR="00EC6E30" w:rsidRDefault="001C5D69" w:rsidP="00662448">
      <w:pPr>
        <w:spacing w:after="120" w:line="276" w:lineRule="auto"/>
        <w:ind w:right="6"/>
        <w:jc w:val="both"/>
        <w:rPr>
          <w:rFonts w:ascii="Tahoma" w:hAnsi="Tahoma" w:cs="Tahoma"/>
          <w:bCs/>
          <w:sz w:val="24"/>
          <w:szCs w:val="24"/>
        </w:rPr>
      </w:pPr>
      <w:r>
        <w:rPr>
          <w:rFonts w:ascii="Tahoma" w:hAnsi="Tahoma" w:cs="Tahoma"/>
          <w:bCs/>
          <w:sz w:val="24"/>
          <w:szCs w:val="24"/>
        </w:rPr>
        <w:t>Î</w:t>
      </w:r>
      <w:r w:rsidR="00BA3E99" w:rsidRPr="00807147">
        <w:rPr>
          <w:rFonts w:ascii="Tahoma" w:hAnsi="Tahoma" w:cs="Tahoma"/>
          <w:bCs/>
          <w:sz w:val="24"/>
          <w:szCs w:val="24"/>
        </w:rPr>
        <w:t xml:space="preserve">n contextul </w:t>
      </w:r>
      <w:r>
        <w:rPr>
          <w:rFonts w:ascii="Tahoma" w:hAnsi="Tahoma" w:cs="Tahoma"/>
          <w:bCs/>
          <w:sz w:val="24"/>
          <w:szCs w:val="24"/>
        </w:rPr>
        <w:t>economic ș</w:t>
      </w:r>
      <w:r w:rsidR="00BA3E99" w:rsidRPr="00807147">
        <w:rPr>
          <w:rFonts w:ascii="Tahoma" w:hAnsi="Tahoma" w:cs="Tahoma"/>
          <w:bCs/>
          <w:sz w:val="24"/>
          <w:szCs w:val="24"/>
        </w:rPr>
        <w:t>i geo politic actual, e</w:t>
      </w:r>
      <w:r w:rsidR="00BA3E99" w:rsidRPr="00EC6E30">
        <w:rPr>
          <w:rFonts w:ascii="Tahoma" w:hAnsi="Tahoma" w:cs="Tahoma"/>
          <w:bCs/>
          <w:sz w:val="24"/>
          <w:szCs w:val="24"/>
        </w:rPr>
        <w:t>xtrapolând trendul veniturilor și a cheltuielilor pe baza datelor operative, precum și</w:t>
      </w:r>
      <w:r w:rsidR="00E033D1" w:rsidRPr="00EC6E30">
        <w:rPr>
          <w:rFonts w:ascii="Tahoma" w:hAnsi="Tahoma" w:cs="Tahoma"/>
          <w:bCs/>
          <w:sz w:val="24"/>
          <w:szCs w:val="24"/>
        </w:rPr>
        <w:t xml:space="preserve"> a</w:t>
      </w:r>
      <w:r w:rsidR="00BA3E99" w:rsidRPr="00EC6E30">
        <w:rPr>
          <w:rFonts w:ascii="Tahoma" w:hAnsi="Tahoma" w:cs="Tahoma"/>
          <w:bCs/>
          <w:sz w:val="24"/>
          <w:szCs w:val="24"/>
        </w:rPr>
        <w:t xml:space="preserve"> modificările survenite în planificarea trimestrială, estimăm că pentru menținerea deficitului bugetar anual în țintă inițială de </w:t>
      </w:r>
      <w:r w:rsidR="005704E0" w:rsidRPr="00EC6E30">
        <w:rPr>
          <w:rFonts w:ascii="Tahoma" w:hAnsi="Tahoma" w:cs="Tahoma"/>
          <w:bCs/>
          <w:sz w:val="24"/>
          <w:szCs w:val="24"/>
        </w:rPr>
        <w:t>4,4</w:t>
      </w:r>
      <w:r w:rsidR="00BA3E99" w:rsidRPr="00EC6E30">
        <w:rPr>
          <w:rFonts w:ascii="Tahoma" w:hAnsi="Tahoma" w:cs="Tahoma"/>
          <w:bCs/>
          <w:sz w:val="24"/>
          <w:szCs w:val="24"/>
        </w:rPr>
        <w:t>% din PIB,</w:t>
      </w:r>
      <w:r w:rsidR="00E033D1" w:rsidRPr="00EC6E30">
        <w:rPr>
          <w:rFonts w:ascii="Tahoma" w:hAnsi="Tahoma" w:cs="Tahoma"/>
          <w:bCs/>
          <w:sz w:val="24"/>
          <w:szCs w:val="24"/>
        </w:rPr>
        <w:t xml:space="preserve"> este necesar </w:t>
      </w:r>
      <w:r w:rsidR="00D750B6" w:rsidRPr="00807147">
        <w:rPr>
          <w:rFonts w:ascii="Tahoma" w:hAnsi="Tahoma" w:cs="Tahoma"/>
          <w:bCs/>
          <w:sz w:val="24"/>
          <w:szCs w:val="24"/>
        </w:rPr>
        <w:t xml:space="preserve"> </w:t>
      </w:r>
      <w:r w:rsidR="00E033D1" w:rsidRPr="00807147">
        <w:rPr>
          <w:rFonts w:ascii="Tahoma" w:hAnsi="Tahoma" w:cs="Tahoma"/>
          <w:bCs/>
          <w:sz w:val="24"/>
          <w:szCs w:val="24"/>
        </w:rPr>
        <w:t>întreprinderea tuturor măsurilor de eficiență și control, pentru</w:t>
      </w:r>
      <w:r w:rsidR="00D750B6" w:rsidRPr="00807147">
        <w:rPr>
          <w:rFonts w:ascii="Tahoma" w:hAnsi="Tahoma" w:cs="Tahoma"/>
          <w:bCs/>
          <w:sz w:val="24"/>
          <w:szCs w:val="24"/>
        </w:rPr>
        <w:t xml:space="preserve"> colectarea veniturilor din economia internă la nivelul programat</w:t>
      </w:r>
      <w:r w:rsidR="00EC6E30">
        <w:rPr>
          <w:rFonts w:ascii="Tahoma" w:hAnsi="Tahoma" w:cs="Tahoma"/>
          <w:bCs/>
          <w:sz w:val="24"/>
          <w:szCs w:val="24"/>
        </w:rPr>
        <w:t>.</w:t>
      </w:r>
    </w:p>
    <w:p w14:paraId="22327A76" w14:textId="77777777" w:rsidR="00E033D1" w:rsidRPr="00807147" w:rsidRDefault="00EC6E30" w:rsidP="00662448">
      <w:pPr>
        <w:spacing w:after="120" w:line="276" w:lineRule="auto"/>
        <w:ind w:right="6"/>
        <w:jc w:val="both"/>
        <w:rPr>
          <w:rFonts w:ascii="Tahoma" w:hAnsi="Tahoma" w:cs="Tahoma"/>
          <w:bCs/>
          <w:sz w:val="24"/>
          <w:szCs w:val="24"/>
        </w:rPr>
      </w:pPr>
      <w:r>
        <w:rPr>
          <w:rFonts w:ascii="Tahoma" w:hAnsi="Tahoma" w:cs="Tahoma"/>
          <w:bCs/>
          <w:sz w:val="24"/>
          <w:szCs w:val="24"/>
        </w:rPr>
        <w:lastRenderedPageBreak/>
        <w:t xml:space="preserve">De asemenea, </w:t>
      </w:r>
      <w:r w:rsidR="00D750B6" w:rsidRPr="00807147">
        <w:rPr>
          <w:rFonts w:ascii="Tahoma" w:hAnsi="Tahoma" w:cs="Tahoma"/>
          <w:bCs/>
          <w:sz w:val="24"/>
          <w:szCs w:val="24"/>
        </w:rPr>
        <w:t xml:space="preserve"> în cazul ordonatorilor principali de credite </w:t>
      </w:r>
      <w:r>
        <w:rPr>
          <w:rFonts w:ascii="Tahoma" w:hAnsi="Tahoma" w:cs="Tahoma"/>
          <w:bCs/>
          <w:sz w:val="24"/>
          <w:szCs w:val="24"/>
        </w:rPr>
        <w:t xml:space="preserve">este necesară </w:t>
      </w:r>
      <w:r w:rsidR="00D750B6" w:rsidRPr="00807147">
        <w:rPr>
          <w:rFonts w:ascii="Tahoma" w:hAnsi="Tahoma" w:cs="Tahoma"/>
          <w:bCs/>
          <w:sz w:val="24"/>
          <w:szCs w:val="24"/>
        </w:rPr>
        <w:t>prudență în angajarea de noi cheltuieli și o mai mare rigurozitate în programarea cheltuielilor bugetare</w:t>
      </w:r>
      <w:r>
        <w:rPr>
          <w:rFonts w:ascii="Tahoma" w:hAnsi="Tahoma" w:cs="Tahoma"/>
          <w:bCs/>
          <w:sz w:val="24"/>
          <w:szCs w:val="24"/>
        </w:rPr>
        <w:t xml:space="preserve">, precum </w:t>
      </w:r>
      <w:r w:rsidRPr="00EC6E30">
        <w:rPr>
          <w:rFonts w:ascii="Tahoma" w:hAnsi="Tahoma" w:cs="Tahoma"/>
          <w:bCs/>
          <w:sz w:val="24"/>
          <w:szCs w:val="24"/>
        </w:rPr>
        <w:t xml:space="preserve">și </w:t>
      </w:r>
      <w:r>
        <w:rPr>
          <w:rFonts w:ascii="Tahoma" w:hAnsi="Tahoma" w:cs="Tahoma"/>
          <w:bCs/>
          <w:sz w:val="24"/>
          <w:szCs w:val="24"/>
        </w:rPr>
        <w:t>urgentarea de atragere</w:t>
      </w:r>
      <w:r w:rsidRPr="00EC6E30">
        <w:rPr>
          <w:rFonts w:ascii="Tahoma" w:hAnsi="Tahoma" w:cs="Tahoma"/>
          <w:bCs/>
          <w:sz w:val="24"/>
          <w:szCs w:val="24"/>
        </w:rPr>
        <w:t xml:space="preserve"> </w:t>
      </w:r>
      <w:r>
        <w:rPr>
          <w:rFonts w:ascii="Tahoma" w:hAnsi="Tahoma" w:cs="Tahoma"/>
          <w:bCs/>
          <w:sz w:val="24"/>
          <w:szCs w:val="24"/>
        </w:rPr>
        <w:t>a</w:t>
      </w:r>
      <w:r w:rsidRPr="00EC6E30">
        <w:rPr>
          <w:rFonts w:ascii="Tahoma" w:hAnsi="Tahoma" w:cs="Tahoma"/>
          <w:bCs/>
          <w:sz w:val="24"/>
          <w:szCs w:val="24"/>
        </w:rPr>
        <w:t xml:space="preserve"> fonduri</w:t>
      </w:r>
      <w:r>
        <w:rPr>
          <w:rFonts w:ascii="Tahoma" w:hAnsi="Tahoma" w:cs="Tahoma"/>
          <w:bCs/>
          <w:sz w:val="24"/>
          <w:szCs w:val="24"/>
        </w:rPr>
        <w:t>lor</w:t>
      </w:r>
      <w:r w:rsidRPr="00EC6E30">
        <w:rPr>
          <w:rFonts w:ascii="Tahoma" w:hAnsi="Tahoma" w:cs="Tahoma"/>
          <w:bCs/>
          <w:sz w:val="24"/>
          <w:szCs w:val="24"/>
        </w:rPr>
        <w:t xml:space="preserve"> externe nerambursabile </w:t>
      </w:r>
      <w:r>
        <w:rPr>
          <w:rFonts w:ascii="Tahoma" w:hAnsi="Tahoma" w:cs="Tahoma"/>
          <w:bCs/>
          <w:sz w:val="24"/>
          <w:szCs w:val="24"/>
        </w:rPr>
        <w:t>atât pe cadrul</w:t>
      </w:r>
      <w:r w:rsidRPr="006C08A3">
        <w:rPr>
          <w:rFonts w:ascii="Tahoma" w:hAnsi="Tahoma" w:cs="Tahoma"/>
          <w:bCs/>
          <w:sz w:val="24"/>
          <w:szCs w:val="24"/>
        </w:rPr>
        <w:t xml:space="preserve"> de</w:t>
      </w:r>
      <w:r>
        <w:rPr>
          <w:rFonts w:ascii="Tahoma" w:hAnsi="Tahoma" w:cs="Tahoma"/>
          <w:bCs/>
          <w:sz w:val="24"/>
          <w:szCs w:val="24"/>
        </w:rPr>
        <w:t xml:space="preserve"> programare financiar 2014-2020 și 2021-2027cât și cele aferente PNRR.</w:t>
      </w:r>
    </w:p>
    <w:p w14:paraId="0590B40C" w14:textId="77777777" w:rsidR="00244D97" w:rsidRPr="00807147" w:rsidRDefault="00244D97" w:rsidP="003D66A9">
      <w:pPr>
        <w:spacing w:before="240" w:line="276" w:lineRule="auto"/>
        <w:ind w:right="6"/>
        <w:jc w:val="both"/>
        <w:rPr>
          <w:rFonts w:ascii="Tahoma" w:hAnsi="Tahoma" w:cs="Tahoma"/>
          <w:bCs/>
          <w:sz w:val="24"/>
          <w:szCs w:val="24"/>
        </w:rPr>
      </w:pPr>
    </w:p>
    <w:p w14:paraId="1B57E629" w14:textId="77777777" w:rsidR="00244D97" w:rsidRPr="00807147" w:rsidRDefault="00244D97" w:rsidP="003D66A9">
      <w:pPr>
        <w:spacing w:before="240" w:line="276" w:lineRule="auto"/>
        <w:ind w:right="6"/>
        <w:jc w:val="both"/>
        <w:rPr>
          <w:rFonts w:ascii="Tahoma" w:hAnsi="Tahoma" w:cs="Tahoma"/>
          <w:sz w:val="24"/>
          <w:szCs w:val="24"/>
        </w:rPr>
      </w:pPr>
    </w:p>
    <w:sectPr w:rsidR="00244D97" w:rsidRPr="00807147" w:rsidSect="005E607E">
      <w:footerReference w:type="default" r:id="rId16"/>
      <w:pgSz w:w="12240" w:h="15840"/>
      <w:pgMar w:top="1166" w:right="1253" w:bottom="1440" w:left="1166" w:header="720" w:footer="5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AB9D9" w14:textId="77777777" w:rsidR="006F1415" w:rsidRDefault="006F1415" w:rsidP="006704C5">
      <w:pPr>
        <w:spacing w:after="0" w:line="240" w:lineRule="auto"/>
      </w:pPr>
      <w:r>
        <w:separator/>
      </w:r>
    </w:p>
  </w:endnote>
  <w:endnote w:type="continuationSeparator" w:id="0">
    <w:p w14:paraId="1BCA3936" w14:textId="77777777" w:rsidR="006F1415" w:rsidRDefault="006F1415" w:rsidP="00670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skoola Pota">
    <w:altName w:val="Times New Roman"/>
    <w:panose1 w:val="020B0502040204020203"/>
    <w:charset w:val="00"/>
    <w:family w:val="swiss"/>
    <w:pitch w:val="variable"/>
    <w:sig w:usb0="00000003" w:usb1="00000000" w:usb2="000002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8515"/>
      <w:gridCol w:w="1306"/>
    </w:tblGrid>
    <w:tr w:rsidR="0090217B" w14:paraId="79F54D00" w14:textId="77777777" w:rsidTr="0090217B">
      <w:trPr>
        <w:trHeight w:hRule="exact" w:val="115"/>
        <w:jc w:val="center"/>
      </w:trPr>
      <w:tc>
        <w:tcPr>
          <w:tcW w:w="8505" w:type="dxa"/>
          <w:shd w:val="clear" w:color="auto" w:fill="5B9BD5" w:themeFill="accent1"/>
          <w:tcMar>
            <w:top w:w="0" w:type="dxa"/>
            <w:bottom w:w="0" w:type="dxa"/>
          </w:tcMar>
        </w:tcPr>
        <w:p w14:paraId="6F744C02" w14:textId="77777777" w:rsidR="0090217B" w:rsidRDefault="0090217B" w:rsidP="005E607E">
          <w:pPr>
            <w:pStyle w:val="Header"/>
            <w:tabs>
              <w:tab w:val="clear" w:pos="4680"/>
              <w:tab w:val="clear" w:pos="9360"/>
            </w:tabs>
            <w:rPr>
              <w:caps/>
              <w:sz w:val="18"/>
            </w:rPr>
          </w:pPr>
        </w:p>
      </w:tc>
      <w:tc>
        <w:tcPr>
          <w:tcW w:w="1305" w:type="dxa"/>
          <w:shd w:val="clear" w:color="auto" w:fill="5B9BD5" w:themeFill="accent1"/>
          <w:tcMar>
            <w:top w:w="0" w:type="dxa"/>
            <w:bottom w:w="0" w:type="dxa"/>
          </w:tcMar>
        </w:tcPr>
        <w:p w14:paraId="5B94E3D5" w14:textId="77777777" w:rsidR="0090217B" w:rsidRDefault="0090217B" w:rsidP="005E607E">
          <w:pPr>
            <w:pStyle w:val="Header"/>
            <w:tabs>
              <w:tab w:val="clear" w:pos="4680"/>
              <w:tab w:val="clear" w:pos="9360"/>
            </w:tabs>
            <w:jc w:val="right"/>
            <w:rPr>
              <w:caps/>
              <w:sz w:val="18"/>
            </w:rPr>
          </w:pPr>
        </w:p>
      </w:tc>
    </w:tr>
    <w:tr w:rsidR="0090217B" w14:paraId="73F715DA" w14:textId="77777777" w:rsidTr="0090217B">
      <w:trPr>
        <w:trHeight w:hRule="exact" w:val="115"/>
        <w:jc w:val="center"/>
      </w:trPr>
      <w:tc>
        <w:tcPr>
          <w:tcW w:w="8505" w:type="dxa"/>
          <w:shd w:val="clear" w:color="auto" w:fill="5B9BD5" w:themeFill="accent1"/>
          <w:tcMar>
            <w:top w:w="0" w:type="dxa"/>
            <w:bottom w:w="0" w:type="dxa"/>
          </w:tcMar>
        </w:tcPr>
        <w:p w14:paraId="5297E50C" w14:textId="77777777" w:rsidR="0090217B" w:rsidRDefault="0090217B" w:rsidP="005E607E">
          <w:pPr>
            <w:pStyle w:val="Header"/>
            <w:tabs>
              <w:tab w:val="clear" w:pos="4680"/>
              <w:tab w:val="clear" w:pos="9360"/>
            </w:tabs>
            <w:rPr>
              <w:caps/>
              <w:sz w:val="18"/>
            </w:rPr>
          </w:pPr>
        </w:p>
      </w:tc>
      <w:tc>
        <w:tcPr>
          <w:tcW w:w="1305" w:type="dxa"/>
          <w:shd w:val="clear" w:color="auto" w:fill="5B9BD5" w:themeFill="accent1"/>
          <w:tcMar>
            <w:top w:w="0" w:type="dxa"/>
            <w:bottom w:w="0" w:type="dxa"/>
          </w:tcMar>
        </w:tcPr>
        <w:p w14:paraId="283AD481" w14:textId="77777777" w:rsidR="0090217B" w:rsidRDefault="0090217B" w:rsidP="005E607E">
          <w:pPr>
            <w:pStyle w:val="Header"/>
            <w:tabs>
              <w:tab w:val="clear" w:pos="4680"/>
              <w:tab w:val="clear" w:pos="9360"/>
            </w:tabs>
            <w:jc w:val="right"/>
            <w:rPr>
              <w:caps/>
              <w:sz w:val="18"/>
            </w:rPr>
          </w:pPr>
        </w:p>
      </w:tc>
    </w:tr>
    <w:tr w:rsidR="0090217B" w14:paraId="7E381AEB" w14:textId="77777777" w:rsidTr="0090217B">
      <w:trPr>
        <w:jc w:val="center"/>
      </w:trPr>
      <w:sdt>
        <w:sdtPr>
          <w:rPr>
            <w:rFonts w:ascii="Tahoma" w:hAnsi="Tahoma" w:cs="Tahoma"/>
            <w:caps/>
            <w:color w:val="808080" w:themeColor="background1" w:themeShade="80"/>
            <w:sz w:val="18"/>
            <w:szCs w:val="18"/>
          </w:rPr>
          <w:alias w:val="Author"/>
          <w:tag w:val=""/>
          <w:id w:val="1892612453"/>
          <w:placeholder>
            <w:docPart w:val="6BF091545DF5430EA6AAEAE65AB5A483"/>
          </w:placeholder>
          <w:dataBinding w:prefixMappings="xmlns:ns0='http://purl.org/dc/elements/1.1/' xmlns:ns1='http://schemas.openxmlformats.org/package/2006/metadata/core-properties' " w:xpath="/ns1:coreProperties[1]/ns0:creator[1]" w:storeItemID="{6C3C8BC8-F283-45AE-878A-BAB7291924A1}"/>
          <w:text/>
        </w:sdtPr>
        <w:sdtContent>
          <w:tc>
            <w:tcPr>
              <w:tcW w:w="8505" w:type="dxa"/>
              <w:shd w:val="clear" w:color="auto" w:fill="auto"/>
              <w:vAlign w:val="center"/>
            </w:tcPr>
            <w:p w14:paraId="690E46DA" w14:textId="77777777" w:rsidR="0090217B" w:rsidRPr="00CA4A92" w:rsidRDefault="0090217B" w:rsidP="00DA1CBE">
              <w:pPr>
                <w:pStyle w:val="Footer"/>
                <w:tabs>
                  <w:tab w:val="clear" w:pos="4680"/>
                  <w:tab w:val="clear" w:pos="9360"/>
                </w:tabs>
                <w:rPr>
                  <w:rFonts w:ascii="Tahoma" w:hAnsi="Tahoma" w:cs="Tahoma"/>
                  <w:caps/>
                  <w:color w:val="808080" w:themeColor="background1" w:themeShade="80"/>
                  <w:sz w:val="18"/>
                  <w:szCs w:val="18"/>
                </w:rPr>
              </w:pPr>
              <w:r>
                <w:rPr>
                  <w:rFonts w:ascii="Tahoma" w:hAnsi="Tahoma" w:cs="Tahoma"/>
                  <w:caps/>
                  <w:color w:val="808080" w:themeColor="background1" w:themeShade="80"/>
                  <w:sz w:val="18"/>
                  <w:szCs w:val="18"/>
                </w:rPr>
                <w:t>RAPORT PRIVIND EXECUȚIA BUGETARĂ PE PRIMUL TRIMESTRU AL ANULUI 202</w:t>
              </w:r>
              <w:r w:rsidR="00DA1CBE">
                <w:rPr>
                  <w:rFonts w:ascii="Tahoma" w:hAnsi="Tahoma" w:cs="Tahoma"/>
                  <w:caps/>
                  <w:color w:val="808080" w:themeColor="background1" w:themeShade="80"/>
                  <w:sz w:val="18"/>
                  <w:szCs w:val="18"/>
                </w:rPr>
                <w:t>3</w:t>
              </w:r>
            </w:p>
          </w:tc>
        </w:sdtContent>
      </w:sdt>
      <w:tc>
        <w:tcPr>
          <w:tcW w:w="1305" w:type="dxa"/>
          <w:shd w:val="clear" w:color="auto" w:fill="auto"/>
          <w:vAlign w:val="center"/>
        </w:tcPr>
        <w:p w14:paraId="63C1005F" w14:textId="77777777" w:rsidR="0090217B" w:rsidRPr="00CA4A92" w:rsidRDefault="00885473" w:rsidP="005E607E">
          <w:pPr>
            <w:pStyle w:val="Footer"/>
            <w:tabs>
              <w:tab w:val="clear" w:pos="4680"/>
              <w:tab w:val="clear" w:pos="9360"/>
            </w:tabs>
            <w:jc w:val="right"/>
            <w:rPr>
              <w:rFonts w:ascii="Tahoma" w:hAnsi="Tahoma" w:cs="Tahoma"/>
              <w:caps/>
              <w:color w:val="808080" w:themeColor="background1" w:themeShade="80"/>
              <w:sz w:val="18"/>
              <w:szCs w:val="18"/>
            </w:rPr>
          </w:pPr>
          <w:r w:rsidRPr="00CA4A92">
            <w:rPr>
              <w:rFonts w:ascii="Tahoma" w:hAnsi="Tahoma" w:cs="Tahoma"/>
              <w:caps/>
              <w:color w:val="808080" w:themeColor="background1" w:themeShade="80"/>
              <w:sz w:val="18"/>
              <w:szCs w:val="18"/>
            </w:rPr>
            <w:fldChar w:fldCharType="begin"/>
          </w:r>
          <w:r w:rsidR="0090217B" w:rsidRPr="00CA4A92">
            <w:rPr>
              <w:rFonts w:ascii="Tahoma" w:hAnsi="Tahoma" w:cs="Tahoma"/>
              <w:caps/>
              <w:color w:val="808080" w:themeColor="background1" w:themeShade="80"/>
              <w:sz w:val="18"/>
              <w:szCs w:val="18"/>
            </w:rPr>
            <w:instrText xml:space="preserve"> PAGE   \* MERGEFORMAT </w:instrText>
          </w:r>
          <w:r w:rsidRPr="00CA4A92">
            <w:rPr>
              <w:rFonts w:ascii="Tahoma" w:hAnsi="Tahoma" w:cs="Tahoma"/>
              <w:caps/>
              <w:color w:val="808080" w:themeColor="background1" w:themeShade="80"/>
              <w:sz w:val="18"/>
              <w:szCs w:val="18"/>
            </w:rPr>
            <w:fldChar w:fldCharType="separate"/>
          </w:r>
          <w:r w:rsidR="00186A0B">
            <w:rPr>
              <w:rFonts w:ascii="Tahoma" w:hAnsi="Tahoma" w:cs="Tahoma"/>
              <w:caps/>
              <w:noProof/>
              <w:color w:val="808080" w:themeColor="background1" w:themeShade="80"/>
              <w:sz w:val="18"/>
              <w:szCs w:val="18"/>
            </w:rPr>
            <w:t>12</w:t>
          </w:r>
          <w:r w:rsidRPr="00CA4A92">
            <w:rPr>
              <w:rFonts w:ascii="Tahoma" w:hAnsi="Tahoma" w:cs="Tahoma"/>
              <w:caps/>
              <w:noProof/>
              <w:color w:val="808080" w:themeColor="background1" w:themeShade="80"/>
              <w:sz w:val="18"/>
              <w:szCs w:val="18"/>
            </w:rPr>
            <w:fldChar w:fldCharType="end"/>
          </w:r>
        </w:p>
      </w:tc>
    </w:tr>
  </w:tbl>
  <w:p w14:paraId="496DA47A" w14:textId="77777777" w:rsidR="0090217B" w:rsidRDefault="0090217B" w:rsidP="002E61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88768" w14:textId="77777777" w:rsidR="006F1415" w:rsidRDefault="006F1415" w:rsidP="006704C5">
      <w:pPr>
        <w:spacing w:after="0" w:line="240" w:lineRule="auto"/>
      </w:pPr>
      <w:r>
        <w:separator/>
      </w:r>
    </w:p>
  </w:footnote>
  <w:footnote w:type="continuationSeparator" w:id="0">
    <w:p w14:paraId="4734DF86" w14:textId="77777777" w:rsidR="006F1415" w:rsidRDefault="006F1415" w:rsidP="006704C5">
      <w:pPr>
        <w:spacing w:after="0" w:line="240" w:lineRule="auto"/>
      </w:pPr>
      <w:r>
        <w:continuationSeparator/>
      </w:r>
    </w:p>
  </w:footnote>
  <w:footnote w:id="1">
    <w:p w14:paraId="27F67F93" w14:textId="77777777" w:rsidR="008E08AA" w:rsidRPr="00AD5997" w:rsidRDefault="008E08AA" w:rsidP="008E08AA">
      <w:pPr>
        <w:pStyle w:val="FootnoteText"/>
        <w:jc w:val="both"/>
        <w:rPr>
          <w:sz w:val="18"/>
          <w:szCs w:val="18"/>
        </w:rPr>
      </w:pPr>
      <w:r>
        <w:rPr>
          <w:rStyle w:val="FootnoteReference"/>
        </w:rPr>
        <w:footnoteRef/>
      </w:r>
      <w:r>
        <w:t xml:space="preserve"> </w:t>
      </w:r>
      <w:r w:rsidRPr="00AD5997">
        <w:rPr>
          <w:rFonts w:cstheme="minorHAnsi"/>
          <w:sz w:val="18"/>
          <w:szCs w:val="18"/>
        </w:rPr>
        <w:t xml:space="preserve">Ordonanța de urgență a Guvernului nr. 153/2020 pentru instituirea unor măsuri fiscale de stimulare a </w:t>
      </w:r>
      <w:r w:rsidR="00807147" w:rsidRPr="00AD5997">
        <w:rPr>
          <w:rFonts w:cstheme="minorHAnsi"/>
          <w:sz w:val="18"/>
          <w:szCs w:val="18"/>
        </w:rPr>
        <w:t>menținerii</w:t>
      </w:r>
      <w:r w:rsidRPr="00AD5997">
        <w:rPr>
          <w:rFonts w:cstheme="minorHAnsi"/>
          <w:sz w:val="18"/>
          <w:szCs w:val="18"/>
        </w:rPr>
        <w:t>/</w:t>
      </w:r>
      <w:r w:rsidR="00807147" w:rsidRPr="00AD5997">
        <w:rPr>
          <w:rFonts w:cstheme="minorHAnsi"/>
          <w:sz w:val="18"/>
          <w:szCs w:val="18"/>
        </w:rPr>
        <w:t>creșterii</w:t>
      </w:r>
      <w:r w:rsidRPr="00AD5997">
        <w:rPr>
          <w:rFonts w:cstheme="minorHAnsi"/>
          <w:sz w:val="18"/>
          <w:szCs w:val="18"/>
        </w:rPr>
        <w:t xml:space="preserve"> capitalurilor proprii, precum </w:t>
      </w:r>
      <w:proofErr w:type="spellStart"/>
      <w:r w:rsidRPr="00AD5997">
        <w:rPr>
          <w:rFonts w:cstheme="minorHAnsi"/>
          <w:sz w:val="18"/>
          <w:szCs w:val="18"/>
        </w:rPr>
        <w:t>şi</w:t>
      </w:r>
      <w:proofErr w:type="spellEnd"/>
      <w:r w:rsidRPr="00AD5997">
        <w:rPr>
          <w:rFonts w:cstheme="minorHAnsi"/>
          <w:sz w:val="18"/>
          <w:szCs w:val="18"/>
        </w:rPr>
        <w:t xml:space="preserve"> pentru completarea unor acte normative</w:t>
      </w:r>
    </w:p>
  </w:footnote>
  <w:footnote w:id="2">
    <w:p w14:paraId="3688FFD2" w14:textId="77777777" w:rsidR="008E08AA" w:rsidRPr="00AD5997" w:rsidRDefault="008E08AA" w:rsidP="008E08AA">
      <w:pPr>
        <w:autoSpaceDE w:val="0"/>
        <w:autoSpaceDN w:val="0"/>
        <w:adjustRightInd w:val="0"/>
        <w:rPr>
          <w:rFonts w:eastAsia="Calibri" w:cstheme="minorHAnsi"/>
          <w:sz w:val="18"/>
          <w:szCs w:val="18"/>
        </w:rPr>
      </w:pPr>
      <w:r w:rsidRPr="00AD5997">
        <w:rPr>
          <w:rStyle w:val="FootnoteReference"/>
          <w:sz w:val="18"/>
          <w:szCs w:val="18"/>
        </w:rPr>
        <w:footnoteRef/>
      </w:r>
      <w:r w:rsidRPr="00AD5997">
        <w:rPr>
          <w:sz w:val="18"/>
          <w:szCs w:val="18"/>
        </w:rPr>
        <w:t xml:space="preserve"> </w:t>
      </w:r>
      <w:r w:rsidRPr="00AD5997">
        <w:rPr>
          <w:rFonts w:eastAsia="Calibri" w:cstheme="minorHAnsi"/>
          <w:sz w:val="18"/>
          <w:szCs w:val="18"/>
        </w:rPr>
        <w:t>Legea nr. 322/2021 pentru completarea Legii nr. 227/2015 privind Codul fiscal</w:t>
      </w:r>
    </w:p>
  </w:footnote>
  <w:footnote w:id="3">
    <w:p w14:paraId="40CAF7D3" w14:textId="77777777" w:rsidR="00714122" w:rsidRPr="00B23C06" w:rsidRDefault="00714122" w:rsidP="00714122">
      <w:pPr>
        <w:pStyle w:val="FootnoteText"/>
        <w:rPr>
          <w:rFonts w:cstheme="minorHAnsi"/>
          <w:sz w:val="18"/>
          <w:szCs w:val="18"/>
        </w:rPr>
      </w:pPr>
      <w:r w:rsidRPr="00B23C06">
        <w:rPr>
          <w:rStyle w:val="FootnoteReference"/>
          <w:rFonts w:cstheme="minorHAnsi"/>
          <w:sz w:val="18"/>
          <w:szCs w:val="18"/>
        </w:rPr>
        <w:footnoteRef/>
      </w:r>
      <w:r w:rsidRPr="00B23C06">
        <w:rPr>
          <w:rFonts w:cstheme="minorHAnsi"/>
          <w:sz w:val="18"/>
          <w:szCs w:val="18"/>
        </w:rPr>
        <w:t xml:space="preserve"> decembrie 2022-februarie 2023/decembrie 2021-februarie 2022</w:t>
      </w:r>
    </w:p>
  </w:footnote>
  <w:footnote w:id="4">
    <w:p w14:paraId="45924001" w14:textId="77777777" w:rsidR="002D0BFF" w:rsidRPr="00B23C06" w:rsidRDefault="002D0BFF" w:rsidP="00F25BB6">
      <w:pPr>
        <w:pStyle w:val="FootnoteText"/>
        <w:rPr>
          <w:rFonts w:cstheme="minorHAnsi"/>
          <w:sz w:val="18"/>
          <w:szCs w:val="18"/>
        </w:rPr>
      </w:pPr>
      <w:r w:rsidRPr="00B23C06">
        <w:rPr>
          <w:rStyle w:val="FootnoteReference"/>
          <w:sz w:val="18"/>
          <w:szCs w:val="18"/>
        </w:rPr>
        <w:footnoteRef/>
      </w:r>
      <w:r w:rsidRPr="00B23C06">
        <w:rPr>
          <w:sz w:val="18"/>
          <w:szCs w:val="18"/>
        </w:rPr>
        <w:t xml:space="preserve"> </w:t>
      </w:r>
      <w:r w:rsidRPr="00B23C06">
        <w:rPr>
          <w:rFonts w:cstheme="minorHAnsi"/>
          <w:sz w:val="18"/>
          <w:szCs w:val="18"/>
        </w:rPr>
        <w:t>începând cu 1 ianuarie 2023 cota de impozitare a dividendelor se majorează de la 5% la 8% (Ordonanța Guvernului nr. 16/2022 aprobată prin Legea nr. 370/2022)</w:t>
      </w:r>
    </w:p>
  </w:footnote>
  <w:footnote w:id="5">
    <w:p w14:paraId="16AE44DA" w14:textId="77777777" w:rsidR="002D0BFF" w:rsidRPr="00B23C06" w:rsidRDefault="002D0BFF" w:rsidP="002D0BFF">
      <w:pPr>
        <w:pStyle w:val="FootnoteText"/>
        <w:jc w:val="both"/>
        <w:rPr>
          <w:rFonts w:cstheme="minorHAnsi"/>
          <w:sz w:val="18"/>
          <w:szCs w:val="18"/>
        </w:rPr>
      </w:pPr>
      <w:r w:rsidRPr="00B23C06">
        <w:rPr>
          <w:rStyle w:val="FootnoteReference"/>
          <w:rFonts w:cstheme="minorHAnsi"/>
          <w:sz w:val="18"/>
          <w:szCs w:val="18"/>
        </w:rPr>
        <w:footnoteRef/>
      </w:r>
      <w:r w:rsidRPr="00B23C06">
        <w:rPr>
          <w:rFonts w:cstheme="minorHAnsi"/>
          <w:sz w:val="18"/>
          <w:szCs w:val="18"/>
        </w:rPr>
        <w:t xml:space="preserve"> majorarea valorii punctului de pensie de la 1.586 lei la 1.785 lei, începând cu data de 1 ianuarie 2023, conform Ordonanței de urgență a Guvernului nr. 168/2022 privind unele măsuri fiscal-bugetare, prorogarea unor termene, precum </w:t>
      </w:r>
      <w:proofErr w:type="spellStart"/>
      <w:r w:rsidRPr="00B23C06">
        <w:rPr>
          <w:rFonts w:cstheme="minorHAnsi"/>
          <w:sz w:val="18"/>
          <w:szCs w:val="18"/>
        </w:rPr>
        <w:t>şi</w:t>
      </w:r>
      <w:proofErr w:type="spellEnd"/>
      <w:r w:rsidRPr="00B23C06">
        <w:rPr>
          <w:rFonts w:cstheme="minorHAnsi"/>
          <w:sz w:val="18"/>
          <w:szCs w:val="18"/>
        </w:rPr>
        <w:t xml:space="preserve"> pentru modificarea </w:t>
      </w:r>
      <w:proofErr w:type="spellStart"/>
      <w:r w:rsidRPr="00B23C06">
        <w:rPr>
          <w:rFonts w:cstheme="minorHAnsi"/>
          <w:sz w:val="18"/>
          <w:szCs w:val="18"/>
        </w:rPr>
        <w:t>şi</w:t>
      </w:r>
      <w:proofErr w:type="spellEnd"/>
      <w:r w:rsidRPr="00B23C06">
        <w:rPr>
          <w:rFonts w:cstheme="minorHAnsi"/>
          <w:sz w:val="18"/>
          <w:szCs w:val="18"/>
        </w:rPr>
        <w:t xml:space="preserve"> completarea unor acte normative</w:t>
      </w:r>
    </w:p>
  </w:footnote>
  <w:footnote w:id="6">
    <w:p w14:paraId="3694148C" w14:textId="77777777" w:rsidR="00AC7A87" w:rsidRPr="00B23C06" w:rsidRDefault="00AC7A87" w:rsidP="00AC7A87">
      <w:pPr>
        <w:pStyle w:val="FootnoteText"/>
        <w:jc w:val="both"/>
        <w:rPr>
          <w:rFonts w:cstheme="minorHAnsi"/>
          <w:sz w:val="18"/>
          <w:szCs w:val="18"/>
        </w:rPr>
      </w:pPr>
      <w:r w:rsidRPr="00B23C06">
        <w:rPr>
          <w:rStyle w:val="FootnoteReference"/>
          <w:rFonts w:cstheme="minorHAnsi"/>
          <w:sz w:val="18"/>
          <w:szCs w:val="18"/>
        </w:rPr>
        <w:footnoteRef/>
      </w:r>
      <w:r w:rsidRPr="00B23C06">
        <w:rPr>
          <w:rStyle w:val="FootnoteReference"/>
          <w:rFonts w:cstheme="minorHAnsi"/>
          <w:sz w:val="18"/>
          <w:szCs w:val="18"/>
        </w:rPr>
        <w:t xml:space="preserve"> </w:t>
      </w:r>
      <w:r w:rsidRPr="00B23C06">
        <w:rPr>
          <w:rFonts w:cstheme="minorHAnsi"/>
          <w:sz w:val="18"/>
          <w:szCs w:val="18"/>
        </w:rPr>
        <w:t>exclusiv restituiri și majorări de întârziere</w:t>
      </w:r>
    </w:p>
  </w:footnote>
  <w:footnote w:id="7">
    <w:p w14:paraId="69E4FEEC" w14:textId="77777777" w:rsidR="00AC7A87" w:rsidRPr="00B23C06" w:rsidRDefault="00AC7A87" w:rsidP="00AC7A87">
      <w:pPr>
        <w:pStyle w:val="FootnoteText"/>
        <w:jc w:val="both"/>
        <w:rPr>
          <w:rFonts w:cstheme="minorHAnsi"/>
          <w:sz w:val="18"/>
          <w:szCs w:val="18"/>
        </w:rPr>
      </w:pPr>
      <w:r w:rsidRPr="00B23C06">
        <w:rPr>
          <w:rStyle w:val="FootnoteReference"/>
          <w:rFonts w:cstheme="minorHAnsi"/>
          <w:sz w:val="18"/>
          <w:szCs w:val="18"/>
        </w:rPr>
        <w:footnoteRef/>
      </w:r>
      <w:r w:rsidRPr="00B23C06">
        <w:rPr>
          <w:rFonts w:cstheme="minorHAnsi"/>
          <w:sz w:val="18"/>
          <w:szCs w:val="18"/>
        </w:rPr>
        <w:t xml:space="preserve"> TVA din operațiuni interne au crescut cu 12,3%, iar TVA din importurile de bunuri au scăzut cu 7,5%</w:t>
      </w:r>
    </w:p>
  </w:footnote>
  <w:footnote w:id="8">
    <w:p w14:paraId="11148931" w14:textId="77777777" w:rsidR="00AC7A87" w:rsidRPr="005D3DCD" w:rsidRDefault="00AC7A87" w:rsidP="00AC7A87">
      <w:pPr>
        <w:pStyle w:val="FootnoteText"/>
        <w:jc w:val="both"/>
        <w:rPr>
          <w:rFonts w:cstheme="minorHAnsi"/>
        </w:rPr>
      </w:pPr>
      <w:r w:rsidRPr="009B13E2">
        <w:rPr>
          <w:rStyle w:val="FootnoteReference"/>
          <w:rFonts w:cstheme="minorHAnsi"/>
        </w:rPr>
        <w:footnoteRef/>
      </w:r>
      <w:r w:rsidRPr="009B13E2">
        <w:rPr>
          <w:rStyle w:val="FootnoteReference"/>
          <w:rFonts w:cstheme="minorHAnsi"/>
        </w:rPr>
        <w:t xml:space="preserve"> </w:t>
      </w:r>
      <w:r>
        <w:rPr>
          <w:rFonts w:cstheme="minorHAnsi"/>
        </w:rPr>
        <w:t>c</w:t>
      </w:r>
      <w:r w:rsidRPr="005D3DCD">
        <w:rPr>
          <w:rFonts w:cstheme="minorHAnsi"/>
        </w:rPr>
        <w:t xml:space="preserve">omunicat de presă INS nr. </w:t>
      </w:r>
      <w:r>
        <w:rPr>
          <w:rFonts w:cstheme="minorHAnsi"/>
        </w:rPr>
        <w:t>82</w:t>
      </w:r>
      <w:r w:rsidRPr="005D3DCD">
        <w:rPr>
          <w:rFonts w:cstheme="minorHAnsi"/>
        </w:rPr>
        <w:t>/0</w:t>
      </w:r>
      <w:r>
        <w:rPr>
          <w:rFonts w:cstheme="minorHAnsi"/>
        </w:rPr>
        <w:t>6</w:t>
      </w:r>
      <w:r w:rsidRPr="005D3DCD">
        <w:rPr>
          <w:rFonts w:cstheme="minorHAnsi"/>
        </w:rPr>
        <w:t xml:space="preserve"> </w:t>
      </w:r>
      <w:r>
        <w:rPr>
          <w:rFonts w:cstheme="minorHAnsi"/>
        </w:rPr>
        <w:t>aprilie</w:t>
      </w:r>
      <w:r w:rsidRPr="005D3DCD">
        <w:rPr>
          <w:rFonts w:cstheme="minorHAnsi"/>
        </w:rPr>
        <w:t xml:space="preserve"> 202</w:t>
      </w:r>
      <w:r>
        <w:rPr>
          <w:rFonts w:cstheme="minorHAnsi"/>
        </w:rPr>
        <w:t>3</w:t>
      </w:r>
      <w:r w:rsidRPr="005D3DCD">
        <w:rPr>
          <w:rFonts w:cstheme="minorHAnsi"/>
        </w:rPr>
        <w:t xml:space="preserve"> -  Comerț și servicii</w:t>
      </w:r>
    </w:p>
  </w:footnote>
  <w:footnote w:id="9">
    <w:p w14:paraId="5BDFCE07" w14:textId="77777777" w:rsidR="00AC7A87" w:rsidRPr="005D3DCD" w:rsidRDefault="00AC7A87" w:rsidP="00AC7A87">
      <w:pPr>
        <w:pStyle w:val="FootnoteText"/>
        <w:jc w:val="both"/>
        <w:rPr>
          <w:rFonts w:cstheme="minorHAnsi"/>
        </w:rPr>
      </w:pPr>
      <w:r w:rsidRPr="00497BD8">
        <w:footnoteRef/>
      </w:r>
      <w:r w:rsidRPr="00497BD8">
        <w:rPr>
          <w:rFonts w:cstheme="minorHAnsi"/>
        </w:rPr>
        <w:t xml:space="preserve"> </w:t>
      </w:r>
      <w:r w:rsidRPr="000319DC">
        <w:rPr>
          <w:rFonts w:cstheme="minorHAnsi"/>
        </w:rPr>
        <w:t>c</w:t>
      </w:r>
      <w:r w:rsidRPr="005D3DCD">
        <w:rPr>
          <w:rFonts w:cstheme="minorHAnsi"/>
        </w:rPr>
        <w:t xml:space="preserve">omunicat de presă INS nr. </w:t>
      </w:r>
      <w:r>
        <w:rPr>
          <w:rFonts w:cstheme="minorHAnsi"/>
        </w:rPr>
        <w:t>86</w:t>
      </w:r>
      <w:r w:rsidRPr="005D3DCD">
        <w:rPr>
          <w:rFonts w:cstheme="minorHAnsi"/>
        </w:rPr>
        <w:t>/</w:t>
      </w:r>
      <w:r>
        <w:rPr>
          <w:rFonts w:cstheme="minorHAnsi"/>
        </w:rPr>
        <w:t>10 aprilie</w:t>
      </w:r>
      <w:r w:rsidRPr="005D3DCD">
        <w:rPr>
          <w:rFonts w:cstheme="minorHAnsi"/>
        </w:rPr>
        <w:t xml:space="preserve"> 202</w:t>
      </w:r>
      <w:r>
        <w:rPr>
          <w:rFonts w:cstheme="minorHAnsi"/>
        </w:rPr>
        <w:t>3</w:t>
      </w:r>
      <w:r w:rsidRPr="005D3DCD">
        <w:rPr>
          <w:rFonts w:cstheme="minorHAnsi"/>
        </w:rPr>
        <w:t xml:space="preserve"> - Comerț internațional cu bunuri (calcule interne)</w:t>
      </w:r>
    </w:p>
  </w:footnote>
  <w:footnote w:id="10">
    <w:p w14:paraId="33EFC958" w14:textId="77777777" w:rsidR="00714122" w:rsidRPr="00695192" w:rsidRDefault="00714122" w:rsidP="00714122">
      <w:pPr>
        <w:pStyle w:val="FootnoteText"/>
        <w:rPr>
          <w:rFonts w:cstheme="minorHAnsi"/>
        </w:rPr>
      </w:pPr>
      <w:r>
        <w:rPr>
          <w:rStyle w:val="FootnoteReference"/>
        </w:rPr>
        <w:footnoteRef/>
      </w:r>
      <w:r>
        <w:t xml:space="preserve"> </w:t>
      </w:r>
      <w:r w:rsidRPr="00695192">
        <w:rPr>
          <w:rFonts w:cstheme="minorHAnsi"/>
        </w:rPr>
        <w:t>Ordonanța Guvernului nr. 16/2022 (art. IV alin. 3)</w:t>
      </w:r>
    </w:p>
  </w:footnote>
  <w:footnote w:id="11">
    <w:p w14:paraId="110C16E7" w14:textId="77777777" w:rsidR="00240604" w:rsidRPr="008647C7" w:rsidRDefault="00240604" w:rsidP="00705D89">
      <w:pPr>
        <w:pStyle w:val="FootnoteText"/>
      </w:pPr>
      <w:r>
        <w:rPr>
          <w:rStyle w:val="FootnoteReference"/>
        </w:rPr>
        <w:footnoteRef/>
      </w:r>
      <w:r>
        <w:t xml:space="preserve"> </w:t>
      </w:r>
      <w:r w:rsidRPr="00E9242F">
        <w:rPr>
          <w:rFonts w:cstheme="minorHAnsi"/>
        </w:rPr>
        <w:t xml:space="preserve">dețin o pondere de aproximativ </w:t>
      </w:r>
      <w:r>
        <w:rPr>
          <w:rFonts w:cstheme="minorHAnsi"/>
        </w:rPr>
        <w:t>96,7</w:t>
      </w:r>
      <w:r w:rsidRPr="00E9242F">
        <w:rPr>
          <w:rFonts w:cstheme="minorHAnsi"/>
        </w:rPr>
        <w:t>% în această categorie</w:t>
      </w:r>
    </w:p>
  </w:footnote>
  <w:footnote w:id="12">
    <w:p w14:paraId="17D75EE8" w14:textId="77777777" w:rsidR="00240604" w:rsidRPr="006B7DC2" w:rsidRDefault="00240604" w:rsidP="00705D89">
      <w:pPr>
        <w:autoSpaceDE w:val="0"/>
        <w:autoSpaceDN w:val="0"/>
        <w:adjustRightInd w:val="0"/>
        <w:spacing w:after="0" w:line="240" w:lineRule="auto"/>
        <w:jc w:val="both"/>
        <w:rPr>
          <w:rFonts w:eastAsia="Calibri" w:cstheme="minorHAnsi"/>
          <w:sz w:val="20"/>
          <w:szCs w:val="20"/>
        </w:rPr>
      </w:pPr>
      <w:r w:rsidRPr="00F6774C">
        <w:rPr>
          <w:rStyle w:val="FootnoteReference"/>
          <w:rFonts w:cstheme="minorHAnsi"/>
          <w:i/>
          <w:sz w:val="16"/>
          <w:szCs w:val="16"/>
        </w:rPr>
        <w:footnoteRef/>
      </w:r>
      <w:r w:rsidRPr="00F6774C">
        <w:rPr>
          <w:rFonts w:cstheme="minorHAnsi"/>
          <w:i/>
          <w:sz w:val="16"/>
          <w:szCs w:val="16"/>
        </w:rPr>
        <w:t xml:space="preserve"> </w:t>
      </w:r>
      <w:r w:rsidRPr="006B7DC2">
        <w:rPr>
          <w:rFonts w:eastAsia="Calibri" w:cstheme="minorHAnsi"/>
          <w:sz w:val="20"/>
          <w:szCs w:val="20"/>
        </w:rPr>
        <w:t xml:space="preserve">OG nr.15/2022 pentru modificarea </w:t>
      </w:r>
      <w:proofErr w:type="spellStart"/>
      <w:r w:rsidRPr="006B7DC2">
        <w:rPr>
          <w:rFonts w:eastAsia="Calibri" w:cstheme="minorHAnsi"/>
          <w:sz w:val="20"/>
          <w:szCs w:val="20"/>
        </w:rPr>
        <w:t>şi</w:t>
      </w:r>
      <w:proofErr w:type="spellEnd"/>
      <w:r w:rsidRPr="006B7DC2">
        <w:rPr>
          <w:rFonts w:eastAsia="Calibri" w:cstheme="minorHAnsi"/>
          <w:sz w:val="20"/>
          <w:szCs w:val="20"/>
        </w:rPr>
        <w:t xml:space="preserve"> completarea OUG nr.77/2009 privind Organizarea </w:t>
      </w:r>
      <w:proofErr w:type="spellStart"/>
      <w:r w:rsidRPr="006B7DC2">
        <w:rPr>
          <w:rFonts w:eastAsia="Calibri" w:cstheme="minorHAnsi"/>
          <w:sz w:val="20"/>
          <w:szCs w:val="20"/>
        </w:rPr>
        <w:t>şi</w:t>
      </w:r>
      <w:proofErr w:type="spellEnd"/>
      <w:r w:rsidRPr="006B7DC2">
        <w:rPr>
          <w:rFonts w:eastAsia="Calibri" w:cstheme="minorHAnsi"/>
          <w:sz w:val="20"/>
          <w:szCs w:val="20"/>
        </w:rPr>
        <w:t xml:space="preserve"> exploatarea jocurilor de noroc</w:t>
      </w:r>
    </w:p>
  </w:footnote>
  <w:footnote w:id="13">
    <w:p w14:paraId="3C60AC98" w14:textId="77777777" w:rsidR="00B802A4" w:rsidRPr="005D3DCD" w:rsidRDefault="00B802A4" w:rsidP="00705D89">
      <w:pPr>
        <w:pStyle w:val="FootnoteText"/>
        <w:jc w:val="both"/>
        <w:rPr>
          <w:rFonts w:cstheme="minorHAnsi"/>
        </w:rPr>
      </w:pPr>
      <w:r w:rsidRPr="001D006E">
        <w:rPr>
          <w:rStyle w:val="FootnoteReference"/>
        </w:rPr>
        <w:footnoteRef/>
      </w:r>
      <w:r w:rsidRPr="00497BD8">
        <w:rPr>
          <w:rFonts w:cstheme="minorHAnsi"/>
        </w:rPr>
        <w:t xml:space="preserve"> </w:t>
      </w:r>
      <w:r w:rsidRPr="000319DC">
        <w:rPr>
          <w:rFonts w:cstheme="minorHAnsi"/>
        </w:rPr>
        <w:t>c</w:t>
      </w:r>
      <w:r w:rsidRPr="005D3DCD">
        <w:rPr>
          <w:rFonts w:cstheme="minorHAnsi"/>
        </w:rPr>
        <w:t xml:space="preserve">omunicat de presă INS nr. </w:t>
      </w:r>
      <w:r>
        <w:rPr>
          <w:rFonts w:cstheme="minorHAnsi"/>
        </w:rPr>
        <w:t>86</w:t>
      </w:r>
      <w:r w:rsidRPr="005D3DCD">
        <w:rPr>
          <w:rFonts w:cstheme="minorHAnsi"/>
        </w:rPr>
        <w:t>/</w:t>
      </w:r>
      <w:r>
        <w:rPr>
          <w:rFonts w:cstheme="minorHAnsi"/>
        </w:rPr>
        <w:t>10 aprilie</w:t>
      </w:r>
      <w:r w:rsidRPr="005D3DCD">
        <w:rPr>
          <w:rFonts w:cstheme="minorHAnsi"/>
        </w:rPr>
        <w:t xml:space="preserve"> 202</w:t>
      </w:r>
      <w:r>
        <w:rPr>
          <w:rFonts w:cstheme="minorHAnsi"/>
        </w:rPr>
        <w:t>3</w:t>
      </w:r>
      <w:r w:rsidRPr="005D3DCD">
        <w:rPr>
          <w:rFonts w:cstheme="minorHAnsi"/>
        </w:rPr>
        <w:t xml:space="preserve"> - Comerț internațional cu bunuri (calcule interne)</w:t>
      </w:r>
    </w:p>
  </w:footnote>
  <w:footnote w:id="14">
    <w:p w14:paraId="63CA138A" w14:textId="77777777" w:rsidR="00B802A4" w:rsidRPr="00E9242F" w:rsidRDefault="00B802A4" w:rsidP="00714122">
      <w:pPr>
        <w:pStyle w:val="FootnoteText"/>
        <w:rPr>
          <w:rFonts w:cstheme="minorHAnsi"/>
        </w:rPr>
      </w:pPr>
      <w:r w:rsidRPr="00E9242F">
        <w:rPr>
          <w:rStyle w:val="FootnoteReference"/>
          <w:rFonts w:cstheme="minorHAnsi"/>
        </w:rPr>
        <w:footnoteRef/>
      </w:r>
      <w:r w:rsidRPr="00E9242F">
        <w:rPr>
          <w:rFonts w:cstheme="minorHAnsi"/>
        </w:rPr>
        <w:t xml:space="preserve"> </w:t>
      </w:r>
      <w:r>
        <w:rPr>
          <w:rFonts w:cstheme="minorHAnsi"/>
        </w:rPr>
        <w:t xml:space="preserve">decembrie 2022-februarie2023/decembrie </w:t>
      </w:r>
      <w:r w:rsidRPr="00E9242F">
        <w:rPr>
          <w:rFonts w:cstheme="minorHAnsi"/>
        </w:rPr>
        <w:t>2021</w:t>
      </w:r>
      <w:r>
        <w:rPr>
          <w:rFonts w:cstheme="minorHAnsi"/>
        </w:rPr>
        <w:t>-februarie 2022</w:t>
      </w:r>
    </w:p>
  </w:footnote>
  <w:footnote w:id="15">
    <w:p w14:paraId="5A5C8A8B" w14:textId="77777777" w:rsidR="00714122" w:rsidRPr="004C1B3A" w:rsidRDefault="00714122" w:rsidP="00714122">
      <w:pPr>
        <w:autoSpaceDE w:val="0"/>
        <w:autoSpaceDN w:val="0"/>
        <w:adjustRightInd w:val="0"/>
        <w:spacing w:after="0"/>
        <w:rPr>
          <w:rFonts w:cstheme="minorHAnsi"/>
        </w:rPr>
      </w:pPr>
      <w:r>
        <w:rPr>
          <w:rStyle w:val="FootnoteReference"/>
        </w:rPr>
        <w:footnoteRef/>
      </w:r>
      <w:r>
        <w:t xml:space="preserve"> </w:t>
      </w:r>
      <w:r>
        <w:rPr>
          <w:rFonts w:eastAsia="Calibri" w:cstheme="minorHAnsi"/>
          <w:sz w:val="20"/>
          <w:szCs w:val="20"/>
        </w:rPr>
        <w:t>Legea</w:t>
      </w:r>
      <w:r w:rsidRPr="00842005">
        <w:rPr>
          <w:rFonts w:eastAsia="Calibri" w:cstheme="minorHAnsi"/>
          <w:sz w:val="20"/>
          <w:szCs w:val="20"/>
        </w:rPr>
        <w:t xml:space="preserve"> nr. 135/2022</w:t>
      </w:r>
      <w:r>
        <w:rPr>
          <w:rFonts w:eastAsia="Calibri"/>
          <w:sz w:val="24"/>
          <w:szCs w:val="24"/>
        </w:rPr>
        <w:t xml:space="preserve"> </w:t>
      </w:r>
      <w:r w:rsidRPr="004C1B3A">
        <w:rPr>
          <w:rFonts w:eastAsia="Calibri" w:cstheme="minorHAnsi"/>
          <w:sz w:val="20"/>
          <w:szCs w:val="20"/>
        </w:rPr>
        <w:t xml:space="preserve">pentru modificarea </w:t>
      </w:r>
      <w:proofErr w:type="spellStart"/>
      <w:r w:rsidRPr="004C1B3A">
        <w:rPr>
          <w:rFonts w:eastAsia="Calibri" w:cstheme="minorHAnsi"/>
          <w:sz w:val="20"/>
          <w:szCs w:val="20"/>
        </w:rPr>
        <w:t>şi</w:t>
      </w:r>
      <w:proofErr w:type="spellEnd"/>
      <w:r w:rsidRPr="004C1B3A">
        <w:rPr>
          <w:rFonts w:eastAsia="Calibri" w:cstheme="minorHAnsi"/>
          <w:sz w:val="20"/>
          <w:szCs w:val="20"/>
        </w:rPr>
        <w:t xml:space="preserve"> completarea unor acte normative</w:t>
      </w:r>
    </w:p>
  </w:footnote>
  <w:footnote w:id="16">
    <w:p w14:paraId="2B3BE88A" w14:textId="77777777" w:rsidR="00714122" w:rsidRPr="001F4DC0" w:rsidRDefault="00714122" w:rsidP="00714122">
      <w:pPr>
        <w:pStyle w:val="FootnoteText"/>
        <w:rPr>
          <w:rFonts w:cstheme="minorHAnsi"/>
        </w:rPr>
      </w:pPr>
      <w:r>
        <w:rPr>
          <w:rStyle w:val="FootnoteReference"/>
        </w:rPr>
        <w:footnoteRef/>
      </w:r>
      <w:r>
        <w:t xml:space="preserve"> </w:t>
      </w:r>
      <w:r w:rsidRPr="00842005">
        <w:rPr>
          <w:rFonts w:cstheme="minorHAnsi"/>
        </w:rPr>
        <w:t xml:space="preserve">OUG nr. 130/2021 </w:t>
      </w:r>
      <w:r w:rsidRPr="001F4DC0">
        <w:rPr>
          <w:rFonts w:cstheme="minorHAnsi"/>
        </w:rPr>
        <w:t xml:space="preserve">privind unele măsuri fiscal-bugetare, prorogarea unor termene, precum </w:t>
      </w:r>
      <w:proofErr w:type="spellStart"/>
      <w:r w:rsidRPr="001F4DC0">
        <w:rPr>
          <w:rFonts w:cstheme="minorHAnsi"/>
        </w:rPr>
        <w:t>şi</w:t>
      </w:r>
      <w:proofErr w:type="spellEnd"/>
      <w:r w:rsidRPr="001F4DC0">
        <w:rPr>
          <w:rFonts w:cstheme="minorHAnsi"/>
        </w:rPr>
        <w:t xml:space="preserve"> pentru modificarea </w:t>
      </w:r>
      <w:proofErr w:type="spellStart"/>
      <w:r w:rsidRPr="001F4DC0">
        <w:rPr>
          <w:rFonts w:cstheme="minorHAnsi"/>
        </w:rPr>
        <w:t>şi</w:t>
      </w:r>
      <w:proofErr w:type="spellEnd"/>
      <w:r w:rsidRPr="001F4DC0">
        <w:rPr>
          <w:rFonts w:cstheme="minorHAnsi"/>
        </w:rPr>
        <w:t xml:space="preserve"> completarea unor acte normative sunt neconstituționale</w:t>
      </w:r>
    </w:p>
  </w:footnote>
  <w:footnote w:id="17">
    <w:p w14:paraId="3454BB25" w14:textId="77777777" w:rsidR="00714122" w:rsidRPr="00E249B4" w:rsidRDefault="00714122" w:rsidP="00714122">
      <w:pPr>
        <w:pStyle w:val="FootnoteText"/>
      </w:pPr>
      <w:r>
        <w:rPr>
          <w:rStyle w:val="FootnoteReference"/>
        </w:rPr>
        <w:footnoteRef/>
      </w:r>
      <w:r>
        <w:t xml:space="preserve"> </w:t>
      </w:r>
      <w:r w:rsidRPr="003B4BE4">
        <w:rPr>
          <w:rFonts w:cstheme="minorHAnsi"/>
        </w:rPr>
        <w:t xml:space="preserve">O.U.G. </w:t>
      </w:r>
      <w:r w:rsidRPr="00B21046">
        <w:rPr>
          <w:rFonts w:cstheme="minorHAnsi"/>
        </w:rPr>
        <w:t xml:space="preserve">privind stabilirea unor măsuri de restituire a unor </w:t>
      </w:r>
      <w:proofErr w:type="spellStart"/>
      <w:r w:rsidRPr="00B21046">
        <w:rPr>
          <w:rFonts w:cstheme="minorHAnsi"/>
        </w:rPr>
        <w:t>contribuţii</w:t>
      </w:r>
      <w:proofErr w:type="spellEnd"/>
      <w:r w:rsidRPr="00B21046">
        <w:rPr>
          <w:rFonts w:cstheme="minorHAnsi"/>
        </w:rPr>
        <w:t xml:space="preserve"> de asigurări sociale de sănătate</w:t>
      </w:r>
    </w:p>
  </w:footnote>
  <w:footnote w:id="18">
    <w:p w14:paraId="319C3915" w14:textId="77777777" w:rsidR="00714122" w:rsidRPr="001F4DC0" w:rsidRDefault="00714122" w:rsidP="00714122">
      <w:pPr>
        <w:pStyle w:val="FootnoteText"/>
        <w:rPr>
          <w:rFonts w:cstheme="minorHAnsi"/>
        </w:rPr>
      </w:pPr>
      <w:r>
        <w:rPr>
          <w:rStyle w:val="FootnoteReference"/>
        </w:rPr>
        <w:footnoteRef/>
      </w:r>
      <w:r>
        <w:t xml:space="preserve"> </w:t>
      </w:r>
      <w:r w:rsidRPr="00842005">
        <w:rPr>
          <w:rFonts w:cstheme="minorHAnsi"/>
        </w:rPr>
        <w:t xml:space="preserve">OUG nr. 130/2021 </w:t>
      </w:r>
      <w:r w:rsidRPr="001F4DC0">
        <w:rPr>
          <w:rFonts w:cstheme="minorHAnsi"/>
        </w:rPr>
        <w:t xml:space="preserve">privind unele măsuri fiscal-bugetare, prorogarea unor termene, precum </w:t>
      </w:r>
      <w:proofErr w:type="spellStart"/>
      <w:r w:rsidRPr="001F4DC0">
        <w:rPr>
          <w:rFonts w:cstheme="minorHAnsi"/>
        </w:rPr>
        <w:t>şi</w:t>
      </w:r>
      <w:proofErr w:type="spellEnd"/>
      <w:r w:rsidRPr="001F4DC0">
        <w:rPr>
          <w:rFonts w:cstheme="minorHAnsi"/>
        </w:rPr>
        <w:t xml:space="preserve"> pentru modificarea </w:t>
      </w:r>
      <w:proofErr w:type="spellStart"/>
      <w:r w:rsidRPr="001F4DC0">
        <w:rPr>
          <w:rFonts w:cstheme="minorHAnsi"/>
        </w:rPr>
        <w:t>şi</w:t>
      </w:r>
      <w:proofErr w:type="spellEnd"/>
      <w:r w:rsidRPr="001F4DC0">
        <w:rPr>
          <w:rFonts w:cstheme="minorHAnsi"/>
        </w:rPr>
        <w:t xml:space="preserve"> completarea unor acte normative sunt neconstituționale</w:t>
      </w:r>
    </w:p>
  </w:footnote>
  <w:footnote w:id="19">
    <w:p w14:paraId="5146AEC6" w14:textId="77777777" w:rsidR="00D12554" w:rsidRPr="001C5D69" w:rsidRDefault="00D12554">
      <w:pPr>
        <w:pStyle w:val="FootnoteText"/>
        <w:rPr>
          <w:sz w:val="18"/>
          <w:szCs w:val="18"/>
        </w:rPr>
      </w:pPr>
      <w:r>
        <w:rPr>
          <w:rStyle w:val="FootnoteReference"/>
        </w:rPr>
        <w:footnoteRef/>
      </w:r>
      <w:r>
        <w:t xml:space="preserve"> </w:t>
      </w:r>
      <w:r w:rsidRPr="001C5D69">
        <w:rPr>
          <w:bCs/>
          <w:sz w:val="18"/>
          <w:szCs w:val="18"/>
        </w:rPr>
        <w:t>în conformitate cu prevederile Ordonanței de urgență a Guvernului nr.168/2022 privind unele măsuri fiscal-bugetare, prorogarea unor termene, precum și pentru modificarea și completarea unor acte normative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95743"/>
    <w:multiLevelType w:val="hybridMultilevel"/>
    <w:tmpl w:val="74EE5078"/>
    <w:lvl w:ilvl="0" w:tplc="0409000D">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 w15:restartNumberingAfterBreak="0">
    <w:nsid w:val="0C3341D3"/>
    <w:multiLevelType w:val="hybridMultilevel"/>
    <w:tmpl w:val="EDF43B16"/>
    <w:lvl w:ilvl="0" w:tplc="0409000D">
      <w:start w:val="1"/>
      <w:numFmt w:val="bullet"/>
      <w:lvlText w:val=""/>
      <w:lvlJc w:val="left"/>
      <w:pPr>
        <w:ind w:left="2498" w:hanging="360"/>
      </w:pPr>
      <w:rPr>
        <w:rFonts w:ascii="Wingdings" w:hAnsi="Wingdings"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2" w15:restartNumberingAfterBreak="0">
    <w:nsid w:val="17474559"/>
    <w:multiLevelType w:val="hybridMultilevel"/>
    <w:tmpl w:val="60F623AE"/>
    <w:lvl w:ilvl="0" w:tplc="A59CE0C4">
      <w:numFmt w:val="bullet"/>
      <w:lvlText w:val="-"/>
      <w:lvlJc w:val="left"/>
      <w:pPr>
        <w:ind w:left="10080" w:hanging="720"/>
      </w:pPr>
      <w:rPr>
        <w:rFonts w:ascii="Tahoma" w:eastAsiaTheme="minorHAnsi" w:hAnsi="Tahoma" w:cs="Tahoma" w:hint="default"/>
      </w:rPr>
    </w:lvl>
    <w:lvl w:ilvl="1" w:tplc="04090003" w:tentative="1">
      <w:start w:val="1"/>
      <w:numFmt w:val="bullet"/>
      <w:lvlText w:val="o"/>
      <w:lvlJc w:val="left"/>
      <w:pPr>
        <w:ind w:left="10440" w:hanging="360"/>
      </w:pPr>
      <w:rPr>
        <w:rFonts w:ascii="Courier New" w:hAnsi="Courier New" w:cs="Courier New" w:hint="default"/>
      </w:rPr>
    </w:lvl>
    <w:lvl w:ilvl="2" w:tplc="04090005" w:tentative="1">
      <w:start w:val="1"/>
      <w:numFmt w:val="bullet"/>
      <w:lvlText w:val=""/>
      <w:lvlJc w:val="left"/>
      <w:pPr>
        <w:ind w:left="11160" w:hanging="360"/>
      </w:pPr>
      <w:rPr>
        <w:rFonts w:ascii="Wingdings" w:hAnsi="Wingdings" w:hint="default"/>
      </w:rPr>
    </w:lvl>
    <w:lvl w:ilvl="3" w:tplc="04090001" w:tentative="1">
      <w:start w:val="1"/>
      <w:numFmt w:val="bullet"/>
      <w:lvlText w:val=""/>
      <w:lvlJc w:val="left"/>
      <w:pPr>
        <w:ind w:left="11880" w:hanging="360"/>
      </w:pPr>
      <w:rPr>
        <w:rFonts w:ascii="Symbol" w:hAnsi="Symbol" w:hint="default"/>
      </w:rPr>
    </w:lvl>
    <w:lvl w:ilvl="4" w:tplc="04090003" w:tentative="1">
      <w:start w:val="1"/>
      <w:numFmt w:val="bullet"/>
      <w:lvlText w:val="o"/>
      <w:lvlJc w:val="left"/>
      <w:pPr>
        <w:ind w:left="12600" w:hanging="360"/>
      </w:pPr>
      <w:rPr>
        <w:rFonts w:ascii="Courier New" w:hAnsi="Courier New" w:cs="Courier New" w:hint="default"/>
      </w:rPr>
    </w:lvl>
    <w:lvl w:ilvl="5" w:tplc="04090005" w:tentative="1">
      <w:start w:val="1"/>
      <w:numFmt w:val="bullet"/>
      <w:lvlText w:val=""/>
      <w:lvlJc w:val="left"/>
      <w:pPr>
        <w:ind w:left="13320" w:hanging="360"/>
      </w:pPr>
      <w:rPr>
        <w:rFonts w:ascii="Wingdings" w:hAnsi="Wingdings" w:hint="default"/>
      </w:rPr>
    </w:lvl>
    <w:lvl w:ilvl="6" w:tplc="04090001" w:tentative="1">
      <w:start w:val="1"/>
      <w:numFmt w:val="bullet"/>
      <w:lvlText w:val=""/>
      <w:lvlJc w:val="left"/>
      <w:pPr>
        <w:ind w:left="14040" w:hanging="360"/>
      </w:pPr>
      <w:rPr>
        <w:rFonts w:ascii="Symbol" w:hAnsi="Symbol" w:hint="default"/>
      </w:rPr>
    </w:lvl>
    <w:lvl w:ilvl="7" w:tplc="04090003" w:tentative="1">
      <w:start w:val="1"/>
      <w:numFmt w:val="bullet"/>
      <w:lvlText w:val="o"/>
      <w:lvlJc w:val="left"/>
      <w:pPr>
        <w:ind w:left="14760" w:hanging="360"/>
      </w:pPr>
      <w:rPr>
        <w:rFonts w:ascii="Courier New" w:hAnsi="Courier New" w:cs="Courier New" w:hint="default"/>
      </w:rPr>
    </w:lvl>
    <w:lvl w:ilvl="8" w:tplc="04090005" w:tentative="1">
      <w:start w:val="1"/>
      <w:numFmt w:val="bullet"/>
      <w:lvlText w:val=""/>
      <w:lvlJc w:val="left"/>
      <w:pPr>
        <w:ind w:left="15480" w:hanging="360"/>
      </w:pPr>
      <w:rPr>
        <w:rFonts w:ascii="Wingdings" w:hAnsi="Wingdings" w:hint="default"/>
      </w:rPr>
    </w:lvl>
  </w:abstractNum>
  <w:abstractNum w:abstractNumId="3" w15:restartNumberingAfterBreak="0">
    <w:nsid w:val="19AE6EB8"/>
    <w:multiLevelType w:val="hybridMultilevel"/>
    <w:tmpl w:val="A8B84C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4956CA"/>
    <w:multiLevelType w:val="hybridMultilevel"/>
    <w:tmpl w:val="EC2CF88E"/>
    <w:lvl w:ilvl="0" w:tplc="3BFA61DA">
      <w:start w:val="1"/>
      <w:numFmt w:val="bullet"/>
      <w:lvlText w:val=""/>
      <w:lvlJc w:val="left"/>
      <w:pPr>
        <w:ind w:left="1987" w:hanging="360"/>
      </w:pPr>
      <w:rPr>
        <w:rFonts w:ascii="Wingdings" w:hAnsi="Wingdings" w:hint="default"/>
        <w:color w:val="auto"/>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5" w15:restartNumberingAfterBreak="0">
    <w:nsid w:val="37131563"/>
    <w:multiLevelType w:val="hybridMultilevel"/>
    <w:tmpl w:val="D0501A9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A0D316B"/>
    <w:multiLevelType w:val="hybridMultilevel"/>
    <w:tmpl w:val="AC76A1EE"/>
    <w:lvl w:ilvl="0" w:tplc="30126C2E">
      <w:numFmt w:val="bullet"/>
      <w:lvlText w:val="-"/>
      <w:lvlJc w:val="left"/>
      <w:pPr>
        <w:ind w:left="750" w:hanging="39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053E09"/>
    <w:multiLevelType w:val="hybridMultilevel"/>
    <w:tmpl w:val="E67E2118"/>
    <w:lvl w:ilvl="0" w:tplc="04180001">
      <w:start w:val="1"/>
      <w:numFmt w:val="bullet"/>
      <w:lvlText w:val=""/>
      <w:lvlJc w:val="left"/>
      <w:pPr>
        <w:ind w:left="2201" w:hanging="360"/>
      </w:pPr>
      <w:rPr>
        <w:rFonts w:ascii="Symbol" w:hAnsi="Symbol" w:hint="default"/>
      </w:rPr>
    </w:lvl>
    <w:lvl w:ilvl="1" w:tplc="04180003" w:tentative="1">
      <w:start w:val="1"/>
      <w:numFmt w:val="bullet"/>
      <w:lvlText w:val="o"/>
      <w:lvlJc w:val="left"/>
      <w:pPr>
        <w:ind w:left="2921" w:hanging="360"/>
      </w:pPr>
      <w:rPr>
        <w:rFonts w:ascii="Courier New" w:hAnsi="Courier New" w:cs="Courier New" w:hint="default"/>
      </w:rPr>
    </w:lvl>
    <w:lvl w:ilvl="2" w:tplc="04180005" w:tentative="1">
      <w:start w:val="1"/>
      <w:numFmt w:val="bullet"/>
      <w:lvlText w:val=""/>
      <w:lvlJc w:val="left"/>
      <w:pPr>
        <w:ind w:left="3641" w:hanging="360"/>
      </w:pPr>
      <w:rPr>
        <w:rFonts w:ascii="Wingdings" w:hAnsi="Wingdings" w:hint="default"/>
      </w:rPr>
    </w:lvl>
    <w:lvl w:ilvl="3" w:tplc="04180001" w:tentative="1">
      <w:start w:val="1"/>
      <w:numFmt w:val="bullet"/>
      <w:lvlText w:val=""/>
      <w:lvlJc w:val="left"/>
      <w:pPr>
        <w:ind w:left="4361" w:hanging="360"/>
      </w:pPr>
      <w:rPr>
        <w:rFonts w:ascii="Symbol" w:hAnsi="Symbol" w:hint="default"/>
      </w:rPr>
    </w:lvl>
    <w:lvl w:ilvl="4" w:tplc="04180003" w:tentative="1">
      <w:start w:val="1"/>
      <w:numFmt w:val="bullet"/>
      <w:lvlText w:val="o"/>
      <w:lvlJc w:val="left"/>
      <w:pPr>
        <w:ind w:left="5081" w:hanging="360"/>
      </w:pPr>
      <w:rPr>
        <w:rFonts w:ascii="Courier New" w:hAnsi="Courier New" w:cs="Courier New" w:hint="default"/>
      </w:rPr>
    </w:lvl>
    <w:lvl w:ilvl="5" w:tplc="04180005" w:tentative="1">
      <w:start w:val="1"/>
      <w:numFmt w:val="bullet"/>
      <w:lvlText w:val=""/>
      <w:lvlJc w:val="left"/>
      <w:pPr>
        <w:ind w:left="5801" w:hanging="360"/>
      </w:pPr>
      <w:rPr>
        <w:rFonts w:ascii="Wingdings" w:hAnsi="Wingdings" w:hint="default"/>
      </w:rPr>
    </w:lvl>
    <w:lvl w:ilvl="6" w:tplc="04180001" w:tentative="1">
      <w:start w:val="1"/>
      <w:numFmt w:val="bullet"/>
      <w:lvlText w:val=""/>
      <w:lvlJc w:val="left"/>
      <w:pPr>
        <w:ind w:left="6521" w:hanging="360"/>
      </w:pPr>
      <w:rPr>
        <w:rFonts w:ascii="Symbol" w:hAnsi="Symbol" w:hint="default"/>
      </w:rPr>
    </w:lvl>
    <w:lvl w:ilvl="7" w:tplc="04180003" w:tentative="1">
      <w:start w:val="1"/>
      <w:numFmt w:val="bullet"/>
      <w:lvlText w:val="o"/>
      <w:lvlJc w:val="left"/>
      <w:pPr>
        <w:ind w:left="7241" w:hanging="360"/>
      </w:pPr>
      <w:rPr>
        <w:rFonts w:ascii="Courier New" w:hAnsi="Courier New" w:cs="Courier New" w:hint="default"/>
      </w:rPr>
    </w:lvl>
    <w:lvl w:ilvl="8" w:tplc="04180005" w:tentative="1">
      <w:start w:val="1"/>
      <w:numFmt w:val="bullet"/>
      <w:lvlText w:val=""/>
      <w:lvlJc w:val="left"/>
      <w:pPr>
        <w:ind w:left="7961" w:hanging="360"/>
      </w:pPr>
      <w:rPr>
        <w:rFonts w:ascii="Wingdings" w:hAnsi="Wingdings" w:hint="default"/>
      </w:rPr>
    </w:lvl>
  </w:abstractNum>
  <w:abstractNum w:abstractNumId="8" w15:restartNumberingAfterBreak="0">
    <w:nsid w:val="45C017D1"/>
    <w:multiLevelType w:val="hybridMultilevel"/>
    <w:tmpl w:val="E0D6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4B1D8C"/>
    <w:multiLevelType w:val="hybridMultilevel"/>
    <w:tmpl w:val="A3C410EA"/>
    <w:lvl w:ilvl="0" w:tplc="6F76A1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6968D3"/>
    <w:multiLevelType w:val="hybridMultilevel"/>
    <w:tmpl w:val="B202A21C"/>
    <w:lvl w:ilvl="0" w:tplc="731EB554">
      <w:start w:val="1"/>
      <w:numFmt w:val="bullet"/>
      <w:lvlText w:val=""/>
      <w:lvlJc w:val="left"/>
      <w:pPr>
        <w:ind w:left="1080" w:hanging="72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073916"/>
    <w:multiLevelType w:val="hybridMultilevel"/>
    <w:tmpl w:val="7480F156"/>
    <w:lvl w:ilvl="0" w:tplc="30126C2E">
      <w:numFmt w:val="bullet"/>
      <w:lvlText w:val="-"/>
      <w:lvlJc w:val="left"/>
      <w:pPr>
        <w:ind w:left="750" w:hanging="39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897CC7"/>
    <w:multiLevelType w:val="hybridMultilevel"/>
    <w:tmpl w:val="C51EB1E6"/>
    <w:lvl w:ilvl="0" w:tplc="52C60E8E">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F200E5"/>
    <w:multiLevelType w:val="multilevel"/>
    <w:tmpl w:val="0F52F7EE"/>
    <w:lvl w:ilvl="0">
      <w:start w:val="1"/>
      <w:numFmt w:val="bullet"/>
      <w:lvlText w:val=""/>
      <w:lvlJc w:val="left"/>
      <w:pPr>
        <w:ind w:left="1260" w:hanging="360"/>
      </w:pPr>
      <w:rPr>
        <w:rFonts w:ascii="Wingdings" w:hAnsi="Wingdings" w:cs="Wingdings" w:hint="default"/>
        <w:color w:val="00000A"/>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4" w15:restartNumberingAfterBreak="0">
    <w:nsid w:val="6A173B6C"/>
    <w:multiLevelType w:val="hybridMultilevel"/>
    <w:tmpl w:val="4D8C4404"/>
    <w:lvl w:ilvl="0" w:tplc="04180001">
      <w:start w:val="1"/>
      <w:numFmt w:val="bullet"/>
      <w:lvlText w:val=""/>
      <w:lvlJc w:val="left"/>
      <w:pPr>
        <w:ind w:left="720" w:hanging="360"/>
      </w:pPr>
      <w:rPr>
        <w:rFonts w:ascii="Symbol" w:hAnsi="Symbol" w:hint="default"/>
      </w:rPr>
    </w:lvl>
    <w:lvl w:ilvl="1" w:tplc="ADBC729A">
      <w:start w:val="1"/>
      <w:numFmt w:val="bullet"/>
      <w:lvlText w:val=""/>
      <w:lvlJc w:val="left"/>
      <w:pPr>
        <w:ind w:left="1440" w:hanging="360"/>
      </w:pPr>
      <w:rPr>
        <w:rFonts w:ascii="Symbol" w:hAnsi="Symbol" w:hint="default"/>
        <w:color w:val="auto"/>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7A420761"/>
    <w:multiLevelType w:val="multilevel"/>
    <w:tmpl w:val="7D20951A"/>
    <w:lvl w:ilvl="0">
      <w:start w:val="1"/>
      <w:numFmt w:val="bullet"/>
      <w:lvlText w:val=""/>
      <w:lvlJc w:val="left"/>
      <w:pPr>
        <w:ind w:left="1996" w:hanging="360"/>
      </w:pPr>
      <w:rPr>
        <w:rFonts w:ascii="Wingdings" w:hAnsi="Wingdings" w:cs="Wingdings" w:hint="default"/>
      </w:rPr>
    </w:lvl>
    <w:lvl w:ilvl="1">
      <w:start w:val="1"/>
      <w:numFmt w:val="bullet"/>
      <w:lvlText w:val="o"/>
      <w:lvlJc w:val="left"/>
      <w:pPr>
        <w:ind w:left="2716" w:hanging="360"/>
      </w:pPr>
      <w:rPr>
        <w:rFonts w:ascii="Courier New" w:hAnsi="Courier New" w:cs="Courier New" w:hint="default"/>
      </w:rPr>
    </w:lvl>
    <w:lvl w:ilvl="2">
      <w:start w:val="1"/>
      <w:numFmt w:val="bullet"/>
      <w:lvlText w:val=""/>
      <w:lvlJc w:val="left"/>
      <w:pPr>
        <w:ind w:left="3436" w:hanging="360"/>
      </w:pPr>
      <w:rPr>
        <w:rFonts w:ascii="Wingdings" w:hAnsi="Wingdings" w:cs="Wingdings" w:hint="default"/>
      </w:rPr>
    </w:lvl>
    <w:lvl w:ilvl="3">
      <w:start w:val="1"/>
      <w:numFmt w:val="bullet"/>
      <w:lvlText w:val=""/>
      <w:lvlJc w:val="left"/>
      <w:pPr>
        <w:ind w:left="4156" w:hanging="360"/>
      </w:pPr>
      <w:rPr>
        <w:rFonts w:ascii="Symbol" w:hAnsi="Symbol" w:cs="Symbol" w:hint="default"/>
      </w:rPr>
    </w:lvl>
    <w:lvl w:ilvl="4">
      <w:start w:val="1"/>
      <w:numFmt w:val="bullet"/>
      <w:lvlText w:val="o"/>
      <w:lvlJc w:val="left"/>
      <w:pPr>
        <w:ind w:left="4876" w:hanging="360"/>
      </w:pPr>
      <w:rPr>
        <w:rFonts w:ascii="Courier New" w:hAnsi="Courier New" w:cs="Courier New" w:hint="default"/>
      </w:rPr>
    </w:lvl>
    <w:lvl w:ilvl="5">
      <w:start w:val="1"/>
      <w:numFmt w:val="bullet"/>
      <w:lvlText w:val=""/>
      <w:lvlJc w:val="left"/>
      <w:pPr>
        <w:ind w:left="5596" w:hanging="360"/>
      </w:pPr>
      <w:rPr>
        <w:rFonts w:ascii="Wingdings" w:hAnsi="Wingdings" w:cs="Wingdings" w:hint="default"/>
      </w:rPr>
    </w:lvl>
    <w:lvl w:ilvl="6">
      <w:start w:val="1"/>
      <w:numFmt w:val="bullet"/>
      <w:lvlText w:val=""/>
      <w:lvlJc w:val="left"/>
      <w:pPr>
        <w:ind w:left="6316" w:hanging="360"/>
      </w:pPr>
      <w:rPr>
        <w:rFonts w:ascii="Symbol" w:hAnsi="Symbol" w:cs="Symbol" w:hint="default"/>
      </w:rPr>
    </w:lvl>
    <w:lvl w:ilvl="7">
      <w:start w:val="1"/>
      <w:numFmt w:val="bullet"/>
      <w:lvlText w:val="o"/>
      <w:lvlJc w:val="left"/>
      <w:pPr>
        <w:ind w:left="7036" w:hanging="360"/>
      </w:pPr>
      <w:rPr>
        <w:rFonts w:ascii="Courier New" w:hAnsi="Courier New" w:cs="Courier New" w:hint="default"/>
      </w:rPr>
    </w:lvl>
    <w:lvl w:ilvl="8">
      <w:start w:val="1"/>
      <w:numFmt w:val="bullet"/>
      <w:lvlText w:val=""/>
      <w:lvlJc w:val="left"/>
      <w:pPr>
        <w:ind w:left="7756" w:hanging="360"/>
      </w:pPr>
      <w:rPr>
        <w:rFonts w:ascii="Wingdings" w:hAnsi="Wingdings" w:cs="Wingdings" w:hint="default"/>
      </w:rPr>
    </w:lvl>
  </w:abstractNum>
  <w:abstractNum w:abstractNumId="16" w15:restartNumberingAfterBreak="0">
    <w:nsid w:val="7BB8284D"/>
    <w:multiLevelType w:val="hybridMultilevel"/>
    <w:tmpl w:val="0B063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6853301">
    <w:abstractNumId w:val="3"/>
  </w:num>
  <w:num w:numId="2" w16cid:durableId="607931023">
    <w:abstractNumId w:val="9"/>
  </w:num>
  <w:num w:numId="3" w16cid:durableId="290132701">
    <w:abstractNumId w:val="12"/>
  </w:num>
  <w:num w:numId="4" w16cid:durableId="1489708421">
    <w:abstractNumId w:val="6"/>
  </w:num>
  <w:num w:numId="5" w16cid:durableId="637609511">
    <w:abstractNumId w:val="11"/>
  </w:num>
  <w:num w:numId="6" w16cid:durableId="51007158">
    <w:abstractNumId w:val="2"/>
  </w:num>
  <w:num w:numId="7" w16cid:durableId="53815529">
    <w:abstractNumId w:val="10"/>
  </w:num>
  <w:num w:numId="8" w16cid:durableId="607391795">
    <w:abstractNumId w:val="13"/>
  </w:num>
  <w:num w:numId="9" w16cid:durableId="1089539480">
    <w:abstractNumId w:val="15"/>
  </w:num>
  <w:num w:numId="10" w16cid:durableId="931669529">
    <w:abstractNumId w:val="7"/>
  </w:num>
  <w:num w:numId="11" w16cid:durableId="1469349809">
    <w:abstractNumId w:val="4"/>
  </w:num>
  <w:num w:numId="12" w16cid:durableId="1809202422">
    <w:abstractNumId w:val="5"/>
  </w:num>
  <w:num w:numId="13" w16cid:durableId="941910592">
    <w:abstractNumId w:val="0"/>
  </w:num>
  <w:num w:numId="14" w16cid:durableId="1002315196">
    <w:abstractNumId w:val="1"/>
  </w:num>
  <w:num w:numId="15" w16cid:durableId="807162893">
    <w:abstractNumId w:val="16"/>
  </w:num>
  <w:num w:numId="16" w16cid:durableId="259414922">
    <w:abstractNumId w:val="8"/>
  </w:num>
  <w:num w:numId="17" w16cid:durableId="8583524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F23"/>
    <w:rsid w:val="00001E8C"/>
    <w:rsid w:val="00005729"/>
    <w:rsid w:val="00005DE0"/>
    <w:rsid w:val="00006CCB"/>
    <w:rsid w:val="00011138"/>
    <w:rsid w:val="00012C3B"/>
    <w:rsid w:val="000141BF"/>
    <w:rsid w:val="00016F63"/>
    <w:rsid w:val="00017361"/>
    <w:rsid w:val="00020D5F"/>
    <w:rsid w:val="00021A38"/>
    <w:rsid w:val="00021BE4"/>
    <w:rsid w:val="0002471B"/>
    <w:rsid w:val="00024773"/>
    <w:rsid w:val="000248D3"/>
    <w:rsid w:val="0002609C"/>
    <w:rsid w:val="00026DEC"/>
    <w:rsid w:val="00030BC0"/>
    <w:rsid w:val="00032A05"/>
    <w:rsid w:val="00035CE6"/>
    <w:rsid w:val="00041D0D"/>
    <w:rsid w:val="000434BF"/>
    <w:rsid w:val="00052351"/>
    <w:rsid w:val="000557D4"/>
    <w:rsid w:val="00056BE3"/>
    <w:rsid w:val="000573AD"/>
    <w:rsid w:val="0005779D"/>
    <w:rsid w:val="00061787"/>
    <w:rsid w:val="00062A56"/>
    <w:rsid w:val="00066FE7"/>
    <w:rsid w:val="0008264F"/>
    <w:rsid w:val="000842A5"/>
    <w:rsid w:val="0008642C"/>
    <w:rsid w:val="00086871"/>
    <w:rsid w:val="00090FD5"/>
    <w:rsid w:val="000913C6"/>
    <w:rsid w:val="000916B5"/>
    <w:rsid w:val="000923D7"/>
    <w:rsid w:val="000942F8"/>
    <w:rsid w:val="000951A2"/>
    <w:rsid w:val="00095242"/>
    <w:rsid w:val="000A2574"/>
    <w:rsid w:val="000A25FA"/>
    <w:rsid w:val="000A386A"/>
    <w:rsid w:val="000A3B0F"/>
    <w:rsid w:val="000A4203"/>
    <w:rsid w:val="000A48D8"/>
    <w:rsid w:val="000A62E1"/>
    <w:rsid w:val="000A7436"/>
    <w:rsid w:val="000B579B"/>
    <w:rsid w:val="000C30DF"/>
    <w:rsid w:val="000C5478"/>
    <w:rsid w:val="000C749C"/>
    <w:rsid w:val="000C7AF8"/>
    <w:rsid w:val="000D0F65"/>
    <w:rsid w:val="000D1820"/>
    <w:rsid w:val="000D293A"/>
    <w:rsid w:val="000D2B64"/>
    <w:rsid w:val="000D317D"/>
    <w:rsid w:val="000D5417"/>
    <w:rsid w:val="000D5A57"/>
    <w:rsid w:val="000D653B"/>
    <w:rsid w:val="000D6F9B"/>
    <w:rsid w:val="000D7561"/>
    <w:rsid w:val="000F0A63"/>
    <w:rsid w:val="000F10A9"/>
    <w:rsid w:val="000F1E3F"/>
    <w:rsid w:val="000F48B4"/>
    <w:rsid w:val="000F62DB"/>
    <w:rsid w:val="001005D0"/>
    <w:rsid w:val="00102D79"/>
    <w:rsid w:val="00107875"/>
    <w:rsid w:val="00111330"/>
    <w:rsid w:val="001176FC"/>
    <w:rsid w:val="00121595"/>
    <w:rsid w:val="00122DF5"/>
    <w:rsid w:val="001236DE"/>
    <w:rsid w:val="00124758"/>
    <w:rsid w:val="00125818"/>
    <w:rsid w:val="00141717"/>
    <w:rsid w:val="00142FC5"/>
    <w:rsid w:val="00145872"/>
    <w:rsid w:val="001506F4"/>
    <w:rsid w:val="00153418"/>
    <w:rsid w:val="001535C1"/>
    <w:rsid w:val="001546A2"/>
    <w:rsid w:val="00155AFB"/>
    <w:rsid w:val="00156388"/>
    <w:rsid w:val="00163874"/>
    <w:rsid w:val="00164710"/>
    <w:rsid w:val="001648BC"/>
    <w:rsid w:val="00170657"/>
    <w:rsid w:val="001707DC"/>
    <w:rsid w:val="00175AD6"/>
    <w:rsid w:val="0017667A"/>
    <w:rsid w:val="00177F2F"/>
    <w:rsid w:val="0018055E"/>
    <w:rsid w:val="00180AC2"/>
    <w:rsid w:val="00181707"/>
    <w:rsid w:val="00182B0D"/>
    <w:rsid w:val="00186A0B"/>
    <w:rsid w:val="00187781"/>
    <w:rsid w:val="001915F6"/>
    <w:rsid w:val="00191CC0"/>
    <w:rsid w:val="00197545"/>
    <w:rsid w:val="001A2254"/>
    <w:rsid w:val="001A66AF"/>
    <w:rsid w:val="001B1117"/>
    <w:rsid w:val="001B13BC"/>
    <w:rsid w:val="001B1E6F"/>
    <w:rsid w:val="001B20A6"/>
    <w:rsid w:val="001B435B"/>
    <w:rsid w:val="001B60DA"/>
    <w:rsid w:val="001B70D2"/>
    <w:rsid w:val="001B7D89"/>
    <w:rsid w:val="001C52B3"/>
    <w:rsid w:val="001C5D69"/>
    <w:rsid w:val="001C6E10"/>
    <w:rsid w:val="001D03AF"/>
    <w:rsid w:val="001D06A7"/>
    <w:rsid w:val="001D29DC"/>
    <w:rsid w:val="001D44C7"/>
    <w:rsid w:val="001D65FC"/>
    <w:rsid w:val="001D6927"/>
    <w:rsid w:val="001E19BB"/>
    <w:rsid w:val="001E4EAE"/>
    <w:rsid w:val="001E6762"/>
    <w:rsid w:val="001F1E8A"/>
    <w:rsid w:val="001F36DD"/>
    <w:rsid w:val="00202269"/>
    <w:rsid w:val="00206989"/>
    <w:rsid w:val="00207E04"/>
    <w:rsid w:val="00210FCE"/>
    <w:rsid w:val="00212F98"/>
    <w:rsid w:val="00214764"/>
    <w:rsid w:val="00217F5C"/>
    <w:rsid w:val="002200B1"/>
    <w:rsid w:val="00220A5A"/>
    <w:rsid w:val="00222906"/>
    <w:rsid w:val="00223065"/>
    <w:rsid w:val="002244DA"/>
    <w:rsid w:val="00225829"/>
    <w:rsid w:val="0022634D"/>
    <w:rsid w:val="00231361"/>
    <w:rsid w:val="00231AE5"/>
    <w:rsid w:val="00232E16"/>
    <w:rsid w:val="00233AC4"/>
    <w:rsid w:val="0023449A"/>
    <w:rsid w:val="00235ACA"/>
    <w:rsid w:val="00237850"/>
    <w:rsid w:val="00240604"/>
    <w:rsid w:val="00241CAA"/>
    <w:rsid w:val="00244ACB"/>
    <w:rsid w:val="00244D97"/>
    <w:rsid w:val="0025301D"/>
    <w:rsid w:val="00253FAE"/>
    <w:rsid w:val="002554DF"/>
    <w:rsid w:val="00256949"/>
    <w:rsid w:val="00264789"/>
    <w:rsid w:val="0026505E"/>
    <w:rsid w:val="00267D26"/>
    <w:rsid w:val="00272B9B"/>
    <w:rsid w:val="00273697"/>
    <w:rsid w:val="00274B69"/>
    <w:rsid w:val="00274F7D"/>
    <w:rsid w:val="00290A07"/>
    <w:rsid w:val="002914A1"/>
    <w:rsid w:val="002915B1"/>
    <w:rsid w:val="0029776C"/>
    <w:rsid w:val="002A7F1B"/>
    <w:rsid w:val="002B01DC"/>
    <w:rsid w:val="002B0928"/>
    <w:rsid w:val="002B0F64"/>
    <w:rsid w:val="002B3CC9"/>
    <w:rsid w:val="002B64BB"/>
    <w:rsid w:val="002C1755"/>
    <w:rsid w:val="002C17E1"/>
    <w:rsid w:val="002C3474"/>
    <w:rsid w:val="002C3B7D"/>
    <w:rsid w:val="002C50FD"/>
    <w:rsid w:val="002C7C10"/>
    <w:rsid w:val="002D0BFF"/>
    <w:rsid w:val="002D0E08"/>
    <w:rsid w:val="002D304B"/>
    <w:rsid w:val="002D4811"/>
    <w:rsid w:val="002E36A6"/>
    <w:rsid w:val="002E4DC6"/>
    <w:rsid w:val="002E5330"/>
    <w:rsid w:val="002E593E"/>
    <w:rsid w:val="002E613A"/>
    <w:rsid w:val="002E7628"/>
    <w:rsid w:val="002F2CFC"/>
    <w:rsid w:val="002F44EA"/>
    <w:rsid w:val="002F4790"/>
    <w:rsid w:val="00302BA3"/>
    <w:rsid w:val="00311431"/>
    <w:rsid w:val="00313230"/>
    <w:rsid w:val="00313CA3"/>
    <w:rsid w:val="00315666"/>
    <w:rsid w:val="00322A56"/>
    <w:rsid w:val="003308B1"/>
    <w:rsid w:val="0033447D"/>
    <w:rsid w:val="00334D05"/>
    <w:rsid w:val="00335354"/>
    <w:rsid w:val="0033573F"/>
    <w:rsid w:val="00344677"/>
    <w:rsid w:val="00346296"/>
    <w:rsid w:val="0034724E"/>
    <w:rsid w:val="003477B4"/>
    <w:rsid w:val="00353276"/>
    <w:rsid w:val="003565E1"/>
    <w:rsid w:val="00356F6A"/>
    <w:rsid w:val="00360906"/>
    <w:rsid w:val="00362EA3"/>
    <w:rsid w:val="00363C11"/>
    <w:rsid w:val="003700C3"/>
    <w:rsid w:val="0037130B"/>
    <w:rsid w:val="00373FDE"/>
    <w:rsid w:val="00374899"/>
    <w:rsid w:val="00376542"/>
    <w:rsid w:val="003773F4"/>
    <w:rsid w:val="003774BA"/>
    <w:rsid w:val="003836BC"/>
    <w:rsid w:val="00391CC2"/>
    <w:rsid w:val="00392457"/>
    <w:rsid w:val="00392E3D"/>
    <w:rsid w:val="0039710E"/>
    <w:rsid w:val="003A18B2"/>
    <w:rsid w:val="003A4F72"/>
    <w:rsid w:val="003A6D4C"/>
    <w:rsid w:val="003B44A7"/>
    <w:rsid w:val="003C25D1"/>
    <w:rsid w:val="003C28B1"/>
    <w:rsid w:val="003C4703"/>
    <w:rsid w:val="003C663D"/>
    <w:rsid w:val="003C6E28"/>
    <w:rsid w:val="003D2A0E"/>
    <w:rsid w:val="003D66A9"/>
    <w:rsid w:val="003E621C"/>
    <w:rsid w:val="003F0AE0"/>
    <w:rsid w:val="003F0E7F"/>
    <w:rsid w:val="003F37F1"/>
    <w:rsid w:val="003F4337"/>
    <w:rsid w:val="003F4E84"/>
    <w:rsid w:val="00400409"/>
    <w:rsid w:val="00402F29"/>
    <w:rsid w:val="004071E1"/>
    <w:rsid w:val="00407EFE"/>
    <w:rsid w:val="00410E69"/>
    <w:rsid w:val="00411D71"/>
    <w:rsid w:val="00414D79"/>
    <w:rsid w:val="00415B7E"/>
    <w:rsid w:val="00423CAE"/>
    <w:rsid w:val="004246D1"/>
    <w:rsid w:val="004260FF"/>
    <w:rsid w:val="00426972"/>
    <w:rsid w:val="0043013B"/>
    <w:rsid w:val="004320A1"/>
    <w:rsid w:val="00432FF1"/>
    <w:rsid w:val="00434C82"/>
    <w:rsid w:val="00452843"/>
    <w:rsid w:val="00452ACC"/>
    <w:rsid w:val="004546CE"/>
    <w:rsid w:val="00482979"/>
    <w:rsid w:val="0048352B"/>
    <w:rsid w:val="004840C3"/>
    <w:rsid w:val="00484DB4"/>
    <w:rsid w:val="0048518E"/>
    <w:rsid w:val="004901E4"/>
    <w:rsid w:val="004943F0"/>
    <w:rsid w:val="004A1E84"/>
    <w:rsid w:val="004A31C5"/>
    <w:rsid w:val="004B17F8"/>
    <w:rsid w:val="004B3151"/>
    <w:rsid w:val="004B7A33"/>
    <w:rsid w:val="004C373B"/>
    <w:rsid w:val="004C3A0E"/>
    <w:rsid w:val="004C5DB9"/>
    <w:rsid w:val="004C6D1D"/>
    <w:rsid w:val="004D1156"/>
    <w:rsid w:val="004D29BD"/>
    <w:rsid w:val="004D41CA"/>
    <w:rsid w:val="004D5422"/>
    <w:rsid w:val="004D5984"/>
    <w:rsid w:val="004D6936"/>
    <w:rsid w:val="004E0E38"/>
    <w:rsid w:val="004E0EDE"/>
    <w:rsid w:val="004E0F07"/>
    <w:rsid w:val="004E126B"/>
    <w:rsid w:val="004E13C1"/>
    <w:rsid w:val="004E25FC"/>
    <w:rsid w:val="004E2A7B"/>
    <w:rsid w:val="004E3BAE"/>
    <w:rsid w:val="004E4143"/>
    <w:rsid w:val="004F2959"/>
    <w:rsid w:val="004F33F6"/>
    <w:rsid w:val="004F35DA"/>
    <w:rsid w:val="004F7E86"/>
    <w:rsid w:val="00502722"/>
    <w:rsid w:val="00502B73"/>
    <w:rsid w:val="00503F46"/>
    <w:rsid w:val="0050613A"/>
    <w:rsid w:val="00506D31"/>
    <w:rsid w:val="00506ECF"/>
    <w:rsid w:val="005072F2"/>
    <w:rsid w:val="00511104"/>
    <w:rsid w:val="005233AC"/>
    <w:rsid w:val="00526E8B"/>
    <w:rsid w:val="00527A5F"/>
    <w:rsid w:val="005316E8"/>
    <w:rsid w:val="005458DC"/>
    <w:rsid w:val="00547F5F"/>
    <w:rsid w:val="005623F6"/>
    <w:rsid w:val="00565196"/>
    <w:rsid w:val="005656AD"/>
    <w:rsid w:val="00565CBB"/>
    <w:rsid w:val="00567D77"/>
    <w:rsid w:val="005704E0"/>
    <w:rsid w:val="00571D08"/>
    <w:rsid w:val="00573703"/>
    <w:rsid w:val="00573953"/>
    <w:rsid w:val="00581AF2"/>
    <w:rsid w:val="005842BD"/>
    <w:rsid w:val="0058551F"/>
    <w:rsid w:val="005879EE"/>
    <w:rsid w:val="005922C0"/>
    <w:rsid w:val="005927B9"/>
    <w:rsid w:val="00595DE7"/>
    <w:rsid w:val="005964AB"/>
    <w:rsid w:val="005A2C17"/>
    <w:rsid w:val="005A37CF"/>
    <w:rsid w:val="005A4448"/>
    <w:rsid w:val="005B36B4"/>
    <w:rsid w:val="005C04F8"/>
    <w:rsid w:val="005C1DD0"/>
    <w:rsid w:val="005C32C7"/>
    <w:rsid w:val="005D07BD"/>
    <w:rsid w:val="005D3714"/>
    <w:rsid w:val="005D3A4C"/>
    <w:rsid w:val="005D6D51"/>
    <w:rsid w:val="005E58C4"/>
    <w:rsid w:val="005E5AB8"/>
    <w:rsid w:val="005E607E"/>
    <w:rsid w:val="005F1823"/>
    <w:rsid w:val="005F3004"/>
    <w:rsid w:val="005F4DF1"/>
    <w:rsid w:val="00601884"/>
    <w:rsid w:val="00602503"/>
    <w:rsid w:val="0060525E"/>
    <w:rsid w:val="0060609A"/>
    <w:rsid w:val="006165B6"/>
    <w:rsid w:val="00620465"/>
    <w:rsid w:val="00620B19"/>
    <w:rsid w:val="00622AC2"/>
    <w:rsid w:val="00622B86"/>
    <w:rsid w:val="00622EAC"/>
    <w:rsid w:val="00623A5E"/>
    <w:rsid w:val="00625493"/>
    <w:rsid w:val="006254C8"/>
    <w:rsid w:val="006306E1"/>
    <w:rsid w:val="006326E1"/>
    <w:rsid w:val="00633E45"/>
    <w:rsid w:val="0063551B"/>
    <w:rsid w:val="0063711C"/>
    <w:rsid w:val="00640FBB"/>
    <w:rsid w:val="00643323"/>
    <w:rsid w:val="0064606E"/>
    <w:rsid w:val="006477A6"/>
    <w:rsid w:val="00647AE3"/>
    <w:rsid w:val="006523E6"/>
    <w:rsid w:val="00660150"/>
    <w:rsid w:val="00660290"/>
    <w:rsid w:val="00660554"/>
    <w:rsid w:val="00661A38"/>
    <w:rsid w:val="00661C32"/>
    <w:rsid w:val="00662448"/>
    <w:rsid w:val="00666D81"/>
    <w:rsid w:val="00667C1C"/>
    <w:rsid w:val="006704C5"/>
    <w:rsid w:val="00671CB8"/>
    <w:rsid w:val="00672393"/>
    <w:rsid w:val="006730CA"/>
    <w:rsid w:val="006737B0"/>
    <w:rsid w:val="006741FB"/>
    <w:rsid w:val="00675166"/>
    <w:rsid w:val="00675E23"/>
    <w:rsid w:val="006815B0"/>
    <w:rsid w:val="00682712"/>
    <w:rsid w:val="00682DEE"/>
    <w:rsid w:val="006913E2"/>
    <w:rsid w:val="0069273C"/>
    <w:rsid w:val="00692AF8"/>
    <w:rsid w:val="00692B95"/>
    <w:rsid w:val="00692CE7"/>
    <w:rsid w:val="00694A9A"/>
    <w:rsid w:val="00696A35"/>
    <w:rsid w:val="00696BE5"/>
    <w:rsid w:val="006A012D"/>
    <w:rsid w:val="006A0560"/>
    <w:rsid w:val="006A20D2"/>
    <w:rsid w:val="006A2C26"/>
    <w:rsid w:val="006A2FAF"/>
    <w:rsid w:val="006A3329"/>
    <w:rsid w:val="006B3457"/>
    <w:rsid w:val="006B50AB"/>
    <w:rsid w:val="006B6A3A"/>
    <w:rsid w:val="006C0750"/>
    <w:rsid w:val="006C08A3"/>
    <w:rsid w:val="006C31A6"/>
    <w:rsid w:val="006C76FA"/>
    <w:rsid w:val="006C7DA9"/>
    <w:rsid w:val="006D1425"/>
    <w:rsid w:val="006E2931"/>
    <w:rsid w:val="006E331D"/>
    <w:rsid w:val="006E39B6"/>
    <w:rsid w:val="006E734C"/>
    <w:rsid w:val="006F1415"/>
    <w:rsid w:val="006F3F63"/>
    <w:rsid w:val="006F6BF2"/>
    <w:rsid w:val="00703ACE"/>
    <w:rsid w:val="0070453D"/>
    <w:rsid w:val="00705D89"/>
    <w:rsid w:val="007108BD"/>
    <w:rsid w:val="00712127"/>
    <w:rsid w:val="007121BE"/>
    <w:rsid w:val="00712417"/>
    <w:rsid w:val="007131CE"/>
    <w:rsid w:val="00713D80"/>
    <w:rsid w:val="00714122"/>
    <w:rsid w:val="00717788"/>
    <w:rsid w:val="00721CAF"/>
    <w:rsid w:val="0072241B"/>
    <w:rsid w:val="00731902"/>
    <w:rsid w:val="00733B62"/>
    <w:rsid w:val="00733F08"/>
    <w:rsid w:val="00734D13"/>
    <w:rsid w:val="0073637C"/>
    <w:rsid w:val="0073781B"/>
    <w:rsid w:val="00740BCB"/>
    <w:rsid w:val="00740FA8"/>
    <w:rsid w:val="00741961"/>
    <w:rsid w:val="00742502"/>
    <w:rsid w:val="00742F88"/>
    <w:rsid w:val="00744377"/>
    <w:rsid w:val="00744E04"/>
    <w:rsid w:val="00746D5E"/>
    <w:rsid w:val="00750523"/>
    <w:rsid w:val="007507EE"/>
    <w:rsid w:val="00751B0D"/>
    <w:rsid w:val="00751BF9"/>
    <w:rsid w:val="007536F7"/>
    <w:rsid w:val="00753D9F"/>
    <w:rsid w:val="00754831"/>
    <w:rsid w:val="00771F9D"/>
    <w:rsid w:val="00780EAB"/>
    <w:rsid w:val="00782EB2"/>
    <w:rsid w:val="00790ED9"/>
    <w:rsid w:val="0079184B"/>
    <w:rsid w:val="00791FEB"/>
    <w:rsid w:val="0079445D"/>
    <w:rsid w:val="007A0021"/>
    <w:rsid w:val="007A0DDC"/>
    <w:rsid w:val="007A23F1"/>
    <w:rsid w:val="007A3AFD"/>
    <w:rsid w:val="007A5BD6"/>
    <w:rsid w:val="007B4E71"/>
    <w:rsid w:val="007B5527"/>
    <w:rsid w:val="007B5BD7"/>
    <w:rsid w:val="007C1785"/>
    <w:rsid w:val="007C6A86"/>
    <w:rsid w:val="007C6F2E"/>
    <w:rsid w:val="007D0985"/>
    <w:rsid w:val="007D381A"/>
    <w:rsid w:val="007D4378"/>
    <w:rsid w:val="007D76CC"/>
    <w:rsid w:val="007D782E"/>
    <w:rsid w:val="007E2111"/>
    <w:rsid w:val="007E295A"/>
    <w:rsid w:val="007E48B7"/>
    <w:rsid w:val="007E6BCA"/>
    <w:rsid w:val="007E6CF5"/>
    <w:rsid w:val="007F440C"/>
    <w:rsid w:val="007F4FE7"/>
    <w:rsid w:val="00800AC8"/>
    <w:rsid w:val="00804263"/>
    <w:rsid w:val="008045BB"/>
    <w:rsid w:val="00807147"/>
    <w:rsid w:val="00807885"/>
    <w:rsid w:val="00811D17"/>
    <w:rsid w:val="00812166"/>
    <w:rsid w:val="00813174"/>
    <w:rsid w:val="008154B0"/>
    <w:rsid w:val="008160DE"/>
    <w:rsid w:val="008201C6"/>
    <w:rsid w:val="0082174B"/>
    <w:rsid w:val="0082715B"/>
    <w:rsid w:val="008272EE"/>
    <w:rsid w:val="0082791D"/>
    <w:rsid w:val="0083203F"/>
    <w:rsid w:val="008343FE"/>
    <w:rsid w:val="008365AB"/>
    <w:rsid w:val="00845E89"/>
    <w:rsid w:val="00854A05"/>
    <w:rsid w:val="00856530"/>
    <w:rsid w:val="00860E4A"/>
    <w:rsid w:val="0086613A"/>
    <w:rsid w:val="0087489E"/>
    <w:rsid w:val="00877230"/>
    <w:rsid w:val="00883977"/>
    <w:rsid w:val="00883B23"/>
    <w:rsid w:val="0088400F"/>
    <w:rsid w:val="008841E4"/>
    <w:rsid w:val="008849D9"/>
    <w:rsid w:val="00885473"/>
    <w:rsid w:val="00886DFA"/>
    <w:rsid w:val="00895655"/>
    <w:rsid w:val="00896686"/>
    <w:rsid w:val="00896FB3"/>
    <w:rsid w:val="008A2ED1"/>
    <w:rsid w:val="008A34D2"/>
    <w:rsid w:val="008A3F97"/>
    <w:rsid w:val="008A6AFE"/>
    <w:rsid w:val="008B1FD4"/>
    <w:rsid w:val="008B44CC"/>
    <w:rsid w:val="008D4EFA"/>
    <w:rsid w:val="008D5E65"/>
    <w:rsid w:val="008E08AA"/>
    <w:rsid w:val="008E2FC1"/>
    <w:rsid w:val="008E39D6"/>
    <w:rsid w:val="008E4687"/>
    <w:rsid w:val="008E6500"/>
    <w:rsid w:val="008F1328"/>
    <w:rsid w:val="008F4429"/>
    <w:rsid w:val="008F6106"/>
    <w:rsid w:val="008F636D"/>
    <w:rsid w:val="008F735B"/>
    <w:rsid w:val="009008DE"/>
    <w:rsid w:val="0090217B"/>
    <w:rsid w:val="0090243B"/>
    <w:rsid w:val="00907645"/>
    <w:rsid w:val="00910F23"/>
    <w:rsid w:val="0092174A"/>
    <w:rsid w:val="00925E6D"/>
    <w:rsid w:val="009270AB"/>
    <w:rsid w:val="009300C7"/>
    <w:rsid w:val="0093341F"/>
    <w:rsid w:val="00933946"/>
    <w:rsid w:val="00934745"/>
    <w:rsid w:val="00934D73"/>
    <w:rsid w:val="0093611B"/>
    <w:rsid w:val="00936318"/>
    <w:rsid w:val="00936B61"/>
    <w:rsid w:val="00943365"/>
    <w:rsid w:val="00943E38"/>
    <w:rsid w:val="00944C2A"/>
    <w:rsid w:val="00950B7A"/>
    <w:rsid w:val="00964866"/>
    <w:rsid w:val="00964CBD"/>
    <w:rsid w:val="009670AA"/>
    <w:rsid w:val="009714B3"/>
    <w:rsid w:val="009723DE"/>
    <w:rsid w:val="0097352C"/>
    <w:rsid w:val="00973651"/>
    <w:rsid w:val="009746E7"/>
    <w:rsid w:val="00974E99"/>
    <w:rsid w:val="00975E6F"/>
    <w:rsid w:val="009775C3"/>
    <w:rsid w:val="009833EE"/>
    <w:rsid w:val="009843F2"/>
    <w:rsid w:val="00993264"/>
    <w:rsid w:val="009A25BD"/>
    <w:rsid w:val="009A2E62"/>
    <w:rsid w:val="009A2FA1"/>
    <w:rsid w:val="009A320D"/>
    <w:rsid w:val="009A3E60"/>
    <w:rsid w:val="009A4D06"/>
    <w:rsid w:val="009A5714"/>
    <w:rsid w:val="009A579A"/>
    <w:rsid w:val="009A5F48"/>
    <w:rsid w:val="009A6166"/>
    <w:rsid w:val="009A7463"/>
    <w:rsid w:val="009B4EFE"/>
    <w:rsid w:val="009B5876"/>
    <w:rsid w:val="009B7E76"/>
    <w:rsid w:val="009C05D2"/>
    <w:rsid w:val="009C2214"/>
    <w:rsid w:val="009C3388"/>
    <w:rsid w:val="009C3BE1"/>
    <w:rsid w:val="009C614B"/>
    <w:rsid w:val="009C6F20"/>
    <w:rsid w:val="009C72B0"/>
    <w:rsid w:val="009D126E"/>
    <w:rsid w:val="009D16DA"/>
    <w:rsid w:val="009D6EDB"/>
    <w:rsid w:val="009D71C3"/>
    <w:rsid w:val="009D729F"/>
    <w:rsid w:val="009E337B"/>
    <w:rsid w:val="009E35E8"/>
    <w:rsid w:val="009E4B9C"/>
    <w:rsid w:val="009F5BBF"/>
    <w:rsid w:val="00A02EF0"/>
    <w:rsid w:val="00A131A4"/>
    <w:rsid w:val="00A13FDB"/>
    <w:rsid w:val="00A1466E"/>
    <w:rsid w:val="00A15402"/>
    <w:rsid w:val="00A21C68"/>
    <w:rsid w:val="00A263BF"/>
    <w:rsid w:val="00A44D76"/>
    <w:rsid w:val="00A45580"/>
    <w:rsid w:val="00A45C4C"/>
    <w:rsid w:val="00A46A47"/>
    <w:rsid w:val="00A5347B"/>
    <w:rsid w:val="00A725CE"/>
    <w:rsid w:val="00A73F57"/>
    <w:rsid w:val="00A77E5D"/>
    <w:rsid w:val="00A811A1"/>
    <w:rsid w:val="00A819BB"/>
    <w:rsid w:val="00A86B38"/>
    <w:rsid w:val="00A95591"/>
    <w:rsid w:val="00AA06C8"/>
    <w:rsid w:val="00AA6EE5"/>
    <w:rsid w:val="00AB3FB4"/>
    <w:rsid w:val="00AB7B38"/>
    <w:rsid w:val="00AC08DB"/>
    <w:rsid w:val="00AC33D2"/>
    <w:rsid w:val="00AC4064"/>
    <w:rsid w:val="00AC5273"/>
    <w:rsid w:val="00AC7A87"/>
    <w:rsid w:val="00AD3A0B"/>
    <w:rsid w:val="00AD433F"/>
    <w:rsid w:val="00AD5997"/>
    <w:rsid w:val="00AD661E"/>
    <w:rsid w:val="00AD74AC"/>
    <w:rsid w:val="00AE2267"/>
    <w:rsid w:val="00AE5117"/>
    <w:rsid w:val="00AE54C4"/>
    <w:rsid w:val="00AE579B"/>
    <w:rsid w:val="00AE619D"/>
    <w:rsid w:val="00AF077A"/>
    <w:rsid w:val="00AF0A9B"/>
    <w:rsid w:val="00AF2145"/>
    <w:rsid w:val="00AF3117"/>
    <w:rsid w:val="00AF475F"/>
    <w:rsid w:val="00AF5A15"/>
    <w:rsid w:val="00AF7AEA"/>
    <w:rsid w:val="00B0181F"/>
    <w:rsid w:val="00B03261"/>
    <w:rsid w:val="00B06151"/>
    <w:rsid w:val="00B06A32"/>
    <w:rsid w:val="00B10206"/>
    <w:rsid w:val="00B117B9"/>
    <w:rsid w:val="00B14A5D"/>
    <w:rsid w:val="00B16FC7"/>
    <w:rsid w:val="00B17760"/>
    <w:rsid w:val="00B23C06"/>
    <w:rsid w:val="00B25F58"/>
    <w:rsid w:val="00B26476"/>
    <w:rsid w:val="00B27620"/>
    <w:rsid w:val="00B27A1D"/>
    <w:rsid w:val="00B3358B"/>
    <w:rsid w:val="00B339DC"/>
    <w:rsid w:val="00B4077C"/>
    <w:rsid w:val="00B42D64"/>
    <w:rsid w:val="00B42F67"/>
    <w:rsid w:val="00B43EF4"/>
    <w:rsid w:val="00B44140"/>
    <w:rsid w:val="00B4588B"/>
    <w:rsid w:val="00B50A7D"/>
    <w:rsid w:val="00B519D8"/>
    <w:rsid w:val="00B51A1B"/>
    <w:rsid w:val="00B55707"/>
    <w:rsid w:val="00B561AA"/>
    <w:rsid w:val="00B56642"/>
    <w:rsid w:val="00B60435"/>
    <w:rsid w:val="00B6727A"/>
    <w:rsid w:val="00B67AE1"/>
    <w:rsid w:val="00B67E3C"/>
    <w:rsid w:val="00B734CD"/>
    <w:rsid w:val="00B802A4"/>
    <w:rsid w:val="00B87BDE"/>
    <w:rsid w:val="00B921B0"/>
    <w:rsid w:val="00B92CB3"/>
    <w:rsid w:val="00B92EB8"/>
    <w:rsid w:val="00BA152F"/>
    <w:rsid w:val="00BA17B1"/>
    <w:rsid w:val="00BA3242"/>
    <w:rsid w:val="00BA3E99"/>
    <w:rsid w:val="00BA47F5"/>
    <w:rsid w:val="00BA63CD"/>
    <w:rsid w:val="00BA66BF"/>
    <w:rsid w:val="00BA678C"/>
    <w:rsid w:val="00BA7231"/>
    <w:rsid w:val="00BB1057"/>
    <w:rsid w:val="00BC7A5A"/>
    <w:rsid w:val="00BD4CA5"/>
    <w:rsid w:val="00BD76A9"/>
    <w:rsid w:val="00BE168E"/>
    <w:rsid w:val="00BE3856"/>
    <w:rsid w:val="00BE4BB6"/>
    <w:rsid w:val="00BE4FC7"/>
    <w:rsid w:val="00BE5D00"/>
    <w:rsid w:val="00BE6357"/>
    <w:rsid w:val="00BE7B9B"/>
    <w:rsid w:val="00BF0246"/>
    <w:rsid w:val="00BF0415"/>
    <w:rsid w:val="00BF2FB7"/>
    <w:rsid w:val="00BF41BE"/>
    <w:rsid w:val="00C067B1"/>
    <w:rsid w:val="00C06FA2"/>
    <w:rsid w:val="00C12274"/>
    <w:rsid w:val="00C1370B"/>
    <w:rsid w:val="00C145D7"/>
    <w:rsid w:val="00C16D94"/>
    <w:rsid w:val="00C1718B"/>
    <w:rsid w:val="00C24803"/>
    <w:rsid w:val="00C267BD"/>
    <w:rsid w:val="00C361BA"/>
    <w:rsid w:val="00C447E9"/>
    <w:rsid w:val="00C50AC2"/>
    <w:rsid w:val="00C51147"/>
    <w:rsid w:val="00C56676"/>
    <w:rsid w:val="00C6120B"/>
    <w:rsid w:val="00C624BA"/>
    <w:rsid w:val="00C7035B"/>
    <w:rsid w:val="00C71C51"/>
    <w:rsid w:val="00C7250A"/>
    <w:rsid w:val="00C728CC"/>
    <w:rsid w:val="00C76E83"/>
    <w:rsid w:val="00C77514"/>
    <w:rsid w:val="00C77B5C"/>
    <w:rsid w:val="00C80231"/>
    <w:rsid w:val="00C83108"/>
    <w:rsid w:val="00C865DA"/>
    <w:rsid w:val="00C86C65"/>
    <w:rsid w:val="00C87154"/>
    <w:rsid w:val="00C8723C"/>
    <w:rsid w:val="00C87486"/>
    <w:rsid w:val="00C877EE"/>
    <w:rsid w:val="00C90455"/>
    <w:rsid w:val="00C92DEA"/>
    <w:rsid w:val="00C9325A"/>
    <w:rsid w:val="00C96474"/>
    <w:rsid w:val="00C9727F"/>
    <w:rsid w:val="00CA2A40"/>
    <w:rsid w:val="00CA3901"/>
    <w:rsid w:val="00CA4A92"/>
    <w:rsid w:val="00CA50CD"/>
    <w:rsid w:val="00CA52C0"/>
    <w:rsid w:val="00CA79E1"/>
    <w:rsid w:val="00CA7C81"/>
    <w:rsid w:val="00CB1087"/>
    <w:rsid w:val="00CB4A48"/>
    <w:rsid w:val="00CB50DB"/>
    <w:rsid w:val="00CB5101"/>
    <w:rsid w:val="00CB72EB"/>
    <w:rsid w:val="00CB7882"/>
    <w:rsid w:val="00CC03AF"/>
    <w:rsid w:val="00CC04B4"/>
    <w:rsid w:val="00CC1F6A"/>
    <w:rsid w:val="00CC402A"/>
    <w:rsid w:val="00CC4F2C"/>
    <w:rsid w:val="00CC56B5"/>
    <w:rsid w:val="00CC6F97"/>
    <w:rsid w:val="00CD33CA"/>
    <w:rsid w:val="00CD37CA"/>
    <w:rsid w:val="00CD3EBC"/>
    <w:rsid w:val="00CD578B"/>
    <w:rsid w:val="00CD7C03"/>
    <w:rsid w:val="00CE2B39"/>
    <w:rsid w:val="00CE4909"/>
    <w:rsid w:val="00CE54D7"/>
    <w:rsid w:val="00CE6770"/>
    <w:rsid w:val="00CE721E"/>
    <w:rsid w:val="00CF0B91"/>
    <w:rsid w:val="00CF1ED7"/>
    <w:rsid w:val="00CF2189"/>
    <w:rsid w:val="00CF2B0B"/>
    <w:rsid w:val="00CF55E5"/>
    <w:rsid w:val="00D05158"/>
    <w:rsid w:val="00D1037B"/>
    <w:rsid w:val="00D109D6"/>
    <w:rsid w:val="00D1244B"/>
    <w:rsid w:val="00D12554"/>
    <w:rsid w:val="00D13094"/>
    <w:rsid w:val="00D13C76"/>
    <w:rsid w:val="00D16CCD"/>
    <w:rsid w:val="00D215C1"/>
    <w:rsid w:val="00D2421D"/>
    <w:rsid w:val="00D24BB3"/>
    <w:rsid w:val="00D333E6"/>
    <w:rsid w:val="00D342AA"/>
    <w:rsid w:val="00D36298"/>
    <w:rsid w:val="00D374AE"/>
    <w:rsid w:val="00D37654"/>
    <w:rsid w:val="00D40303"/>
    <w:rsid w:val="00D43F8B"/>
    <w:rsid w:val="00D506AC"/>
    <w:rsid w:val="00D60A49"/>
    <w:rsid w:val="00D60BC0"/>
    <w:rsid w:val="00D61C8C"/>
    <w:rsid w:val="00D630AC"/>
    <w:rsid w:val="00D64FFE"/>
    <w:rsid w:val="00D716F8"/>
    <w:rsid w:val="00D719EF"/>
    <w:rsid w:val="00D750B6"/>
    <w:rsid w:val="00D81272"/>
    <w:rsid w:val="00D86BC6"/>
    <w:rsid w:val="00D870FD"/>
    <w:rsid w:val="00D872D5"/>
    <w:rsid w:val="00D90D07"/>
    <w:rsid w:val="00D96816"/>
    <w:rsid w:val="00DA1CBE"/>
    <w:rsid w:val="00DA35E4"/>
    <w:rsid w:val="00DA4DCA"/>
    <w:rsid w:val="00DB2D92"/>
    <w:rsid w:val="00DB3A55"/>
    <w:rsid w:val="00DB67BD"/>
    <w:rsid w:val="00DC09CB"/>
    <w:rsid w:val="00DD03A2"/>
    <w:rsid w:val="00DD1C70"/>
    <w:rsid w:val="00DD3FBA"/>
    <w:rsid w:val="00DD52A5"/>
    <w:rsid w:val="00DD5C43"/>
    <w:rsid w:val="00DE15CB"/>
    <w:rsid w:val="00DE2EB1"/>
    <w:rsid w:val="00DE388E"/>
    <w:rsid w:val="00DE5601"/>
    <w:rsid w:val="00DF01F7"/>
    <w:rsid w:val="00DF4F15"/>
    <w:rsid w:val="00DF5205"/>
    <w:rsid w:val="00DF6426"/>
    <w:rsid w:val="00DF707F"/>
    <w:rsid w:val="00DF73CB"/>
    <w:rsid w:val="00E001D0"/>
    <w:rsid w:val="00E0129F"/>
    <w:rsid w:val="00E01455"/>
    <w:rsid w:val="00E033D1"/>
    <w:rsid w:val="00E044D0"/>
    <w:rsid w:val="00E103A8"/>
    <w:rsid w:val="00E15D34"/>
    <w:rsid w:val="00E16164"/>
    <w:rsid w:val="00E16DED"/>
    <w:rsid w:val="00E21827"/>
    <w:rsid w:val="00E21979"/>
    <w:rsid w:val="00E23BE8"/>
    <w:rsid w:val="00E25FC5"/>
    <w:rsid w:val="00E261B4"/>
    <w:rsid w:val="00E27A1E"/>
    <w:rsid w:val="00E33517"/>
    <w:rsid w:val="00E37855"/>
    <w:rsid w:val="00E42080"/>
    <w:rsid w:val="00E42AAB"/>
    <w:rsid w:val="00E42BEC"/>
    <w:rsid w:val="00E46933"/>
    <w:rsid w:val="00E47F7B"/>
    <w:rsid w:val="00E511C3"/>
    <w:rsid w:val="00E56254"/>
    <w:rsid w:val="00E74759"/>
    <w:rsid w:val="00E74A8C"/>
    <w:rsid w:val="00E75196"/>
    <w:rsid w:val="00E762E4"/>
    <w:rsid w:val="00E812EF"/>
    <w:rsid w:val="00E82CC6"/>
    <w:rsid w:val="00E87431"/>
    <w:rsid w:val="00E92B8C"/>
    <w:rsid w:val="00E92C88"/>
    <w:rsid w:val="00E94D84"/>
    <w:rsid w:val="00E95181"/>
    <w:rsid w:val="00EA6101"/>
    <w:rsid w:val="00EA7E68"/>
    <w:rsid w:val="00EB0ECB"/>
    <w:rsid w:val="00EB37A1"/>
    <w:rsid w:val="00EB6BD9"/>
    <w:rsid w:val="00EB7155"/>
    <w:rsid w:val="00EC0E42"/>
    <w:rsid w:val="00EC3F79"/>
    <w:rsid w:val="00EC6E30"/>
    <w:rsid w:val="00EC7BB5"/>
    <w:rsid w:val="00ED10AC"/>
    <w:rsid w:val="00ED29A0"/>
    <w:rsid w:val="00ED2E0A"/>
    <w:rsid w:val="00ED2E85"/>
    <w:rsid w:val="00ED3C31"/>
    <w:rsid w:val="00ED6201"/>
    <w:rsid w:val="00ED6635"/>
    <w:rsid w:val="00ED6AC1"/>
    <w:rsid w:val="00EE3559"/>
    <w:rsid w:val="00EE4334"/>
    <w:rsid w:val="00EE7641"/>
    <w:rsid w:val="00EF2503"/>
    <w:rsid w:val="00EF6134"/>
    <w:rsid w:val="00EF74C2"/>
    <w:rsid w:val="00F000F1"/>
    <w:rsid w:val="00F04A7F"/>
    <w:rsid w:val="00F072D2"/>
    <w:rsid w:val="00F07738"/>
    <w:rsid w:val="00F12863"/>
    <w:rsid w:val="00F13D2C"/>
    <w:rsid w:val="00F14666"/>
    <w:rsid w:val="00F155D7"/>
    <w:rsid w:val="00F156D5"/>
    <w:rsid w:val="00F160D8"/>
    <w:rsid w:val="00F170F2"/>
    <w:rsid w:val="00F228D9"/>
    <w:rsid w:val="00F22F81"/>
    <w:rsid w:val="00F24FA0"/>
    <w:rsid w:val="00F2551A"/>
    <w:rsid w:val="00F25BB6"/>
    <w:rsid w:val="00F263F6"/>
    <w:rsid w:val="00F27AD3"/>
    <w:rsid w:val="00F30899"/>
    <w:rsid w:val="00F34109"/>
    <w:rsid w:val="00F34894"/>
    <w:rsid w:val="00F37AB4"/>
    <w:rsid w:val="00F405DB"/>
    <w:rsid w:val="00F42E28"/>
    <w:rsid w:val="00F438BF"/>
    <w:rsid w:val="00F46295"/>
    <w:rsid w:val="00F46722"/>
    <w:rsid w:val="00F51834"/>
    <w:rsid w:val="00F53291"/>
    <w:rsid w:val="00F5546F"/>
    <w:rsid w:val="00F5559E"/>
    <w:rsid w:val="00F578E9"/>
    <w:rsid w:val="00F62C9A"/>
    <w:rsid w:val="00F67270"/>
    <w:rsid w:val="00F71A10"/>
    <w:rsid w:val="00F7321C"/>
    <w:rsid w:val="00F7443E"/>
    <w:rsid w:val="00F8178B"/>
    <w:rsid w:val="00F81DCA"/>
    <w:rsid w:val="00F83B9B"/>
    <w:rsid w:val="00F859E9"/>
    <w:rsid w:val="00F859F4"/>
    <w:rsid w:val="00F90F76"/>
    <w:rsid w:val="00F91725"/>
    <w:rsid w:val="00F94C90"/>
    <w:rsid w:val="00F96070"/>
    <w:rsid w:val="00F972DC"/>
    <w:rsid w:val="00FA06A2"/>
    <w:rsid w:val="00FA10B7"/>
    <w:rsid w:val="00FA11D3"/>
    <w:rsid w:val="00FA1E35"/>
    <w:rsid w:val="00FA2524"/>
    <w:rsid w:val="00FB03C6"/>
    <w:rsid w:val="00FB6A82"/>
    <w:rsid w:val="00FC0CA1"/>
    <w:rsid w:val="00FC0E54"/>
    <w:rsid w:val="00FC1C56"/>
    <w:rsid w:val="00FD1E06"/>
    <w:rsid w:val="00FD1F6D"/>
    <w:rsid w:val="00FD656B"/>
    <w:rsid w:val="00FE00AD"/>
    <w:rsid w:val="00FE0E8B"/>
    <w:rsid w:val="00FE1EA0"/>
    <w:rsid w:val="00FE57E7"/>
    <w:rsid w:val="00FE5DCD"/>
    <w:rsid w:val="00FF06B4"/>
    <w:rsid w:val="00FF15AC"/>
    <w:rsid w:val="00FF1D8D"/>
    <w:rsid w:val="00FF29DD"/>
    <w:rsid w:val="00FF30AA"/>
    <w:rsid w:val="00FF60CF"/>
    <w:rsid w:val="00FF695E"/>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CB289"/>
  <w15:docId w15:val="{44C0D1D3-7248-4A5F-8538-23603F0C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6DD"/>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Table of contents numbered,body 2,List_Paragraph,Multilevel para_II,TimesNewRoman 14,heading2,List Paragraph1,Antes de enumeración,Akapit z listą BS,Outlines a.b.c.,Akapit z lista BS,List1,Списък на абзаци,List Paragraph11"/>
    <w:basedOn w:val="Normal"/>
    <w:link w:val="ListParagraphChar"/>
    <w:qFormat/>
    <w:rsid w:val="00F22F81"/>
    <w:pPr>
      <w:ind w:left="720"/>
      <w:contextualSpacing/>
    </w:pPr>
  </w:style>
  <w:style w:type="paragraph" w:styleId="Header">
    <w:name w:val="header"/>
    <w:basedOn w:val="Normal"/>
    <w:link w:val="HeaderChar"/>
    <w:uiPriority w:val="99"/>
    <w:unhideWhenUsed/>
    <w:rsid w:val="006704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4C5"/>
    <w:rPr>
      <w:lang w:val="ro-RO"/>
    </w:rPr>
  </w:style>
  <w:style w:type="paragraph" w:styleId="Footer">
    <w:name w:val="footer"/>
    <w:basedOn w:val="Normal"/>
    <w:link w:val="FooterChar"/>
    <w:uiPriority w:val="99"/>
    <w:unhideWhenUsed/>
    <w:rsid w:val="00670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4C5"/>
    <w:rPr>
      <w:lang w:val="ro-RO"/>
    </w:rPr>
  </w:style>
  <w:style w:type="character" w:styleId="CommentReference">
    <w:name w:val="annotation reference"/>
    <w:basedOn w:val="DefaultParagraphFont"/>
    <w:uiPriority w:val="99"/>
    <w:semiHidden/>
    <w:unhideWhenUsed/>
    <w:rsid w:val="005879EE"/>
    <w:rPr>
      <w:sz w:val="16"/>
      <w:szCs w:val="16"/>
    </w:rPr>
  </w:style>
  <w:style w:type="paragraph" w:styleId="CommentText">
    <w:name w:val="annotation text"/>
    <w:basedOn w:val="Normal"/>
    <w:link w:val="CommentTextChar"/>
    <w:uiPriority w:val="99"/>
    <w:semiHidden/>
    <w:unhideWhenUsed/>
    <w:rsid w:val="005879EE"/>
    <w:pPr>
      <w:spacing w:line="240" w:lineRule="auto"/>
    </w:pPr>
    <w:rPr>
      <w:sz w:val="20"/>
      <w:szCs w:val="20"/>
    </w:rPr>
  </w:style>
  <w:style w:type="character" w:customStyle="1" w:styleId="CommentTextChar">
    <w:name w:val="Comment Text Char"/>
    <w:basedOn w:val="DefaultParagraphFont"/>
    <w:link w:val="CommentText"/>
    <w:uiPriority w:val="99"/>
    <w:semiHidden/>
    <w:rsid w:val="005879EE"/>
    <w:rPr>
      <w:sz w:val="20"/>
      <w:szCs w:val="20"/>
      <w:lang w:val="ro-RO"/>
    </w:rPr>
  </w:style>
  <w:style w:type="paragraph" w:styleId="CommentSubject">
    <w:name w:val="annotation subject"/>
    <w:basedOn w:val="CommentText"/>
    <w:next w:val="CommentText"/>
    <w:link w:val="CommentSubjectChar"/>
    <w:uiPriority w:val="99"/>
    <w:semiHidden/>
    <w:unhideWhenUsed/>
    <w:rsid w:val="005879EE"/>
    <w:rPr>
      <w:b/>
      <w:bCs/>
    </w:rPr>
  </w:style>
  <w:style w:type="character" w:customStyle="1" w:styleId="CommentSubjectChar">
    <w:name w:val="Comment Subject Char"/>
    <w:basedOn w:val="CommentTextChar"/>
    <w:link w:val="CommentSubject"/>
    <w:uiPriority w:val="99"/>
    <w:semiHidden/>
    <w:rsid w:val="005879EE"/>
    <w:rPr>
      <w:b/>
      <w:bCs/>
      <w:sz w:val="20"/>
      <w:szCs w:val="20"/>
      <w:lang w:val="ro-RO"/>
    </w:rPr>
  </w:style>
  <w:style w:type="paragraph" w:styleId="BalloonText">
    <w:name w:val="Balloon Text"/>
    <w:basedOn w:val="Normal"/>
    <w:link w:val="BalloonTextChar"/>
    <w:uiPriority w:val="99"/>
    <w:semiHidden/>
    <w:unhideWhenUsed/>
    <w:rsid w:val="005879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9EE"/>
    <w:rPr>
      <w:rFonts w:ascii="Segoe UI" w:hAnsi="Segoe UI" w:cs="Segoe UI"/>
      <w:sz w:val="18"/>
      <w:szCs w:val="18"/>
      <w:lang w:val="ro-RO"/>
    </w:rPr>
  </w:style>
  <w:style w:type="paragraph" w:styleId="FootnoteText">
    <w:name w:val="footnote text"/>
    <w:aliases w:val="Footnote,Fußnote,Tekst przypisu,Tekst przypisu Znak Znak Znak Znak,Tekst przypisu Znak Znak Znak Znak Znak,Tekst przypisu Znak Znak Znak Znak Znak Znak Znak,Tekst przypisu Znak Znak Znak Znak Znak Znak Znak Znak Zn,fn,single space"/>
    <w:basedOn w:val="Normal"/>
    <w:link w:val="FootnoteTextChar"/>
    <w:uiPriority w:val="99"/>
    <w:unhideWhenUsed/>
    <w:qFormat/>
    <w:rsid w:val="009746E7"/>
    <w:pPr>
      <w:spacing w:after="0" w:line="240" w:lineRule="auto"/>
    </w:pPr>
    <w:rPr>
      <w:sz w:val="20"/>
      <w:szCs w:val="20"/>
    </w:rPr>
  </w:style>
  <w:style w:type="character" w:customStyle="1" w:styleId="FootnoteTextChar">
    <w:name w:val="Footnote Text Char"/>
    <w:aliases w:val="Footnote Char,Fußnote Char,Tekst przypisu Char,Tekst przypisu Znak Znak Znak Znak Char,Tekst przypisu Znak Znak Znak Znak Znak Char,Tekst przypisu Znak Znak Znak Znak Znak Znak Znak Char,fn Char,single space Char"/>
    <w:basedOn w:val="DefaultParagraphFont"/>
    <w:link w:val="FootnoteText"/>
    <w:uiPriority w:val="99"/>
    <w:rsid w:val="009746E7"/>
    <w:rPr>
      <w:sz w:val="20"/>
      <w:szCs w:val="20"/>
      <w:lang w:val="ro-RO"/>
    </w:rPr>
  </w:style>
  <w:style w:type="character" w:styleId="FootnoteReference">
    <w:name w:val="footnote reference"/>
    <w:aliases w:val="BVI fnr Char1 Char Char Char Char Char Char1 Char Caracter Char Char Char Char Char Char,Footnote Reference Number Char Char Char Char Char Char Char1 Char Caracter Char Char Char Char Char Char Char Char Char Char Caracter,BVI,SUPERS"/>
    <w:basedOn w:val="DefaultParagraphFont"/>
    <w:link w:val="SUPERSChar1"/>
    <w:uiPriority w:val="99"/>
    <w:unhideWhenUsed/>
    <w:qFormat/>
    <w:rsid w:val="009746E7"/>
    <w:rPr>
      <w:vertAlign w:val="superscript"/>
    </w:rPr>
  </w:style>
  <w:style w:type="character" w:customStyle="1" w:styleId="FootnoteTextChar1">
    <w:name w:val="Footnote Text Char1"/>
    <w:aliases w:val="Footnote Char1,Fußnote Char1,Tekst przypisu Char1,Tekst przypisu Znak Znak Znak Znak Char1,Tekst przypisu Znak Znak Znak Znak Znak Char1,Tekst przypisu Znak Znak Znak Znak Znak Znak Znak Char1,fn Char1,single space Char1"/>
    <w:uiPriority w:val="99"/>
    <w:locked/>
    <w:rsid w:val="00DB67BD"/>
    <w:rPr>
      <w:rFonts w:eastAsia="Calibri"/>
      <w:lang w:val="en-GB"/>
    </w:rPr>
  </w:style>
  <w:style w:type="character" w:customStyle="1" w:styleId="ListParagraphChar">
    <w:name w:val="List Paragraph Char"/>
    <w:aliases w:val="Normal bullet 2 Char,Table of contents numbered Char,body 2 Char,List_Paragraph Char,Multilevel para_II Char,TimesNewRoman 14 Char,heading2 Char,List Paragraph1 Char,Antes de enumeración Char,Akapit z listą BS Char,List1 Char"/>
    <w:link w:val="ListParagraph"/>
    <w:locked/>
    <w:rsid w:val="00DB67BD"/>
    <w:rPr>
      <w:lang w:val="ro-RO"/>
    </w:rPr>
  </w:style>
  <w:style w:type="paragraph" w:customStyle="1" w:styleId="SUPERSChar1">
    <w:name w:val="SUPERS Char1"/>
    <w:basedOn w:val="Normal"/>
    <w:next w:val="Normal"/>
    <w:link w:val="FootnoteReference"/>
    <w:uiPriority w:val="99"/>
    <w:rsid w:val="00DB67BD"/>
    <w:pPr>
      <w:suppressAutoHyphens/>
      <w:spacing w:line="240" w:lineRule="exact"/>
    </w:pPr>
    <w:rPr>
      <w:vertAlign w:val="superscript"/>
      <w:lang w:val="en-US"/>
    </w:rPr>
  </w:style>
  <w:style w:type="paragraph" w:styleId="NormalWeb">
    <w:name w:val="Normal (Web)"/>
    <w:basedOn w:val="Normal"/>
    <w:uiPriority w:val="99"/>
    <w:rsid w:val="00DD52A5"/>
    <w:pPr>
      <w:suppressAutoHyphens/>
      <w:spacing w:after="280" w:line="276" w:lineRule="auto"/>
      <w:ind w:firstLine="709"/>
      <w:jc w:val="both"/>
    </w:pPr>
    <w:rPr>
      <w:rFonts w:ascii="Arial" w:eastAsia="Times New Roman" w:hAnsi="Arial" w:cs="Arial"/>
      <w:color w:val="000000"/>
      <w:sz w:val="24"/>
      <w:szCs w:val="24"/>
      <w:lang w:val="en-US"/>
    </w:rPr>
  </w:style>
  <w:style w:type="paragraph" w:styleId="EndnoteText">
    <w:name w:val="endnote text"/>
    <w:basedOn w:val="Normal"/>
    <w:link w:val="EndnoteTextChar"/>
    <w:uiPriority w:val="99"/>
    <w:semiHidden/>
    <w:unhideWhenUsed/>
    <w:rsid w:val="00D1255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12554"/>
    <w:rPr>
      <w:sz w:val="20"/>
      <w:szCs w:val="20"/>
      <w:lang w:val="ro-RO"/>
    </w:rPr>
  </w:style>
  <w:style w:type="character" w:styleId="EndnoteReference">
    <w:name w:val="endnote reference"/>
    <w:basedOn w:val="DefaultParagraphFont"/>
    <w:uiPriority w:val="99"/>
    <w:semiHidden/>
    <w:unhideWhenUsed/>
    <w:rsid w:val="00D125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01096">
      <w:bodyDiv w:val="1"/>
      <w:marLeft w:val="0"/>
      <w:marRight w:val="0"/>
      <w:marTop w:val="0"/>
      <w:marBottom w:val="0"/>
      <w:divBdr>
        <w:top w:val="none" w:sz="0" w:space="0" w:color="auto"/>
        <w:left w:val="none" w:sz="0" w:space="0" w:color="auto"/>
        <w:bottom w:val="none" w:sz="0" w:space="0" w:color="auto"/>
        <w:right w:val="none" w:sz="0" w:space="0" w:color="auto"/>
      </w:divBdr>
    </w:div>
    <w:div w:id="149637782">
      <w:bodyDiv w:val="1"/>
      <w:marLeft w:val="0"/>
      <w:marRight w:val="0"/>
      <w:marTop w:val="0"/>
      <w:marBottom w:val="0"/>
      <w:divBdr>
        <w:top w:val="none" w:sz="0" w:space="0" w:color="auto"/>
        <w:left w:val="none" w:sz="0" w:space="0" w:color="auto"/>
        <w:bottom w:val="none" w:sz="0" w:space="0" w:color="auto"/>
        <w:right w:val="none" w:sz="0" w:space="0" w:color="auto"/>
      </w:divBdr>
    </w:div>
    <w:div w:id="257566859">
      <w:bodyDiv w:val="1"/>
      <w:marLeft w:val="0"/>
      <w:marRight w:val="0"/>
      <w:marTop w:val="0"/>
      <w:marBottom w:val="0"/>
      <w:divBdr>
        <w:top w:val="none" w:sz="0" w:space="0" w:color="auto"/>
        <w:left w:val="none" w:sz="0" w:space="0" w:color="auto"/>
        <w:bottom w:val="none" w:sz="0" w:space="0" w:color="auto"/>
        <w:right w:val="none" w:sz="0" w:space="0" w:color="auto"/>
      </w:divBdr>
    </w:div>
    <w:div w:id="329451865">
      <w:bodyDiv w:val="1"/>
      <w:marLeft w:val="0"/>
      <w:marRight w:val="0"/>
      <w:marTop w:val="0"/>
      <w:marBottom w:val="0"/>
      <w:divBdr>
        <w:top w:val="none" w:sz="0" w:space="0" w:color="auto"/>
        <w:left w:val="none" w:sz="0" w:space="0" w:color="auto"/>
        <w:bottom w:val="none" w:sz="0" w:space="0" w:color="auto"/>
        <w:right w:val="none" w:sz="0" w:space="0" w:color="auto"/>
      </w:divBdr>
    </w:div>
    <w:div w:id="381489058">
      <w:bodyDiv w:val="1"/>
      <w:marLeft w:val="0"/>
      <w:marRight w:val="0"/>
      <w:marTop w:val="0"/>
      <w:marBottom w:val="0"/>
      <w:divBdr>
        <w:top w:val="none" w:sz="0" w:space="0" w:color="auto"/>
        <w:left w:val="none" w:sz="0" w:space="0" w:color="auto"/>
        <w:bottom w:val="none" w:sz="0" w:space="0" w:color="auto"/>
        <w:right w:val="none" w:sz="0" w:space="0" w:color="auto"/>
      </w:divBdr>
    </w:div>
    <w:div w:id="408188320">
      <w:bodyDiv w:val="1"/>
      <w:marLeft w:val="0"/>
      <w:marRight w:val="0"/>
      <w:marTop w:val="0"/>
      <w:marBottom w:val="0"/>
      <w:divBdr>
        <w:top w:val="none" w:sz="0" w:space="0" w:color="auto"/>
        <w:left w:val="none" w:sz="0" w:space="0" w:color="auto"/>
        <w:bottom w:val="none" w:sz="0" w:space="0" w:color="auto"/>
        <w:right w:val="none" w:sz="0" w:space="0" w:color="auto"/>
      </w:divBdr>
      <w:divsChild>
        <w:div w:id="647828452">
          <w:marLeft w:val="0"/>
          <w:marRight w:val="0"/>
          <w:marTop w:val="0"/>
          <w:marBottom w:val="0"/>
          <w:divBdr>
            <w:top w:val="none" w:sz="0" w:space="0" w:color="auto"/>
            <w:left w:val="none" w:sz="0" w:space="0" w:color="auto"/>
            <w:bottom w:val="none" w:sz="0" w:space="0" w:color="auto"/>
            <w:right w:val="none" w:sz="0" w:space="0" w:color="auto"/>
          </w:divBdr>
          <w:divsChild>
            <w:div w:id="1462655684">
              <w:marLeft w:val="0"/>
              <w:marRight w:val="0"/>
              <w:marTop w:val="0"/>
              <w:marBottom w:val="0"/>
              <w:divBdr>
                <w:top w:val="none" w:sz="0" w:space="0" w:color="auto"/>
                <w:left w:val="none" w:sz="0" w:space="0" w:color="auto"/>
                <w:bottom w:val="none" w:sz="0" w:space="0" w:color="auto"/>
                <w:right w:val="none" w:sz="0" w:space="0" w:color="auto"/>
              </w:divBdr>
              <w:divsChild>
                <w:div w:id="58552840">
                  <w:marLeft w:val="0"/>
                  <w:marRight w:val="0"/>
                  <w:marTop w:val="0"/>
                  <w:marBottom w:val="0"/>
                  <w:divBdr>
                    <w:top w:val="none" w:sz="0" w:space="0" w:color="auto"/>
                    <w:left w:val="none" w:sz="0" w:space="0" w:color="auto"/>
                    <w:bottom w:val="none" w:sz="0" w:space="0" w:color="auto"/>
                    <w:right w:val="none" w:sz="0" w:space="0" w:color="auto"/>
                  </w:divBdr>
                  <w:divsChild>
                    <w:div w:id="14544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576813">
      <w:bodyDiv w:val="1"/>
      <w:marLeft w:val="0"/>
      <w:marRight w:val="0"/>
      <w:marTop w:val="0"/>
      <w:marBottom w:val="0"/>
      <w:divBdr>
        <w:top w:val="none" w:sz="0" w:space="0" w:color="auto"/>
        <w:left w:val="none" w:sz="0" w:space="0" w:color="auto"/>
        <w:bottom w:val="none" w:sz="0" w:space="0" w:color="auto"/>
        <w:right w:val="none" w:sz="0" w:space="0" w:color="auto"/>
      </w:divBdr>
      <w:divsChild>
        <w:div w:id="1433161564">
          <w:marLeft w:val="0"/>
          <w:marRight w:val="0"/>
          <w:marTop w:val="0"/>
          <w:marBottom w:val="0"/>
          <w:divBdr>
            <w:top w:val="none" w:sz="0" w:space="0" w:color="auto"/>
            <w:left w:val="none" w:sz="0" w:space="0" w:color="auto"/>
            <w:bottom w:val="none" w:sz="0" w:space="0" w:color="auto"/>
            <w:right w:val="none" w:sz="0" w:space="0" w:color="auto"/>
          </w:divBdr>
          <w:divsChild>
            <w:div w:id="746417412">
              <w:marLeft w:val="0"/>
              <w:marRight w:val="0"/>
              <w:marTop w:val="0"/>
              <w:marBottom w:val="0"/>
              <w:divBdr>
                <w:top w:val="none" w:sz="0" w:space="0" w:color="auto"/>
                <w:left w:val="none" w:sz="0" w:space="0" w:color="auto"/>
                <w:bottom w:val="none" w:sz="0" w:space="0" w:color="auto"/>
                <w:right w:val="none" w:sz="0" w:space="0" w:color="auto"/>
              </w:divBdr>
              <w:divsChild>
                <w:div w:id="1749644067">
                  <w:marLeft w:val="0"/>
                  <w:marRight w:val="0"/>
                  <w:marTop w:val="0"/>
                  <w:marBottom w:val="0"/>
                  <w:divBdr>
                    <w:top w:val="none" w:sz="0" w:space="0" w:color="auto"/>
                    <w:left w:val="none" w:sz="0" w:space="0" w:color="auto"/>
                    <w:bottom w:val="none" w:sz="0" w:space="0" w:color="auto"/>
                    <w:right w:val="none" w:sz="0" w:space="0" w:color="auto"/>
                  </w:divBdr>
                  <w:divsChild>
                    <w:div w:id="138806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675213">
      <w:bodyDiv w:val="1"/>
      <w:marLeft w:val="0"/>
      <w:marRight w:val="0"/>
      <w:marTop w:val="0"/>
      <w:marBottom w:val="0"/>
      <w:divBdr>
        <w:top w:val="none" w:sz="0" w:space="0" w:color="auto"/>
        <w:left w:val="none" w:sz="0" w:space="0" w:color="auto"/>
        <w:bottom w:val="none" w:sz="0" w:space="0" w:color="auto"/>
        <w:right w:val="none" w:sz="0" w:space="0" w:color="auto"/>
      </w:divBdr>
    </w:div>
    <w:div w:id="582842441">
      <w:bodyDiv w:val="1"/>
      <w:marLeft w:val="0"/>
      <w:marRight w:val="0"/>
      <w:marTop w:val="0"/>
      <w:marBottom w:val="0"/>
      <w:divBdr>
        <w:top w:val="none" w:sz="0" w:space="0" w:color="auto"/>
        <w:left w:val="none" w:sz="0" w:space="0" w:color="auto"/>
        <w:bottom w:val="none" w:sz="0" w:space="0" w:color="auto"/>
        <w:right w:val="none" w:sz="0" w:space="0" w:color="auto"/>
      </w:divBdr>
    </w:div>
    <w:div w:id="604922824">
      <w:bodyDiv w:val="1"/>
      <w:marLeft w:val="0"/>
      <w:marRight w:val="0"/>
      <w:marTop w:val="0"/>
      <w:marBottom w:val="0"/>
      <w:divBdr>
        <w:top w:val="none" w:sz="0" w:space="0" w:color="auto"/>
        <w:left w:val="none" w:sz="0" w:space="0" w:color="auto"/>
        <w:bottom w:val="none" w:sz="0" w:space="0" w:color="auto"/>
        <w:right w:val="none" w:sz="0" w:space="0" w:color="auto"/>
      </w:divBdr>
    </w:div>
    <w:div w:id="753472528">
      <w:bodyDiv w:val="1"/>
      <w:marLeft w:val="0"/>
      <w:marRight w:val="0"/>
      <w:marTop w:val="0"/>
      <w:marBottom w:val="0"/>
      <w:divBdr>
        <w:top w:val="none" w:sz="0" w:space="0" w:color="auto"/>
        <w:left w:val="none" w:sz="0" w:space="0" w:color="auto"/>
        <w:bottom w:val="none" w:sz="0" w:space="0" w:color="auto"/>
        <w:right w:val="none" w:sz="0" w:space="0" w:color="auto"/>
      </w:divBdr>
    </w:div>
    <w:div w:id="768162832">
      <w:bodyDiv w:val="1"/>
      <w:marLeft w:val="0"/>
      <w:marRight w:val="0"/>
      <w:marTop w:val="0"/>
      <w:marBottom w:val="0"/>
      <w:divBdr>
        <w:top w:val="none" w:sz="0" w:space="0" w:color="auto"/>
        <w:left w:val="none" w:sz="0" w:space="0" w:color="auto"/>
        <w:bottom w:val="none" w:sz="0" w:space="0" w:color="auto"/>
        <w:right w:val="none" w:sz="0" w:space="0" w:color="auto"/>
      </w:divBdr>
    </w:div>
    <w:div w:id="873730224">
      <w:bodyDiv w:val="1"/>
      <w:marLeft w:val="0"/>
      <w:marRight w:val="0"/>
      <w:marTop w:val="0"/>
      <w:marBottom w:val="0"/>
      <w:divBdr>
        <w:top w:val="none" w:sz="0" w:space="0" w:color="auto"/>
        <w:left w:val="none" w:sz="0" w:space="0" w:color="auto"/>
        <w:bottom w:val="none" w:sz="0" w:space="0" w:color="auto"/>
        <w:right w:val="none" w:sz="0" w:space="0" w:color="auto"/>
      </w:divBdr>
    </w:div>
    <w:div w:id="888960937">
      <w:bodyDiv w:val="1"/>
      <w:marLeft w:val="0"/>
      <w:marRight w:val="0"/>
      <w:marTop w:val="0"/>
      <w:marBottom w:val="0"/>
      <w:divBdr>
        <w:top w:val="none" w:sz="0" w:space="0" w:color="auto"/>
        <w:left w:val="none" w:sz="0" w:space="0" w:color="auto"/>
        <w:bottom w:val="none" w:sz="0" w:space="0" w:color="auto"/>
        <w:right w:val="none" w:sz="0" w:space="0" w:color="auto"/>
      </w:divBdr>
    </w:div>
    <w:div w:id="924998957">
      <w:bodyDiv w:val="1"/>
      <w:marLeft w:val="0"/>
      <w:marRight w:val="0"/>
      <w:marTop w:val="0"/>
      <w:marBottom w:val="0"/>
      <w:divBdr>
        <w:top w:val="none" w:sz="0" w:space="0" w:color="auto"/>
        <w:left w:val="none" w:sz="0" w:space="0" w:color="auto"/>
        <w:bottom w:val="none" w:sz="0" w:space="0" w:color="auto"/>
        <w:right w:val="none" w:sz="0" w:space="0" w:color="auto"/>
      </w:divBdr>
    </w:div>
    <w:div w:id="1019239907">
      <w:bodyDiv w:val="1"/>
      <w:marLeft w:val="0"/>
      <w:marRight w:val="0"/>
      <w:marTop w:val="0"/>
      <w:marBottom w:val="0"/>
      <w:divBdr>
        <w:top w:val="none" w:sz="0" w:space="0" w:color="auto"/>
        <w:left w:val="none" w:sz="0" w:space="0" w:color="auto"/>
        <w:bottom w:val="none" w:sz="0" w:space="0" w:color="auto"/>
        <w:right w:val="none" w:sz="0" w:space="0" w:color="auto"/>
      </w:divBdr>
    </w:div>
    <w:div w:id="1169441386">
      <w:bodyDiv w:val="1"/>
      <w:marLeft w:val="0"/>
      <w:marRight w:val="0"/>
      <w:marTop w:val="0"/>
      <w:marBottom w:val="0"/>
      <w:divBdr>
        <w:top w:val="none" w:sz="0" w:space="0" w:color="auto"/>
        <w:left w:val="none" w:sz="0" w:space="0" w:color="auto"/>
        <w:bottom w:val="none" w:sz="0" w:space="0" w:color="auto"/>
        <w:right w:val="none" w:sz="0" w:space="0" w:color="auto"/>
      </w:divBdr>
    </w:div>
    <w:div w:id="1175341421">
      <w:bodyDiv w:val="1"/>
      <w:marLeft w:val="0"/>
      <w:marRight w:val="0"/>
      <w:marTop w:val="0"/>
      <w:marBottom w:val="0"/>
      <w:divBdr>
        <w:top w:val="none" w:sz="0" w:space="0" w:color="auto"/>
        <w:left w:val="none" w:sz="0" w:space="0" w:color="auto"/>
        <w:bottom w:val="none" w:sz="0" w:space="0" w:color="auto"/>
        <w:right w:val="none" w:sz="0" w:space="0" w:color="auto"/>
      </w:divBdr>
    </w:div>
    <w:div w:id="1243372905">
      <w:bodyDiv w:val="1"/>
      <w:marLeft w:val="0"/>
      <w:marRight w:val="0"/>
      <w:marTop w:val="0"/>
      <w:marBottom w:val="0"/>
      <w:divBdr>
        <w:top w:val="none" w:sz="0" w:space="0" w:color="auto"/>
        <w:left w:val="none" w:sz="0" w:space="0" w:color="auto"/>
        <w:bottom w:val="none" w:sz="0" w:space="0" w:color="auto"/>
        <w:right w:val="none" w:sz="0" w:space="0" w:color="auto"/>
      </w:divBdr>
    </w:div>
    <w:div w:id="1327434603">
      <w:bodyDiv w:val="1"/>
      <w:marLeft w:val="0"/>
      <w:marRight w:val="0"/>
      <w:marTop w:val="0"/>
      <w:marBottom w:val="0"/>
      <w:divBdr>
        <w:top w:val="none" w:sz="0" w:space="0" w:color="auto"/>
        <w:left w:val="none" w:sz="0" w:space="0" w:color="auto"/>
        <w:bottom w:val="none" w:sz="0" w:space="0" w:color="auto"/>
        <w:right w:val="none" w:sz="0" w:space="0" w:color="auto"/>
      </w:divBdr>
    </w:div>
    <w:div w:id="1778670762">
      <w:bodyDiv w:val="1"/>
      <w:marLeft w:val="0"/>
      <w:marRight w:val="0"/>
      <w:marTop w:val="0"/>
      <w:marBottom w:val="0"/>
      <w:divBdr>
        <w:top w:val="none" w:sz="0" w:space="0" w:color="auto"/>
        <w:left w:val="none" w:sz="0" w:space="0" w:color="auto"/>
        <w:bottom w:val="none" w:sz="0" w:space="0" w:color="auto"/>
        <w:right w:val="none" w:sz="0" w:space="0" w:color="auto"/>
      </w:divBdr>
    </w:div>
    <w:div w:id="1791708713">
      <w:bodyDiv w:val="1"/>
      <w:marLeft w:val="0"/>
      <w:marRight w:val="0"/>
      <w:marTop w:val="0"/>
      <w:marBottom w:val="0"/>
      <w:divBdr>
        <w:top w:val="none" w:sz="0" w:space="0" w:color="auto"/>
        <w:left w:val="none" w:sz="0" w:space="0" w:color="auto"/>
        <w:bottom w:val="none" w:sz="0" w:space="0" w:color="auto"/>
        <w:right w:val="none" w:sz="0" w:space="0" w:color="auto"/>
      </w:divBdr>
    </w:div>
    <w:div w:id="1824615786">
      <w:bodyDiv w:val="1"/>
      <w:marLeft w:val="0"/>
      <w:marRight w:val="0"/>
      <w:marTop w:val="0"/>
      <w:marBottom w:val="0"/>
      <w:divBdr>
        <w:top w:val="none" w:sz="0" w:space="0" w:color="auto"/>
        <w:left w:val="none" w:sz="0" w:space="0" w:color="auto"/>
        <w:bottom w:val="none" w:sz="0" w:space="0" w:color="auto"/>
        <w:right w:val="none" w:sz="0" w:space="0" w:color="auto"/>
      </w:divBdr>
    </w:div>
    <w:div w:id="1905142466">
      <w:bodyDiv w:val="1"/>
      <w:marLeft w:val="0"/>
      <w:marRight w:val="0"/>
      <w:marTop w:val="0"/>
      <w:marBottom w:val="0"/>
      <w:divBdr>
        <w:top w:val="none" w:sz="0" w:space="0" w:color="auto"/>
        <w:left w:val="none" w:sz="0" w:space="0" w:color="auto"/>
        <w:bottom w:val="none" w:sz="0" w:space="0" w:color="auto"/>
        <w:right w:val="none" w:sz="0" w:space="0" w:color="auto"/>
      </w:divBdr>
    </w:div>
    <w:div w:id="1907298014">
      <w:bodyDiv w:val="1"/>
      <w:marLeft w:val="0"/>
      <w:marRight w:val="0"/>
      <w:marTop w:val="0"/>
      <w:marBottom w:val="0"/>
      <w:divBdr>
        <w:top w:val="none" w:sz="0" w:space="0" w:color="auto"/>
        <w:left w:val="none" w:sz="0" w:space="0" w:color="auto"/>
        <w:bottom w:val="none" w:sz="0" w:space="0" w:color="auto"/>
        <w:right w:val="none" w:sz="0" w:space="0" w:color="auto"/>
      </w:divBdr>
    </w:div>
    <w:div w:id="191184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file:///\\MFP1934\retea%20on%2010.236.1.89\Executii\Executii%202023\Rapoarte%20LRF%202023\RAPORT%20TRIM.I%202023\RAPORT%20TRIM%20I%202023\grafice%202023.xlsx!Sheet2%20(2)!%5bgrafice%202023.xlsx%5dSheet2%20(2)%20Chart%202"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MFP1934\retea%20on%2010.236.1.89\Executii\Executii%202023\Rapoarte%20LRF%202023\RAPORT%20TRIM.I%202023\RAPORT%20TRIM%20I%202023\grafice%202023.xlsx!Sheet2%20(2)!%5bgrafice%202023.xlsx%5dSheet2%20(2)%20Chart%203-1" TargetMode="External"/><Relationship Id="rId5" Type="http://schemas.openxmlformats.org/officeDocument/2006/relationships/webSettings" Target="webSettings.xml"/><Relationship Id="rId15" Type="http://schemas.openxmlformats.org/officeDocument/2006/relationships/oleObject" Target="file:///\\MFP1934\retea%20on%2010.236.1.89\Executii\Executii%202023\Rapoarte%20LRF%202023\RAPORT%20TRIM.I%202023\RAPORT%20TRIM%20I%202023\grafice%202023.xlsx!Sheet2%20(2)!%5bgrafice%202023.xlsx%5dSheet2%20(2)%20Chart%205" TargetMode="Externa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file:///\\MFP1934\retea%20on%2010.236.1.89\Executii\Executii%202023\Rapoarte%20LRF%202023\RAPORT%20TRIM.I%202023\RAPORT%20TRIM%20I%202023\grafice%202023.xlsx!Sheet2%20(2)!%5bgrafice%202023.xlsx%5dSheet2%20(2)%20Chart%201" TargetMode="External"/><Relationship Id="rId14"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F091545DF5430EA6AAEAE65AB5A483"/>
        <w:category>
          <w:name w:val="General"/>
          <w:gallery w:val="placeholder"/>
        </w:category>
        <w:types>
          <w:type w:val="bbPlcHdr"/>
        </w:types>
        <w:behaviors>
          <w:behavior w:val="content"/>
        </w:behaviors>
        <w:guid w:val="{828B5E21-1880-46AD-86CB-EBC6EFD5E32A}"/>
      </w:docPartPr>
      <w:docPartBody>
        <w:p w:rsidR="00ED5B3A" w:rsidRDefault="005F4EA3" w:rsidP="005F4EA3">
          <w:pPr>
            <w:pStyle w:val="6BF091545DF5430EA6AAEAE65AB5A483"/>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skoola Pota">
    <w:altName w:val="Times New Roman"/>
    <w:panose1 w:val="020B0502040204020203"/>
    <w:charset w:val="00"/>
    <w:family w:val="swiss"/>
    <w:pitch w:val="variable"/>
    <w:sig w:usb0="00000003" w:usb1="00000000" w:usb2="000002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C30AA"/>
    <w:rsid w:val="000069C4"/>
    <w:rsid w:val="00272F1E"/>
    <w:rsid w:val="00380767"/>
    <w:rsid w:val="003A3581"/>
    <w:rsid w:val="003C565D"/>
    <w:rsid w:val="004A1BA2"/>
    <w:rsid w:val="004C41A1"/>
    <w:rsid w:val="004D7935"/>
    <w:rsid w:val="00521A6A"/>
    <w:rsid w:val="00527ADB"/>
    <w:rsid w:val="005F4EA3"/>
    <w:rsid w:val="005F5A98"/>
    <w:rsid w:val="006569BF"/>
    <w:rsid w:val="007260C7"/>
    <w:rsid w:val="007E2DAF"/>
    <w:rsid w:val="0086095F"/>
    <w:rsid w:val="009A59A7"/>
    <w:rsid w:val="00A6098D"/>
    <w:rsid w:val="00AA72C7"/>
    <w:rsid w:val="00C87E60"/>
    <w:rsid w:val="00DC1E8B"/>
    <w:rsid w:val="00DC6C38"/>
    <w:rsid w:val="00DF7914"/>
    <w:rsid w:val="00E04B15"/>
    <w:rsid w:val="00E41BD3"/>
    <w:rsid w:val="00EC30AA"/>
    <w:rsid w:val="00ED5B3A"/>
    <w:rsid w:val="00F46396"/>
    <w:rsid w:val="00F876AA"/>
    <w:rsid w:val="00FD75FA"/>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1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4EA3"/>
    <w:rPr>
      <w:color w:val="808080"/>
    </w:rPr>
  </w:style>
  <w:style w:type="paragraph" w:customStyle="1" w:styleId="6BF091545DF5430EA6AAEAE65AB5A483">
    <w:name w:val="6BF091545DF5430EA6AAEAE65AB5A483"/>
    <w:rsid w:val="005F4E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F1049-D8BC-42D2-A3B2-B7524248E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3715</Words>
  <Characters>21178</Characters>
  <Application>Microsoft Office Word</Application>
  <DocSecurity>0</DocSecurity>
  <Lines>176</Lines>
  <Paragraphs>49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Ministerul Finantelor Publice</Company>
  <LinksUpToDate>false</LinksUpToDate>
  <CharactersWithSpaces>24844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RAPORT PRIVIND EXECUȚIA BUGETARĂ PE PRIMUL TRIMESTRU AL ANULUI 2023</dc:creator>
  <cp:lastModifiedBy>Ioana</cp:lastModifiedBy>
  <cp:revision>3</cp:revision>
  <cp:lastPrinted>2022-04-28T14:48:00Z</cp:lastPrinted>
  <dcterms:created xsi:type="dcterms:W3CDTF">2023-04-28T15:57:00Z</dcterms:created>
  <dcterms:modified xsi:type="dcterms:W3CDTF">2023-04-28T15:58:00Z</dcterms:modified>
</cp:coreProperties>
</file>