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theme/themeOverride1.xml" ContentType="application/vnd.openxmlformats-officedocument.themeOverride+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E5"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Pr>
          <w:rFonts w:ascii="Tahoma" w:hAnsi="Tahoma" w:cs="Tahoma"/>
          <w:b/>
          <w:caps/>
          <w:color w:val="0070C0"/>
          <w:sz w:val="24"/>
          <w:szCs w:val="24"/>
        </w:rPr>
        <w:t>RAPORT PRIVIND EXECU</w:t>
      </w:r>
      <w:r w:rsidR="003F4E84" w:rsidRPr="00F228D9">
        <w:rPr>
          <w:rFonts w:ascii="Tahoma" w:hAnsi="Tahoma" w:cs="Tahoma"/>
          <w:b/>
          <w:caps/>
          <w:color w:val="0070C0"/>
          <w:sz w:val="24"/>
          <w:szCs w:val="24"/>
        </w:rPr>
        <w:t>ția buget</w:t>
      </w:r>
      <w:r>
        <w:rPr>
          <w:rFonts w:ascii="Tahoma" w:hAnsi="Tahoma" w:cs="Tahoma"/>
          <w:b/>
          <w:caps/>
          <w:color w:val="0070C0"/>
          <w:sz w:val="24"/>
          <w:szCs w:val="24"/>
        </w:rPr>
        <w:t>ARĂ</w:t>
      </w:r>
    </w:p>
    <w:p w:rsidR="00CF55E5"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Pr>
          <w:rFonts w:ascii="Tahoma" w:hAnsi="Tahoma" w:cs="Tahoma"/>
          <w:b/>
          <w:caps/>
          <w:color w:val="0070C0"/>
          <w:sz w:val="24"/>
          <w:szCs w:val="24"/>
        </w:rPr>
        <w:t xml:space="preserve"> PE PRIMUL TRIMESTRU </w:t>
      </w:r>
    </w:p>
    <w:p w:rsidR="003F4E84" w:rsidRPr="00F228D9"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Pr>
          <w:rFonts w:ascii="Tahoma" w:hAnsi="Tahoma" w:cs="Tahoma"/>
          <w:b/>
          <w:caps/>
          <w:color w:val="0070C0"/>
          <w:sz w:val="24"/>
          <w:szCs w:val="24"/>
        </w:rPr>
        <w:t>AL ANULUI 2020</w:t>
      </w:r>
    </w:p>
    <w:p w:rsidR="003F4E84" w:rsidRPr="00F228D9" w:rsidRDefault="00526E8B" w:rsidP="00C9727F">
      <w:pPr>
        <w:spacing w:after="120" w:line="240" w:lineRule="auto"/>
        <w:jc w:val="right"/>
        <w:rPr>
          <w:rFonts w:ascii="Tahoma" w:hAnsi="Tahoma" w:cs="Tahoma"/>
          <w:b/>
          <w:color w:val="0070C0"/>
          <w:sz w:val="24"/>
          <w:szCs w:val="24"/>
        </w:rPr>
      </w:pPr>
      <w:r w:rsidRPr="00F228D9">
        <w:rPr>
          <w:rFonts w:ascii="Tahoma" w:hAnsi="Tahoma" w:cs="Tahoma"/>
          <w:b/>
          <w:color w:val="0070C0"/>
          <w:sz w:val="24"/>
          <w:szCs w:val="24"/>
        </w:rPr>
        <w:br/>
      </w:r>
    </w:p>
    <w:p w:rsidR="00061787" w:rsidRPr="007C6A86" w:rsidRDefault="005D6D51" w:rsidP="002B3CC9">
      <w:pPr>
        <w:shd w:val="clear" w:color="auto" w:fill="DEEAF6" w:themeFill="accent1" w:themeFillTint="33"/>
        <w:spacing w:after="120" w:line="360" w:lineRule="auto"/>
        <w:jc w:val="both"/>
        <w:rPr>
          <w:rFonts w:ascii="Tahoma" w:hAnsi="Tahoma" w:cs="Tahoma"/>
          <w:bCs/>
          <w:sz w:val="24"/>
          <w:szCs w:val="24"/>
        </w:rPr>
      </w:pPr>
      <w:r w:rsidRPr="007C6A86">
        <w:rPr>
          <w:rFonts w:ascii="Tahoma" w:hAnsi="Tahoma" w:cs="Tahoma"/>
          <w:bCs/>
          <w:sz w:val="24"/>
          <w:szCs w:val="24"/>
        </w:rPr>
        <w:t>În primul trimestru al anului 2020</w:t>
      </w:r>
      <w:r w:rsidR="002F2CFC" w:rsidRPr="007C6A86">
        <w:rPr>
          <w:rFonts w:ascii="Tahoma" w:hAnsi="Tahoma" w:cs="Tahoma"/>
          <w:bCs/>
          <w:sz w:val="24"/>
          <w:szCs w:val="24"/>
        </w:rPr>
        <w:t>,</w:t>
      </w:r>
      <w:r w:rsidRPr="007C6A86">
        <w:rPr>
          <w:rFonts w:ascii="Tahoma" w:hAnsi="Tahoma" w:cs="Tahoma"/>
          <w:bCs/>
          <w:sz w:val="24"/>
          <w:szCs w:val="24"/>
        </w:rPr>
        <w:t xml:space="preserve"> bugetul general consolidat a înregistrat un </w:t>
      </w:r>
      <w:r w:rsidRPr="00F24FA0">
        <w:rPr>
          <w:rFonts w:ascii="Tahoma" w:hAnsi="Tahoma" w:cs="Tahoma"/>
          <w:b/>
          <w:bCs/>
          <w:sz w:val="24"/>
          <w:szCs w:val="24"/>
        </w:rPr>
        <w:t>deficit</w:t>
      </w:r>
      <w:r w:rsidRPr="007C6A86">
        <w:rPr>
          <w:rFonts w:ascii="Tahoma" w:hAnsi="Tahoma" w:cs="Tahoma"/>
          <w:bCs/>
          <w:sz w:val="24"/>
          <w:szCs w:val="24"/>
        </w:rPr>
        <w:t xml:space="preserve"> în valoare de </w:t>
      </w:r>
      <w:r w:rsidR="007C6A86">
        <w:rPr>
          <w:rFonts w:ascii="Tahoma" w:hAnsi="Tahoma" w:cs="Tahoma"/>
          <w:b/>
          <w:bCs/>
          <w:sz w:val="24"/>
          <w:szCs w:val="24"/>
        </w:rPr>
        <w:t>18,</w:t>
      </w:r>
      <w:r w:rsidR="00A95591">
        <w:rPr>
          <w:rFonts w:ascii="Tahoma" w:hAnsi="Tahoma" w:cs="Tahoma"/>
          <w:b/>
          <w:bCs/>
          <w:sz w:val="24"/>
          <w:szCs w:val="24"/>
        </w:rPr>
        <w:t>06</w:t>
      </w:r>
      <w:r w:rsidR="00826F2E">
        <w:rPr>
          <w:rFonts w:ascii="Tahoma" w:hAnsi="Tahoma" w:cs="Tahoma"/>
          <w:b/>
          <w:bCs/>
          <w:sz w:val="24"/>
          <w:szCs w:val="24"/>
        </w:rPr>
        <w:t xml:space="preserve"> </w:t>
      </w:r>
      <w:r w:rsidR="007C6A86">
        <w:rPr>
          <w:rFonts w:ascii="Tahoma" w:hAnsi="Tahoma" w:cs="Tahoma"/>
          <w:b/>
          <w:bCs/>
          <w:sz w:val="24"/>
          <w:szCs w:val="24"/>
        </w:rPr>
        <w:t>m</w:t>
      </w:r>
      <w:r w:rsidR="00713D80">
        <w:rPr>
          <w:rFonts w:ascii="Tahoma" w:hAnsi="Tahoma" w:cs="Tahoma"/>
          <w:b/>
          <w:bCs/>
          <w:sz w:val="24"/>
          <w:szCs w:val="24"/>
        </w:rPr>
        <w:t>l</w:t>
      </w:r>
      <w:r w:rsidR="007C6A86">
        <w:rPr>
          <w:rFonts w:ascii="Tahoma" w:hAnsi="Tahoma" w:cs="Tahoma"/>
          <w:b/>
          <w:bCs/>
          <w:sz w:val="24"/>
          <w:szCs w:val="24"/>
        </w:rPr>
        <w:t>d</w:t>
      </w:r>
      <w:r w:rsidR="003C4703">
        <w:rPr>
          <w:rFonts w:ascii="Tahoma" w:hAnsi="Tahoma" w:cs="Tahoma"/>
          <w:b/>
          <w:bCs/>
          <w:sz w:val="24"/>
          <w:szCs w:val="24"/>
        </w:rPr>
        <w:t>.</w:t>
      </w:r>
      <w:r w:rsidRPr="00F24FA0">
        <w:rPr>
          <w:rFonts w:ascii="Tahoma" w:hAnsi="Tahoma" w:cs="Tahoma"/>
          <w:b/>
          <w:bCs/>
          <w:sz w:val="24"/>
          <w:szCs w:val="24"/>
        </w:rPr>
        <w:t>lei (1,67% din PIB)</w:t>
      </w:r>
      <w:r w:rsidR="00C9727F" w:rsidRPr="007C6A86">
        <w:rPr>
          <w:rFonts w:ascii="Tahoma" w:hAnsi="Tahoma" w:cs="Tahoma"/>
          <w:bCs/>
          <w:sz w:val="24"/>
          <w:szCs w:val="24"/>
        </w:rPr>
        <w:t>,</w:t>
      </w:r>
      <w:r w:rsidR="007C6A86">
        <w:rPr>
          <w:rFonts w:ascii="Tahoma" w:hAnsi="Tahoma" w:cs="Tahoma"/>
          <w:bCs/>
          <w:sz w:val="24"/>
          <w:szCs w:val="24"/>
        </w:rPr>
        <w:t xml:space="preserve"> cu 1,</w:t>
      </w:r>
      <w:r w:rsidRPr="007C6A86">
        <w:rPr>
          <w:rFonts w:ascii="Tahoma" w:hAnsi="Tahoma" w:cs="Tahoma"/>
          <w:bCs/>
          <w:sz w:val="24"/>
          <w:szCs w:val="24"/>
        </w:rPr>
        <w:t>12</w:t>
      </w:r>
      <w:r w:rsidR="007C6A86">
        <w:rPr>
          <w:rFonts w:ascii="Tahoma" w:hAnsi="Tahoma" w:cs="Tahoma"/>
          <w:bCs/>
          <w:sz w:val="24"/>
          <w:szCs w:val="24"/>
        </w:rPr>
        <w:t xml:space="preserve"> mld</w:t>
      </w:r>
      <w:r w:rsidR="003C4703">
        <w:rPr>
          <w:rFonts w:ascii="Tahoma" w:hAnsi="Tahoma" w:cs="Tahoma"/>
          <w:bCs/>
          <w:sz w:val="24"/>
          <w:szCs w:val="24"/>
        </w:rPr>
        <w:t>.</w:t>
      </w:r>
      <w:r w:rsidRPr="007C6A86">
        <w:rPr>
          <w:rFonts w:ascii="Tahoma" w:hAnsi="Tahoma" w:cs="Tahoma"/>
          <w:bCs/>
          <w:sz w:val="24"/>
          <w:szCs w:val="24"/>
        </w:rPr>
        <w:t xml:space="preserve">lei peste nivelul prognozat </w:t>
      </w:r>
      <w:r w:rsidR="007C6A86">
        <w:rPr>
          <w:rFonts w:ascii="Tahoma" w:hAnsi="Tahoma" w:cs="Tahoma"/>
          <w:bCs/>
          <w:sz w:val="24"/>
          <w:szCs w:val="24"/>
        </w:rPr>
        <w:t>pentru perioada analizată de 16,</w:t>
      </w:r>
      <w:r w:rsidRPr="007C6A86">
        <w:rPr>
          <w:rFonts w:ascii="Tahoma" w:hAnsi="Tahoma" w:cs="Tahoma"/>
          <w:bCs/>
          <w:sz w:val="24"/>
          <w:szCs w:val="24"/>
        </w:rPr>
        <w:t xml:space="preserve">94 </w:t>
      </w:r>
      <w:r w:rsidR="007C6A86">
        <w:rPr>
          <w:rFonts w:ascii="Tahoma" w:hAnsi="Tahoma" w:cs="Tahoma"/>
          <w:bCs/>
          <w:sz w:val="24"/>
          <w:szCs w:val="24"/>
        </w:rPr>
        <w:t>m</w:t>
      </w:r>
      <w:r w:rsidR="00713D80">
        <w:rPr>
          <w:rFonts w:ascii="Tahoma" w:hAnsi="Tahoma" w:cs="Tahoma"/>
          <w:bCs/>
          <w:sz w:val="24"/>
          <w:szCs w:val="24"/>
        </w:rPr>
        <w:t>l</w:t>
      </w:r>
      <w:r w:rsidR="007C6A86">
        <w:rPr>
          <w:rFonts w:ascii="Tahoma" w:hAnsi="Tahoma" w:cs="Tahoma"/>
          <w:bCs/>
          <w:sz w:val="24"/>
          <w:szCs w:val="24"/>
        </w:rPr>
        <w:t>d</w:t>
      </w:r>
      <w:r w:rsidRPr="007C6A86">
        <w:rPr>
          <w:rFonts w:ascii="Tahoma" w:hAnsi="Tahoma" w:cs="Tahoma"/>
          <w:bCs/>
          <w:sz w:val="24"/>
          <w:szCs w:val="24"/>
        </w:rPr>
        <w:t>lei (1,57% din PIB).</w:t>
      </w:r>
    </w:p>
    <w:p w:rsidR="00F24FA0" w:rsidRPr="00F24FA0" w:rsidRDefault="00F24FA0" w:rsidP="002B3CC9">
      <w:pPr>
        <w:shd w:val="clear" w:color="auto" w:fill="DEEAF6" w:themeFill="accent1" w:themeFillTint="33"/>
        <w:spacing w:after="120" w:line="360" w:lineRule="auto"/>
        <w:jc w:val="both"/>
        <w:rPr>
          <w:rFonts w:ascii="Tahoma" w:hAnsi="Tahoma" w:cs="Tahoma"/>
          <w:sz w:val="24"/>
          <w:szCs w:val="24"/>
        </w:rPr>
      </w:pPr>
      <w:r w:rsidRPr="007C6A86">
        <w:rPr>
          <w:rFonts w:ascii="Tahoma" w:hAnsi="Tahoma" w:cs="Tahoma"/>
          <w:bCs/>
          <w:sz w:val="24"/>
          <w:szCs w:val="24"/>
        </w:rPr>
        <w:t xml:space="preserve">Adâncirea deficitului bugetar aferent primului trimestru comparativ cu perioada similară a anului trecut </w:t>
      </w:r>
      <w:r>
        <w:rPr>
          <w:rFonts w:ascii="Tahoma" w:hAnsi="Tahoma" w:cs="Tahoma"/>
          <w:bCs/>
          <w:sz w:val="24"/>
          <w:szCs w:val="24"/>
        </w:rPr>
        <w:t>este explicată în primul rând de evoluția nefavorabilă a veniturilor bugetare în luna martie ca urmare a amânării plății unor obligații fiscale de către agenții economici pe perioada stării de urgență (7,7 mld</w:t>
      </w:r>
      <w:r w:rsidR="003C4703">
        <w:rPr>
          <w:rFonts w:ascii="Tahoma" w:hAnsi="Tahoma" w:cs="Tahoma"/>
          <w:bCs/>
          <w:sz w:val="24"/>
          <w:szCs w:val="24"/>
        </w:rPr>
        <w:t>.</w:t>
      </w:r>
      <w:r>
        <w:rPr>
          <w:rFonts w:ascii="Tahoma" w:hAnsi="Tahoma" w:cs="Tahoma"/>
          <w:bCs/>
          <w:sz w:val="24"/>
          <w:szCs w:val="24"/>
        </w:rPr>
        <w:t xml:space="preserve"> lei)</w:t>
      </w:r>
      <w:r w:rsidR="00C9727F">
        <w:rPr>
          <w:rStyle w:val="FootnoteReference"/>
          <w:rFonts w:ascii="Tahoma" w:hAnsi="Tahoma" w:cs="Tahoma"/>
          <w:bCs/>
          <w:sz w:val="24"/>
          <w:szCs w:val="24"/>
        </w:rPr>
        <w:footnoteReference w:id="2"/>
      </w:r>
      <w:r w:rsidR="00C9727F">
        <w:rPr>
          <w:rFonts w:ascii="Tahoma" w:hAnsi="Tahoma" w:cs="Tahoma"/>
          <w:bCs/>
          <w:sz w:val="24"/>
          <w:szCs w:val="24"/>
        </w:rPr>
        <w:t xml:space="preserve"> și de restituirile suplimentare de TVA de 3,17 mld</w:t>
      </w:r>
      <w:r w:rsidR="003C4703">
        <w:rPr>
          <w:rFonts w:ascii="Tahoma" w:hAnsi="Tahoma" w:cs="Tahoma"/>
          <w:bCs/>
          <w:sz w:val="24"/>
          <w:szCs w:val="24"/>
        </w:rPr>
        <w:t>.</w:t>
      </w:r>
      <w:r w:rsidR="00C9727F">
        <w:rPr>
          <w:rFonts w:ascii="Tahoma" w:hAnsi="Tahoma" w:cs="Tahoma"/>
          <w:bCs/>
          <w:sz w:val="24"/>
          <w:szCs w:val="24"/>
        </w:rPr>
        <w:t xml:space="preserve"> lei pentru a susține lichiditatea în sectorul privat. Totodată, pe partea de cheltuieli, majorarea cheltuielilor de investiții (+1 mld</w:t>
      </w:r>
      <w:r w:rsidR="003C4703">
        <w:rPr>
          <w:rFonts w:ascii="Tahoma" w:hAnsi="Tahoma" w:cs="Tahoma"/>
          <w:bCs/>
          <w:sz w:val="24"/>
          <w:szCs w:val="24"/>
        </w:rPr>
        <w:t>.</w:t>
      </w:r>
      <w:r w:rsidR="007A3AFD">
        <w:rPr>
          <w:rFonts w:ascii="Tahoma" w:hAnsi="Tahoma" w:cs="Tahoma"/>
          <w:bCs/>
          <w:sz w:val="24"/>
          <w:szCs w:val="24"/>
        </w:rPr>
        <w:t xml:space="preserve"> lei</w:t>
      </w:r>
      <w:r w:rsidR="00C9727F">
        <w:rPr>
          <w:rFonts w:ascii="Tahoma" w:hAnsi="Tahoma" w:cs="Tahoma"/>
          <w:bCs/>
          <w:sz w:val="24"/>
          <w:szCs w:val="24"/>
        </w:rPr>
        <w:t>) față de trimestrul I 2019, precum și avansurile ajutoarelor naționale tranzitorii în sectorul vegetal și zootehnic (</w:t>
      </w:r>
      <w:r w:rsidR="007A3AFD">
        <w:rPr>
          <w:rFonts w:ascii="Tahoma" w:hAnsi="Tahoma" w:cs="Tahoma"/>
          <w:bCs/>
          <w:sz w:val="24"/>
          <w:szCs w:val="24"/>
        </w:rPr>
        <w:t>+</w:t>
      </w:r>
      <w:r w:rsidR="00C9727F">
        <w:rPr>
          <w:rFonts w:ascii="Tahoma" w:hAnsi="Tahoma" w:cs="Tahoma"/>
          <w:bCs/>
          <w:sz w:val="24"/>
          <w:szCs w:val="24"/>
        </w:rPr>
        <w:t>1 mld</w:t>
      </w:r>
      <w:r w:rsidR="003C4703">
        <w:rPr>
          <w:rFonts w:ascii="Tahoma" w:hAnsi="Tahoma" w:cs="Tahoma"/>
          <w:bCs/>
          <w:sz w:val="24"/>
          <w:szCs w:val="24"/>
        </w:rPr>
        <w:t>.</w:t>
      </w:r>
      <w:r w:rsidR="00C9727F">
        <w:rPr>
          <w:rFonts w:ascii="Tahoma" w:hAnsi="Tahoma" w:cs="Tahoma"/>
          <w:bCs/>
          <w:sz w:val="24"/>
          <w:szCs w:val="24"/>
        </w:rPr>
        <w:t xml:space="preserve"> lei) au contribuit la adâncirea deficitului. </w:t>
      </w:r>
    </w:p>
    <w:p w:rsidR="00F24FA0" w:rsidRPr="007C6A86" w:rsidRDefault="00F24FA0" w:rsidP="007C6A86">
      <w:pPr>
        <w:spacing w:line="360" w:lineRule="auto"/>
        <w:jc w:val="both"/>
        <w:rPr>
          <w:rFonts w:ascii="Tahoma" w:hAnsi="Tahoma" w:cs="Tahoma"/>
          <w:b/>
          <w:color w:val="767171" w:themeColor="background2" w:themeShade="80"/>
          <w:sz w:val="24"/>
          <w:szCs w:val="24"/>
        </w:rPr>
      </w:pPr>
    </w:p>
    <w:p w:rsidR="00F972DC" w:rsidRPr="00F228D9"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F228D9">
        <w:rPr>
          <w:rFonts w:ascii="Tahoma" w:hAnsi="Tahoma" w:cs="Tahoma"/>
          <w:b/>
          <w:caps/>
          <w:color w:val="0070C0"/>
          <w:sz w:val="24"/>
          <w:szCs w:val="24"/>
        </w:rPr>
        <w:t>veniturile bugetului general consolidat</w:t>
      </w:r>
    </w:p>
    <w:p w:rsidR="000F1E3F" w:rsidRPr="00F228D9" w:rsidRDefault="000F1E3F" w:rsidP="000F1E3F">
      <w:pPr>
        <w:spacing w:after="120" w:line="240" w:lineRule="auto"/>
        <w:rPr>
          <w:rFonts w:ascii="Tahoma" w:hAnsi="Tahoma" w:cs="Tahoma"/>
          <w:b/>
          <w:color w:val="0070C0"/>
          <w:sz w:val="24"/>
          <w:szCs w:val="24"/>
        </w:rPr>
      </w:pPr>
    </w:p>
    <w:p w:rsidR="00141717" w:rsidRPr="00F228D9" w:rsidRDefault="00CF55E5" w:rsidP="001648BC">
      <w:pPr>
        <w:shd w:val="clear" w:color="auto" w:fill="D9D9D9" w:themeFill="background1" w:themeFillShade="D9"/>
        <w:spacing w:after="120" w:line="360" w:lineRule="auto"/>
        <w:jc w:val="both"/>
        <w:rPr>
          <w:rFonts w:ascii="Tahoma" w:hAnsi="Tahoma" w:cs="Tahoma"/>
          <w:sz w:val="24"/>
          <w:szCs w:val="24"/>
        </w:rPr>
      </w:pPr>
      <w:r w:rsidRPr="009D16DA">
        <w:rPr>
          <w:rFonts w:ascii="Tahoma" w:hAnsi="Tahoma" w:cs="Tahoma"/>
          <w:b/>
          <w:sz w:val="24"/>
          <w:szCs w:val="24"/>
        </w:rPr>
        <w:t>Veniturile bugetului general</w:t>
      </w:r>
      <w:r w:rsidR="009D16DA" w:rsidRPr="009D16DA">
        <w:rPr>
          <w:rFonts w:ascii="Tahoma" w:hAnsi="Tahoma" w:cs="Tahoma"/>
          <w:b/>
          <w:sz w:val="24"/>
          <w:szCs w:val="24"/>
        </w:rPr>
        <w:t xml:space="preserve"> consolidat</w:t>
      </w:r>
      <w:r w:rsidR="007A3AFD">
        <w:rPr>
          <w:rFonts w:ascii="Tahoma" w:hAnsi="Tahoma" w:cs="Tahoma"/>
          <w:sz w:val="24"/>
          <w:szCs w:val="24"/>
        </w:rPr>
        <w:t xml:space="preserve"> au însumat 72,</w:t>
      </w:r>
      <w:r w:rsidR="009D16DA">
        <w:rPr>
          <w:rFonts w:ascii="Tahoma" w:hAnsi="Tahoma" w:cs="Tahoma"/>
          <w:sz w:val="24"/>
          <w:szCs w:val="24"/>
        </w:rPr>
        <w:t>2</w:t>
      </w:r>
      <w:r w:rsidR="007A3AFD">
        <w:rPr>
          <w:rFonts w:ascii="Tahoma" w:hAnsi="Tahoma" w:cs="Tahoma"/>
          <w:sz w:val="24"/>
          <w:szCs w:val="24"/>
        </w:rPr>
        <w:t>4m</w:t>
      </w:r>
      <w:r w:rsidR="00713D80">
        <w:rPr>
          <w:rFonts w:ascii="Tahoma" w:hAnsi="Tahoma" w:cs="Tahoma"/>
          <w:sz w:val="24"/>
          <w:szCs w:val="24"/>
        </w:rPr>
        <w:t>l</w:t>
      </w:r>
      <w:r w:rsidR="007A3AFD">
        <w:rPr>
          <w:rFonts w:ascii="Tahoma" w:hAnsi="Tahoma" w:cs="Tahoma"/>
          <w:sz w:val="24"/>
          <w:szCs w:val="24"/>
        </w:rPr>
        <w:t>d</w:t>
      </w:r>
      <w:r w:rsidR="003C4703">
        <w:rPr>
          <w:rFonts w:ascii="Tahoma" w:hAnsi="Tahoma" w:cs="Tahoma"/>
          <w:sz w:val="24"/>
          <w:szCs w:val="24"/>
        </w:rPr>
        <w:t>.</w:t>
      </w:r>
      <w:r w:rsidR="009D16DA">
        <w:rPr>
          <w:rFonts w:ascii="Tahoma" w:hAnsi="Tahoma" w:cs="Tahoma"/>
          <w:sz w:val="24"/>
          <w:szCs w:val="24"/>
        </w:rPr>
        <w:t>lei (6,7% din PIB)</w:t>
      </w:r>
      <w:r w:rsidR="002F2CFC">
        <w:rPr>
          <w:rFonts w:ascii="Tahoma" w:hAnsi="Tahoma" w:cs="Tahoma"/>
          <w:sz w:val="24"/>
          <w:szCs w:val="24"/>
        </w:rPr>
        <w:t xml:space="preserve"> în primele trei luni ale anului,</w:t>
      </w:r>
      <w:r w:rsidR="007A3AFD">
        <w:rPr>
          <w:rFonts w:ascii="Tahoma" w:hAnsi="Tahoma" w:cs="Tahoma"/>
          <w:sz w:val="24"/>
          <w:szCs w:val="24"/>
        </w:rPr>
        <w:t xml:space="preserve"> cu 10,86m</w:t>
      </w:r>
      <w:r w:rsidR="00713D80">
        <w:rPr>
          <w:rFonts w:ascii="Tahoma" w:hAnsi="Tahoma" w:cs="Tahoma"/>
          <w:sz w:val="24"/>
          <w:szCs w:val="24"/>
        </w:rPr>
        <w:t>l</w:t>
      </w:r>
      <w:r w:rsidR="007A3AFD">
        <w:rPr>
          <w:rFonts w:ascii="Tahoma" w:hAnsi="Tahoma" w:cs="Tahoma"/>
          <w:sz w:val="24"/>
          <w:szCs w:val="24"/>
        </w:rPr>
        <w:t>d</w:t>
      </w:r>
      <w:r w:rsidR="003C4703">
        <w:rPr>
          <w:rFonts w:ascii="Tahoma" w:hAnsi="Tahoma" w:cs="Tahoma"/>
          <w:sz w:val="24"/>
          <w:szCs w:val="24"/>
        </w:rPr>
        <w:t>.</w:t>
      </w:r>
      <w:r w:rsidR="009D16DA">
        <w:rPr>
          <w:rFonts w:ascii="Tahoma" w:hAnsi="Tahoma" w:cs="Tahoma"/>
          <w:sz w:val="24"/>
          <w:szCs w:val="24"/>
        </w:rPr>
        <w:t xml:space="preserve">lei sub nivelul prognozat, </w:t>
      </w:r>
      <w:r w:rsidR="00733F08">
        <w:rPr>
          <w:rFonts w:ascii="Tahoma" w:hAnsi="Tahoma" w:cs="Tahoma"/>
          <w:sz w:val="24"/>
          <w:szCs w:val="24"/>
        </w:rPr>
        <w:t xml:space="preserve">reflectând un </w:t>
      </w:r>
      <w:r w:rsidR="009D16DA" w:rsidRPr="00F24FA0">
        <w:rPr>
          <w:rFonts w:ascii="Tahoma" w:hAnsi="Tahoma" w:cs="Tahoma"/>
          <w:sz w:val="24"/>
          <w:szCs w:val="24"/>
        </w:rPr>
        <w:t>grad</w:t>
      </w:r>
      <w:r w:rsidR="009D16DA" w:rsidRPr="00733F08">
        <w:rPr>
          <w:rFonts w:ascii="Tahoma" w:hAnsi="Tahoma" w:cs="Tahoma"/>
          <w:sz w:val="24"/>
          <w:szCs w:val="24"/>
        </w:rPr>
        <w:t xml:space="preserve"> de realizare a programului de încasări de 86,9%</w:t>
      </w:r>
      <w:r w:rsidR="002F2CFC" w:rsidRPr="00733F08">
        <w:rPr>
          <w:rFonts w:ascii="Tahoma" w:hAnsi="Tahoma" w:cs="Tahoma"/>
          <w:sz w:val="24"/>
          <w:szCs w:val="24"/>
        </w:rPr>
        <w:t>.</w:t>
      </w:r>
    </w:p>
    <w:p w:rsidR="00DD52A5" w:rsidRPr="00292E18" w:rsidRDefault="00DD52A5" w:rsidP="009D16DA">
      <w:pPr>
        <w:tabs>
          <w:tab w:val="left" w:pos="810"/>
          <w:tab w:val="left" w:pos="1134"/>
        </w:tabs>
        <w:spacing w:before="240"/>
        <w:jc w:val="both"/>
        <w:rPr>
          <w:rFonts w:ascii="Tahoma" w:hAnsi="Tahoma" w:cs="Tahoma"/>
          <w:bCs/>
          <w:color w:val="000000"/>
          <w:sz w:val="24"/>
          <w:szCs w:val="24"/>
        </w:rPr>
      </w:pPr>
      <w:r w:rsidRPr="00292E18">
        <w:rPr>
          <w:rFonts w:ascii="Tahoma" w:hAnsi="Tahoma" w:cs="Tahoma"/>
          <w:bCs/>
          <w:color w:val="000000"/>
          <w:sz w:val="24"/>
          <w:szCs w:val="24"/>
        </w:rPr>
        <w:t>Comparativ cu încasările primului trimestru al anului 2019</w:t>
      </w:r>
      <w:r>
        <w:rPr>
          <w:rFonts w:ascii="Tahoma" w:hAnsi="Tahoma" w:cs="Tahoma"/>
          <w:bCs/>
          <w:color w:val="000000"/>
          <w:sz w:val="24"/>
          <w:szCs w:val="24"/>
        </w:rPr>
        <w:t>,</w:t>
      </w:r>
      <w:r w:rsidR="002F2CFC">
        <w:rPr>
          <w:rFonts w:ascii="Tahoma" w:hAnsi="Tahoma" w:cs="Tahoma"/>
          <w:bCs/>
          <w:color w:val="000000"/>
          <w:sz w:val="24"/>
          <w:szCs w:val="24"/>
        </w:rPr>
        <w:t xml:space="preserve">veniturile totale au scăzut </w:t>
      </w:r>
      <w:r w:rsidR="009D16DA" w:rsidRPr="009D16DA">
        <w:rPr>
          <w:rFonts w:ascii="Tahoma" w:hAnsi="Tahoma" w:cs="Tahoma"/>
          <w:bCs/>
          <w:color w:val="000000"/>
          <w:sz w:val="24"/>
          <w:szCs w:val="24"/>
        </w:rPr>
        <w:t>cu 3,3%, reflectând în principal contracția încasărilor bugetare în luna martie (-25,1% an/an) ca urmare a facilităților fiscale acordate pentru susținerea economiei în contextul instituirii stării de urgență. Astfel, dacă valoarea totală a obligațiilor fiscale declarate către ANAF în luna martie 2020 a fost de 24,63 mld</w:t>
      </w:r>
      <w:r w:rsidR="003C4703">
        <w:rPr>
          <w:rFonts w:ascii="Tahoma" w:hAnsi="Tahoma" w:cs="Tahoma"/>
          <w:bCs/>
          <w:color w:val="000000"/>
          <w:sz w:val="24"/>
          <w:szCs w:val="24"/>
        </w:rPr>
        <w:t>.</w:t>
      </w:r>
      <w:r w:rsidR="009D16DA" w:rsidRPr="009D16DA">
        <w:rPr>
          <w:rFonts w:ascii="Tahoma" w:hAnsi="Tahoma" w:cs="Tahoma"/>
          <w:bCs/>
          <w:color w:val="000000"/>
          <w:sz w:val="24"/>
          <w:szCs w:val="24"/>
        </w:rPr>
        <w:t xml:space="preserve"> lei, în creștere cu 8,5% față de sumele declarate în perioada similară din anul 2019, veniturile nete colectate au fost de 16,95 mld</w:t>
      </w:r>
      <w:r w:rsidR="003C4703">
        <w:rPr>
          <w:rFonts w:ascii="Tahoma" w:hAnsi="Tahoma" w:cs="Tahoma"/>
          <w:bCs/>
          <w:color w:val="000000"/>
          <w:sz w:val="24"/>
          <w:szCs w:val="24"/>
        </w:rPr>
        <w:t>.</w:t>
      </w:r>
      <w:r w:rsidR="009D16DA" w:rsidRPr="009D16DA">
        <w:rPr>
          <w:rFonts w:ascii="Tahoma" w:hAnsi="Tahoma" w:cs="Tahoma"/>
          <w:bCs/>
          <w:color w:val="000000"/>
          <w:sz w:val="24"/>
          <w:szCs w:val="24"/>
        </w:rPr>
        <w:t xml:space="preserve"> lei</w:t>
      </w:r>
      <w:r w:rsidR="009D16DA">
        <w:rPr>
          <w:rFonts w:ascii="Tahoma" w:hAnsi="Tahoma" w:cs="Tahoma"/>
          <w:bCs/>
          <w:color w:val="000000"/>
          <w:sz w:val="24"/>
          <w:szCs w:val="24"/>
        </w:rPr>
        <w:t>.</w:t>
      </w:r>
    </w:p>
    <w:p w:rsidR="00DD52A5" w:rsidRPr="00292E18" w:rsidRDefault="00DD52A5" w:rsidP="00DD52A5">
      <w:pPr>
        <w:tabs>
          <w:tab w:val="left" w:pos="810"/>
          <w:tab w:val="left" w:pos="1134"/>
        </w:tabs>
        <w:spacing w:before="240"/>
        <w:jc w:val="both"/>
        <w:rPr>
          <w:rFonts w:ascii="Tahoma" w:hAnsi="Tahoma" w:cs="Tahoma"/>
          <w:bCs/>
          <w:color w:val="000000"/>
          <w:sz w:val="24"/>
          <w:szCs w:val="24"/>
        </w:rPr>
      </w:pPr>
      <w:r>
        <w:rPr>
          <w:rFonts w:ascii="Tahoma" w:hAnsi="Tahoma" w:cs="Tahoma"/>
          <w:bCs/>
          <w:color w:val="000000"/>
          <w:sz w:val="24"/>
          <w:szCs w:val="24"/>
        </w:rPr>
        <w:lastRenderedPageBreak/>
        <w:t>Principalele mă</w:t>
      </w:r>
      <w:r w:rsidRPr="00292E18">
        <w:rPr>
          <w:rFonts w:ascii="Tahoma" w:hAnsi="Tahoma" w:cs="Tahoma"/>
          <w:bCs/>
          <w:color w:val="000000"/>
          <w:sz w:val="24"/>
          <w:szCs w:val="24"/>
        </w:rPr>
        <w:t>suri fiscal bugetare a</w:t>
      </w:r>
      <w:r>
        <w:rPr>
          <w:rFonts w:ascii="Tahoma" w:hAnsi="Tahoma" w:cs="Tahoma"/>
          <w:bCs/>
          <w:color w:val="000000"/>
          <w:sz w:val="24"/>
          <w:szCs w:val="24"/>
        </w:rPr>
        <w:t xml:space="preserve">probate, cu </w:t>
      </w:r>
      <w:r w:rsidR="002E5330">
        <w:rPr>
          <w:rFonts w:ascii="Tahoma" w:hAnsi="Tahoma" w:cs="Tahoma"/>
          <w:bCs/>
          <w:color w:val="000000"/>
          <w:sz w:val="24"/>
          <w:szCs w:val="24"/>
        </w:rPr>
        <w:t xml:space="preserve">impact </w:t>
      </w:r>
      <w:r>
        <w:rPr>
          <w:rFonts w:ascii="Tahoma" w:hAnsi="Tahoma" w:cs="Tahoma"/>
          <w:bCs/>
          <w:color w:val="000000"/>
          <w:sz w:val="24"/>
          <w:szCs w:val="24"/>
        </w:rPr>
        <w:t>asupra colectă</w:t>
      </w:r>
      <w:r w:rsidRPr="00292E18">
        <w:rPr>
          <w:rFonts w:ascii="Tahoma" w:hAnsi="Tahoma" w:cs="Tahoma"/>
          <w:bCs/>
          <w:color w:val="000000"/>
          <w:sz w:val="24"/>
          <w:szCs w:val="24"/>
        </w:rPr>
        <w:t xml:space="preserve">rii veniturilor </w:t>
      </w:r>
      <w:r w:rsidR="002E5330">
        <w:rPr>
          <w:rFonts w:ascii="Tahoma" w:hAnsi="Tahoma" w:cs="Tahoma"/>
          <w:bCs/>
          <w:color w:val="000000"/>
          <w:sz w:val="24"/>
          <w:szCs w:val="24"/>
        </w:rPr>
        <w:t>î</w:t>
      </w:r>
      <w:r w:rsidRPr="00292E18">
        <w:rPr>
          <w:rFonts w:ascii="Tahoma" w:hAnsi="Tahoma" w:cs="Tahoma"/>
          <w:bCs/>
          <w:color w:val="000000"/>
          <w:sz w:val="24"/>
          <w:szCs w:val="24"/>
        </w:rPr>
        <w:t>n trimestrul I 2020</w:t>
      </w:r>
      <w:r w:rsidR="00C06FA2">
        <w:rPr>
          <w:rFonts w:ascii="Tahoma" w:hAnsi="Tahoma" w:cs="Tahoma"/>
          <w:bCs/>
          <w:color w:val="000000"/>
          <w:sz w:val="24"/>
          <w:szCs w:val="24"/>
        </w:rPr>
        <w:t>:</w:t>
      </w:r>
    </w:p>
    <w:p w:rsidR="00733F08" w:rsidRPr="007C6A86" w:rsidRDefault="002F2CFC" w:rsidP="007C6A86">
      <w:pPr>
        <w:pStyle w:val="ListParagraph"/>
        <w:numPr>
          <w:ilvl w:val="0"/>
          <w:numId w:val="16"/>
        </w:numPr>
        <w:tabs>
          <w:tab w:val="left" w:pos="810"/>
          <w:tab w:val="left" w:pos="1134"/>
        </w:tabs>
        <w:spacing w:before="240"/>
        <w:ind w:left="714" w:hanging="357"/>
        <w:contextualSpacing w:val="0"/>
        <w:jc w:val="both"/>
        <w:rPr>
          <w:rFonts w:ascii="Tahoma" w:hAnsi="Tahoma" w:cs="Tahoma"/>
          <w:bCs/>
          <w:color w:val="000000"/>
          <w:sz w:val="24"/>
          <w:szCs w:val="24"/>
        </w:rPr>
      </w:pPr>
      <w:r w:rsidRPr="007C6A86">
        <w:rPr>
          <w:rFonts w:ascii="Tahoma" w:hAnsi="Tahoma" w:cs="Tahoma"/>
          <w:bCs/>
          <w:color w:val="000000"/>
          <w:sz w:val="24"/>
          <w:szCs w:val="24"/>
        </w:rPr>
        <w:t xml:space="preserve">Conform </w:t>
      </w:r>
      <w:r w:rsidR="00733F08" w:rsidRPr="007C6A86">
        <w:rPr>
          <w:rFonts w:ascii="Tahoma" w:hAnsi="Tahoma" w:cs="Tahoma"/>
          <w:bCs/>
          <w:color w:val="000000"/>
          <w:sz w:val="24"/>
          <w:szCs w:val="24"/>
        </w:rPr>
        <w:t>OUG</w:t>
      </w:r>
      <w:r w:rsidR="00DD52A5" w:rsidRPr="007C6A86">
        <w:rPr>
          <w:rFonts w:ascii="Tahoma" w:hAnsi="Tahoma" w:cs="Tahoma"/>
          <w:bCs/>
          <w:color w:val="000000"/>
          <w:sz w:val="24"/>
          <w:szCs w:val="24"/>
        </w:rPr>
        <w:t xml:space="preserve"> nr.29/2020 privind unele măsuri economice și fiscal bugetare pentru sprijinirea mediului de afaceri, nu se calculează și nu se datorează dobânzi și penalități de întârziere pentru obligațiile fiscale scadente începând cu data de 21 martie 2020 și neachitate </w:t>
      </w:r>
      <w:r w:rsidR="003308B1">
        <w:rPr>
          <w:rFonts w:ascii="Tahoma" w:hAnsi="Tahoma" w:cs="Tahoma"/>
          <w:bCs/>
          <w:color w:val="000000"/>
          <w:sz w:val="24"/>
          <w:szCs w:val="24"/>
        </w:rPr>
        <w:t>în termen de 30 de zile de la încetarea stării de urgență</w:t>
      </w:r>
      <w:r w:rsidR="00DD52A5" w:rsidRPr="007C6A86">
        <w:rPr>
          <w:rFonts w:ascii="Tahoma" w:hAnsi="Tahoma" w:cs="Tahoma"/>
          <w:bCs/>
          <w:color w:val="000000"/>
          <w:sz w:val="24"/>
          <w:szCs w:val="24"/>
        </w:rPr>
        <w:t>, iar pentru persoanele fizice și juridice se prorogă termenul de plată pentru impozitul pe clădiri, impozitul pe teren, respectiv impozitul pe mijloacele de transport de la 31 martie 2020 la 30 iunie 2020.</w:t>
      </w:r>
    </w:p>
    <w:p w:rsidR="00733F08" w:rsidRPr="007C6A86" w:rsidRDefault="00DD52A5" w:rsidP="007C6A86">
      <w:pPr>
        <w:pStyle w:val="ListParagraph"/>
        <w:numPr>
          <w:ilvl w:val="0"/>
          <w:numId w:val="16"/>
        </w:numPr>
        <w:tabs>
          <w:tab w:val="left" w:pos="810"/>
          <w:tab w:val="left" w:pos="1134"/>
        </w:tabs>
        <w:spacing w:before="240"/>
        <w:ind w:left="714" w:hanging="357"/>
        <w:contextualSpacing w:val="0"/>
        <w:jc w:val="both"/>
        <w:rPr>
          <w:rFonts w:ascii="Tahoma" w:hAnsi="Tahoma" w:cs="Tahoma"/>
          <w:bCs/>
          <w:color w:val="000000"/>
          <w:sz w:val="24"/>
          <w:szCs w:val="24"/>
        </w:rPr>
      </w:pPr>
      <w:r w:rsidRPr="007C6A86">
        <w:rPr>
          <w:rFonts w:ascii="Tahoma" w:hAnsi="Tahoma" w:cs="Tahoma"/>
          <w:bCs/>
          <w:color w:val="000000"/>
          <w:sz w:val="24"/>
          <w:szCs w:val="24"/>
        </w:rPr>
        <w:t xml:space="preserve">Ordonanța Guvernului nr.6/2020 pentru modificarea și completarea Legii nr.227/2015 privind Codul Fiscal, precum și pentru reglementarea unor măsuri financiare, prevede prorogarea termenului prevăzut pentru depunerea Declarației unice privind impozitul pe venit și contribuțiile sociale datorate de persoanele fizice, </w:t>
      </w:r>
      <w:r w:rsidR="00733F08" w:rsidRPr="00223D31">
        <w:rPr>
          <w:rFonts w:ascii="Tahoma" w:hAnsi="Tahoma" w:cs="Tahoma"/>
          <w:bCs/>
          <w:color w:val="000000"/>
          <w:sz w:val="24"/>
          <w:szCs w:val="24"/>
        </w:rPr>
        <w:t xml:space="preserve">de </w:t>
      </w:r>
      <w:r w:rsidR="00733F08">
        <w:rPr>
          <w:rFonts w:ascii="Tahoma" w:hAnsi="Tahoma" w:cs="Tahoma"/>
          <w:bCs/>
          <w:color w:val="000000"/>
          <w:sz w:val="24"/>
          <w:szCs w:val="24"/>
        </w:rPr>
        <w:t xml:space="preserve">la </w:t>
      </w:r>
      <w:r w:rsidR="00733F08" w:rsidRPr="00223D31">
        <w:rPr>
          <w:rFonts w:ascii="Tahoma" w:hAnsi="Tahoma" w:cs="Tahoma"/>
          <w:bCs/>
          <w:color w:val="000000"/>
          <w:sz w:val="24"/>
          <w:szCs w:val="24"/>
        </w:rPr>
        <w:t>15 martie</w:t>
      </w:r>
      <w:r w:rsidRPr="007C6A86">
        <w:rPr>
          <w:rFonts w:ascii="Tahoma" w:hAnsi="Tahoma" w:cs="Tahoma"/>
          <w:bCs/>
          <w:color w:val="000000"/>
          <w:sz w:val="24"/>
          <w:szCs w:val="24"/>
        </w:rPr>
        <w:t>la data de 25 mai inclusiv.</w:t>
      </w:r>
    </w:p>
    <w:p w:rsidR="00DD52A5" w:rsidRPr="007C6A86" w:rsidRDefault="00D16CCD" w:rsidP="007C6A86">
      <w:pPr>
        <w:pStyle w:val="ListParagraph"/>
        <w:numPr>
          <w:ilvl w:val="0"/>
          <w:numId w:val="16"/>
        </w:numPr>
        <w:tabs>
          <w:tab w:val="left" w:pos="810"/>
          <w:tab w:val="left" w:pos="1134"/>
        </w:tabs>
        <w:spacing w:before="240"/>
        <w:ind w:left="714" w:hanging="357"/>
        <w:contextualSpacing w:val="0"/>
        <w:jc w:val="both"/>
        <w:rPr>
          <w:rFonts w:ascii="Tahoma" w:hAnsi="Tahoma" w:cs="Tahoma"/>
          <w:bCs/>
          <w:color w:val="000000"/>
          <w:sz w:val="24"/>
          <w:szCs w:val="24"/>
        </w:rPr>
      </w:pPr>
      <w:r>
        <w:rPr>
          <w:rFonts w:ascii="Tahoma" w:hAnsi="Tahoma" w:cs="Tahoma"/>
          <w:bCs/>
          <w:color w:val="000000"/>
          <w:sz w:val="24"/>
          <w:szCs w:val="24"/>
        </w:rPr>
        <w:t>HG</w:t>
      </w:r>
      <w:r w:rsidR="00DD52A5" w:rsidRPr="007C6A86">
        <w:rPr>
          <w:rFonts w:ascii="Tahoma" w:hAnsi="Tahoma" w:cs="Tahoma"/>
          <w:bCs/>
          <w:color w:val="000000"/>
          <w:sz w:val="24"/>
          <w:szCs w:val="24"/>
        </w:rPr>
        <w:t xml:space="preserve"> nr.226/2020 privind stabilirea cuantumului taxei de licență pentru prelungirea unor licențe de utilizare a frecvențelor radio, potrivit căreia se stabilește cuantumul taxei de licență pentru drepturile de utilizare a frecvențelor radio existente în banda de frecvențe radio duplex 1920-1980 MHz/2110-2170 MHz, ce ajung la termen în data de 31 martie 2020, pentru perioada 1 aprilie 2020-31 decembrie 2031, este echivalentul în lei a 30 </w:t>
      </w:r>
      <w:r w:rsidR="00713D80">
        <w:rPr>
          <w:rFonts w:ascii="Tahoma" w:hAnsi="Tahoma" w:cs="Tahoma"/>
          <w:bCs/>
          <w:color w:val="000000"/>
          <w:sz w:val="24"/>
          <w:szCs w:val="24"/>
        </w:rPr>
        <w:t>mil</w:t>
      </w:r>
      <w:r w:rsidR="00DD52A5" w:rsidRPr="007C6A86">
        <w:rPr>
          <w:rFonts w:ascii="Tahoma" w:hAnsi="Tahoma" w:cs="Tahoma"/>
          <w:bCs/>
          <w:color w:val="000000"/>
          <w:sz w:val="24"/>
          <w:szCs w:val="24"/>
        </w:rPr>
        <w:t>euro/licență.</w:t>
      </w:r>
    </w:p>
    <w:p w:rsidR="00DD52A5" w:rsidRDefault="00DD52A5" w:rsidP="00187781">
      <w:pPr>
        <w:tabs>
          <w:tab w:val="left" w:pos="810"/>
          <w:tab w:val="left" w:pos="1134"/>
        </w:tabs>
        <w:spacing w:before="240"/>
        <w:jc w:val="both"/>
        <w:rPr>
          <w:rFonts w:ascii="Tahoma" w:hAnsi="Tahoma" w:cs="Tahoma"/>
          <w:sz w:val="24"/>
          <w:szCs w:val="24"/>
        </w:rPr>
      </w:pPr>
      <w:r w:rsidRPr="00640FBB">
        <w:rPr>
          <w:rFonts w:ascii="Tahoma" w:hAnsi="Tahoma" w:cs="Tahoma"/>
          <w:b/>
          <w:bCs/>
          <w:i/>
          <w:sz w:val="24"/>
          <w:szCs w:val="24"/>
        </w:rPr>
        <w:t>Veniturile încasatedin economia internă</w:t>
      </w:r>
      <w:r w:rsidRPr="00292E18">
        <w:rPr>
          <w:rFonts w:ascii="Tahoma" w:hAnsi="Tahoma" w:cs="Tahoma"/>
          <w:sz w:val="24"/>
          <w:szCs w:val="24"/>
        </w:rPr>
        <w:t xml:space="preserve"> (fără fonduri de la Uniunea Europeană) au fost în sumă de </w:t>
      </w:r>
      <w:r w:rsidRPr="00292E18">
        <w:rPr>
          <w:rFonts w:ascii="Tahoma" w:hAnsi="Tahoma" w:cs="Tahoma"/>
          <w:bCs/>
          <w:sz w:val="24"/>
          <w:szCs w:val="24"/>
        </w:rPr>
        <w:t>68</w:t>
      </w:r>
      <w:r w:rsidR="007A3AFD">
        <w:rPr>
          <w:rFonts w:ascii="Tahoma" w:hAnsi="Tahoma" w:cs="Tahoma"/>
          <w:bCs/>
          <w:sz w:val="24"/>
          <w:szCs w:val="24"/>
        </w:rPr>
        <w:t>,</w:t>
      </w:r>
      <w:r w:rsidRPr="00292E18">
        <w:rPr>
          <w:rFonts w:ascii="Tahoma" w:hAnsi="Tahoma" w:cs="Tahoma"/>
          <w:bCs/>
          <w:sz w:val="24"/>
          <w:szCs w:val="24"/>
        </w:rPr>
        <w:t>3</w:t>
      </w:r>
      <w:r w:rsidR="007A3AFD">
        <w:rPr>
          <w:rFonts w:ascii="Tahoma" w:hAnsi="Tahoma" w:cs="Tahoma"/>
          <w:bCs/>
          <w:sz w:val="24"/>
          <w:szCs w:val="24"/>
        </w:rPr>
        <w:t>4m</w:t>
      </w:r>
      <w:r w:rsidR="00713D80">
        <w:rPr>
          <w:rFonts w:ascii="Tahoma" w:hAnsi="Tahoma" w:cs="Tahoma"/>
          <w:bCs/>
          <w:sz w:val="24"/>
          <w:szCs w:val="24"/>
        </w:rPr>
        <w:t>l</w:t>
      </w:r>
      <w:r w:rsidR="007A3AFD">
        <w:rPr>
          <w:rFonts w:ascii="Tahoma" w:hAnsi="Tahoma" w:cs="Tahoma"/>
          <w:bCs/>
          <w:sz w:val="24"/>
          <w:szCs w:val="24"/>
        </w:rPr>
        <w:t>d</w:t>
      </w:r>
      <w:r w:rsidR="003C4703">
        <w:rPr>
          <w:rFonts w:ascii="Tahoma" w:hAnsi="Tahoma" w:cs="Tahoma"/>
          <w:bCs/>
          <w:sz w:val="24"/>
          <w:szCs w:val="24"/>
        </w:rPr>
        <w:t>.</w:t>
      </w:r>
      <w:r w:rsidRPr="00292E18">
        <w:rPr>
          <w:rFonts w:ascii="Tahoma" w:hAnsi="Tahoma" w:cs="Tahoma"/>
          <w:bCs/>
          <w:sz w:val="24"/>
          <w:szCs w:val="24"/>
        </w:rPr>
        <w:t>lei,</w:t>
      </w:r>
      <w:r w:rsidRPr="00292E18">
        <w:rPr>
          <w:rFonts w:ascii="Tahoma" w:hAnsi="Tahoma" w:cs="Tahoma"/>
          <w:sz w:val="24"/>
          <w:szCs w:val="24"/>
        </w:rPr>
        <w:t xml:space="preserve">reprezentând 6,3% ca pondere în PIB </w:t>
      </w:r>
      <w:r w:rsidR="009D16DA" w:rsidRPr="00292E18">
        <w:rPr>
          <w:rFonts w:ascii="Tahoma" w:hAnsi="Tahoma" w:cs="Tahoma"/>
          <w:sz w:val="24"/>
          <w:szCs w:val="24"/>
        </w:rPr>
        <w:t>și</w:t>
      </w:r>
      <w:r w:rsidRPr="00292E18">
        <w:rPr>
          <w:rFonts w:ascii="Tahoma" w:hAnsi="Tahoma" w:cs="Tahoma"/>
          <w:sz w:val="24"/>
          <w:szCs w:val="24"/>
        </w:rPr>
        <w:t xml:space="preserve"> un grad de realizare a programului trimestrial de 87,4%.</w:t>
      </w:r>
    </w:p>
    <w:p w:rsidR="00187781" w:rsidRPr="00187781" w:rsidRDefault="00595DE7" w:rsidP="00187781">
      <w:pPr>
        <w:tabs>
          <w:tab w:val="left" w:pos="810"/>
          <w:tab w:val="left" w:pos="1134"/>
        </w:tabs>
        <w:spacing w:before="240"/>
        <w:jc w:val="both"/>
        <w:rPr>
          <w:rFonts w:ascii="Tahoma" w:hAnsi="Tahoma" w:cs="Tahoma"/>
          <w:sz w:val="24"/>
          <w:szCs w:val="24"/>
        </w:rPr>
      </w:pPr>
      <w:r>
        <w:rPr>
          <w:rFonts w:ascii="Tahoma" w:hAnsi="Tahoma" w:cs="Tahoma"/>
          <w:noProof/>
          <w:sz w:val="24"/>
          <w:szCs w:val="24"/>
          <w:lang w:eastAsia="ro-RO"/>
        </w:rPr>
        <w:drawing>
          <wp:inline distT="0" distB="0" distL="0" distR="0">
            <wp:extent cx="6236970" cy="27717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36970" cy="2771775"/>
                    </a:xfrm>
                    <a:prstGeom prst="rect">
                      <a:avLst/>
                    </a:prstGeom>
                    <a:noFill/>
                  </pic:spPr>
                </pic:pic>
              </a:graphicData>
            </a:graphic>
          </wp:inline>
        </w:drawing>
      </w:r>
    </w:p>
    <w:p w:rsidR="00DD52A5" w:rsidRDefault="00DD52A5" w:rsidP="009D16DA">
      <w:pPr>
        <w:pStyle w:val="NormalWeb"/>
        <w:shd w:val="clear" w:color="auto" w:fill="FFFFFF"/>
        <w:tabs>
          <w:tab w:val="left" w:pos="142"/>
        </w:tabs>
        <w:spacing w:before="280"/>
        <w:ind w:right="-57" w:firstLine="0"/>
        <w:rPr>
          <w:rFonts w:ascii="Tahoma" w:hAnsi="Tahoma" w:cs="Tahoma"/>
          <w:color w:val="auto"/>
          <w:lang w:val="ro-RO"/>
        </w:rPr>
      </w:pPr>
      <w:r w:rsidRPr="00640FBB">
        <w:rPr>
          <w:rFonts w:ascii="Tahoma" w:hAnsi="Tahoma" w:cs="Tahoma"/>
          <w:b/>
          <w:bCs/>
          <w:i/>
          <w:color w:val="00000A"/>
          <w:lang w:val="ro-RO"/>
        </w:rPr>
        <w:lastRenderedPageBreak/>
        <w:t>Veniturile fiscale</w:t>
      </w:r>
      <w:r w:rsidRPr="00292E18">
        <w:rPr>
          <w:rFonts w:ascii="Tahoma" w:hAnsi="Tahoma" w:cs="Tahoma"/>
          <w:color w:val="00000A"/>
          <w:lang w:val="ro-RO"/>
        </w:rPr>
        <w:t xml:space="preserve"> au </w:t>
      </w:r>
      <w:r w:rsidR="00C06FA2">
        <w:rPr>
          <w:rFonts w:ascii="Tahoma" w:hAnsi="Tahoma" w:cs="Tahoma"/>
          <w:color w:val="00000A"/>
          <w:lang w:val="ro-RO"/>
        </w:rPr>
        <w:t>însumat</w:t>
      </w:r>
      <w:r w:rsidRPr="00292E18">
        <w:rPr>
          <w:rFonts w:ascii="Tahoma" w:hAnsi="Tahoma" w:cs="Tahoma"/>
          <w:color w:val="00000A"/>
          <w:lang w:val="ro-RO"/>
        </w:rPr>
        <w:t xml:space="preserve"> 35</w:t>
      </w:r>
      <w:r w:rsidR="00595DE7">
        <w:rPr>
          <w:rFonts w:ascii="Tahoma" w:hAnsi="Tahoma" w:cs="Tahoma"/>
          <w:color w:val="00000A"/>
          <w:lang w:val="ro-RO"/>
        </w:rPr>
        <w:t>,</w:t>
      </w:r>
      <w:r w:rsidRPr="00292E18">
        <w:rPr>
          <w:rFonts w:ascii="Tahoma" w:hAnsi="Tahoma" w:cs="Tahoma"/>
          <w:color w:val="00000A"/>
          <w:lang w:val="ro-RO"/>
        </w:rPr>
        <w:t xml:space="preserve">34 </w:t>
      </w:r>
      <w:r w:rsidR="00595DE7">
        <w:rPr>
          <w:rFonts w:ascii="Tahoma" w:hAnsi="Tahoma" w:cs="Tahoma"/>
          <w:color w:val="00000A"/>
          <w:lang w:val="ro-RO"/>
        </w:rPr>
        <w:t>m</w:t>
      </w:r>
      <w:r w:rsidR="00713D80">
        <w:rPr>
          <w:rFonts w:ascii="Tahoma" w:hAnsi="Tahoma" w:cs="Tahoma"/>
          <w:color w:val="00000A"/>
          <w:lang w:val="ro-RO"/>
        </w:rPr>
        <w:t>l</w:t>
      </w:r>
      <w:r w:rsidR="00595DE7">
        <w:rPr>
          <w:rFonts w:ascii="Tahoma" w:hAnsi="Tahoma" w:cs="Tahoma"/>
          <w:color w:val="00000A"/>
          <w:lang w:val="ro-RO"/>
        </w:rPr>
        <w:t>d</w:t>
      </w:r>
      <w:r w:rsidR="003C4703">
        <w:rPr>
          <w:rFonts w:ascii="Tahoma" w:hAnsi="Tahoma" w:cs="Tahoma"/>
          <w:color w:val="00000A"/>
          <w:lang w:val="ro-RO"/>
        </w:rPr>
        <w:t>.</w:t>
      </w:r>
      <w:r w:rsidRPr="00292E18">
        <w:rPr>
          <w:rFonts w:ascii="Tahoma" w:hAnsi="Tahoma" w:cs="Tahoma"/>
          <w:color w:val="00000A"/>
          <w:lang w:val="ro-RO"/>
        </w:rPr>
        <w:t xml:space="preserve">lei și s-au realizat în proporție de 82,4%. Acestea au reprezentat 3,3% din PIB, </w:t>
      </w:r>
      <w:r w:rsidRPr="00292E18">
        <w:rPr>
          <w:rFonts w:ascii="Tahoma" w:hAnsi="Tahoma" w:cs="Tahoma"/>
          <w:color w:val="auto"/>
          <w:lang w:val="ro-RO"/>
        </w:rPr>
        <w:t>fiind cu 9,6% mai mici comparativ cu încasările primului trimestru al anului 2019.</w:t>
      </w:r>
    </w:p>
    <w:p w:rsidR="00620465" w:rsidRDefault="00620465" w:rsidP="009D16DA">
      <w:pPr>
        <w:pStyle w:val="NormalWeb"/>
        <w:shd w:val="clear" w:color="auto" w:fill="FFFFFF"/>
        <w:tabs>
          <w:tab w:val="left" w:pos="142"/>
        </w:tabs>
        <w:spacing w:before="280"/>
        <w:ind w:right="-57" w:firstLine="0"/>
        <w:rPr>
          <w:rFonts w:ascii="Tahoma" w:hAnsi="Tahoma" w:cs="Tahoma"/>
          <w:color w:val="auto"/>
          <w:lang w:val="ro-RO"/>
        </w:rPr>
      </w:pPr>
      <w:r w:rsidRPr="00620465">
        <w:rPr>
          <w:noProof/>
          <w:lang w:val="ro-RO" w:eastAsia="ro-RO"/>
        </w:rPr>
        <w:drawing>
          <wp:inline distT="0" distB="0" distL="0" distR="0">
            <wp:extent cx="6086475" cy="3141651"/>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083997" cy="3140372"/>
                    </a:xfrm>
                    <a:prstGeom prst="rect">
                      <a:avLst/>
                    </a:prstGeom>
                    <a:noFill/>
                    <a:ln w="9525">
                      <a:noFill/>
                      <a:miter lim="800000"/>
                      <a:headEnd/>
                      <a:tailEnd/>
                    </a:ln>
                  </pic:spPr>
                </pic:pic>
              </a:graphicData>
            </a:graphic>
          </wp:inline>
        </w:drawing>
      </w:r>
    </w:p>
    <w:p w:rsidR="00DD52A5" w:rsidRPr="00292E18" w:rsidRDefault="00222906" w:rsidP="009D16DA">
      <w:pPr>
        <w:pStyle w:val="NormalWeb"/>
        <w:shd w:val="clear" w:color="auto" w:fill="FFFFFF"/>
        <w:spacing w:before="120" w:after="120"/>
        <w:ind w:right="-58" w:firstLine="0"/>
        <w:rPr>
          <w:rFonts w:ascii="Tahoma" w:hAnsi="Tahoma" w:cs="Tahoma"/>
          <w:color w:val="00000A"/>
          <w:lang w:val="ro-RO"/>
        </w:rPr>
      </w:pPr>
      <w:r>
        <w:rPr>
          <w:rFonts w:ascii="Tahoma" w:hAnsi="Tahoma" w:cs="Tahoma"/>
          <w:lang w:val="ro-RO"/>
        </w:rPr>
        <w:t>În</w:t>
      </w:r>
      <w:r w:rsidR="0079445D" w:rsidRPr="007C6A86">
        <w:rPr>
          <w:rFonts w:ascii="Tahoma" w:hAnsi="Tahoma" w:cs="Tahoma"/>
          <w:lang w:val="ro-RO"/>
        </w:rPr>
        <w:t xml:space="preserve"> primul trimestru</w:t>
      </w:r>
      <w:r w:rsidR="008849D9">
        <w:rPr>
          <w:rFonts w:ascii="Tahoma" w:hAnsi="Tahoma" w:cs="Tahoma"/>
          <w:lang w:val="ro-RO"/>
        </w:rPr>
        <w:t xml:space="preserve"> al anului 2020</w:t>
      </w:r>
      <w:r w:rsidR="0079445D" w:rsidRPr="007C6A86">
        <w:rPr>
          <w:rFonts w:ascii="Tahoma" w:hAnsi="Tahoma" w:cs="Tahoma"/>
          <w:lang w:val="ro-RO"/>
        </w:rPr>
        <w:t>, î</w:t>
      </w:r>
      <w:r w:rsidR="00DD52A5" w:rsidRPr="0079445D">
        <w:rPr>
          <w:rFonts w:ascii="Tahoma" w:hAnsi="Tahoma" w:cs="Tahoma"/>
          <w:lang w:val="ro-RO"/>
        </w:rPr>
        <w:t>ncasările pe principalele categorii de impozite</w:t>
      </w:r>
      <w:r w:rsidR="00826F2E">
        <w:rPr>
          <w:rFonts w:ascii="Tahoma" w:hAnsi="Tahoma" w:cs="Tahoma"/>
          <w:lang w:val="ro-RO"/>
        </w:rPr>
        <w:t xml:space="preserve"> </w:t>
      </w:r>
      <w:r w:rsidR="00DD52A5" w:rsidRPr="0079445D">
        <w:rPr>
          <w:rFonts w:ascii="Tahoma" w:hAnsi="Tahoma" w:cs="Tahoma"/>
          <w:lang w:val="ro-RO"/>
        </w:rPr>
        <w:t>au înregistrat următoarea evoluție:</w:t>
      </w:r>
    </w:p>
    <w:p w:rsidR="00DD52A5" w:rsidRPr="00292E18" w:rsidRDefault="00DD52A5" w:rsidP="009D16DA">
      <w:pPr>
        <w:pStyle w:val="NormalWeb"/>
        <w:shd w:val="clear" w:color="auto" w:fill="FFFFFF"/>
        <w:tabs>
          <w:tab w:val="left" w:pos="810"/>
        </w:tabs>
        <w:spacing w:before="120" w:after="120"/>
        <w:ind w:right="-58" w:firstLine="0"/>
        <w:rPr>
          <w:rFonts w:ascii="Tahoma" w:hAnsi="Tahoma" w:cs="Tahoma"/>
          <w:color w:val="auto"/>
          <w:lang w:val="ro-RO"/>
        </w:rPr>
      </w:pPr>
      <w:r w:rsidRPr="00292E18">
        <w:rPr>
          <w:rFonts w:ascii="Tahoma" w:hAnsi="Tahoma" w:cs="Tahoma"/>
          <w:color w:val="auto"/>
          <w:lang w:val="ro-RO"/>
        </w:rPr>
        <w:t xml:space="preserve">Încasările din </w:t>
      </w:r>
      <w:r w:rsidRPr="00640FBB">
        <w:rPr>
          <w:rFonts w:ascii="Tahoma" w:hAnsi="Tahoma" w:cs="Tahoma"/>
          <w:b/>
          <w:i/>
          <w:color w:val="auto"/>
          <w:lang w:val="ro-RO"/>
        </w:rPr>
        <w:t>impozitul pe profit</w:t>
      </w:r>
      <w:r w:rsidR="00733F08">
        <w:rPr>
          <w:rFonts w:ascii="Tahoma" w:hAnsi="Tahoma" w:cs="Tahoma"/>
          <w:color w:val="auto"/>
          <w:lang w:val="ro-RO"/>
        </w:rPr>
        <w:t xml:space="preserve"> au însumat </w:t>
      </w:r>
      <w:r w:rsidR="00595DE7">
        <w:rPr>
          <w:rFonts w:ascii="Tahoma" w:hAnsi="Tahoma" w:cs="Tahoma"/>
          <w:color w:val="auto"/>
          <w:lang w:val="ro-RO"/>
        </w:rPr>
        <w:t>2,</w:t>
      </w:r>
      <w:r w:rsidRPr="00292E18">
        <w:rPr>
          <w:rFonts w:ascii="Tahoma" w:hAnsi="Tahoma" w:cs="Tahoma"/>
          <w:color w:val="auto"/>
          <w:lang w:val="ro-RO"/>
        </w:rPr>
        <w:t>8</w:t>
      </w:r>
      <w:r w:rsidR="00595DE7">
        <w:rPr>
          <w:rFonts w:ascii="Tahoma" w:hAnsi="Tahoma" w:cs="Tahoma"/>
          <w:color w:val="auto"/>
          <w:lang w:val="ro-RO"/>
        </w:rPr>
        <w:t>6</w:t>
      </w:r>
      <w:r w:rsidR="00826F2E">
        <w:rPr>
          <w:rFonts w:ascii="Tahoma" w:hAnsi="Tahoma" w:cs="Tahoma"/>
          <w:color w:val="auto"/>
          <w:lang w:val="ro-RO"/>
        </w:rPr>
        <w:t xml:space="preserve"> </w:t>
      </w:r>
      <w:r w:rsidR="00713D80">
        <w:rPr>
          <w:rFonts w:ascii="Tahoma" w:hAnsi="Tahoma" w:cs="Tahoma"/>
          <w:color w:val="auto"/>
          <w:lang w:val="ro-RO"/>
        </w:rPr>
        <w:t>ml</w:t>
      </w:r>
      <w:r w:rsidR="00595DE7">
        <w:rPr>
          <w:rFonts w:ascii="Tahoma" w:hAnsi="Tahoma" w:cs="Tahoma"/>
          <w:color w:val="auto"/>
          <w:lang w:val="ro-RO"/>
        </w:rPr>
        <w:t>d</w:t>
      </w:r>
      <w:r w:rsidR="003C4703">
        <w:rPr>
          <w:rFonts w:ascii="Tahoma" w:hAnsi="Tahoma" w:cs="Tahoma"/>
          <w:color w:val="auto"/>
          <w:lang w:val="ro-RO"/>
        </w:rPr>
        <w:t>.</w:t>
      </w:r>
      <w:r w:rsidRPr="00292E18">
        <w:rPr>
          <w:rFonts w:ascii="Tahoma" w:hAnsi="Tahoma" w:cs="Tahoma"/>
          <w:color w:val="auto"/>
          <w:lang w:val="ro-RO"/>
        </w:rPr>
        <w:t>lei (0,3% din PIB)</w:t>
      </w:r>
      <w:r w:rsidR="00733F08">
        <w:rPr>
          <w:rFonts w:ascii="Tahoma" w:hAnsi="Tahoma" w:cs="Tahoma"/>
          <w:color w:val="auto"/>
          <w:lang w:val="ro-RO"/>
        </w:rPr>
        <w:t>,</w:t>
      </w:r>
      <w:r w:rsidRPr="00292E18">
        <w:rPr>
          <w:rFonts w:ascii="Tahoma" w:hAnsi="Tahoma" w:cs="Tahoma"/>
          <w:color w:val="auto"/>
          <w:lang w:val="ro-RO"/>
        </w:rPr>
        <w:t xml:space="preserve"> reflect</w:t>
      </w:r>
      <w:r w:rsidR="00733F08">
        <w:rPr>
          <w:rFonts w:ascii="Tahoma" w:hAnsi="Tahoma" w:cs="Tahoma"/>
          <w:color w:val="auto"/>
          <w:lang w:val="ro-RO"/>
        </w:rPr>
        <w:t>ând</w:t>
      </w:r>
      <w:r w:rsidRPr="00292E18">
        <w:rPr>
          <w:rFonts w:ascii="Tahoma" w:hAnsi="Tahoma" w:cs="Tahoma"/>
          <w:color w:val="auto"/>
          <w:lang w:val="ro-RO"/>
        </w:rPr>
        <w:t xml:space="preserve"> în principal pl</w:t>
      </w:r>
      <w:r w:rsidR="00222906">
        <w:rPr>
          <w:rFonts w:ascii="Tahoma" w:hAnsi="Tahoma" w:cs="Tahoma"/>
          <w:color w:val="auto"/>
          <w:lang w:val="ro-RO"/>
        </w:rPr>
        <w:t>ă</w:t>
      </w:r>
      <w:r w:rsidRPr="00292E18">
        <w:rPr>
          <w:rFonts w:ascii="Tahoma" w:hAnsi="Tahoma" w:cs="Tahoma"/>
          <w:color w:val="auto"/>
          <w:lang w:val="ro-RO"/>
        </w:rPr>
        <w:t>ți ale operatorilor economici din definitivarea impozitului pe profit pentru anul 2019, gradul de realizare al programului trimestrial fiind de 61,8%.</w:t>
      </w:r>
    </w:p>
    <w:p w:rsidR="00DD52A5" w:rsidRPr="00292E18" w:rsidRDefault="00DD52A5" w:rsidP="009D16DA">
      <w:pPr>
        <w:pStyle w:val="NormalWeb"/>
        <w:shd w:val="clear" w:color="auto" w:fill="FFFFFF"/>
        <w:tabs>
          <w:tab w:val="left" w:pos="810"/>
        </w:tabs>
        <w:spacing w:before="120" w:after="120"/>
        <w:ind w:right="-58" w:firstLine="0"/>
        <w:rPr>
          <w:rFonts w:ascii="Tahoma" w:hAnsi="Tahoma" w:cs="Tahoma"/>
          <w:color w:val="auto"/>
          <w:lang w:val="ro-RO"/>
        </w:rPr>
      </w:pPr>
      <w:r w:rsidRPr="00292E18">
        <w:rPr>
          <w:rFonts w:ascii="Tahoma" w:hAnsi="Tahoma" w:cs="Tahoma"/>
          <w:color w:val="auto"/>
          <w:lang w:val="ro-RO"/>
        </w:rPr>
        <w:t>Comparativ cu încasările din perioada similară a anului anterior</w:t>
      </w:r>
      <w:r w:rsidR="00FA06A2">
        <w:rPr>
          <w:rFonts w:ascii="Tahoma" w:hAnsi="Tahoma" w:cs="Tahoma"/>
          <w:color w:val="auto"/>
          <w:lang w:val="ro-RO"/>
        </w:rPr>
        <w:t>,veniturile din impozitul pe profit</w:t>
      </w:r>
      <w:r w:rsidRPr="00292E18">
        <w:rPr>
          <w:rFonts w:ascii="Tahoma" w:hAnsi="Tahoma" w:cs="Tahoma"/>
          <w:color w:val="auto"/>
          <w:lang w:val="ro-RO"/>
        </w:rPr>
        <w:t>s-au diminuat cu 32,1%.</w:t>
      </w:r>
    </w:p>
    <w:p w:rsidR="00DD52A5" w:rsidRPr="00292E18" w:rsidRDefault="008849D9" w:rsidP="009D16DA">
      <w:pPr>
        <w:pStyle w:val="NormalWeb"/>
        <w:shd w:val="clear" w:color="auto" w:fill="FFFFFF"/>
        <w:tabs>
          <w:tab w:val="left" w:pos="810"/>
        </w:tabs>
        <w:spacing w:before="120" w:after="120"/>
        <w:ind w:right="-58" w:firstLine="0"/>
        <w:rPr>
          <w:rFonts w:ascii="Tahoma" w:hAnsi="Tahoma" w:cs="Tahoma"/>
          <w:color w:val="auto"/>
          <w:lang w:val="ro-RO"/>
        </w:rPr>
      </w:pPr>
      <w:r>
        <w:rPr>
          <w:rFonts w:ascii="Tahoma" w:hAnsi="Tahoma" w:cs="Tahoma"/>
          <w:color w:val="auto"/>
          <w:lang w:val="ro-RO"/>
        </w:rPr>
        <w:t>Diminuarea</w:t>
      </w:r>
      <w:r w:rsidR="00DD52A5" w:rsidRPr="00292E18">
        <w:rPr>
          <w:rFonts w:ascii="Tahoma" w:hAnsi="Tahoma" w:cs="Tahoma"/>
          <w:color w:val="auto"/>
          <w:lang w:val="ro-RO"/>
        </w:rPr>
        <w:t xml:space="preserve"> încasărilor din impozitului pe profit în primul trimestru al anului 2020</w:t>
      </w:r>
      <w:r w:rsidR="00DD52A5">
        <w:rPr>
          <w:rFonts w:ascii="Tahoma" w:hAnsi="Tahoma" w:cs="Tahoma"/>
          <w:color w:val="auto"/>
          <w:lang w:val="ro-RO"/>
        </w:rPr>
        <w:t>,</w:t>
      </w:r>
      <w:r w:rsidR="00DD52A5" w:rsidRPr="00292E18">
        <w:rPr>
          <w:rFonts w:ascii="Tahoma" w:hAnsi="Tahoma" w:cs="Tahoma"/>
          <w:color w:val="auto"/>
          <w:lang w:val="ro-RO"/>
        </w:rPr>
        <w:t xml:space="preserve"> cât și nerealizarea programului </w:t>
      </w:r>
      <w:r w:rsidR="00DD52A5" w:rsidRPr="0090217B">
        <w:rPr>
          <w:rFonts w:ascii="Tahoma" w:hAnsi="Tahoma" w:cs="Tahoma"/>
          <w:color w:val="auto"/>
          <w:lang w:val="ro-RO"/>
        </w:rPr>
        <w:t xml:space="preserve">trimestrial </w:t>
      </w:r>
      <w:r w:rsidR="0090217B" w:rsidRPr="007C6A86">
        <w:rPr>
          <w:rFonts w:ascii="Tahoma" w:hAnsi="Tahoma" w:cs="Tahoma"/>
          <w:color w:val="auto"/>
          <w:lang w:val="ro-RO"/>
        </w:rPr>
        <w:t>a</w:t>
      </w:r>
      <w:r w:rsidR="009B4EFE" w:rsidRPr="002E5330">
        <w:rPr>
          <w:rFonts w:ascii="Tahoma" w:hAnsi="Tahoma" w:cs="Tahoma"/>
          <w:color w:val="auto"/>
          <w:lang w:val="ro-RO"/>
        </w:rPr>
        <w:t>u</w:t>
      </w:r>
      <w:r w:rsidR="00222906" w:rsidRPr="002E5330">
        <w:rPr>
          <w:rFonts w:ascii="Tahoma" w:hAnsi="Tahoma" w:cs="Tahoma"/>
          <w:color w:val="auto"/>
          <w:lang w:val="ro-RO"/>
        </w:rPr>
        <w:t>rezultat</w:t>
      </w:r>
      <w:r w:rsidR="0079445D" w:rsidRPr="00222906">
        <w:rPr>
          <w:rFonts w:ascii="Tahoma" w:hAnsi="Tahoma" w:cs="Tahoma"/>
          <w:color w:val="auto"/>
          <w:lang w:val="ro-RO"/>
        </w:rPr>
        <w:t>ca urmare</w:t>
      </w:r>
      <w:r w:rsidR="0079445D">
        <w:rPr>
          <w:rFonts w:ascii="Tahoma" w:hAnsi="Tahoma" w:cs="Tahoma"/>
          <w:color w:val="auto"/>
          <w:lang w:val="ro-RO"/>
        </w:rPr>
        <w:t xml:space="preserve"> a </w:t>
      </w:r>
      <w:r w:rsidR="00DD52A5" w:rsidRPr="00292E18">
        <w:rPr>
          <w:rFonts w:ascii="Tahoma" w:hAnsi="Tahoma" w:cs="Tahoma"/>
          <w:color w:val="auto"/>
          <w:lang w:val="ro-RO"/>
        </w:rPr>
        <w:t xml:space="preserve">măsurilor adoptate în </w:t>
      </w:r>
      <w:r w:rsidR="00FA06A2">
        <w:rPr>
          <w:rFonts w:ascii="Tahoma" w:hAnsi="Tahoma" w:cs="Tahoma"/>
          <w:color w:val="auto"/>
          <w:lang w:val="ro-RO"/>
        </w:rPr>
        <w:t>contextul stării de urgență</w:t>
      </w:r>
      <w:r w:rsidR="00DD52A5" w:rsidRPr="00292E18">
        <w:rPr>
          <w:rFonts w:ascii="Tahoma" w:hAnsi="Tahoma" w:cs="Tahoma"/>
          <w:color w:val="auto"/>
          <w:lang w:val="ro-RO"/>
        </w:rPr>
        <w:t>, în principal prevederil</w:t>
      </w:r>
      <w:r w:rsidR="00FA06A2">
        <w:rPr>
          <w:rFonts w:ascii="Tahoma" w:hAnsi="Tahoma" w:cs="Tahoma"/>
          <w:color w:val="auto"/>
          <w:lang w:val="ro-RO"/>
        </w:rPr>
        <w:t>eOUG</w:t>
      </w:r>
      <w:r w:rsidR="00DD52A5" w:rsidRPr="00292E18">
        <w:rPr>
          <w:rFonts w:ascii="Tahoma" w:hAnsi="Tahoma" w:cs="Tahoma"/>
          <w:color w:val="auto"/>
          <w:lang w:val="ro-RO"/>
        </w:rPr>
        <w:t xml:space="preserve"> nr. 29/2020 privind unele măsuri economice și fiscal-bugetare, prin care se instituie măsuri procedural-fiscale de susținere a contribuabililor plătitori de impozit pe profit.</w:t>
      </w:r>
    </w:p>
    <w:p w:rsidR="00DD52A5" w:rsidRPr="00292E18" w:rsidRDefault="0079445D" w:rsidP="009D16DA">
      <w:pPr>
        <w:pStyle w:val="NormalWeb"/>
        <w:shd w:val="clear" w:color="auto" w:fill="FFFFFF"/>
        <w:spacing w:before="120" w:after="120"/>
        <w:ind w:right="-58" w:firstLine="0"/>
        <w:rPr>
          <w:rFonts w:ascii="Tahoma" w:hAnsi="Tahoma" w:cs="Tahoma"/>
          <w:color w:val="auto"/>
          <w:lang w:val="ro-RO"/>
        </w:rPr>
      </w:pPr>
      <w:r w:rsidRPr="007C6A86">
        <w:rPr>
          <w:rFonts w:ascii="Tahoma" w:hAnsi="Tahoma" w:cs="Tahoma"/>
          <w:color w:val="auto"/>
          <w:lang w:val="ro-RO"/>
        </w:rPr>
        <w:t xml:space="preserve">În structură, veniturile din </w:t>
      </w:r>
      <w:r w:rsidR="00DD52A5" w:rsidRPr="0079445D">
        <w:rPr>
          <w:rFonts w:ascii="Tahoma" w:hAnsi="Tahoma" w:cs="Tahoma"/>
          <w:color w:val="auto"/>
          <w:lang w:val="ro-RO"/>
        </w:rPr>
        <w:t>impozitului pe profit încasat</w:t>
      </w:r>
      <w:r w:rsidRPr="007C6A86">
        <w:rPr>
          <w:rFonts w:ascii="Tahoma" w:hAnsi="Tahoma" w:cs="Tahoma"/>
          <w:color w:val="auto"/>
          <w:lang w:val="ro-RO"/>
        </w:rPr>
        <w:t>e</w:t>
      </w:r>
      <w:r w:rsidR="00DD52A5" w:rsidRPr="0079445D">
        <w:rPr>
          <w:rFonts w:ascii="Tahoma" w:hAnsi="Tahoma" w:cs="Tahoma"/>
          <w:color w:val="auto"/>
          <w:lang w:val="ro-RO"/>
        </w:rPr>
        <w:t xml:space="preserve"> la bugetul de stat</w:t>
      </w:r>
      <w:r w:rsidRPr="007C6A86">
        <w:rPr>
          <w:rFonts w:ascii="Tahoma" w:hAnsi="Tahoma" w:cs="Tahoma"/>
          <w:color w:val="auto"/>
          <w:lang w:val="ro-RO"/>
        </w:rPr>
        <w:t xml:space="preserve"> au cunoscut următoarea evoluție:</w:t>
      </w:r>
    </w:p>
    <w:p w:rsidR="00DD52A5" w:rsidRPr="007C6A86" w:rsidRDefault="00DD52A5" w:rsidP="007C6A86">
      <w:pPr>
        <w:pStyle w:val="ListParagraph"/>
        <w:numPr>
          <w:ilvl w:val="0"/>
          <w:numId w:val="15"/>
        </w:numPr>
        <w:spacing w:before="120" w:after="120" w:line="276" w:lineRule="auto"/>
        <w:ind w:left="714" w:hanging="357"/>
        <w:contextualSpacing w:val="0"/>
        <w:jc w:val="both"/>
        <w:rPr>
          <w:rFonts w:ascii="Tahoma" w:hAnsi="Tahoma" w:cs="Tahoma"/>
          <w:noProof/>
          <w:sz w:val="24"/>
          <w:szCs w:val="24"/>
          <w:lang w:eastAsia="ro-RO"/>
        </w:rPr>
      </w:pPr>
      <w:r w:rsidRPr="00640FBB">
        <w:rPr>
          <w:rFonts w:ascii="Tahoma" w:hAnsi="Tahoma" w:cs="Tahoma"/>
          <w:b/>
          <w:i/>
          <w:noProof/>
          <w:sz w:val="24"/>
          <w:szCs w:val="24"/>
          <w:lang w:eastAsia="ro-RO"/>
        </w:rPr>
        <w:lastRenderedPageBreak/>
        <w:t>impozitul pe profit virat de agenții economici</w:t>
      </w:r>
      <w:r w:rsidRPr="00292E18">
        <w:rPr>
          <w:noProof/>
          <w:vertAlign w:val="superscript"/>
          <w:lang w:eastAsia="ro-RO"/>
        </w:rPr>
        <w:footnoteReference w:id="3"/>
      </w:r>
      <w:r w:rsidRPr="00640FBB">
        <w:rPr>
          <w:rFonts w:ascii="Tahoma" w:hAnsi="Tahoma" w:cs="Tahoma"/>
          <w:noProof/>
          <w:sz w:val="24"/>
          <w:szCs w:val="24"/>
          <w:lang w:eastAsia="ro-RO"/>
        </w:rPr>
        <w:t xml:space="preserve"> în trimestrul I al anului curent prezintă o </w:t>
      </w:r>
      <w:r w:rsidRPr="00713D80">
        <w:rPr>
          <w:rFonts w:ascii="Tahoma" w:hAnsi="Tahoma" w:cs="Tahoma"/>
          <w:noProof/>
          <w:sz w:val="24"/>
          <w:szCs w:val="24"/>
          <w:lang w:eastAsia="ro-RO"/>
        </w:rPr>
        <w:t xml:space="preserve">dinamică negativă comparativ cu </w:t>
      </w:r>
      <w:r w:rsidR="00AD661E" w:rsidRPr="00713D80">
        <w:rPr>
          <w:rFonts w:ascii="Tahoma" w:hAnsi="Tahoma" w:cs="Tahoma"/>
          <w:noProof/>
          <w:sz w:val="24"/>
          <w:szCs w:val="24"/>
          <w:lang w:eastAsia="ro-RO"/>
        </w:rPr>
        <w:t>perioada similară a anului trecut</w:t>
      </w:r>
      <w:r w:rsidRPr="00713D80">
        <w:rPr>
          <w:rFonts w:ascii="Tahoma" w:hAnsi="Tahoma" w:cs="Tahoma"/>
          <w:noProof/>
          <w:sz w:val="24"/>
          <w:szCs w:val="24"/>
          <w:lang w:eastAsia="ro-RO"/>
        </w:rPr>
        <w:t xml:space="preserve">, </w:t>
      </w:r>
      <w:r w:rsidR="00713D80" w:rsidRPr="00713D80">
        <w:rPr>
          <w:rFonts w:ascii="Tahoma" w:hAnsi="Tahoma" w:cs="Tahoma"/>
          <w:noProof/>
          <w:sz w:val="24"/>
          <w:szCs w:val="24"/>
          <w:lang w:eastAsia="ro-RO"/>
        </w:rPr>
        <w:t xml:space="preserve">încasările fiind cu </w:t>
      </w:r>
      <w:r w:rsidR="00713D80" w:rsidRPr="00713D80">
        <w:rPr>
          <w:rFonts w:ascii="Tahoma" w:hAnsi="Tahoma" w:cs="Tahoma"/>
          <w:noProof/>
          <w:sz w:val="24"/>
          <w:szCs w:val="24"/>
          <w:lang w:eastAsia="ro-RO"/>
        </w:rPr>
        <w:sym w:font="Symbol" w:char="F07E"/>
      </w:r>
      <w:r w:rsidR="00713D80" w:rsidRPr="00713D80">
        <w:rPr>
          <w:rFonts w:ascii="Tahoma" w:hAnsi="Tahoma" w:cs="Tahoma"/>
          <w:noProof/>
          <w:sz w:val="24"/>
          <w:szCs w:val="24"/>
          <w:lang w:eastAsia="ro-RO"/>
        </w:rPr>
        <w:t>1 mld lei mai mici</w:t>
      </w:r>
      <w:r w:rsidRPr="00713D80">
        <w:rPr>
          <w:rFonts w:ascii="Tahoma" w:hAnsi="Tahoma" w:cs="Tahoma"/>
          <w:noProof/>
          <w:sz w:val="24"/>
          <w:szCs w:val="24"/>
          <w:lang w:eastAsia="ro-RO"/>
        </w:rPr>
        <w:t xml:space="preserve"> (-26,9%)</w:t>
      </w:r>
      <w:r w:rsidR="00713D80" w:rsidRPr="007C6A86">
        <w:rPr>
          <w:rFonts w:ascii="Tahoma" w:hAnsi="Tahoma" w:cs="Tahoma"/>
          <w:noProof/>
          <w:sz w:val="24"/>
          <w:szCs w:val="24"/>
          <w:lang w:eastAsia="ro-RO"/>
        </w:rPr>
        <w:t xml:space="preserve">. </w:t>
      </w:r>
      <w:r w:rsidR="001B13BC">
        <w:rPr>
          <w:rFonts w:ascii="Tahoma" w:hAnsi="Tahoma" w:cs="Tahoma"/>
          <w:noProof/>
          <w:sz w:val="24"/>
          <w:szCs w:val="24"/>
          <w:lang w:eastAsia="ro-RO"/>
        </w:rPr>
        <w:t>Raportate</w:t>
      </w:r>
      <w:r w:rsidR="00826F2E">
        <w:rPr>
          <w:rFonts w:ascii="Tahoma" w:hAnsi="Tahoma" w:cs="Tahoma"/>
          <w:noProof/>
          <w:sz w:val="24"/>
          <w:szCs w:val="24"/>
          <w:lang w:eastAsia="ro-RO"/>
        </w:rPr>
        <w:t xml:space="preserve"> </w:t>
      </w:r>
      <w:r w:rsidR="001B13BC">
        <w:rPr>
          <w:rFonts w:ascii="Tahoma" w:hAnsi="Tahoma" w:cs="Tahoma"/>
          <w:noProof/>
          <w:sz w:val="24"/>
          <w:szCs w:val="24"/>
          <w:lang w:eastAsia="ro-RO"/>
        </w:rPr>
        <w:t>la</w:t>
      </w:r>
      <w:r w:rsidR="00713D80" w:rsidRPr="007C6A86">
        <w:rPr>
          <w:rFonts w:ascii="Tahoma" w:hAnsi="Tahoma" w:cs="Tahoma"/>
          <w:noProof/>
          <w:sz w:val="24"/>
          <w:szCs w:val="24"/>
          <w:lang w:eastAsia="ro-RO"/>
        </w:rPr>
        <w:t xml:space="preserve"> programul trimestrial</w:t>
      </w:r>
      <w:r w:rsidR="00713D80" w:rsidRPr="00713D80">
        <w:rPr>
          <w:rFonts w:ascii="Tahoma" w:hAnsi="Tahoma" w:cs="Tahoma"/>
          <w:noProof/>
          <w:sz w:val="24"/>
          <w:szCs w:val="24"/>
          <w:lang w:eastAsia="ro-RO"/>
        </w:rPr>
        <w:t xml:space="preserve">,încasările s-au realizat în proporție de </w:t>
      </w:r>
      <w:r w:rsidRPr="00713D80">
        <w:rPr>
          <w:rFonts w:ascii="Tahoma" w:hAnsi="Tahoma" w:cs="Tahoma"/>
          <w:noProof/>
          <w:sz w:val="24"/>
          <w:szCs w:val="24"/>
          <w:lang w:eastAsia="ro-RO"/>
        </w:rPr>
        <w:t>66,8% (-1,4 mld lei)</w:t>
      </w:r>
      <w:r w:rsidRPr="00713D80">
        <w:rPr>
          <w:rFonts w:ascii="Tahoma" w:hAnsi="Tahoma" w:cs="Tahoma"/>
          <w:sz w:val="24"/>
          <w:szCs w:val="24"/>
        </w:rPr>
        <w:t>;</w:t>
      </w:r>
    </w:p>
    <w:p w:rsidR="00DD52A5" w:rsidRPr="00640FBB" w:rsidRDefault="00DD52A5" w:rsidP="007C6A86">
      <w:pPr>
        <w:pStyle w:val="ListParagraph"/>
        <w:numPr>
          <w:ilvl w:val="0"/>
          <w:numId w:val="15"/>
        </w:numPr>
        <w:spacing w:before="120" w:after="120" w:line="276" w:lineRule="auto"/>
        <w:ind w:left="714" w:hanging="357"/>
        <w:contextualSpacing w:val="0"/>
        <w:jc w:val="both"/>
        <w:rPr>
          <w:rFonts w:ascii="Tahoma" w:hAnsi="Tahoma" w:cs="Tahoma"/>
          <w:noProof/>
          <w:sz w:val="24"/>
          <w:szCs w:val="24"/>
          <w:lang w:eastAsia="ro-RO"/>
        </w:rPr>
      </w:pPr>
      <w:r w:rsidRPr="00640FBB">
        <w:rPr>
          <w:rFonts w:ascii="Tahoma" w:hAnsi="Tahoma" w:cs="Tahoma"/>
          <w:b/>
          <w:i/>
          <w:noProof/>
          <w:sz w:val="24"/>
          <w:szCs w:val="24"/>
          <w:lang w:eastAsia="ro-RO"/>
        </w:rPr>
        <w:t>impozitul pe profit virat de băncile comerciale</w:t>
      </w:r>
      <w:r w:rsidRPr="00292E18">
        <w:rPr>
          <w:noProof/>
          <w:vertAlign w:val="superscript"/>
          <w:lang w:eastAsia="ro-RO"/>
        </w:rPr>
        <w:footnoteReference w:id="4"/>
      </w:r>
      <w:r w:rsidRPr="00640FBB">
        <w:rPr>
          <w:rFonts w:ascii="Tahoma" w:hAnsi="Tahoma" w:cs="Tahoma"/>
          <w:noProof/>
          <w:sz w:val="24"/>
          <w:szCs w:val="24"/>
          <w:lang w:eastAsia="ro-RO"/>
        </w:rPr>
        <w:t xml:space="preserve"> se află sub nivelul viramentelor din primul trimestru al anului precedent cu 0,3 mld</w:t>
      </w:r>
      <w:r w:rsidR="003C4703">
        <w:rPr>
          <w:rFonts w:ascii="Tahoma" w:hAnsi="Tahoma" w:cs="Tahoma"/>
          <w:noProof/>
          <w:sz w:val="24"/>
          <w:szCs w:val="24"/>
          <w:lang w:eastAsia="ro-RO"/>
        </w:rPr>
        <w:t>.</w:t>
      </w:r>
      <w:r w:rsidRPr="00640FBB">
        <w:rPr>
          <w:rFonts w:ascii="Tahoma" w:hAnsi="Tahoma" w:cs="Tahoma"/>
          <w:noProof/>
          <w:sz w:val="24"/>
          <w:szCs w:val="24"/>
          <w:lang w:eastAsia="ro-RO"/>
        </w:rPr>
        <w:t xml:space="preserve"> lei (-76,2%), </w:t>
      </w:r>
      <w:r w:rsidR="001B13BC">
        <w:rPr>
          <w:rFonts w:ascii="Tahoma" w:hAnsi="Tahoma" w:cs="Tahoma"/>
          <w:noProof/>
          <w:sz w:val="24"/>
          <w:szCs w:val="24"/>
          <w:lang w:eastAsia="ro-RO"/>
        </w:rPr>
        <w:t>reflectând</w:t>
      </w:r>
      <w:r w:rsidR="00826F2E">
        <w:rPr>
          <w:rFonts w:ascii="Tahoma" w:hAnsi="Tahoma" w:cs="Tahoma"/>
          <w:noProof/>
          <w:sz w:val="24"/>
          <w:szCs w:val="24"/>
          <w:lang w:eastAsia="ro-RO"/>
        </w:rPr>
        <w:t xml:space="preserve"> </w:t>
      </w:r>
      <w:r w:rsidRPr="00640FBB">
        <w:rPr>
          <w:rFonts w:ascii="Tahoma" w:hAnsi="Tahoma" w:cs="Tahoma"/>
          <w:noProof/>
          <w:sz w:val="24"/>
          <w:szCs w:val="24"/>
          <w:lang w:eastAsia="ro-RO"/>
        </w:rPr>
        <w:t>un grad de realizare de 21,1% (-0,4 mld</w:t>
      </w:r>
      <w:r w:rsidR="003C4703">
        <w:rPr>
          <w:rFonts w:ascii="Tahoma" w:hAnsi="Tahoma" w:cs="Tahoma"/>
          <w:noProof/>
          <w:sz w:val="24"/>
          <w:szCs w:val="24"/>
          <w:lang w:eastAsia="ro-RO"/>
        </w:rPr>
        <w:t>.</w:t>
      </w:r>
      <w:r w:rsidRPr="00640FBB">
        <w:rPr>
          <w:rFonts w:ascii="Tahoma" w:hAnsi="Tahoma" w:cs="Tahoma"/>
          <w:noProof/>
          <w:sz w:val="24"/>
          <w:szCs w:val="24"/>
          <w:lang w:eastAsia="ro-RO"/>
        </w:rPr>
        <w:t xml:space="preserve"> lei) </w:t>
      </w:r>
      <w:r w:rsidR="001B13BC">
        <w:rPr>
          <w:rFonts w:ascii="Tahoma" w:hAnsi="Tahoma" w:cs="Tahoma"/>
          <w:noProof/>
          <w:sz w:val="24"/>
          <w:szCs w:val="24"/>
          <w:lang w:eastAsia="ro-RO"/>
        </w:rPr>
        <w:t>față de</w:t>
      </w:r>
      <w:r w:rsidRPr="00640FBB">
        <w:rPr>
          <w:rFonts w:ascii="Tahoma" w:hAnsi="Tahoma" w:cs="Tahoma"/>
          <w:noProof/>
          <w:sz w:val="24"/>
          <w:szCs w:val="24"/>
          <w:lang w:eastAsia="ro-RO"/>
        </w:rPr>
        <w:t xml:space="preserve"> programul trimestrial.</w:t>
      </w:r>
    </w:p>
    <w:p w:rsidR="00DD52A5" w:rsidRDefault="00DD52A5" w:rsidP="009D16DA">
      <w:pPr>
        <w:pStyle w:val="NormalWeb"/>
        <w:shd w:val="clear" w:color="auto" w:fill="FFFFFF"/>
        <w:tabs>
          <w:tab w:val="left" w:pos="810"/>
          <w:tab w:val="left" w:pos="1350"/>
          <w:tab w:val="left" w:pos="1530"/>
        </w:tabs>
        <w:autoSpaceDE w:val="0"/>
        <w:autoSpaceDN w:val="0"/>
        <w:adjustRightInd w:val="0"/>
        <w:spacing w:before="120" w:after="120"/>
        <w:ind w:firstLine="0"/>
        <w:rPr>
          <w:rFonts w:ascii="Tahoma" w:hAnsi="Tahoma" w:cs="Tahoma"/>
          <w:color w:val="auto"/>
          <w:lang w:val="ro-RO"/>
        </w:rPr>
      </w:pPr>
      <w:r w:rsidRPr="00292E18">
        <w:rPr>
          <w:rFonts w:ascii="Tahoma" w:hAnsi="Tahoma" w:cs="Tahoma"/>
          <w:color w:val="auto"/>
          <w:lang w:val="ro-RO"/>
        </w:rPr>
        <w:t xml:space="preserve">Încasările din </w:t>
      </w:r>
      <w:r w:rsidRPr="00F24FA0">
        <w:rPr>
          <w:rFonts w:ascii="Tahoma" w:hAnsi="Tahoma" w:cs="Tahoma"/>
          <w:b/>
          <w:i/>
          <w:color w:val="auto"/>
          <w:lang w:val="ro-RO"/>
        </w:rPr>
        <w:t xml:space="preserve">impozitul pe </w:t>
      </w:r>
      <w:r w:rsidRPr="0033447D">
        <w:rPr>
          <w:rFonts w:ascii="Tahoma" w:hAnsi="Tahoma" w:cs="Tahoma"/>
          <w:b/>
          <w:i/>
          <w:color w:val="auto"/>
          <w:lang w:val="ro-RO"/>
        </w:rPr>
        <w:t>venit</w:t>
      </w:r>
      <w:r w:rsidR="00826F2E">
        <w:rPr>
          <w:rFonts w:ascii="Tahoma" w:hAnsi="Tahoma" w:cs="Tahoma"/>
          <w:b/>
          <w:i/>
          <w:color w:val="auto"/>
          <w:lang w:val="ro-RO"/>
        </w:rPr>
        <w:t xml:space="preserve"> </w:t>
      </w:r>
      <w:r w:rsidR="00AD661E" w:rsidRPr="009A6166">
        <w:rPr>
          <w:rFonts w:ascii="Tahoma" w:hAnsi="Tahoma" w:cs="Tahoma"/>
          <w:color w:val="auto"/>
          <w:lang w:val="ro-RO"/>
        </w:rPr>
        <w:t>au</w:t>
      </w:r>
      <w:r w:rsidR="00AD661E">
        <w:rPr>
          <w:rFonts w:ascii="Tahoma" w:hAnsi="Tahoma" w:cs="Tahoma"/>
          <w:color w:val="auto"/>
          <w:lang w:val="ro-RO"/>
        </w:rPr>
        <w:t xml:space="preserve"> înregistrat</w:t>
      </w:r>
      <w:r w:rsidR="00595DE7">
        <w:rPr>
          <w:rFonts w:ascii="Tahoma" w:hAnsi="Tahoma" w:cs="Tahoma"/>
          <w:color w:val="auto"/>
          <w:lang w:val="ro-RO"/>
        </w:rPr>
        <w:t xml:space="preserve"> 5,</w:t>
      </w:r>
      <w:r w:rsidRPr="00292E18">
        <w:rPr>
          <w:rFonts w:ascii="Tahoma" w:hAnsi="Tahoma" w:cs="Tahoma"/>
          <w:color w:val="auto"/>
          <w:lang w:val="ro-RO"/>
        </w:rPr>
        <w:t xml:space="preserve">99 </w:t>
      </w:r>
      <w:r w:rsidR="00713D80">
        <w:rPr>
          <w:rFonts w:ascii="Tahoma" w:hAnsi="Tahoma" w:cs="Tahoma"/>
          <w:color w:val="auto"/>
          <w:lang w:val="ro-RO"/>
        </w:rPr>
        <w:t>ml</w:t>
      </w:r>
      <w:r w:rsidR="00595DE7">
        <w:rPr>
          <w:rFonts w:ascii="Tahoma" w:hAnsi="Tahoma" w:cs="Tahoma"/>
          <w:color w:val="auto"/>
          <w:lang w:val="ro-RO"/>
        </w:rPr>
        <w:t>d</w:t>
      </w:r>
      <w:r w:rsidR="003C4703">
        <w:rPr>
          <w:rFonts w:ascii="Tahoma" w:hAnsi="Tahoma" w:cs="Tahoma"/>
          <w:color w:val="auto"/>
          <w:lang w:val="ro-RO"/>
        </w:rPr>
        <w:t>.</w:t>
      </w:r>
      <w:r w:rsidRPr="00292E18">
        <w:rPr>
          <w:rFonts w:ascii="Tahoma" w:hAnsi="Tahoma" w:cs="Tahoma"/>
          <w:color w:val="auto"/>
          <w:lang w:val="ro-RO"/>
        </w:rPr>
        <w:t>lei</w:t>
      </w:r>
      <w:r w:rsidR="00AD661E">
        <w:rPr>
          <w:rFonts w:ascii="Tahoma" w:hAnsi="Tahoma" w:cs="Tahoma"/>
          <w:color w:val="auto"/>
          <w:lang w:val="ro-RO"/>
        </w:rPr>
        <w:t xml:space="preserve"> în primul trimestru</w:t>
      </w:r>
      <w:r w:rsidR="004B3151">
        <w:rPr>
          <w:rFonts w:ascii="Tahoma" w:hAnsi="Tahoma" w:cs="Tahoma"/>
          <w:color w:val="auto"/>
          <w:lang w:val="ro-RO"/>
        </w:rPr>
        <w:t xml:space="preserve"> al anului</w:t>
      </w:r>
      <w:r w:rsidR="00AD661E">
        <w:rPr>
          <w:rFonts w:ascii="Tahoma" w:hAnsi="Tahoma" w:cs="Tahoma"/>
          <w:color w:val="auto"/>
          <w:lang w:val="ro-RO"/>
        </w:rPr>
        <w:t xml:space="preserve"> (0,6% din PIB)</w:t>
      </w:r>
      <w:r w:rsidR="000D293A">
        <w:rPr>
          <w:rFonts w:ascii="Tahoma" w:hAnsi="Tahoma" w:cs="Tahoma"/>
          <w:color w:val="auto"/>
          <w:lang w:val="ro-RO"/>
        </w:rPr>
        <w:t xml:space="preserve">, ceea ce </w:t>
      </w:r>
      <w:r w:rsidR="000D293A" w:rsidRPr="00F24FA0">
        <w:rPr>
          <w:rFonts w:ascii="Tahoma" w:hAnsi="Tahoma" w:cs="Tahoma"/>
          <w:color w:val="auto"/>
          <w:lang w:val="ro-RO"/>
        </w:rPr>
        <w:t xml:space="preserve">corespunde unui </w:t>
      </w:r>
      <w:r w:rsidRPr="000D293A">
        <w:rPr>
          <w:rFonts w:ascii="Tahoma" w:hAnsi="Tahoma" w:cs="Tahoma"/>
          <w:color w:val="auto"/>
          <w:lang w:val="ro-RO"/>
        </w:rPr>
        <w:t>grad de realizare de 89,3%</w:t>
      </w:r>
      <w:r w:rsidR="004B3151">
        <w:rPr>
          <w:rFonts w:ascii="Tahoma" w:hAnsi="Tahoma" w:cs="Tahoma"/>
          <w:color w:val="auto"/>
          <w:lang w:val="ro-RO"/>
        </w:rPr>
        <w:t xml:space="preserve"> a programului trimestrial.</w:t>
      </w:r>
    </w:p>
    <w:p w:rsidR="000A48D8" w:rsidRPr="007C6A86" w:rsidRDefault="00660554" w:rsidP="007C6A86">
      <w:pPr>
        <w:pStyle w:val="NormalWeb"/>
        <w:shd w:val="clear" w:color="auto" w:fill="FFFFFF"/>
        <w:tabs>
          <w:tab w:val="left" w:pos="810"/>
          <w:tab w:val="left" w:pos="1530"/>
        </w:tabs>
        <w:autoSpaceDE w:val="0"/>
        <w:autoSpaceDN w:val="0"/>
        <w:adjustRightInd w:val="0"/>
        <w:spacing w:before="120" w:after="120"/>
        <w:ind w:firstLine="0"/>
        <w:rPr>
          <w:rFonts w:ascii="Tahoma" w:hAnsi="Tahoma" w:cs="Tahoma"/>
          <w:lang w:val="ro-RO"/>
        </w:rPr>
      </w:pPr>
      <w:r w:rsidRPr="00292E18">
        <w:rPr>
          <w:rFonts w:ascii="Tahoma" w:hAnsi="Tahoma" w:cs="Tahoma"/>
          <w:lang w:val="ro-RO"/>
        </w:rPr>
        <w:t xml:space="preserve">Comparativ cu aceeași perioadă a anului 2019, încasările din impozit pe venit </w:t>
      </w:r>
      <w:r>
        <w:rPr>
          <w:rFonts w:ascii="Tahoma" w:hAnsi="Tahoma" w:cs="Tahoma"/>
          <w:lang w:val="ro-RO"/>
        </w:rPr>
        <w:t xml:space="preserve">au </w:t>
      </w:r>
      <w:r w:rsidRPr="00292E18">
        <w:rPr>
          <w:rFonts w:ascii="Tahoma" w:hAnsi="Tahoma" w:cs="Tahoma"/>
          <w:lang w:val="ro-RO"/>
        </w:rPr>
        <w:t>cresc</w:t>
      </w:r>
      <w:r>
        <w:rPr>
          <w:rFonts w:ascii="Tahoma" w:hAnsi="Tahoma" w:cs="Tahoma"/>
          <w:lang w:val="ro-RO"/>
        </w:rPr>
        <w:t>ut</w:t>
      </w:r>
      <w:r w:rsidRPr="00292E18">
        <w:rPr>
          <w:rFonts w:ascii="Tahoma" w:hAnsi="Tahoma" w:cs="Tahoma"/>
          <w:lang w:val="ro-RO"/>
        </w:rPr>
        <w:t xml:space="preserve"> cu 8,5%</w:t>
      </w:r>
      <w:r>
        <w:rPr>
          <w:rFonts w:ascii="Tahoma" w:hAnsi="Tahoma" w:cs="Tahoma"/>
          <w:lang w:val="ro-RO"/>
        </w:rPr>
        <w:t>, pe fondul</w:t>
      </w:r>
      <w:r w:rsidR="000A48D8">
        <w:rPr>
          <w:rFonts w:ascii="Tahoma" w:hAnsi="Tahoma" w:cs="Tahoma"/>
          <w:lang w:val="ro-RO"/>
        </w:rPr>
        <w:t>evoluției</w:t>
      </w:r>
      <w:r>
        <w:rPr>
          <w:rFonts w:ascii="Tahoma" w:hAnsi="Tahoma" w:cs="Tahoma"/>
          <w:lang w:val="ro-RO"/>
        </w:rPr>
        <w:t xml:space="preserve"> pozitiv</w:t>
      </w:r>
      <w:r w:rsidR="000A48D8">
        <w:rPr>
          <w:rFonts w:ascii="Tahoma" w:hAnsi="Tahoma" w:cs="Tahoma"/>
          <w:lang w:val="ro-RO"/>
        </w:rPr>
        <w:t>e</w:t>
      </w:r>
      <w:r>
        <w:rPr>
          <w:rFonts w:ascii="Tahoma" w:hAnsi="Tahoma" w:cs="Tahoma"/>
          <w:lang w:val="ro-RO"/>
        </w:rPr>
        <w:t xml:space="preserve"> a indicatorilor macroeconomici relevanți: creșter</w:t>
      </w:r>
      <w:r w:rsidR="008201C6">
        <w:rPr>
          <w:rFonts w:ascii="Tahoma" w:hAnsi="Tahoma" w:cs="Tahoma"/>
          <w:lang w:val="ro-RO"/>
        </w:rPr>
        <w:t>ea</w:t>
      </w:r>
      <w:r>
        <w:rPr>
          <w:rFonts w:ascii="Tahoma" w:hAnsi="Tahoma" w:cs="Tahoma"/>
          <w:lang w:val="ro-RO"/>
        </w:rPr>
        <w:t xml:space="preserve"> numărului de salariați cu 0,7% și a câștigului mediu brut la nivelul economiei cu </w:t>
      </w:r>
      <w:r w:rsidRPr="00292E18">
        <w:rPr>
          <w:rFonts w:ascii="Tahoma" w:hAnsi="Tahoma" w:cs="Tahoma"/>
          <w:color w:val="auto"/>
          <w:lang w:val="ro-RO"/>
        </w:rPr>
        <w:t>9,2%</w:t>
      </w:r>
      <w:r w:rsidRPr="00292E18">
        <w:rPr>
          <w:rStyle w:val="FootnoteReference"/>
          <w:rFonts w:ascii="Tahoma" w:eastAsia="Calibri" w:hAnsi="Tahoma" w:cs="Tahoma"/>
          <w:color w:val="auto"/>
          <w:lang w:val="ro-RO"/>
        </w:rPr>
        <w:footnoteReference w:id="5"/>
      </w:r>
      <w:r w:rsidR="000A48D8">
        <w:rPr>
          <w:rFonts w:ascii="Tahoma" w:hAnsi="Tahoma" w:cs="Tahoma"/>
          <w:color w:val="auto"/>
          <w:lang w:val="ro-RO"/>
        </w:rPr>
        <w:t xml:space="preserve"> în condițiile majorării salariului </w:t>
      </w:r>
      <w:r w:rsidR="000A48D8">
        <w:rPr>
          <w:rFonts w:ascii="Tahoma" w:hAnsi="Tahoma" w:cs="Tahoma"/>
          <w:lang w:val="ro-RO"/>
        </w:rPr>
        <w:t xml:space="preserve">minim de la 2080 lei la 2230 lei. </w:t>
      </w:r>
    </w:p>
    <w:p w:rsidR="00DD52A5" w:rsidRPr="007C6A86" w:rsidRDefault="00DD52A5" w:rsidP="00860E4A">
      <w:pPr>
        <w:pStyle w:val="NormalWeb"/>
        <w:shd w:val="clear" w:color="auto" w:fill="FFFFFF"/>
        <w:tabs>
          <w:tab w:val="left" w:pos="810"/>
          <w:tab w:val="left" w:pos="1530"/>
        </w:tabs>
        <w:autoSpaceDE w:val="0"/>
        <w:autoSpaceDN w:val="0"/>
        <w:adjustRightInd w:val="0"/>
        <w:spacing w:before="120" w:after="120"/>
        <w:ind w:firstLine="0"/>
        <w:rPr>
          <w:rFonts w:ascii="Tahoma" w:hAnsi="Tahoma" w:cs="Tahoma"/>
          <w:lang w:val="ro-RO"/>
        </w:rPr>
      </w:pPr>
      <w:r w:rsidRPr="00292E18">
        <w:rPr>
          <w:rFonts w:ascii="Tahoma" w:hAnsi="Tahoma" w:cs="Tahoma"/>
          <w:lang w:val="ro-RO"/>
        </w:rPr>
        <w:t>În structură</w:t>
      </w:r>
      <w:r>
        <w:rPr>
          <w:rFonts w:ascii="Tahoma" w:hAnsi="Tahoma" w:cs="Tahoma"/>
          <w:lang w:val="ro-RO"/>
        </w:rPr>
        <w:t>,</w:t>
      </w:r>
      <w:r w:rsidRPr="00292E18">
        <w:rPr>
          <w:rFonts w:ascii="Tahoma" w:hAnsi="Tahoma" w:cs="Tahoma"/>
          <w:lang w:val="ro-RO"/>
        </w:rPr>
        <w:t xml:space="preserve"> impozitul pe venitul din salarii a înregistrat un grad de realizare de 92,5%,</w:t>
      </w:r>
      <w:r w:rsidR="00660554">
        <w:rPr>
          <w:rFonts w:ascii="Tahoma" w:hAnsi="Tahoma" w:cs="Tahoma"/>
          <w:lang w:val="ro-RO"/>
        </w:rPr>
        <w:t>nerealizare</w:t>
      </w:r>
      <w:r w:rsidR="000D293A">
        <w:rPr>
          <w:rFonts w:ascii="Tahoma" w:hAnsi="Tahoma" w:cs="Tahoma"/>
          <w:lang w:val="ro-RO"/>
        </w:rPr>
        <w:t xml:space="preserve"> explicată în principal de </w:t>
      </w:r>
      <w:r w:rsidR="00660554">
        <w:rPr>
          <w:rFonts w:ascii="Tahoma" w:hAnsi="Tahoma" w:cs="Tahoma"/>
          <w:lang w:val="ro-RO"/>
        </w:rPr>
        <w:t>scăderea încasărilor în luna martie (-9% an/an), ca urmare a implementării măsurilor fiscale aferente stării de urgență (OUG nr. 29/2020)</w:t>
      </w:r>
      <w:r w:rsidRPr="00292E18">
        <w:rPr>
          <w:rStyle w:val="FootnoteReference"/>
          <w:rFonts w:ascii="Tahoma" w:eastAsia="Calibri" w:hAnsi="Tahoma" w:cs="Tahoma"/>
          <w:color w:val="auto"/>
          <w:lang w:val="ro-RO"/>
        </w:rPr>
        <w:footnoteReference w:id="6"/>
      </w:r>
      <w:r w:rsidRPr="00292E18">
        <w:rPr>
          <w:rFonts w:ascii="Tahoma" w:hAnsi="Tahoma" w:cs="Tahoma"/>
          <w:lang w:val="ro-RO"/>
        </w:rPr>
        <w:t xml:space="preserve">. Un efect negativ asupra gradului de realizare îl are și prorogarea termenului de plată a declarației unice privind impozitul pe venit </w:t>
      </w:r>
      <w:r w:rsidR="00411D71" w:rsidRPr="00292E18">
        <w:rPr>
          <w:rFonts w:ascii="Tahoma" w:hAnsi="Tahoma" w:cs="Tahoma"/>
          <w:lang w:val="ro-RO"/>
        </w:rPr>
        <w:t>șicontribuțiile</w:t>
      </w:r>
      <w:r w:rsidRPr="00292E18">
        <w:rPr>
          <w:rFonts w:ascii="Tahoma" w:hAnsi="Tahoma" w:cs="Tahoma"/>
          <w:lang w:val="ro-RO"/>
        </w:rPr>
        <w:t xml:space="preserve"> sociale datorate de persoanele fizice de</w:t>
      </w:r>
      <w:r w:rsidR="000D293A">
        <w:rPr>
          <w:rFonts w:ascii="Tahoma" w:hAnsi="Tahoma" w:cs="Tahoma"/>
          <w:lang w:val="ro-RO"/>
        </w:rPr>
        <w:t xml:space="preserve"> la</w:t>
      </w:r>
      <w:r w:rsidRPr="00292E18">
        <w:rPr>
          <w:rFonts w:ascii="Tahoma" w:hAnsi="Tahoma" w:cs="Tahoma"/>
          <w:lang w:val="ro-RO"/>
        </w:rPr>
        <w:t xml:space="preserve"> 15 martie 2020 la data de 25 mai 2020 </w:t>
      </w:r>
      <w:r w:rsidRPr="00292E18">
        <w:rPr>
          <w:rFonts w:ascii="Tahoma" w:eastAsia="Calibri" w:hAnsi="Tahoma" w:cs="Tahoma"/>
          <w:color w:val="auto"/>
          <w:lang w:val="ro-RO"/>
        </w:rPr>
        <w:t>inclusiv</w:t>
      </w:r>
      <w:r w:rsidRPr="00292E18">
        <w:rPr>
          <w:rStyle w:val="FootnoteReference"/>
          <w:rFonts w:ascii="Tahoma" w:eastAsia="Calibri" w:hAnsi="Tahoma" w:cs="Tahoma"/>
        </w:rPr>
        <w:footnoteReference w:id="7"/>
      </w:r>
      <w:r w:rsidRPr="00292E18">
        <w:rPr>
          <w:rFonts w:ascii="Tahoma" w:eastAsia="Calibri" w:hAnsi="Tahoma" w:cs="Tahoma"/>
          <w:color w:val="auto"/>
          <w:lang w:val="ro-RO"/>
        </w:rPr>
        <w:t>.</w:t>
      </w:r>
    </w:p>
    <w:p w:rsidR="00DD52A5" w:rsidRPr="00292E18" w:rsidRDefault="00DD52A5" w:rsidP="00860E4A">
      <w:pPr>
        <w:pStyle w:val="NormalWeb"/>
        <w:shd w:val="clear" w:color="auto" w:fill="FFFFFF"/>
        <w:tabs>
          <w:tab w:val="left" w:pos="810"/>
          <w:tab w:val="left" w:pos="1530"/>
        </w:tabs>
        <w:autoSpaceDE w:val="0"/>
        <w:autoSpaceDN w:val="0"/>
        <w:adjustRightInd w:val="0"/>
        <w:spacing w:before="120" w:after="120"/>
        <w:ind w:firstLine="0"/>
        <w:rPr>
          <w:rFonts w:ascii="Tahoma" w:hAnsi="Tahoma" w:cs="Tahoma"/>
          <w:color w:val="auto"/>
          <w:lang w:val="ro-RO"/>
        </w:rPr>
      </w:pPr>
      <w:r w:rsidRPr="00292E18">
        <w:rPr>
          <w:rFonts w:ascii="Tahoma" w:hAnsi="Tahoma" w:cs="Tahoma"/>
          <w:color w:val="auto"/>
          <w:lang w:val="ro-RO"/>
        </w:rPr>
        <w:t xml:space="preserve">Încasările din </w:t>
      </w:r>
      <w:r w:rsidRPr="00640FBB">
        <w:rPr>
          <w:rFonts w:ascii="Tahoma" w:hAnsi="Tahoma" w:cs="Tahoma"/>
          <w:b/>
          <w:bCs/>
          <w:i/>
          <w:color w:val="auto"/>
          <w:lang w:val="ro-RO"/>
        </w:rPr>
        <w:t xml:space="preserve">impozitele </w:t>
      </w:r>
      <w:r w:rsidR="00640FBB" w:rsidRPr="00640FBB">
        <w:rPr>
          <w:rFonts w:ascii="Tahoma" w:hAnsi="Tahoma" w:cs="Tahoma"/>
          <w:b/>
          <w:bCs/>
          <w:i/>
          <w:color w:val="auto"/>
          <w:lang w:val="ro-RO"/>
        </w:rPr>
        <w:t>și</w:t>
      </w:r>
      <w:r w:rsidRPr="00640FBB">
        <w:rPr>
          <w:rFonts w:ascii="Tahoma" w:hAnsi="Tahoma" w:cs="Tahoma"/>
          <w:b/>
          <w:bCs/>
          <w:i/>
          <w:color w:val="auto"/>
          <w:lang w:val="ro-RO"/>
        </w:rPr>
        <w:t xml:space="preserve"> taxele pe proprietate</w:t>
      </w:r>
      <w:r w:rsidRPr="00292E18">
        <w:rPr>
          <w:rFonts w:ascii="Tahoma" w:hAnsi="Tahoma" w:cs="Tahoma"/>
          <w:color w:val="auto"/>
          <w:lang w:val="ro-RO"/>
        </w:rPr>
        <w:t xml:space="preserve"> au însumat 2</w:t>
      </w:r>
      <w:r w:rsidR="00595DE7">
        <w:rPr>
          <w:rFonts w:ascii="Tahoma" w:hAnsi="Tahoma" w:cs="Tahoma"/>
          <w:color w:val="auto"/>
          <w:lang w:val="ro-RO"/>
        </w:rPr>
        <w:t>,</w:t>
      </w:r>
      <w:r w:rsidRPr="00292E18">
        <w:rPr>
          <w:rFonts w:ascii="Tahoma" w:hAnsi="Tahoma" w:cs="Tahoma"/>
          <w:color w:val="auto"/>
          <w:lang w:val="ro-RO"/>
        </w:rPr>
        <w:t xml:space="preserve">09 </w:t>
      </w:r>
      <w:r w:rsidR="00713D80">
        <w:rPr>
          <w:rFonts w:ascii="Tahoma" w:hAnsi="Tahoma" w:cs="Tahoma"/>
          <w:color w:val="auto"/>
          <w:lang w:val="ro-RO"/>
        </w:rPr>
        <w:t>ml</w:t>
      </w:r>
      <w:r w:rsidR="00595DE7">
        <w:rPr>
          <w:rFonts w:ascii="Tahoma" w:hAnsi="Tahoma" w:cs="Tahoma"/>
          <w:color w:val="auto"/>
          <w:lang w:val="ro-RO"/>
        </w:rPr>
        <w:t>d</w:t>
      </w:r>
      <w:r w:rsidR="003C4703">
        <w:rPr>
          <w:rFonts w:ascii="Tahoma" w:hAnsi="Tahoma" w:cs="Tahoma"/>
          <w:color w:val="auto"/>
          <w:lang w:val="ro-RO"/>
        </w:rPr>
        <w:t>.</w:t>
      </w:r>
      <w:r w:rsidRPr="00292E18">
        <w:rPr>
          <w:rFonts w:ascii="Tahoma" w:hAnsi="Tahoma" w:cs="Tahoma"/>
          <w:color w:val="auto"/>
          <w:lang w:val="ro-RO"/>
        </w:rPr>
        <w:t xml:space="preserve">lei (0,2% din PIB) și s-au realizat în proporție de 56,5%. </w:t>
      </w:r>
      <w:r w:rsidR="0033447D">
        <w:rPr>
          <w:rFonts w:ascii="Tahoma" w:hAnsi="Tahoma" w:cs="Tahoma"/>
          <w:color w:val="auto"/>
          <w:lang w:val="ro-RO"/>
        </w:rPr>
        <w:t>Totodată, c</w:t>
      </w:r>
      <w:r w:rsidRPr="00292E18">
        <w:rPr>
          <w:rFonts w:ascii="Tahoma" w:hAnsi="Tahoma" w:cs="Tahoma"/>
          <w:color w:val="auto"/>
          <w:lang w:val="ro-RO"/>
        </w:rPr>
        <w:t>omparativ cu încasările din trimestrul I 2019, acestea au scăzut cu 36,6%</w:t>
      </w:r>
      <w:r w:rsidR="0033447D">
        <w:rPr>
          <w:rFonts w:ascii="Tahoma" w:hAnsi="Tahoma" w:cs="Tahoma"/>
          <w:color w:val="auto"/>
          <w:lang w:val="ro-RO"/>
        </w:rPr>
        <w:t xml:space="preserve">, pe fondul </w:t>
      </w:r>
      <w:r w:rsidRPr="00292E18">
        <w:rPr>
          <w:rFonts w:ascii="Tahoma" w:hAnsi="Tahoma" w:cs="Tahoma"/>
          <w:color w:val="auto"/>
          <w:lang w:val="ro-RO"/>
        </w:rPr>
        <w:t xml:space="preserve">prorogării termenului de plată pentru impozitul pe clădiri și impozitul pe teren, de la 31 martie 2020 la 30 iunie 2020, conform prevederilor </w:t>
      </w:r>
      <w:r w:rsidR="0033447D">
        <w:rPr>
          <w:rFonts w:ascii="Tahoma" w:hAnsi="Tahoma" w:cs="Tahoma"/>
          <w:color w:val="auto"/>
          <w:lang w:val="ro-RO"/>
        </w:rPr>
        <w:t>OUG</w:t>
      </w:r>
      <w:r w:rsidRPr="00292E18">
        <w:rPr>
          <w:rFonts w:ascii="Tahoma" w:hAnsi="Tahoma" w:cs="Tahoma"/>
          <w:color w:val="auto"/>
          <w:lang w:val="ro-RO"/>
        </w:rPr>
        <w:t xml:space="preserve"> nr. 29/2020 privind unele măsuri economice și fiscal-bugetare.</w:t>
      </w:r>
    </w:p>
    <w:p w:rsidR="0033447D" w:rsidRDefault="0033447D" w:rsidP="00860E4A">
      <w:pPr>
        <w:pStyle w:val="NormalWeb"/>
        <w:shd w:val="clear" w:color="auto" w:fill="FFFFFF"/>
        <w:tabs>
          <w:tab w:val="left" w:pos="810"/>
          <w:tab w:val="left" w:pos="1530"/>
        </w:tabs>
        <w:autoSpaceDE w:val="0"/>
        <w:autoSpaceDN w:val="0"/>
        <w:adjustRightInd w:val="0"/>
        <w:spacing w:before="120" w:after="120"/>
        <w:ind w:firstLine="0"/>
        <w:rPr>
          <w:rFonts w:ascii="Tahoma" w:hAnsi="Tahoma" w:cs="Tahoma"/>
          <w:color w:val="auto"/>
          <w:lang w:val="ro-RO"/>
        </w:rPr>
      </w:pPr>
      <w:r>
        <w:rPr>
          <w:rFonts w:ascii="Tahoma" w:hAnsi="Tahoma" w:cs="Tahoma"/>
          <w:color w:val="auto"/>
          <w:lang w:val="ro-RO"/>
        </w:rPr>
        <w:t>Veniturile</w:t>
      </w:r>
      <w:r w:rsidR="00DD52A5" w:rsidRPr="00292E18">
        <w:rPr>
          <w:rFonts w:ascii="Tahoma" w:hAnsi="Tahoma" w:cs="Tahoma"/>
          <w:color w:val="auto"/>
          <w:lang w:val="ro-RO"/>
        </w:rPr>
        <w:t xml:space="preserve">din </w:t>
      </w:r>
      <w:r>
        <w:rPr>
          <w:rFonts w:ascii="Tahoma" w:hAnsi="Tahoma" w:cs="Tahoma"/>
          <w:b/>
          <w:i/>
          <w:color w:val="auto"/>
          <w:lang w:val="ro-RO"/>
        </w:rPr>
        <w:t xml:space="preserve">TVA </w:t>
      </w:r>
      <w:r w:rsidR="00502B73">
        <w:rPr>
          <w:rFonts w:ascii="Tahoma" w:hAnsi="Tahoma" w:cs="Tahoma"/>
          <w:color w:val="auto"/>
          <w:lang w:val="ro-RO"/>
        </w:rPr>
        <w:t>au fost în sumă de 12,29</w:t>
      </w:r>
      <w:r w:rsidR="00713D80">
        <w:rPr>
          <w:rFonts w:ascii="Tahoma" w:hAnsi="Tahoma" w:cs="Tahoma"/>
          <w:color w:val="auto"/>
          <w:lang w:val="ro-RO"/>
        </w:rPr>
        <w:t>ml</w:t>
      </w:r>
      <w:r w:rsidR="00502B73">
        <w:rPr>
          <w:rFonts w:ascii="Tahoma" w:hAnsi="Tahoma" w:cs="Tahoma"/>
          <w:color w:val="auto"/>
          <w:lang w:val="ro-RO"/>
        </w:rPr>
        <w:t>d.</w:t>
      </w:r>
      <w:r w:rsidR="00DD52A5" w:rsidRPr="00292E18">
        <w:rPr>
          <w:rFonts w:ascii="Tahoma" w:hAnsi="Tahoma" w:cs="Tahoma"/>
          <w:color w:val="auto"/>
          <w:lang w:val="ro-RO"/>
        </w:rPr>
        <w:t>lei</w:t>
      </w:r>
      <w:r>
        <w:rPr>
          <w:rFonts w:ascii="Tahoma" w:hAnsi="Tahoma" w:cs="Tahoma"/>
          <w:color w:val="auto"/>
          <w:lang w:val="ro-RO"/>
        </w:rPr>
        <w:t xml:space="preserve"> (</w:t>
      </w:r>
      <w:r w:rsidR="00DD52A5" w:rsidRPr="00292E18">
        <w:rPr>
          <w:rFonts w:ascii="Tahoma" w:hAnsi="Tahoma" w:cs="Tahoma"/>
          <w:color w:val="auto"/>
          <w:lang w:val="ro-RO"/>
        </w:rPr>
        <w:t xml:space="preserve">1,1% </w:t>
      </w:r>
      <w:r>
        <w:rPr>
          <w:rFonts w:ascii="Tahoma" w:hAnsi="Tahoma" w:cs="Tahoma"/>
          <w:color w:val="auto"/>
          <w:lang w:val="ro-RO"/>
        </w:rPr>
        <w:t>di</w:t>
      </w:r>
      <w:r w:rsidR="00DD52A5" w:rsidRPr="00292E18">
        <w:rPr>
          <w:rFonts w:ascii="Tahoma" w:hAnsi="Tahoma" w:cs="Tahoma"/>
          <w:color w:val="auto"/>
          <w:lang w:val="ro-RO"/>
        </w:rPr>
        <w:t>n PIB</w:t>
      </w:r>
      <w:r>
        <w:rPr>
          <w:rFonts w:ascii="Tahoma" w:hAnsi="Tahoma" w:cs="Tahoma"/>
          <w:color w:val="auto"/>
          <w:lang w:val="ro-RO"/>
        </w:rPr>
        <w:t xml:space="preserve">), în scădere cu 19,4% față de cele înregistrate în perioada similară a anului trecut. Comparativ cu programul trimestrial, încasările din TVA au fost realizare în proporție de </w:t>
      </w:r>
      <w:r w:rsidRPr="00292E18">
        <w:rPr>
          <w:rFonts w:ascii="Tahoma" w:hAnsi="Tahoma" w:cs="Tahoma"/>
          <w:color w:val="auto"/>
          <w:lang w:val="ro-RO"/>
        </w:rPr>
        <w:t>74,3%</w:t>
      </w:r>
      <w:r>
        <w:rPr>
          <w:rFonts w:ascii="Tahoma" w:hAnsi="Tahoma" w:cs="Tahoma"/>
          <w:color w:val="auto"/>
          <w:lang w:val="ro-RO"/>
        </w:rPr>
        <w:t>.</w:t>
      </w:r>
    </w:p>
    <w:p w:rsidR="00895655" w:rsidRDefault="00895655" w:rsidP="00895655">
      <w:pPr>
        <w:tabs>
          <w:tab w:val="left" w:pos="810"/>
        </w:tabs>
        <w:autoSpaceDE w:val="0"/>
        <w:autoSpaceDN w:val="0"/>
        <w:adjustRightInd w:val="0"/>
        <w:spacing w:before="120" w:after="120"/>
        <w:jc w:val="both"/>
        <w:rPr>
          <w:rFonts w:ascii="Tahoma" w:hAnsi="Tahoma" w:cs="Tahoma"/>
          <w:sz w:val="24"/>
          <w:szCs w:val="24"/>
        </w:rPr>
      </w:pPr>
      <w:r w:rsidRPr="00860E4A">
        <w:rPr>
          <w:rFonts w:ascii="Tahoma" w:hAnsi="Tahoma" w:cs="Tahoma"/>
          <w:sz w:val="24"/>
          <w:szCs w:val="24"/>
        </w:rPr>
        <w:lastRenderedPageBreak/>
        <w:t xml:space="preserve">Diminuarea încasărilor din </w:t>
      </w:r>
      <w:r>
        <w:rPr>
          <w:rFonts w:ascii="Tahoma" w:hAnsi="Tahoma" w:cs="Tahoma"/>
          <w:sz w:val="24"/>
          <w:szCs w:val="24"/>
        </w:rPr>
        <w:t>TVA</w:t>
      </w:r>
      <w:r w:rsidRPr="00860E4A">
        <w:rPr>
          <w:rFonts w:ascii="Tahoma" w:hAnsi="Tahoma" w:cs="Tahoma"/>
          <w:sz w:val="24"/>
          <w:szCs w:val="24"/>
        </w:rPr>
        <w:t xml:space="preserve"> față de perioada similară a anului precedent și față de program este </w:t>
      </w:r>
      <w:r w:rsidR="004B3151">
        <w:rPr>
          <w:rFonts w:ascii="Tahoma" w:hAnsi="Tahoma" w:cs="Tahoma"/>
          <w:sz w:val="24"/>
          <w:szCs w:val="24"/>
        </w:rPr>
        <w:t>explicată</w:t>
      </w:r>
      <w:r w:rsidRPr="00860E4A">
        <w:rPr>
          <w:rFonts w:ascii="Tahoma" w:hAnsi="Tahoma" w:cs="Tahoma"/>
          <w:sz w:val="24"/>
          <w:szCs w:val="24"/>
        </w:rPr>
        <w:t xml:space="preserve">, în principal, de evoluția încasărilor din luna martie. În contextul în care cifra de afaceri în comerț, servicii și industrie a înregistrat o dinamică de 12,2%, încasările au fost influențate de accelerarea rambursărilor de </w:t>
      </w:r>
      <w:r>
        <w:rPr>
          <w:rFonts w:ascii="Tahoma" w:hAnsi="Tahoma" w:cs="Tahoma"/>
          <w:sz w:val="24"/>
          <w:szCs w:val="24"/>
        </w:rPr>
        <w:t>TVA</w:t>
      </w:r>
      <w:r w:rsidRPr="00860E4A">
        <w:rPr>
          <w:rFonts w:ascii="Tahoma" w:hAnsi="Tahoma" w:cs="Tahoma"/>
          <w:sz w:val="24"/>
          <w:szCs w:val="24"/>
        </w:rPr>
        <w:t xml:space="preserve"> și de măsurile fiscale aprobate pe durata stării de urgenț</w:t>
      </w:r>
      <w:r w:rsidRPr="00640FBB">
        <w:rPr>
          <w:rFonts w:ascii="Tahoma" w:hAnsi="Tahoma" w:cs="Tahoma"/>
          <w:sz w:val="24"/>
          <w:szCs w:val="24"/>
        </w:rPr>
        <w:t>ă</w:t>
      </w:r>
      <w:r w:rsidRPr="00640FBB">
        <w:rPr>
          <w:rStyle w:val="FootnoteReference"/>
          <w:rFonts w:ascii="Tahoma" w:eastAsia="Calibri" w:hAnsi="Tahoma" w:cs="Tahoma"/>
          <w:sz w:val="24"/>
          <w:szCs w:val="24"/>
        </w:rPr>
        <w:footnoteReference w:id="8"/>
      </w:r>
      <w:r w:rsidRPr="00640FBB">
        <w:rPr>
          <w:rFonts w:ascii="Tahoma" w:hAnsi="Tahoma" w:cs="Tahoma"/>
          <w:sz w:val="24"/>
          <w:szCs w:val="24"/>
        </w:rPr>
        <w:t>.</w:t>
      </w:r>
    </w:p>
    <w:p w:rsidR="00895655" w:rsidRPr="00222906" w:rsidRDefault="00C12274" w:rsidP="007C6A86">
      <w:pPr>
        <w:tabs>
          <w:tab w:val="left" w:pos="810"/>
        </w:tabs>
        <w:autoSpaceDE w:val="0"/>
        <w:autoSpaceDN w:val="0"/>
        <w:adjustRightInd w:val="0"/>
        <w:spacing w:before="120" w:after="120"/>
        <w:jc w:val="both"/>
        <w:rPr>
          <w:rFonts w:ascii="Tahoma" w:hAnsi="Tahoma" w:cs="Tahoma"/>
        </w:rPr>
      </w:pPr>
      <w:r>
        <w:rPr>
          <w:rFonts w:ascii="Tahoma" w:hAnsi="Tahoma" w:cs="Tahoma"/>
          <w:sz w:val="24"/>
          <w:szCs w:val="24"/>
        </w:rPr>
        <w:t>A</w:t>
      </w:r>
      <w:r w:rsidR="00895655">
        <w:rPr>
          <w:rFonts w:ascii="Tahoma" w:hAnsi="Tahoma" w:cs="Tahoma"/>
          <w:sz w:val="24"/>
          <w:szCs w:val="24"/>
        </w:rPr>
        <w:t>ccelerarea rambursărilor de TVA a atins un nivel record în luna martie. Totodată, la nivelul întregului trimestru, restituirile de TVA au crescut față de trimestrul I 2019 cu 79,8% (restitu</w:t>
      </w:r>
      <w:r w:rsidR="00502B73">
        <w:rPr>
          <w:rFonts w:ascii="Tahoma" w:hAnsi="Tahoma" w:cs="Tahoma"/>
          <w:sz w:val="24"/>
          <w:szCs w:val="24"/>
        </w:rPr>
        <w:t>iri suplimentare de 3,2 mld.</w:t>
      </w:r>
      <w:r w:rsidR="00895655">
        <w:rPr>
          <w:rFonts w:ascii="Tahoma" w:hAnsi="Tahoma" w:cs="Tahoma"/>
          <w:sz w:val="24"/>
          <w:szCs w:val="24"/>
        </w:rPr>
        <w:t xml:space="preserve"> lei). </w:t>
      </w:r>
    </w:p>
    <w:p w:rsidR="00DD52A5" w:rsidRPr="00F5559E" w:rsidRDefault="00DD52A5" w:rsidP="00860E4A">
      <w:pPr>
        <w:pStyle w:val="NormalWeb"/>
        <w:shd w:val="clear" w:color="auto" w:fill="FFFFFF"/>
        <w:tabs>
          <w:tab w:val="left" w:pos="810"/>
          <w:tab w:val="left" w:pos="1530"/>
        </w:tabs>
        <w:autoSpaceDE w:val="0"/>
        <w:autoSpaceDN w:val="0"/>
        <w:adjustRightInd w:val="0"/>
        <w:spacing w:before="120" w:after="120"/>
        <w:ind w:firstLine="0"/>
        <w:rPr>
          <w:rFonts w:ascii="Tahoma" w:hAnsi="Tahoma" w:cs="Tahoma"/>
          <w:color w:val="auto"/>
          <w:lang w:val="ro-RO"/>
        </w:rPr>
      </w:pPr>
      <w:r w:rsidRPr="00F5559E">
        <w:rPr>
          <w:rFonts w:ascii="Tahoma" w:hAnsi="Tahoma" w:cs="Tahoma"/>
          <w:lang w:val="ro-RO"/>
        </w:rPr>
        <w:t xml:space="preserve">În structură, </w:t>
      </w:r>
      <w:r w:rsidRPr="00F5559E">
        <w:rPr>
          <w:rFonts w:ascii="Tahoma" w:hAnsi="Tahoma" w:cs="Tahoma"/>
          <w:b/>
          <w:lang w:val="ro-RO"/>
        </w:rPr>
        <w:t xml:space="preserve">încasările din </w:t>
      </w:r>
      <w:r w:rsidR="00411D71" w:rsidRPr="00F5559E">
        <w:rPr>
          <w:rFonts w:ascii="Tahoma" w:hAnsi="Tahoma" w:cs="Tahoma"/>
          <w:b/>
          <w:lang w:val="ro-RO"/>
        </w:rPr>
        <w:t>operațiuni</w:t>
      </w:r>
      <w:r w:rsidRPr="00F5559E">
        <w:rPr>
          <w:rFonts w:ascii="Tahoma" w:hAnsi="Tahoma" w:cs="Tahoma"/>
          <w:b/>
          <w:lang w:val="ro-RO"/>
        </w:rPr>
        <w:t xml:space="preserve"> interne au crescut cu 1,7%</w:t>
      </w:r>
      <w:r w:rsidRPr="00F5559E">
        <w:rPr>
          <w:rFonts w:ascii="Tahoma" w:hAnsi="Tahoma" w:cs="Tahoma"/>
          <w:lang w:val="ro-RO"/>
        </w:rPr>
        <w:t xml:space="preserve"> (+ 0,3 mld</w:t>
      </w:r>
      <w:r w:rsidR="003C4703">
        <w:rPr>
          <w:rFonts w:ascii="Tahoma" w:hAnsi="Tahoma" w:cs="Tahoma"/>
          <w:lang w:val="ro-RO"/>
        </w:rPr>
        <w:t>.</w:t>
      </w:r>
      <w:r w:rsidRPr="00F5559E">
        <w:rPr>
          <w:rFonts w:ascii="Tahoma" w:hAnsi="Tahoma" w:cs="Tahoma"/>
          <w:lang w:val="ro-RO"/>
        </w:rPr>
        <w:t xml:space="preserve"> lei), iar cele din </w:t>
      </w:r>
      <w:r w:rsidRPr="00F5559E">
        <w:rPr>
          <w:rFonts w:ascii="Tahoma" w:hAnsi="Tahoma" w:cs="Tahoma"/>
          <w:b/>
          <w:lang w:val="ro-RO"/>
        </w:rPr>
        <w:t>importurile de bunuri au scăzut cu 0,5%</w:t>
      </w:r>
      <w:r w:rsidRPr="00F5559E">
        <w:rPr>
          <w:rFonts w:ascii="Tahoma" w:hAnsi="Tahoma" w:cs="Tahoma"/>
          <w:lang w:val="ro-RO"/>
        </w:rPr>
        <w:t xml:space="preserve"> (- 0,01 mld</w:t>
      </w:r>
      <w:r w:rsidR="003C4703">
        <w:rPr>
          <w:rFonts w:ascii="Tahoma" w:hAnsi="Tahoma" w:cs="Tahoma"/>
          <w:lang w:val="ro-RO"/>
        </w:rPr>
        <w:t>.</w:t>
      </w:r>
      <w:r w:rsidRPr="00F5559E">
        <w:rPr>
          <w:rFonts w:ascii="Tahoma" w:hAnsi="Tahoma" w:cs="Tahoma"/>
          <w:lang w:val="ro-RO"/>
        </w:rPr>
        <w:t xml:space="preserve"> lei) față de primul trimestru </w:t>
      </w:r>
      <w:r w:rsidR="004B3151">
        <w:rPr>
          <w:rFonts w:ascii="Tahoma" w:hAnsi="Tahoma" w:cs="Tahoma"/>
          <w:lang w:val="ro-RO"/>
        </w:rPr>
        <w:t xml:space="preserve">din </w:t>
      </w:r>
      <w:r w:rsidRPr="00F5559E">
        <w:rPr>
          <w:rFonts w:ascii="Tahoma" w:hAnsi="Tahoma" w:cs="Tahoma"/>
          <w:lang w:val="ro-RO"/>
        </w:rPr>
        <w:t xml:space="preserve">2019. </w:t>
      </w:r>
    </w:p>
    <w:p w:rsidR="00DD52A5" w:rsidRPr="00860E4A" w:rsidRDefault="00D333E6" w:rsidP="00860E4A">
      <w:pPr>
        <w:tabs>
          <w:tab w:val="left" w:pos="810"/>
        </w:tabs>
        <w:autoSpaceDE w:val="0"/>
        <w:autoSpaceDN w:val="0"/>
        <w:adjustRightInd w:val="0"/>
        <w:spacing w:before="120" w:after="120"/>
        <w:jc w:val="both"/>
        <w:rPr>
          <w:rFonts w:ascii="Tahoma" w:hAnsi="Tahoma" w:cs="Tahoma"/>
          <w:sz w:val="24"/>
          <w:szCs w:val="24"/>
        </w:rPr>
      </w:pPr>
      <w:r w:rsidRPr="007C6A86">
        <w:rPr>
          <w:rFonts w:ascii="Tahoma" w:hAnsi="Tahoma" w:cs="Tahoma"/>
          <w:sz w:val="24"/>
          <w:szCs w:val="24"/>
        </w:rPr>
        <w:t>Comparativ cu perioada similară a anului trecut, e</w:t>
      </w:r>
      <w:r w:rsidR="00DD52A5" w:rsidRPr="00F24FA0">
        <w:rPr>
          <w:rFonts w:ascii="Tahoma" w:hAnsi="Tahoma" w:cs="Tahoma"/>
          <w:sz w:val="24"/>
          <w:szCs w:val="24"/>
        </w:rPr>
        <w:t>xporturile au crescut cu 3,3%, iar importurile cu 4,2%</w:t>
      </w:r>
      <w:r>
        <w:rPr>
          <w:rFonts w:ascii="Tahoma" w:hAnsi="Tahoma" w:cs="Tahoma"/>
          <w:sz w:val="24"/>
          <w:szCs w:val="24"/>
        </w:rPr>
        <w:t xml:space="preserve"> în trimestrul unu</w:t>
      </w:r>
      <w:r w:rsidR="00DD52A5" w:rsidRPr="00D333E6">
        <w:rPr>
          <w:rFonts w:ascii="Tahoma" w:hAnsi="Tahoma" w:cs="Tahoma"/>
          <w:sz w:val="24"/>
          <w:szCs w:val="24"/>
        </w:rPr>
        <w:t xml:space="preserve">. </w:t>
      </w:r>
      <w:r>
        <w:rPr>
          <w:rFonts w:ascii="Tahoma" w:hAnsi="Tahoma" w:cs="Tahoma"/>
          <w:sz w:val="24"/>
          <w:szCs w:val="24"/>
        </w:rPr>
        <w:t>Astfel, î</w:t>
      </w:r>
      <w:r w:rsidR="00DD52A5" w:rsidRPr="00F24FA0">
        <w:rPr>
          <w:rFonts w:ascii="Tahoma" w:hAnsi="Tahoma" w:cs="Tahoma"/>
          <w:sz w:val="24"/>
          <w:szCs w:val="24"/>
        </w:rPr>
        <w:t>n cazul comerțului intra-UE, ex</w:t>
      </w:r>
      <w:r w:rsidR="00DD52A5" w:rsidRPr="00D333E6">
        <w:rPr>
          <w:rFonts w:ascii="Tahoma" w:hAnsi="Tahoma" w:cs="Tahoma"/>
          <w:sz w:val="24"/>
          <w:szCs w:val="24"/>
        </w:rPr>
        <w:t>porturile au crescut cu 4,1%, importurile cu 5,0%, iar în cel al comerțului extra-UE, exporturile au crescut cu 1,0%, importurile cu 2,1%</w:t>
      </w:r>
      <w:r w:rsidR="00DD52A5" w:rsidRPr="00F24FA0">
        <w:rPr>
          <w:kern w:val="22"/>
          <w:vertAlign w:val="superscript"/>
        </w:rPr>
        <w:footnoteReference w:id="9"/>
      </w:r>
      <w:r w:rsidR="00DD52A5" w:rsidRPr="00F24FA0">
        <w:rPr>
          <w:rFonts w:ascii="Tahoma" w:hAnsi="Tahoma" w:cs="Tahoma"/>
          <w:sz w:val="24"/>
          <w:szCs w:val="24"/>
        </w:rPr>
        <w:t>.</w:t>
      </w:r>
    </w:p>
    <w:p w:rsidR="00895655" w:rsidRDefault="00DD52A5" w:rsidP="00860E4A">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r w:rsidRPr="00860E4A">
        <w:rPr>
          <w:rFonts w:ascii="Tahoma" w:hAnsi="Tahoma" w:cs="Tahoma"/>
          <w:sz w:val="24"/>
          <w:szCs w:val="24"/>
        </w:rPr>
        <w:t xml:space="preserve">Încasările din </w:t>
      </w:r>
      <w:r w:rsidRPr="00640FBB">
        <w:rPr>
          <w:rFonts w:ascii="Tahoma" w:hAnsi="Tahoma" w:cs="Tahoma"/>
          <w:b/>
          <w:i/>
          <w:sz w:val="24"/>
          <w:szCs w:val="24"/>
        </w:rPr>
        <w:t>accize</w:t>
      </w:r>
      <w:r w:rsidRPr="00860E4A">
        <w:rPr>
          <w:rFonts w:ascii="Tahoma" w:hAnsi="Tahoma" w:cs="Tahoma"/>
          <w:sz w:val="24"/>
          <w:szCs w:val="24"/>
        </w:rPr>
        <w:t xml:space="preserve"> au </w:t>
      </w:r>
      <w:r w:rsidR="00895655">
        <w:rPr>
          <w:rFonts w:ascii="Tahoma" w:hAnsi="Tahoma" w:cs="Tahoma"/>
          <w:sz w:val="24"/>
          <w:szCs w:val="24"/>
        </w:rPr>
        <w:t>însumat</w:t>
      </w:r>
      <w:r w:rsidR="00502B73">
        <w:rPr>
          <w:rFonts w:ascii="Tahoma" w:hAnsi="Tahoma" w:cs="Tahoma"/>
          <w:sz w:val="24"/>
          <w:szCs w:val="24"/>
        </w:rPr>
        <w:t xml:space="preserve"> 7,42 m</w:t>
      </w:r>
      <w:r w:rsidR="00713D80">
        <w:rPr>
          <w:rFonts w:ascii="Tahoma" w:hAnsi="Tahoma" w:cs="Tahoma"/>
          <w:sz w:val="24"/>
          <w:szCs w:val="24"/>
        </w:rPr>
        <w:t>l</w:t>
      </w:r>
      <w:r w:rsidR="00502B73">
        <w:rPr>
          <w:rFonts w:ascii="Tahoma" w:hAnsi="Tahoma" w:cs="Tahoma"/>
          <w:sz w:val="24"/>
          <w:szCs w:val="24"/>
        </w:rPr>
        <w:t>d.</w:t>
      </w:r>
      <w:r w:rsidRPr="00860E4A">
        <w:rPr>
          <w:rFonts w:ascii="Tahoma" w:hAnsi="Tahoma" w:cs="Tahoma"/>
          <w:sz w:val="24"/>
          <w:szCs w:val="24"/>
        </w:rPr>
        <w:t xml:space="preserve">lei </w:t>
      </w:r>
      <w:r w:rsidR="00895655">
        <w:rPr>
          <w:rFonts w:ascii="Tahoma" w:hAnsi="Tahoma" w:cs="Tahoma"/>
          <w:sz w:val="24"/>
          <w:szCs w:val="24"/>
        </w:rPr>
        <w:t>(</w:t>
      </w:r>
      <w:r w:rsidRPr="00860E4A">
        <w:rPr>
          <w:rFonts w:ascii="Tahoma" w:hAnsi="Tahoma" w:cs="Tahoma"/>
          <w:sz w:val="24"/>
          <w:szCs w:val="24"/>
        </w:rPr>
        <w:t>0,7% din PIB</w:t>
      </w:r>
      <w:r w:rsidR="00895655">
        <w:rPr>
          <w:rFonts w:ascii="Tahoma" w:hAnsi="Tahoma" w:cs="Tahoma"/>
          <w:sz w:val="24"/>
          <w:szCs w:val="24"/>
        </w:rPr>
        <w:t xml:space="preserve">) în primele trei luni ale anului și prezintă un avans de 8,7% față de nivelul înregistrat în </w:t>
      </w:r>
      <w:r w:rsidR="00DD03A2">
        <w:rPr>
          <w:rFonts w:ascii="Tahoma" w:hAnsi="Tahoma" w:cs="Tahoma"/>
          <w:sz w:val="24"/>
          <w:szCs w:val="24"/>
        </w:rPr>
        <w:t>T1 2019</w:t>
      </w:r>
      <w:r w:rsidR="00895655">
        <w:rPr>
          <w:rFonts w:ascii="Tahoma" w:hAnsi="Tahoma" w:cs="Tahoma"/>
          <w:sz w:val="24"/>
          <w:szCs w:val="24"/>
        </w:rPr>
        <w:t xml:space="preserve">, </w:t>
      </w:r>
      <w:r w:rsidR="00D333E6">
        <w:rPr>
          <w:rFonts w:ascii="Tahoma" w:hAnsi="Tahoma" w:cs="Tahoma"/>
          <w:sz w:val="24"/>
          <w:szCs w:val="24"/>
        </w:rPr>
        <w:t>reflectând</w:t>
      </w:r>
      <w:r w:rsidR="00895655">
        <w:rPr>
          <w:rFonts w:ascii="Tahoma" w:hAnsi="Tahoma" w:cs="Tahoma"/>
          <w:sz w:val="24"/>
          <w:szCs w:val="24"/>
        </w:rPr>
        <w:t xml:space="preserve"> un grad de realizare al programului trimestrial de 103,6%. </w:t>
      </w:r>
    </w:p>
    <w:p w:rsidR="00DD52A5" w:rsidRPr="00292E18" w:rsidRDefault="00895655" w:rsidP="00860E4A">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r>
        <w:rPr>
          <w:rFonts w:ascii="Tahoma" w:hAnsi="Tahoma" w:cs="Tahoma"/>
          <w:sz w:val="24"/>
          <w:szCs w:val="24"/>
        </w:rPr>
        <w:t>V</w:t>
      </w:r>
      <w:r w:rsidR="00DD52A5" w:rsidRPr="00292E18">
        <w:rPr>
          <w:rFonts w:ascii="Tahoma" w:hAnsi="Tahoma" w:cs="Tahoma"/>
          <w:sz w:val="24"/>
          <w:szCs w:val="24"/>
        </w:rPr>
        <w:t xml:space="preserve">eniturile din accize pentru produse energetice au </w:t>
      </w:r>
      <w:r>
        <w:rPr>
          <w:rFonts w:ascii="Tahoma" w:hAnsi="Tahoma" w:cs="Tahoma"/>
          <w:sz w:val="24"/>
          <w:szCs w:val="24"/>
        </w:rPr>
        <w:t>accelerat</w:t>
      </w:r>
      <w:r w:rsidR="00DD52A5" w:rsidRPr="00292E18">
        <w:rPr>
          <w:rFonts w:ascii="Tahoma" w:hAnsi="Tahoma" w:cs="Tahoma"/>
          <w:sz w:val="24"/>
          <w:szCs w:val="24"/>
        </w:rPr>
        <w:t xml:space="preserve">cu 2,1% (an/an) în condițiile în care nivelul accizei pentru carburanți a fost diminuat la începutul acestui an cu 13% la benzina fără plumb, respectiv 14,3% la motorină. </w:t>
      </w:r>
      <w:r w:rsidR="001546A2">
        <w:rPr>
          <w:rFonts w:ascii="Tahoma" w:hAnsi="Tahoma" w:cs="Tahoma"/>
          <w:sz w:val="24"/>
          <w:szCs w:val="24"/>
        </w:rPr>
        <w:t>Totodată, încasările</w:t>
      </w:r>
      <w:r w:rsidR="00826F2E">
        <w:rPr>
          <w:rFonts w:ascii="Tahoma" w:hAnsi="Tahoma" w:cs="Tahoma"/>
          <w:sz w:val="24"/>
          <w:szCs w:val="24"/>
        </w:rPr>
        <w:t xml:space="preserve"> </w:t>
      </w:r>
      <w:r w:rsidR="00DD52A5" w:rsidRPr="00292E18">
        <w:rPr>
          <w:rFonts w:ascii="Tahoma" w:hAnsi="Tahoma" w:cs="Tahoma"/>
          <w:sz w:val="24"/>
          <w:szCs w:val="24"/>
        </w:rPr>
        <w:t>din accize</w:t>
      </w:r>
      <w:r w:rsidR="001546A2">
        <w:rPr>
          <w:rFonts w:ascii="Tahoma" w:hAnsi="Tahoma" w:cs="Tahoma"/>
          <w:sz w:val="24"/>
          <w:szCs w:val="24"/>
        </w:rPr>
        <w:t>le</w:t>
      </w:r>
      <w:r w:rsidR="00DD52A5" w:rsidRPr="00292E18">
        <w:rPr>
          <w:rFonts w:ascii="Tahoma" w:hAnsi="Tahoma" w:cs="Tahoma"/>
          <w:sz w:val="24"/>
          <w:szCs w:val="24"/>
        </w:rPr>
        <w:t xml:space="preserve"> pentru produsele din tutun au înregistrat un avans de 15,3% (an/an)</w:t>
      </w:r>
      <w:r w:rsidR="00826F2E">
        <w:rPr>
          <w:rFonts w:ascii="Tahoma" w:hAnsi="Tahoma" w:cs="Tahoma"/>
          <w:sz w:val="24"/>
          <w:szCs w:val="24"/>
        </w:rPr>
        <w:t xml:space="preserve"> </w:t>
      </w:r>
      <w:r w:rsidR="00DD52A5" w:rsidRPr="00292E18">
        <w:rPr>
          <w:rFonts w:ascii="Tahoma" w:hAnsi="Tahoma" w:cs="Tahoma"/>
          <w:sz w:val="24"/>
          <w:szCs w:val="24"/>
        </w:rPr>
        <w:t>pe fondul majorării nivelului accizei la țigarete cu 4,2%.</w:t>
      </w:r>
    </w:p>
    <w:p w:rsidR="00DD52A5" w:rsidRPr="00950B7A" w:rsidRDefault="00DD52A5" w:rsidP="00AA06C8">
      <w:pPr>
        <w:spacing w:before="240" w:after="120" w:line="276" w:lineRule="auto"/>
        <w:jc w:val="both"/>
        <w:rPr>
          <w:rFonts w:ascii="Tahoma" w:hAnsi="Tahoma" w:cs="Tahoma"/>
          <w:sz w:val="24"/>
          <w:szCs w:val="24"/>
        </w:rPr>
      </w:pPr>
      <w:r w:rsidRPr="00860E4A">
        <w:rPr>
          <w:rFonts w:ascii="Tahoma" w:hAnsi="Tahoma" w:cs="Tahoma"/>
          <w:sz w:val="24"/>
          <w:szCs w:val="24"/>
        </w:rPr>
        <w:t xml:space="preserve">Încasările din </w:t>
      </w:r>
      <w:r w:rsidRPr="00640FBB">
        <w:rPr>
          <w:rFonts w:ascii="Tahoma" w:hAnsi="Tahoma" w:cs="Tahoma"/>
          <w:b/>
          <w:i/>
          <w:sz w:val="24"/>
          <w:szCs w:val="24"/>
        </w:rPr>
        <w:t>taxele pe utilizarea bunurilor</w:t>
      </w:r>
      <w:r w:rsidR="00826F2E">
        <w:rPr>
          <w:rFonts w:ascii="Tahoma" w:hAnsi="Tahoma" w:cs="Tahoma"/>
          <w:b/>
          <w:i/>
          <w:sz w:val="24"/>
          <w:szCs w:val="24"/>
        </w:rPr>
        <w:t xml:space="preserve"> </w:t>
      </w:r>
      <w:r w:rsidR="00502B73">
        <w:rPr>
          <w:rFonts w:ascii="Tahoma" w:hAnsi="Tahoma" w:cs="Tahoma"/>
          <w:sz w:val="24"/>
          <w:szCs w:val="24"/>
        </w:rPr>
        <w:t>au fost în sumă de 1,69</w:t>
      </w:r>
      <w:r w:rsidR="00713D80">
        <w:rPr>
          <w:rFonts w:ascii="Tahoma" w:hAnsi="Tahoma" w:cs="Tahoma"/>
          <w:sz w:val="24"/>
          <w:szCs w:val="24"/>
        </w:rPr>
        <w:t>ml</w:t>
      </w:r>
      <w:r w:rsidR="00502B73">
        <w:rPr>
          <w:rFonts w:ascii="Tahoma" w:hAnsi="Tahoma" w:cs="Tahoma"/>
          <w:sz w:val="24"/>
          <w:szCs w:val="24"/>
        </w:rPr>
        <w:t>d.</w:t>
      </w:r>
      <w:r w:rsidRPr="00860E4A">
        <w:rPr>
          <w:rFonts w:ascii="Tahoma" w:hAnsi="Tahoma" w:cs="Tahoma"/>
          <w:sz w:val="24"/>
          <w:szCs w:val="24"/>
        </w:rPr>
        <w:t xml:space="preserve">lei, </w:t>
      </w:r>
      <w:r w:rsidR="00565196" w:rsidRPr="00F228D9">
        <w:rPr>
          <w:rFonts w:ascii="Tahoma" w:hAnsi="Tahoma" w:cs="Tahoma"/>
          <w:sz w:val="24"/>
          <w:szCs w:val="24"/>
        </w:rPr>
        <w:t xml:space="preserve">în creștere cu 28,18% comparativ cu primele 3 luni ale anului 2019, în principal ca urmare a încasărilor din taxele pentru prelungirea unor licențe a frecvențelor radio (HG nr. 226/2020). </w:t>
      </w:r>
      <w:r w:rsidRPr="00950B7A">
        <w:rPr>
          <w:rFonts w:ascii="Tahoma" w:hAnsi="Tahoma" w:cs="Tahoma"/>
          <w:sz w:val="24"/>
          <w:szCs w:val="24"/>
        </w:rPr>
        <w:t xml:space="preserve">Totodată, se constată o diminuare a încasărilor din taxele pe utilizarea bunurilorîn cazul bugetelor locale ca urmare a prorogării termenului de plată a impozitul pe mijloace de transport de la 31 martie 2020 la 30 iunie 2020, conform prevederilor </w:t>
      </w:r>
      <w:r w:rsidR="00B3358B">
        <w:rPr>
          <w:rFonts w:ascii="Tahoma" w:hAnsi="Tahoma" w:cs="Tahoma"/>
          <w:sz w:val="24"/>
          <w:szCs w:val="24"/>
        </w:rPr>
        <w:t>OUG</w:t>
      </w:r>
      <w:r w:rsidRPr="00950B7A">
        <w:rPr>
          <w:rFonts w:ascii="Tahoma" w:hAnsi="Tahoma" w:cs="Tahoma"/>
          <w:sz w:val="24"/>
          <w:szCs w:val="24"/>
        </w:rPr>
        <w:t xml:space="preserve"> nr. 29/2020</w:t>
      </w:r>
      <w:r w:rsidR="00DD03A2">
        <w:rPr>
          <w:rFonts w:ascii="Tahoma" w:hAnsi="Tahoma" w:cs="Tahoma"/>
          <w:sz w:val="24"/>
          <w:szCs w:val="24"/>
        </w:rPr>
        <w:t xml:space="preserve">. </w:t>
      </w:r>
    </w:p>
    <w:p w:rsidR="00DD52A5" w:rsidRPr="00950B7A" w:rsidRDefault="00DD52A5" w:rsidP="00950B7A">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r w:rsidRPr="00950B7A">
        <w:rPr>
          <w:rFonts w:ascii="Tahoma" w:hAnsi="Tahoma" w:cs="Tahoma"/>
          <w:sz w:val="24"/>
          <w:szCs w:val="24"/>
        </w:rPr>
        <w:t>Încasările din</w:t>
      </w:r>
      <w:r w:rsidR="00826F2E">
        <w:rPr>
          <w:rFonts w:ascii="Tahoma" w:hAnsi="Tahoma" w:cs="Tahoma"/>
          <w:sz w:val="24"/>
          <w:szCs w:val="24"/>
        </w:rPr>
        <w:t xml:space="preserve"> </w:t>
      </w:r>
      <w:r w:rsidRPr="00640FBB">
        <w:rPr>
          <w:rFonts w:ascii="Tahoma" w:hAnsi="Tahoma" w:cs="Tahoma"/>
          <w:b/>
          <w:bCs/>
          <w:i/>
          <w:sz w:val="24"/>
          <w:szCs w:val="24"/>
        </w:rPr>
        <w:t xml:space="preserve">impozitul pe comerț exterior </w:t>
      </w:r>
      <w:r w:rsidR="00640FBB" w:rsidRPr="00640FBB">
        <w:rPr>
          <w:rFonts w:ascii="Tahoma" w:hAnsi="Tahoma" w:cs="Tahoma"/>
          <w:b/>
          <w:bCs/>
          <w:i/>
          <w:sz w:val="24"/>
          <w:szCs w:val="24"/>
        </w:rPr>
        <w:t>și</w:t>
      </w:r>
      <w:r w:rsidRPr="00640FBB">
        <w:rPr>
          <w:rFonts w:ascii="Tahoma" w:hAnsi="Tahoma" w:cs="Tahoma"/>
          <w:b/>
          <w:bCs/>
          <w:i/>
          <w:sz w:val="24"/>
          <w:szCs w:val="24"/>
        </w:rPr>
        <w:t xml:space="preserve"> tranzacțiile internaționale</w:t>
      </w:r>
      <w:r w:rsidRPr="00950B7A">
        <w:rPr>
          <w:rFonts w:ascii="Tahoma" w:hAnsi="Tahoma" w:cs="Tahoma"/>
          <w:sz w:val="24"/>
          <w:szCs w:val="24"/>
        </w:rPr>
        <w:t xml:space="preserve"> s-au realizat în proporție de 82,7%, pe fondul creșterii importurilor extra comunitare de bunuri din primele 2 luni ale anului 2020 cu 2,1%.</w:t>
      </w:r>
    </w:p>
    <w:p w:rsidR="00DD52A5" w:rsidRPr="00292E18" w:rsidRDefault="00F5559E" w:rsidP="00DD52A5">
      <w:pPr>
        <w:pStyle w:val="ListParagraph"/>
        <w:spacing w:before="240"/>
        <w:ind w:left="1276" w:hanging="1276"/>
        <w:jc w:val="both"/>
        <w:rPr>
          <w:rFonts w:ascii="Tahoma" w:hAnsi="Tahoma" w:cs="Tahoma"/>
          <w:sz w:val="24"/>
          <w:szCs w:val="24"/>
        </w:rPr>
      </w:pPr>
      <w:r>
        <w:rPr>
          <w:rFonts w:ascii="Tahoma" w:hAnsi="Tahoma" w:cs="Tahoma"/>
          <w:noProof/>
          <w:sz w:val="24"/>
          <w:szCs w:val="24"/>
          <w:lang w:eastAsia="ro-RO"/>
        </w:rPr>
        <w:lastRenderedPageBreak/>
        <w:drawing>
          <wp:inline distT="0" distB="0" distL="0" distR="0">
            <wp:extent cx="6093439" cy="3005455"/>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5684" cy="3006562"/>
                    </a:xfrm>
                    <a:prstGeom prst="rect">
                      <a:avLst/>
                    </a:prstGeom>
                    <a:noFill/>
                  </pic:spPr>
                </pic:pic>
              </a:graphicData>
            </a:graphic>
          </wp:inline>
        </w:drawing>
      </w:r>
    </w:p>
    <w:p w:rsidR="00B27620" w:rsidRDefault="00DD52A5" w:rsidP="007C6A86">
      <w:pPr>
        <w:shd w:val="clear" w:color="auto" w:fill="FFFFFF"/>
        <w:spacing w:after="120"/>
        <w:jc w:val="both"/>
        <w:rPr>
          <w:rFonts w:ascii="Tahoma" w:hAnsi="Tahoma" w:cs="Tahoma"/>
          <w:sz w:val="24"/>
          <w:szCs w:val="24"/>
          <w:lang w:eastAsia="ro-RO"/>
        </w:rPr>
      </w:pPr>
      <w:r w:rsidRPr="00950B7A">
        <w:rPr>
          <w:rFonts w:ascii="Tahoma" w:hAnsi="Tahoma" w:cs="Tahoma"/>
          <w:sz w:val="24"/>
          <w:szCs w:val="24"/>
          <w:lang w:eastAsia="ro-RO"/>
        </w:rPr>
        <w:t xml:space="preserve">Încasările din </w:t>
      </w:r>
      <w:r w:rsidRPr="00640FBB">
        <w:rPr>
          <w:rFonts w:ascii="Tahoma" w:hAnsi="Tahoma" w:cs="Tahoma"/>
          <w:b/>
          <w:i/>
          <w:sz w:val="24"/>
          <w:szCs w:val="24"/>
          <w:lang w:eastAsia="ro-RO"/>
        </w:rPr>
        <w:t>contribuții de asigurări</w:t>
      </w:r>
      <w:r w:rsidR="00502B73">
        <w:rPr>
          <w:rFonts w:ascii="Tahoma" w:hAnsi="Tahoma" w:cs="Tahoma"/>
          <w:sz w:val="24"/>
          <w:szCs w:val="24"/>
          <w:lang w:eastAsia="ro-RO"/>
        </w:rPr>
        <w:t xml:space="preserve"> au însumat 27,</w:t>
      </w:r>
      <w:r w:rsidRPr="00950B7A">
        <w:rPr>
          <w:rFonts w:ascii="Tahoma" w:hAnsi="Tahoma" w:cs="Tahoma"/>
          <w:sz w:val="24"/>
          <w:szCs w:val="24"/>
          <w:lang w:eastAsia="ro-RO"/>
        </w:rPr>
        <w:t>3</w:t>
      </w:r>
      <w:r w:rsidR="00502B73">
        <w:rPr>
          <w:rFonts w:ascii="Tahoma" w:hAnsi="Tahoma" w:cs="Tahoma"/>
          <w:sz w:val="24"/>
          <w:szCs w:val="24"/>
          <w:lang w:eastAsia="ro-RO"/>
        </w:rPr>
        <w:t>2</w:t>
      </w:r>
      <w:r w:rsidR="00826F2E">
        <w:rPr>
          <w:rFonts w:ascii="Tahoma" w:hAnsi="Tahoma" w:cs="Tahoma"/>
          <w:sz w:val="24"/>
          <w:szCs w:val="24"/>
          <w:lang w:eastAsia="ro-RO"/>
        </w:rPr>
        <w:t xml:space="preserve"> </w:t>
      </w:r>
      <w:r w:rsidR="00502B73">
        <w:rPr>
          <w:rFonts w:ascii="Tahoma" w:hAnsi="Tahoma" w:cs="Tahoma"/>
          <w:sz w:val="24"/>
          <w:szCs w:val="24"/>
          <w:lang w:eastAsia="ro-RO"/>
        </w:rPr>
        <w:t>m</w:t>
      </w:r>
      <w:r w:rsidR="00713D80">
        <w:rPr>
          <w:rFonts w:ascii="Tahoma" w:hAnsi="Tahoma" w:cs="Tahoma"/>
          <w:sz w:val="24"/>
          <w:szCs w:val="24"/>
          <w:lang w:eastAsia="ro-RO"/>
        </w:rPr>
        <w:t>l</w:t>
      </w:r>
      <w:r w:rsidR="00502B73">
        <w:rPr>
          <w:rFonts w:ascii="Tahoma" w:hAnsi="Tahoma" w:cs="Tahoma"/>
          <w:sz w:val="24"/>
          <w:szCs w:val="24"/>
          <w:lang w:eastAsia="ro-RO"/>
        </w:rPr>
        <w:t>d.</w:t>
      </w:r>
      <w:r w:rsidRPr="00950B7A">
        <w:rPr>
          <w:rFonts w:ascii="Tahoma" w:hAnsi="Tahoma" w:cs="Tahoma"/>
          <w:sz w:val="24"/>
          <w:szCs w:val="24"/>
          <w:lang w:eastAsia="ro-RO"/>
        </w:rPr>
        <w:t>lei</w:t>
      </w:r>
      <w:r w:rsidR="00233AC4">
        <w:rPr>
          <w:rFonts w:ascii="Tahoma" w:hAnsi="Tahoma" w:cs="Tahoma"/>
          <w:sz w:val="24"/>
          <w:szCs w:val="24"/>
          <w:lang w:eastAsia="ro-RO"/>
        </w:rPr>
        <w:t xml:space="preserve"> (</w:t>
      </w:r>
      <w:r w:rsidRPr="00950B7A">
        <w:rPr>
          <w:rFonts w:ascii="Tahoma" w:hAnsi="Tahoma" w:cs="Tahoma"/>
          <w:sz w:val="24"/>
          <w:szCs w:val="24"/>
          <w:lang w:eastAsia="ro-RO"/>
        </w:rPr>
        <w:t>2,5% din PIB</w:t>
      </w:r>
      <w:r w:rsidR="00233AC4">
        <w:rPr>
          <w:rFonts w:ascii="Tahoma" w:hAnsi="Tahoma" w:cs="Tahoma"/>
          <w:sz w:val="24"/>
          <w:szCs w:val="24"/>
          <w:lang w:eastAsia="ro-RO"/>
        </w:rPr>
        <w:t>), cu 2% peste nivelul înregistrat în perioada corespunzătoare a anului trecut</w:t>
      </w:r>
      <w:r w:rsidR="00DF73CB">
        <w:rPr>
          <w:rFonts w:ascii="Tahoma" w:hAnsi="Tahoma" w:cs="Tahoma"/>
          <w:sz w:val="24"/>
          <w:szCs w:val="24"/>
          <w:lang w:eastAsia="ro-RO"/>
        </w:rPr>
        <w:t>.</w:t>
      </w:r>
      <w:r w:rsidR="00DF73CB" w:rsidRPr="00950B7A">
        <w:rPr>
          <w:rFonts w:ascii="Tahoma" w:hAnsi="Tahoma" w:cs="Tahoma"/>
          <w:sz w:val="24"/>
          <w:szCs w:val="24"/>
          <w:lang w:eastAsia="ro-RO"/>
        </w:rPr>
        <w:t xml:space="preserve">Dinamica pozitivă a veniturilor din contribuții sociale a fost influențată, ca și în cazul impozitului pe venit, de aceiași indicatori macroeconomici </w:t>
      </w:r>
      <w:r w:rsidR="00DD03A2">
        <w:rPr>
          <w:rFonts w:ascii="Tahoma" w:hAnsi="Tahoma" w:cs="Tahoma"/>
          <w:sz w:val="24"/>
          <w:szCs w:val="24"/>
          <w:lang w:eastAsia="ro-RO"/>
        </w:rPr>
        <w:t>relevanți, cât</w:t>
      </w:r>
      <w:r w:rsidR="00DF73CB" w:rsidRPr="00950B7A">
        <w:rPr>
          <w:rFonts w:ascii="Tahoma" w:hAnsi="Tahoma" w:cs="Tahoma"/>
          <w:sz w:val="24"/>
          <w:szCs w:val="24"/>
          <w:lang w:eastAsia="ro-RO"/>
        </w:rPr>
        <w:t xml:space="preserve"> și de majorarea salariului minim brut garantat în plată.</w:t>
      </w:r>
    </w:p>
    <w:p w:rsidR="00885473" w:rsidRDefault="00B27620" w:rsidP="00BA678C">
      <w:pPr>
        <w:shd w:val="clear" w:color="auto" w:fill="FFFFFF"/>
        <w:spacing w:after="120"/>
        <w:jc w:val="both"/>
        <w:rPr>
          <w:rFonts w:ascii="Tahoma" w:hAnsi="Tahoma" w:cs="Tahoma"/>
          <w:sz w:val="24"/>
          <w:szCs w:val="24"/>
          <w:lang w:val="it-IT"/>
        </w:rPr>
      </w:pPr>
      <w:r>
        <w:rPr>
          <w:rFonts w:ascii="Tahoma" w:hAnsi="Tahoma" w:cs="Tahoma"/>
          <w:sz w:val="24"/>
          <w:szCs w:val="24"/>
          <w:lang w:eastAsia="ro-RO"/>
        </w:rPr>
        <w:t xml:space="preserve"> Comparativ cu programul trimestrial </w:t>
      </w:r>
      <w:r w:rsidR="00405833">
        <w:rPr>
          <w:rFonts w:ascii="Tahoma" w:hAnsi="Tahoma" w:cs="Tahoma"/>
          <w:sz w:val="24"/>
          <w:szCs w:val="24"/>
          <w:lang w:eastAsia="ro-RO"/>
        </w:rPr>
        <w:t>încasările</w:t>
      </w:r>
      <w:r>
        <w:rPr>
          <w:rFonts w:ascii="Tahoma" w:hAnsi="Tahoma" w:cs="Tahoma"/>
          <w:sz w:val="24"/>
          <w:szCs w:val="24"/>
          <w:lang w:eastAsia="ro-RO"/>
        </w:rPr>
        <w:t xml:space="preserve"> din </w:t>
      </w:r>
      <w:r w:rsidR="00405833">
        <w:rPr>
          <w:rFonts w:ascii="Tahoma" w:hAnsi="Tahoma" w:cs="Tahoma"/>
          <w:sz w:val="24"/>
          <w:szCs w:val="24"/>
          <w:lang w:eastAsia="ro-RO"/>
        </w:rPr>
        <w:t>contribuții</w:t>
      </w:r>
      <w:r>
        <w:rPr>
          <w:rFonts w:ascii="Tahoma" w:hAnsi="Tahoma" w:cs="Tahoma"/>
          <w:sz w:val="24"/>
          <w:szCs w:val="24"/>
          <w:lang w:eastAsia="ro-RO"/>
        </w:rPr>
        <w:t xml:space="preserve"> de </w:t>
      </w:r>
      <w:r w:rsidR="00405833">
        <w:rPr>
          <w:rFonts w:ascii="Tahoma" w:hAnsi="Tahoma" w:cs="Tahoma"/>
          <w:sz w:val="24"/>
          <w:szCs w:val="24"/>
          <w:lang w:eastAsia="ro-RO"/>
        </w:rPr>
        <w:t>asigurări s-au realizat î</w:t>
      </w:r>
      <w:r>
        <w:rPr>
          <w:rFonts w:ascii="Tahoma" w:hAnsi="Tahoma" w:cs="Tahoma"/>
          <w:sz w:val="24"/>
          <w:szCs w:val="24"/>
          <w:lang w:eastAsia="ro-RO"/>
        </w:rPr>
        <w:t xml:space="preserve">n proporție de 91,4%. </w:t>
      </w:r>
      <w:r w:rsidR="00DD52A5" w:rsidRPr="00292E18">
        <w:rPr>
          <w:rFonts w:ascii="Tahoma" w:hAnsi="Tahoma" w:cs="Tahoma"/>
          <w:sz w:val="24"/>
          <w:szCs w:val="24"/>
          <w:lang w:eastAsia="ro-RO"/>
        </w:rPr>
        <w:t xml:space="preserve">Nerealizarea programului trimestrial în cazul contribuțiilor de asigurări </w:t>
      </w:r>
      <w:r w:rsidR="00233AC4">
        <w:rPr>
          <w:rFonts w:ascii="Tahoma" w:hAnsi="Tahoma" w:cs="Tahoma"/>
          <w:sz w:val="24"/>
          <w:szCs w:val="24"/>
          <w:lang w:eastAsia="ro-RO"/>
        </w:rPr>
        <w:t>(</w:t>
      </w:r>
      <w:r w:rsidR="00233AC4" w:rsidRPr="00950B7A">
        <w:rPr>
          <w:rFonts w:ascii="Tahoma" w:hAnsi="Tahoma" w:cs="Tahoma"/>
          <w:sz w:val="24"/>
          <w:szCs w:val="24"/>
          <w:lang w:eastAsia="ro-RO"/>
        </w:rPr>
        <w:t>91,4%</w:t>
      </w:r>
      <w:r w:rsidR="00233AC4">
        <w:rPr>
          <w:rFonts w:ascii="Tahoma" w:hAnsi="Tahoma" w:cs="Tahoma"/>
          <w:sz w:val="24"/>
          <w:szCs w:val="24"/>
          <w:lang w:eastAsia="ro-RO"/>
        </w:rPr>
        <w:t>)</w:t>
      </w:r>
      <w:r w:rsidR="00DF73CB">
        <w:rPr>
          <w:rFonts w:ascii="Tahoma" w:hAnsi="Tahoma" w:cs="Tahoma"/>
          <w:sz w:val="24"/>
          <w:szCs w:val="24"/>
          <w:lang w:eastAsia="ro-RO"/>
        </w:rPr>
        <w:t xml:space="preserve"> este cauzată de reducerea </w:t>
      </w:r>
      <w:r w:rsidR="00DD52A5" w:rsidRPr="00292E18">
        <w:rPr>
          <w:rFonts w:ascii="Tahoma" w:hAnsi="Tahoma" w:cs="Tahoma"/>
          <w:sz w:val="24"/>
          <w:szCs w:val="24"/>
          <w:lang w:eastAsia="ro-RO"/>
        </w:rPr>
        <w:t xml:space="preserve">colectării datoriilor </w:t>
      </w:r>
      <w:r w:rsidR="00DD52A5" w:rsidRPr="00292E18">
        <w:rPr>
          <w:rFonts w:ascii="Tahoma" w:eastAsia="Calibri" w:hAnsi="Tahoma" w:cs="Tahoma"/>
          <w:sz w:val="24"/>
          <w:szCs w:val="24"/>
        </w:rPr>
        <w:t>curente</w:t>
      </w:r>
      <w:r w:rsidR="00DD52A5" w:rsidRPr="00292E18">
        <w:rPr>
          <w:rStyle w:val="FootnoteReference"/>
          <w:rFonts w:ascii="Tahoma" w:eastAsia="Calibri" w:hAnsi="Tahoma" w:cs="Tahoma"/>
          <w:sz w:val="24"/>
          <w:szCs w:val="24"/>
        </w:rPr>
        <w:footnoteReference w:id="10"/>
      </w:r>
      <w:r w:rsidR="00DD52A5">
        <w:rPr>
          <w:rFonts w:ascii="Tahoma" w:hAnsi="Tahoma" w:cs="Tahoma"/>
          <w:sz w:val="24"/>
          <w:szCs w:val="24"/>
          <w:lang w:eastAsia="ro-RO"/>
        </w:rPr>
        <w:t>, ca urmare</w:t>
      </w:r>
      <w:r w:rsidR="00DD52A5" w:rsidRPr="00292E18">
        <w:rPr>
          <w:rFonts w:ascii="Tahoma" w:hAnsi="Tahoma" w:cs="Tahoma"/>
          <w:sz w:val="24"/>
          <w:szCs w:val="24"/>
          <w:lang w:eastAsia="ro-RO"/>
        </w:rPr>
        <w:t xml:space="preserve"> a măsurii</w:t>
      </w:r>
      <w:r w:rsidR="00DD52A5">
        <w:rPr>
          <w:rFonts w:ascii="Tahoma" w:hAnsi="Tahoma" w:cs="Tahoma"/>
          <w:sz w:val="24"/>
          <w:szCs w:val="24"/>
          <w:lang w:eastAsia="ro-RO"/>
        </w:rPr>
        <w:t xml:space="preserve"> fiscale de amânare la plată</w:t>
      </w:r>
      <w:r w:rsidR="00DD52A5" w:rsidRPr="00292E18">
        <w:rPr>
          <w:rFonts w:ascii="Tahoma" w:hAnsi="Tahoma" w:cs="Tahoma"/>
          <w:sz w:val="24"/>
          <w:szCs w:val="24"/>
          <w:lang w:eastAsia="ro-RO"/>
        </w:rPr>
        <w:t xml:space="preserve"> a obligațiilor fiscale scadente, respectiv a contribuțiilor </w:t>
      </w:r>
      <w:r w:rsidR="00DD52A5" w:rsidRPr="00292E18">
        <w:rPr>
          <w:rFonts w:ascii="Tahoma" w:eastAsia="Calibri" w:hAnsi="Tahoma" w:cs="Tahoma"/>
          <w:sz w:val="24"/>
          <w:szCs w:val="24"/>
        </w:rPr>
        <w:t>sociale</w:t>
      </w:r>
      <w:r w:rsidR="00DD52A5" w:rsidRPr="00292E18">
        <w:rPr>
          <w:rStyle w:val="FootnoteReference"/>
          <w:rFonts w:ascii="Tahoma" w:eastAsia="Calibri" w:hAnsi="Tahoma" w:cs="Tahoma"/>
          <w:sz w:val="24"/>
          <w:szCs w:val="24"/>
        </w:rPr>
        <w:footnoteReference w:id="11"/>
      </w:r>
      <w:r w:rsidR="00DD52A5" w:rsidRPr="00292E18">
        <w:rPr>
          <w:rFonts w:ascii="Tahoma" w:eastAsia="Calibri" w:hAnsi="Tahoma" w:cs="Tahoma"/>
          <w:sz w:val="24"/>
          <w:szCs w:val="24"/>
        </w:rPr>
        <w:t>.</w:t>
      </w:r>
      <w:r w:rsidR="00DF73CB">
        <w:rPr>
          <w:rFonts w:ascii="Tahoma" w:hAnsi="Tahoma" w:cs="Tahoma"/>
          <w:sz w:val="24"/>
          <w:szCs w:val="24"/>
          <w:lang w:eastAsia="ro-RO"/>
        </w:rPr>
        <w:t>Totodată, ca și în cazul impozitului pe venit, încasările din contribuții au fost afectate de</w:t>
      </w:r>
      <w:r w:rsidR="004F35DA">
        <w:rPr>
          <w:rFonts w:ascii="Tahoma" w:hAnsi="Tahoma" w:cs="Tahoma"/>
          <w:sz w:val="24"/>
          <w:szCs w:val="24"/>
          <w:lang w:eastAsia="ro-RO"/>
        </w:rPr>
        <w:t xml:space="preserve">:(i) </w:t>
      </w:r>
      <w:r w:rsidR="004F35DA" w:rsidRPr="00950B7A">
        <w:rPr>
          <w:rFonts w:ascii="Tahoma" w:hAnsi="Tahoma" w:cs="Tahoma"/>
          <w:sz w:val="24"/>
          <w:szCs w:val="24"/>
          <w:lang w:eastAsia="ro-RO"/>
        </w:rPr>
        <w:t>modific</w:t>
      </w:r>
      <w:r w:rsidR="004F35DA">
        <w:rPr>
          <w:rFonts w:ascii="Tahoma" w:hAnsi="Tahoma" w:cs="Tahoma"/>
          <w:sz w:val="24"/>
          <w:szCs w:val="24"/>
          <w:lang w:eastAsia="ro-RO"/>
        </w:rPr>
        <w:t>a</w:t>
      </w:r>
      <w:r w:rsidR="004F35DA" w:rsidRPr="00950B7A">
        <w:rPr>
          <w:rFonts w:ascii="Tahoma" w:hAnsi="Tahoma" w:cs="Tahoma"/>
          <w:sz w:val="24"/>
          <w:szCs w:val="24"/>
          <w:lang w:eastAsia="ro-RO"/>
        </w:rPr>
        <w:t>r</w:t>
      </w:r>
      <w:r w:rsidR="004F35DA">
        <w:rPr>
          <w:rFonts w:ascii="Tahoma" w:hAnsi="Tahoma" w:cs="Tahoma"/>
          <w:sz w:val="24"/>
          <w:szCs w:val="24"/>
          <w:lang w:eastAsia="ro-RO"/>
        </w:rPr>
        <w:t>ea</w:t>
      </w:r>
      <w:r w:rsidR="004F35DA" w:rsidRPr="00950B7A">
        <w:rPr>
          <w:rFonts w:ascii="Tahoma" w:hAnsi="Tahoma" w:cs="Tahoma"/>
          <w:sz w:val="24"/>
          <w:szCs w:val="24"/>
          <w:lang w:eastAsia="ro-RO"/>
        </w:rPr>
        <w:t xml:space="preserve"> bazei de calcul a </w:t>
      </w:r>
      <w:r w:rsidR="004F35DA">
        <w:rPr>
          <w:rFonts w:ascii="Tahoma" w:hAnsi="Tahoma" w:cs="Tahoma"/>
          <w:sz w:val="24"/>
          <w:szCs w:val="24"/>
          <w:lang w:eastAsia="ro-RO"/>
        </w:rPr>
        <w:t>CAS</w:t>
      </w:r>
      <w:r w:rsidR="004F35DA" w:rsidRPr="00950B7A">
        <w:rPr>
          <w:rFonts w:ascii="Tahoma" w:hAnsi="Tahoma" w:cs="Tahoma"/>
          <w:sz w:val="24"/>
          <w:szCs w:val="24"/>
          <w:lang w:eastAsia="ro-RO"/>
        </w:rPr>
        <w:t xml:space="preserve"> și a </w:t>
      </w:r>
      <w:r w:rsidR="004F35DA">
        <w:rPr>
          <w:rFonts w:ascii="Tahoma" w:hAnsi="Tahoma" w:cs="Tahoma"/>
          <w:sz w:val="24"/>
          <w:szCs w:val="24"/>
          <w:lang w:eastAsia="ro-RO"/>
        </w:rPr>
        <w:t>CASS</w:t>
      </w:r>
      <w:r w:rsidR="004F35DA" w:rsidRPr="00950B7A">
        <w:rPr>
          <w:rFonts w:ascii="Tahoma" w:hAnsi="Tahoma" w:cs="Tahoma"/>
          <w:sz w:val="24"/>
          <w:szCs w:val="24"/>
          <w:lang w:eastAsia="ro-RO"/>
        </w:rPr>
        <w:t xml:space="preserve"> datorată pentru salariații cu contract individual de muncă cu timp parțial de la salariul de bază minim brut pe țară la venitul </w:t>
      </w:r>
      <w:r w:rsidR="004F35DA" w:rsidRPr="00950B7A">
        <w:rPr>
          <w:rFonts w:ascii="Tahoma" w:eastAsia="Calibri" w:hAnsi="Tahoma" w:cs="Tahoma"/>
          <w:sz w:val="24"/>
          <w:szCs w:val="24"/>
        </w:rPr>
        <w:t>realizat</w:t>
      </w:r>
      <w:r w:rsidR="004F35DA" w:rsidRPr="00292E18">
        <w:rPr>
          <w:rStyle w:val="FootnoteReference"/>
          <w:rFonts w:ascii="Tahoma" w:eastAsia="Calibri" w:hAnsi="Tahoma" w:cs="Tahoma"/>
          <w:sz w:val="24"/>
          <w:szCs w:val="24"/>
        </w:rPr>
        <w:footnoteReference w:id="12"/>
      </w:r>
      <w:r w:rsidR="004F35DA">
        <w:rPr>
          <w:rFonts w:ascii="Tahoma" w:eastAsia="Calibri" w:hAnsi="Tahoma" w:cs="Tahoma"/>
          <w:sz w:val="24"/>
          <w:szCs w:val="24"/>
        </w:rPr>
        <w:t xml:space="preserve">;(ii) </w:t>
      </w:r>
      <w:r w:rsidR="00DD52A5" w:rsidRPr="00292E18">
        <w:rPr>
          <w:rFonts w:ascii="Tahoma" w:hAnsi="Tahoma" w:cs="Tahoma"/>
          <w:sz w:val="24"/>
          <w:szCs w:val="24"/>
          <w:lang w:eastAsia="ro-RO"/>
        </w:rPr>
        <w:t>prorog</w:t>
      </w:r>
      <w:r w:rsidR="00DF73CB">
        <w:rPr>
          <w:rFonts w:ascii="Tahoma" w:hAnsi="Tahoma" w:cs="Tahoma"/>
          <w:sz w:val="24"/>
          <w:szCs w:val="24"/>
          <w:lang w:eastAsia="ro-RO"/>
        </w:rPr>
        <w:t>area</w:t>
      </w:r>
      <w:r w:rsidR="00DD52A5" w:rsidRPr="00292E18">
        <w:rPr>
          <w:rFonts w:ascii="Tahoma" w:hAnsi="Tahoma" w:cs="Tahoma"/>
          <w:sz w:val="24"/>
          <w:szCs w:val="24"/>
          <w:lang w:eastAsia="ro-RO"/>
        </w:rPr>
        <w:t xml:space="preserve"> termenului de plată a declarației unice privind impozitul pe venit </w:t>
      </w:r>
      <w:r w:rsidR="00DF73CB">
        <w:rPr>
          <w:rFonts w:ascii="Tahoma" w:hAnsi="Tahoma" w:cs="Tahoma"/>
          <w:sz w:val="24"/>
          <w:szCs w:val="24"/>
          <w:lang w:eastAsia="ro-RO"/>
        </w:rPr>
        <w:t>ș</w:t>
      </w:r>
      <w:r w:rsidR="00DD52A5" w:rsidRPr="00292E18">
        <w:rPr>
          <w:rFonts w:ascii="Tahoma" w:hAnsi="Tahoma" w:cs="Tahoma"/>
          <w:sz w:val="24"/>
          <w:szCs w:val="24"/>
          <w:lang w:eastAsia="ro-RO"/>
        </w:rPr>
        <w:t>i contribuțiile sociale datorate de persoanele fizice de</w:t>
      </w:r>
      <w:r w:rsidR="00DF73CB">
        <w:rPr>
          <w:rFonts w:ascii="Tahoma" w:hAnsi="Tahoma" w:cs="Tahoma"/>
          <w:sz w:val="24"/>
          <w:szCs w:val="24"/>
          <w:lang w:eastAsia="ro-RO"/>
        </w:rPr>
        <w:t xml:space="preserve"> la</w:t>
      </w:r>
      <w:r w:rsidR="00DD52A5" w:rsidRPr="00292E18">
        <w:rPr>
          <w:rFonts w:ascii="Tahoma" w:hAnsi="Tahoma" w:cs="Tahoma"/>
          <w:sz w:val="24"/>
          <w:szCs w:val="24"/>
          <w:lang w:eastAsia="ro-RO"/>
        </w:rPr>
        <w:t xml:space="preserve"> 15 martie 2020 la data de 25 mai 2020 </w:t>
      </w:r>
      <w:r w:rsidR="00DD52A5" w:rsidRPr="00292E18">
        <w:rPr>
          <w:rFonts w:ascii="Tahoma" w:eastAsia="Calibri" w:hAnsi="Tahoma" w:cs="Tahoma"/>
          <w:sz w:val="24"/>
          <w:szCs w:val="24"/>
        </w:rPr>
        <w:t>inclusiv</w:t>
      </w:r>
      <w:r w:rsidR="00DD52A5" w:rsidRPr="00E211E9">
        <w:rPr>
          <w:rFonts w:ascii="Tahoma" w:hAnsi="Tahoma" w:cs="Tahoma"/>
          <w:sz w:val="24"/>
          <w:szCs w:val="24"/>
          <w:lang w:val="it-IT"/>
        </w:rPr>
        <w:t>.</w:t>
      </w:r>
      <w:r w:rsidR="00DD52A5" w:rsidRPr="00292E18">
        <w:rPr>
          <w:rStyle w:val="FootnoteReference"/>
          <w:rFonts w:ascii="Tahoma" w:eastAsia="Calibri" w:hAnsi="Tahoma" w:cs="Tahoma"/>
          <w:sz w:val="24"/>
          <w:szCs w:val="24"/>
        </w:rPr>
        <w:footnoteReference w:id="13"/>
      </w:r>
    </w:p>
    <w:p w:rsidR="00DD52A5" w:rsidRPr="00950B7A" w:rsidRDefault="00DD52A5" w:rsidP="00950B7A">
      <w:pPr>
        <w:shd w:val="clear" w:color="auto" w:fill="FFFFFF"/>
        <w:spacing w:after="120"/>
        <w:jc w:val="both"/>
        <w:rPr>
          <w:rFonts w:ascii="Tahoma" w:hAnsi="Tahoma" w:cs="Tahoma"/>
          <w:sz w:val="24"/>
          <w:szCs w:val="24"/>
          <w:lang w:eastAsia="ro-RO"/>
        </w:rPr>
      </w:pPr>
      <w:r w:rsidRPr="00950B7A">
        <w:rPr>
          <w:rFonts w:ascii="Tahoma" w:hAnsi="Tahoma" w:cs="Tahoma"/>
          <w:sz w:val="24"/>
          <w:szCs w:val="24"/>
          <w:lang w:eastAsia="ro-RO"/>
        </w:rPr>
        <w:t>Pe bugete, gradul de realizare al programului de încasări stabilit pentru trimestrul I 2020, se prezintă astfel : bugetul de stat (95,1%), bugetul asigurărilor pentru șomaj (98,4%), bugetul asigurărilor sociale de stat (91,1%) și bugetul fondului național unic de asigurări sociale de sănătate (90,5%).</w:t>
      </w:r>
    </w:p>
    <w:p w:rsidR="00DD52A5" w:rsidRPr="00950B7A" w:rsidRDefault="00DD52A5" w:rsidP="00950B7A">
      <w:pPr>
        <w:shd w:val="clear" w:color="auto" w:fill="FFFFFF"/>
        <w:spacing w:after="120"/>
        <w:jc w:val="both"/>
        <w:rPr>
          <w:rFonts w:ascii="Tahoma" w:hAnsi="Tahoma" w:cs="Tahoma"/>
          <w:sz w:val="24"/>
          <w:szCs w:val="24"/>
          <w:lang w:eastAsia="ro-RO"/>
        </w:rPr>
      </w:pPr>
      <w:r w:rsidRPr="00950B7A">
        <w:rPr>
          <w:rFonts w:ascii="Tahoma" w:hAnsi="Tahoma" w:cs="Tahoma"/>
          <w:sz w:val="24"/>
          <w:szCs w:val="24"/>
          <w:lang w:eastAsia="ro-RO"/>
        </w:rPr>
        <w:lastRenderedPageBreak/>
        <w:t xml:space="preserve">Comparativ cu </w:t>
      </w:r>
      <w:r w:rsidR="004F35DA">
        <w:rPr>
          <w:rFonts w:ascii="Tahoma" w:hAnsi="Tahoma" w:cs="Tahoma"/>
          <w:sz w:val="24"/>
          <w:szCs w:val="24"/>
          <w:lang w:eastAsia="ro-RO"/>
        </w:rPr>
        <w:t>trimestrul I</w:t>
      </w:r>
      <w:r w:rsidRPr="00950B7A">
        <w:rPr>
          <w:rFonts w:ascii="Tahoma" w:hAnsi="Tahoma" w:cs="Tahoma"/>
          <w:sz w:val="24"/>
          <w:szCs w:val="24"/>
          <w:lang w:eastAsia="ro-RO"/>
        </w:rPr>
        <w:t xml:space="preserve"> 2019, s-au înregistrat creșteri ale încasărilor din contribuții sociale, atât în cazul bugetului de stat 23,2% (urmare a modificării legislative privind </w:t>
      </w:r>
      <w:r w:rsidR="00640FBB" w:rsidRPr="00950B7A">
        <w:rPr>
          <w:rFonts w:ascii="Tahoma" w:hAnsi="Tahoma" w:cs="Tahoma"/>
          <w:sz w:val="24"/>
          <w:szCs w:val="24"/>
          <w:lang w:eastAsia="ro-RO"/>
        </w:rPr>
        <w:t>creșterea</w:t>
      </w:r>
      <w:r w:rsidRPr="00950B7A">
        <w:rPr>
          <w:rFonts w:ascii="Tahoma" w:hAnsi="Tahoma" w:cs="Tahoma"/>
          <w:sz w:val="24"/>
          <w:szCs w:val="24"/>
          <w:lang w:eastAsia="ro-RO"/>
        </w:rPr>
        <w:t xml:space="preserve"> cotei de distribuire la bugetul de stat a contribuției asiguratorii pentru muncă de la 20% în trim. I 2019 la 47% în trim.I 2020), cât și în cazul bugetului asigurărilor sociale de stat (+1,6%) </w:t>
      </w:r>
      <w:r w:rsidR="00DF73CB">
        <w:rPr>
          <w:rFonts w:ascii="Tahoma" w:hAnsi="Tahoma" w:cs="Tahoma"/>
          <w:sz w:val="24"/>
          <w:szCs w:val="24"/>
          <w:lang w:eastAsia="ro-RO"/>
        </w:rPr>
        <w:t>ș</w:t>
      </w:r>
      <w:r w:rsidRPr="00950B7A">
        <w:rPr>
          <w:rFonts w:ascii="Tahoma" w:hAnsi="Tahoma" w:cs="Tahoma"/>
          <w:sz w:val="24"/>
          <w:szCs w:val="24"/>
          <w:lang w:eastAsia="ro-RO"/>
        </w:rPr>
        <w:t>i bugetului asigurărilor pentru șomaj (+7,8%).</w:t>
      </w:r>
    </w:p>
    <w:p w:rsidR="00DD52A5" w:rsidRPr="00950B7A" w:rsidRDefault="00DD52A5" w:rsidP="00950B7A">
      <w:pPr>
        <w:shd w:val="clear" w:color="auto" w:fill="FFFFFF"/>
        <w:spacing w:after="120" w:line="276" w:lineRule="auto"/>
        <w:jc w:val="both"/>
        <w:rPr>
          <w:rFonts w:ascii="Tahoma" w:hAnsi="Tahoma" w:cs="Tahoma"/>
          <w:sz w:val="24"/>
          <w:szCs w:val="24"/>
        </w:rPr>
      </w:pPr>
      <w:r w:rsidRPr="00640FBB">
        <w:rPr>
          <w:rFonts w:ascii="Tahoma" w:hAnsi="Tahoma" w:cs="Tahoma"/>
          <w:b/>
          <w:i/>
          <w:sz w:val="24"/>
          <w:szCs w:val="24"/>
        </w:rPr>
        <w:t>Veniturile nefiscale</w:t>
      </w:r>
      <w:r w:rsidRPr="00950B7A">
        <w:rPr>
          <w:rFonts w:ascii="Tahoma" w:hAnsi="Tahoma" w:cs="Tahoma"/>
          <w:sz w:val="24"/>
          <w:szCs w:val="24"/>
        </w:rPr>
        <w:t xml:space="preserve"> au fost în </w:t>
      </w:r>
      <w:r w:rsidRPr="0097352C">
        <w:rPr>
          <w:rFonts w:ascii="Tahoma" w:hAnsi="Tahoma" w:cs="Tahoma"/>
          <w:sz w:val="24"/>
          <w:szCs w:val="24"/>
        </w:rPr>
        <w:t xml:space="preserve">sumă de </w:t>
      </w:r>
      <w:r w:rsidR="00502B73">
        <w:rPr>
          <w:rFonts w:ascii="Tahoma" w:hAnsi="Tahoma" w:cs="Tahoma"/>
          <w:bCs/>
          <w:sz w:val="24"/>
          <w:szCs w:val="24"/>
        </w:rPr>
        <w:t>5,</w:t>
      </w:r>
      <w:r w:rsidRPr="007C6A86">
        <w:rPr>
          <w:rFonts w:ascii="Tahoma" w:hAnsi="Tahoma" w:cs="Tahoma"/>
          <w:bCs/>
          <w:sz w:val="24"/>
          <w:szCs w:val="24"/>
        </w:rPr>
        <w:t xml:space="preserve">50 </w:t>
      </w:r>
      <w:r w:rsidR="00713D80" w:rsidRPr="007C6A86">
        <w:rPr>
          <w:rFonts w:ascii="Tahoma" w:hAnsi="Tahoma" w:cs="Tahoma"/>
          <w:bCs/>
          <w:sz w:val="24"/>
          <w:szCs w:val="24"/>
        </w:rPr>
        <w:t>ml</w:t>
      </w:r>
      <w:r w:rsidR="00502B73">
        <w:rPr>
          <w:rFonts w:ascii="Tahoma" w:hAnsi="Tahoma" w:cs="Tahoma"/>
          <w:bCs/>
          <w:sz w:val="24"/>
          <w:szCs w:val="24"/>
        </w:rPr>
        <w:t>d.</w:t>
      </w:r>
      <w:r w:rsidRPr="007C6A86">
        <w:rPr>
          <w:rFonts w:ascii="Tahoma" w:hAnsi="Tahoma" w:cs="Tahoma"/>
          <w:bCs/>
          <w:sz w:val="24"/>
          <w:szCs w:val="24"/>
        </w:rPr>
        <w:t xml:space="preserve">lei </w:t>
      </w:r>
      <w:r w:rsidRPr="0097352C">
        <w:rPr>
          <w:rFonts w:ascii="Tahoma" w:hAnsi="Tahoma" w:cs="Tahoma"/>
          <w:sz w:val="24"/>
          <w:szCs w:val="24"/>
        </w:rPr>
        <w:t>(0,5</w:t>
      </w:r>
      <w:r w:rsidRPr="00950B7A">
        <w:rPr>
          <w:rFonts w:ascii="Tahoma" w:hAnsi="Tahoma" w:cs="Tahoma"/>
          <w:sz w:val="24"/>
          <w:szCs w:val="24"/>
        </w:rPr>
        <w:t>%din PIB)</w:t>
      </w:r>
      <w:r w:rsidR="004F35DA">
        <w:rPr>
          <w:rFonts w:ascii="Tahoma" w:hAnsi="Tahoma" w:cs="Tahoma"/>
          <w:sz w:val="24"/>
          <w:szCs w:val="24"/>
        </w:rPr>
        <w:t xml:space="preserve"> în primele trei luni ale anului</w:t>
      </w:r>
      <w:r w:rsidRPr="00950B7A">
        <w:rPr>
          <w:rFonts w:ascii="Tahoma" w:hAnsi="Tahoma" w:cs="Tahoma"/>
          <w:sz w:val="24"/>
          <w:szCs w:val="24"/>
        </w:rPr>
        <w:t>, gradul de realizare al programului trimestrial fiind de 106,5%.</w:t>
      </w:r>
    </w:p>
    <w:p w:rsidR="00DD52A5" w:rsidRPr="00292E18" w:rsidRDefault="00DD52A5" w:rsidP="00950B7A">
      <w:pPr>
        <w:shd w:val="clear" w:color="auto" w:fill="FFFFFF"/>
        <w:autoSpaceDE w:val="0"/>
        <w:autoSpaceDN w:val="0"/>
        <w:adjustRightInd w:val="0"/>
        <w:spacing w:after="120"/>
        <w:jc w:val="both"/>
        <w:rPr>
          <w:rFonts w:ascii="Tahoma" w:eastAsia="Calibri" w:hAnsi="Tahoma" w:cs="Tahoma"/>
          <w:sz w:val="24"/>
          <w:szCs w:val="24"/>
        </w:rPr>
      </w:pPr>
      <w:r w:rsidRPr="00292E18">
        <w:rPr>
          <w:rFonts w:ascii="Tahoma" w:hAnsi="Tahoma" w:cs="Tahoma"/>
          <w:sz w:val="24"/>
          <w:szCs w:val="24"/>
        </w:rPr>
        <w:t>Depășirea programului trimestrial s-a datorat în principal evoluției încasărilor la bugetul de stat</w:t>
      </w:r>
      <w:r w:rsidR="004F35DA">
        <w:rPr>
          <w:rFonts w:ascii="Tahoma" w:hAnsi="Tahoma" w:cs="Tahoma"/>
          <w:sz w:val="24"/>
          <w:szCs w:val="24"/>
        </w:rPr>
        <w:t>,</w:t>
      </w:r>
      <w:r w:rsidRPr="00292E18">
        <w:rPr>
          <w:rFonts w:ascii="Tahoma" w:hAnsi="Tahoma" w:cs="Tahoma"/>
          <w:sz w:val="24"/>
          <w:szCs w:val="24"/>
        </w:rPr>
        <w:t xml:space="preserve"> unde gradul de realizare a fost de 116,9%, această dinamică fiind</w:t>
      </w:r>
      <w:r w:rsidRPr="00292E18">
        <w:rPr>
          <w:rFonts w:ascii="Tahoma" w:eastAsia="Calibri" w:hAnsi="Tahoma" w:cs="Tahoma"/>
          <w:sz w:val="24"/>
          <w:szCs w:val="24"/>
        </w:rPr>
        <w:t xml:space="preserve"> susținută de evoluția veniturilor din dobânzi (+0,2 ml</w:t>
      </w:r>
      <w:r>
        <w:rPr>
          <w:rFonts w:ascii="Tahoma" w:eastAsia="Calibri" w:hAnsi="Tahoma" w:cs="Tahoma"/>
          <w:sz w:val="24"/>
          <w:szCs w:val="24"/>
        </w:rPr>
        <w:t>d. lei), din aplicarea prescripției extinctive (+0,1 mld. lei) ș</w:t>
      </w:r>
      <w:r w:rsidRPr="00292E18">
        <w:rPr>
          <w:rFonts w:ascii="Tahoma" w:eastAsia="Calibri" w:hAnsi="Tahoma" w:cs="Tahoma"/>
          <w:sz w:val="24"/>
          <w:szCs w:val="24"/>
        </w:rPr>
        <w:t>i a celor de la capitolul diverse venituri (+0,3 mld. lei generat de aplicarea prevederilor art. 40 din Legea  nr.5/2020 a bugetului de stat pe anul 2020</w:t>
      </w:r>
      <w:r w:rsidRPr="00292E18">
        <w:rPr>
          <w:rFonts w:ascii="Tahoma" w:hAnsi="Tahoma" w:cs="Tahoma"/>
          <w:sz w:val="24"/>
          <w:szCs w:val="24"/>
          <w:vertAlign w:val="superscript"/>
        </w:rPr>
        <w:footnoteReference w:id="14"/>
      </w:r>
      <w:r w:rsidRPr="00292E18">
        <w:rPr>
          <w:rFonts w:ascii="Tahoma" w:eastAsia="Calibri" w:hAnsi="Tahoma" w:cs="Tahoma"/>
          <w:sz w:val="24"/>
          <w:szCs w:val="24"/>
        </w:rPr>
        <w:t>)</w:t>
      </w:r>
      <w:r w:rsidRPr="00292E18">
        <w:rPr>
          <w:rFonts w:ascii="Tahoma" w:hAnsi="Tahoma" w:cs="Tahoma"/>
          <w:sz w:val="24"/>
          <w:szCs w:val="24"/>
        </w:rPr>
        <w:t>.</w:t>
      </w:r>
    </w:p>
    <w:p w:rsidR="00E15D34" w:rsidRDefault="00DD52A5" w:rsidP="00950B7A">
      <w:pPr>
        <w:pStyle w:val="NormalWeb"/>
        <w:spacing w:before="120" w:after="120"/>
        <w:ind w:firstLine="0"/>
        <w:rPr>
          <w:rFonts w:ascii="Tahoma" w:hAnsi="Tahoma" w:cs="Tahoma"/>
          <w:lang w:val="ro-RO" w:eastAsia="ro-RO"/>
        </w:rPr>
      </w:pPr>
      <w:r w:rsidRPr="00640FBB">
        <w:rPr>
          <w:rFonts w:ascii="Tahoma" w:hAnsi="Tahoma" w:cs="Tahoma"/>
          <w:b/>
          <w:bCs/>
          <w:i/>
          <w:lang w:val="ro-RO" w:eastAsia="ro-RO"/>
        </w:rPr>
        <w:t>Sumele primite de la Uniunea Europeană</w:t>
      </w:r>
      <w:r w:rsidRPr="00292E18">
        <w:rPr>
          <w:rFonts w:ascii="Tahoma" w:hAnsi="Tahoma" w:cs="Tahoma"/>
          <w:lang w:val="ro-RO" w:eastAsia="ro-RO"/>
        </w:rPr>
        <w:t xml:space="preserve"> aferente proiectelor finanțate atât din cadrul financiar 2007-2013, cât și din noul cadru financiar 2014-2020, încasate în primul trimestru al anului 2020, au reprezentat 0,4% din PIB</w:t>
      </w:r>
      <w:r w:rsidR="0097352C">
        <w:rPr>
          <w:rFonts w:ascii="Tahoma" w:hAnsi="Tahoma" w:cs="Tahoma"/>
          <w:lang w:val="ro-RO" w:eastAsia="ro-RO"/>
        </w:rPr>
        <w:t>, corespunzător</w:t>
      </w:r>
      <w:r w:rsidRPr="00292E18">
        <w:rPr>
          <w:rFonts w:ascii="Tahoma" w:hAnsi="Tahoma" w:cs="Tahoma"/>
          <w:lang w:val="ro-RO" w:eastAsia="ro-RO"/>
        </w:rPr>
        <w:t xml:space="preserve"> un</w:t>
      </w:r>
      <w:r w:rsidR="0097352C">
        <w:rPr>
          <w:rFonts w:ascii="Tahoma" w:hAnsi="Tahoma" w:cs="Tahoma"/>
          <w:lang w:val="ro-RO" w:eastAsia="ro-RO"/>
        </w:rPr>
        <w:t>ui</w:t>
      </w:r>
      <w:r w:rsidRPr="00292E18">
        <w:rPr>
          <w:rFonts w:ascii="Tahoma" w:hAnsi="Tahoma" w:cs="Tahoma"/>
          <w:lang w:val="ro-RO" w:eastAsia="ro-RO"/>
        </w:rPr>
        <w:t xml:space="preserve"> grad de realizare</w:t>
      </w:r>
      <w:r w:rsidR="00826F2E">
        <w:rPr>
          <w:rFonts w:ascii="Tahoma" w:hAnsi="Tahoma" w:cs="Tahoma"/>
          <w:lang w:val="ro-RO" w:eastAsia="ro-RO"/>
        </w:rPr>
        <w:t xml:space="preserve"> </w:t>
      </w:r>
      <w:r w:rsidR="00E001D0" w:rsidRPr="00292E18">
        <w:rPr>
          <w:rFonts w:ascii="Tahoma" w:hAnsi="Tahoma" w:cs="Tahoma"/>
          <w:lang w:val="ro-RO" w:eastAsia="ro-RO"/>
        </w:rPr>
        <w:t>de 79,8%</w:t>
      </w:r>
      <w:r w:rsidR="00826F2E">
        <w:rPr>
          <w:rFonts w:ascii="Tahoma" w:hAnsi="Tahoma" w:cs="Tahoma"/>
          <w:lang w:val="ro-RO" w:eastAsia="ro-RO"/>
        </w:rPr>
        <w:t xml:space="preserve"> </w:t>
      </w:r>
      <w:r w:rsidR="0079445D">
        <w:rPr>
          <w:rFonts w:ascii="Tahoma" w:hAnsi="Tahoma" w:cs="Tahoma"/>
          <w:lang w:val="ro-RO" w:eastAsia="ro-RO"/>
        </w:rPr>
        <w:t>a</w:t>
      </w:r>
      <w:r w:rsidRPr="00292E18">
        <w:rPr>
          <w:rFonts w:ascii="Tahoma" w:hAnsi="Tahoma" w:cs="Tahoma"/>
          <w:lang w:val="ro-RO" w:eastAsia="ro-RO"/>
        </w:rPr>
        <w:t xml:space="preserve"> programului trimestrial</w:t>
      </w:r>
      <w:r w:rsidR="00E001D0">
        <w:rPr>
          <w:rFonts w:ascii="Tahoma" w:hAnsi="Tahoma" w:cs="Tahoma"/>
          <w:lang w:val="ro-RO" w:eastAsia="ro-RO"/>
        </w:rPr>
        <w:t>.</w:t>
      </w:r>
    </w:p>
    <w:p w:rsidR="00E15D34" w:rsidRDefault="00E15D34">
      <w:pPr>
        <w:rPr>
          <w:rFonts w:ascii="Tahoma" w:eastAsia="Times New Roman" w:hAnsi="Tahoma" w:cs="Tahoma"/>
          <w:color w:val="000000"/>
          <w:sz w:val="24"/>
          <w:szCs w:val="24"/>
          <w:lang w:eastAsia="ro-RO"/>
        </w:rPr>
      </w:pPr>
      <w:r>
        <w:rPr>
          <w:rFonts w:ascii="Tahoma" w:hAnsi="Tahoma" w:cs="Tahoma"/>
          <w:lang w:eastAsia="ro-RO"/>
        </w:rPr>
        <w:br w:type="page"/>
      </w:r>
    </w:p>
    <w:p w:rsidR="007D0985" w:rsidRPr="00F228D9"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F228D9">
        <w:rPr>
          <w:rFonts w:ascii="Tahoma" w:hAnsi="Tahoma" w:cs="Tahoma"/>
          <w:b/>
          <w:caps/>
          <w:color w:val="0070C0"/>
          <w:sz w:val="24"/>
          <w:szCs w:val="24"/>
        </w:rPr>
        <w:lastRenderedPageBreak/>
        <w:t>CHELTUIELILE bugetului general consolidat</w:t>
      </w:r>
    </w:p>
    <w:p w:rsidR="007D0985" w:rsidRPr="00F228D9" w:rsidRDefault="00950B7A" w:rsidP="003477B4">
      <w:pPr>
        <w:shd w:val="clear" w:color="auto" w:fill="D9D9D9" w:themeFill="background1" w:themeFillShade="D9"/>
        <w:spacing w:after="120" w:line="360" w:lineRule="auto"/>
        <w:jc w:val="both"/>
        <w:rPr>
          <w:rFonts w:ascii="Tahoma" w:hAnsi="Tahoma" w:cs="Tahoma"/>
          <w:sz w:val="24"/>
          <w:szCs w:val="24"/>
        </w:rPr>
      </w:pPr>
      <w:r w:rsidRPr="00950B7A">
        <w:rPr>
          <w:rFonts w:ascii="Tahoma" w:hAnsi="Tahoma" w:cs="Tahoma"/>
          <w:b/>
          <w:sz w:val="24"/>
          <w:szCs w:val="24"/>
        </w:rPr>
        <w:t>Cheltuielile bugetului general consolidat</w:t>
      </w:r>
      <w:r w:rsidR="003C4703">
        <w:rPr>
          <w:rFonts w:ascii="Tahoma" w:hAnsi="Tahoma" w:cs="Tahoma"/>
          <w:sz w:val="24"/>
          <w:szCs w:val="24"/>
        </w:rPr>
        <w:t xml:space="preserve"> au fost în sumă de 90,</w:t>
      </w:r>
      <w:r>
        <w:rPr>
          <w:rFonts w:ascii="Tahoma" w:hAnsi="Tahoma" w:cs="Tahoma"/>
          <w:sz w:val="24"/>
          <w:szCs w:val="24"/>
        </w:rPr>
        <w:t xml:space="preserve">30 </w:t>
      </w:r>
      <w:r w:rsidR="003C4703">
        <w:rPr>
          <w:rFonts w:ascii="Tahoma" w:hAnsi="Tahoma" w:cs="Tahoma"/>
          <w:sz w:val="24"/>
          <w:szCs w:val="24"/>
        </w:rPr>
        <w:t>m</w:t>
      </w:r>
      <w:r w:rsidR="00713D80">
        <w:rPr>
          <w:rFonts w:ascii="Tahoma" w:hAnsi="Tahoma" w:cs="Tahoma"/>
          <w:sz w:val="24"/>
          <w:szCs w:val="24"/>
        </w:rPr>
        <w:t>l</w:t>
      </w:r>
      <w:r w:rsidR="003C4703">
        <w:rPr>
          <w:rFonts w:ascii="Tahoma" w:hAnsi="Tahoma" w:cs="Tahoma"/>
          <w:sz w:val="24"/>
          <w:szCs w:val="24"/>
        </w:rPr>
        <w:t>d</w:t>
      </w:r>
      <w:r w:rsidR="00826F2E">
        <w:rPr>
          <w:rFonts w:ascii="Tahoma" w:hAnsi="Tahoma" w:cs="Tahoma"/>
          <w:sz w:val="24"/>
          <w:szCs w:val="24"/>
        </w:rPr>
        <w:t xml:space="preserve"> </w:t>
      </w:r>
      <w:r>
        <w:rPr>
          <w:rFonts w:ascii="Tahoma" w:hAnsi="Tahoma" w:cs="Tahoma"/>
          <w:sz w:val="24"/>
          <w:szCs w:val="24"/>
        </w:rPr>
        <w:t>lei, au reprezentat 8,3% ca pondere în PIB și s-au efectuat în proporție de 90,3% comparativ cu programul pentru trimestrul I 2020.</w:t>
      </w:r>
    </w:p>
    <w:p w:rsidR="00C728CC" w:rsidRDefault="00C728CC" w:rsidP="007D0985">
      <w:pPr>
        <w:spacing w:line="360" w:lineRule="auto"/>
        <w:ind w:right="-57"/>
        <w:jc w:val="both"/>
        <w:rPr>
          <w:rFonts w:ascii="Tahoma" w:hAnsi="Tahoma" w:cs="Tahoma"/>
          <w:b/>
          <w:i/>
          <w:sz w:val="24"/>
          <w:szCs w:val="28"/>
        </w:rPr>
      </w:pPr>
    </w:p>
    <w:p w:rsidR="00B10206" w:rsidRPr="00292E18" w:rsidRDefault="00B10206" w:rsidP="00950B7A">
      <w:pPr>
        <w:tabs>
          <w:tab w:val="left" w:pos="567"/>
        </w:tabs>
        <w:spacing w:after="0"/>
        <w:ind w:right="6"/>
        <w:jc w:val="both"/>
        <w:rPr>
          <w:rFonts w:ascii="Tahoma" w:hAnsi="Tahoma" w:cs="Tahoma"/>
          <w:sz w:val="24"/>
          <w:szCs w:val="24"/>
        </w:rPr>
      </w:pPr>
      <w:r w:rsidRPr="00292E18">
        <w:rPr>
          <w:rFonts w:ascii="Tahoma" w:hAnsi="Tahoma" w:cs="Tahoma"/>
          <w:sz w:val="24"/>
          <w:szCs w:val="24"/>
        </w:rPr>
        <w:t>Fa</w:t>
      </w:r>
      <w:r>
        <w:rPr>
          <w:rFonts w:ascii="Tahoma" w:hAnsi="Tahoma" w:cs="Tahoma"/>
          <w:sz w:val="24"/>
          <w:szCs w:val="24"/>
        </w:rPr>
        <w:t>ț</w:t>
      </w:r>
      <w:r w:rsidRPr="00292E18">
        <w:rPr>
          <w:rFonts w:ascii="Tahoma" w:hAnsi="Tahoma" w:cs="Tahoma"/>
          <w:sz w:val="24"/>
          <w:szCs w:val="24"/>
        </w:rPr>
        <w:t>ă de nivelul înregistrat în primul trimestru al anului 2019</w:t>
      </w:r>
      <w:r>
        <w:rPr>
          <w:rFonts w:ascii="Tahoma" w:hAnsi="Tahoma" w:cs="Tahoma"/>
          <w:sz w:val="24"/>
          <w:szCs w:val="24"/>
        </w:rPr>
        <w:t>,</w:t>
      </w:r>
      <w:r w:rsidRPr="00292E18">
        <w:rPr>
          <w:rFonts w:ascii="Tahoma" w:hAnsi="Tahoma" w:cs="Tahoma"/>
          <w:sz w:val="24"/>
          <w:szCs w:val="24"/>
        </w:rPr>
        <w:t xml:space="preserve"> cheltuielile bugetare au fost mai mari cu </w:t>
      </w:r>
      <w:r>
        <w:rPr>
          <w:rFonts w:ascii="Tahoma" w:hAnsi="Tahoma" w:cs="Tahoma"/>
          <w:sz w:val="24"/>
          <w:szCs w:val="24"/>
        </w:rPr>
        <w:t>12,7</w:t>
      </w:r>
      <w:r w:rsidRPr="00292E18">
        <w:rPr>
          <w:rFonts w:ascii="Tahoma" w:hAnsi="Tahoma" w:cs="Tahoma"/>
          <w:sz w:val="24"/>
          <w:szCs w:val="24"/>
        </w:rPr>
        <w:t>%.</w:t>
      </w:r>
    </w:p>
    <w:p w:rsidR="00B10206" w:rsidRPr="00292E18" w:rsidRDefault="00B10206" w:rsidP="00B10206">
      <w:pPr>
        <w:tabs>
          <w:tab w:val="left" w:pos="567"/>
        </w:tabs>
        <w:spacing w:after="0"/>
        <w:ind w:right="6" w:firstLine="567"/>
        <w:jc w:val="both"/>
        <w:rPr>
          <w:rFonts w:ascii="Tahoma" w:hAnsi="Tahoma" w:cs="Tahoma"/>
          <w:sz w:val="24"/>
          <w:szCs w:val="24"/>
        </w:rPr>
      </w:pPr>
    </w:p>
    <w:p w:rsidR="00B10206" w:rsidRPr="00292E18" w:rsidRDefault="006A2FAF" w:rsidP="00B10206">
      <w:pPr>
        <w:tabs>
          <w:tab w:val="left" w:pos="567"/>
        </w:tabs>
        <w:ind w:right="6"/>
        <w:jc w:val="both"/>
        <w:rPr>
          <w:rFonts w:ascii="Tahoma" w:hAnsi="Tahoma" w:cs="Tahoma"/>
          <w:sz w:val="24"/>
          <w:szCs w:val="24"/>
        </w:rPr>
      </w:pPr>
      <w:r>
        <w:rPr>
          <w:noProof/>
          <w:szCs w:val="24"/>
          <w:lang w:eastAsia="ro-RO"/>
        </w:rPr>
        <w:drawing>
          <wp:inline distT="0" distB="0" distL="0" distR="0">
            <wp:extent cx="5943600" cy="3187065"/>
            <wp:effectExtent l="19050" t="0" r="1905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678C" w:rsidRDefault="00BA678C" w:rsidP="00620B19">
      <w:pPr>
        <w:spacing w:after="0"/>
        <w:jc w:val="both"/>
        <w:rPr>
          <w:rFonts w:ascii="Tahoma" w:hAnsi="Tahoma" w:cs="Tahoma"/>
          <w:b/>
          <w:i/>
          <w:sz w:val="24"/>
          <w:szCs w:val="24"/>
        </w:rPr>
      </w:pPr>
    </w:p>
    <w:p w:rsidR="00B10206" w:rsidRPr="00292E18" w:rsidRDefault="00B10206" w:rsidP="00620B19">
      <w:pPr>
        <w:spacing w:after="0"/>
        <w:jc w:val="both"/>
        <w:rPr>
          <w:rFonts w:ascii="Tahoma" w:hAnsi="Tahoma" w:cs="Tahoma"/>
          <w:sz w:val="24"/>
          <w:szCs w:val="24"/>
        </w:rPr>
      </w:pPr>
      <w:r w:rsidRPr="00640FBB">
        <w:rPr>
          <w:rFonts w:ascii="Tahoma" w:hAnsi="Tahoma" w:cs="Tahoma"/>
          <w:b/>
          <w:i/>
          <w:sz w:val="24"/>
          <w:szCs w:val="24"/>
        </w:rPr>
        <w:t>Cheltuielile de personal</w:t>
      </w:r>
      <w:r w:rsidRPr="00292E18">
        <w:rPr>
          <w:rFonts w:ascii="Tahoma" w:hAnsi="Tahoma" w:cs="Tahoma"/>
          <w:sz w:val="24"/>
          <w:szCs w:val="24"/>
        </w:rPr>
        <w:t>, prezentate detaliat în Anexele n</w:t>
      </w:r>
      <w:r w:rsidR="003C4703">
        <w:rPr>
          <w:rFonts w:ascii="Tahoma" w:hAnsi="Tahoma" w:cs="Tahoma"/>
          <w:sz w:val="24"/>
          <w:szCs w:val="24"/>
        </w:rPr>
        <w:t xml:space="preserve">r. 3 </w:t>
      </w:r>
      <w:r w:rsidR="005B36B4">
        <w:rPr>
          <w:rFonts w:ascii="Tahoma" w:hAnsi="Tahoma" w:cs="Tahoma"/>
          <w:sz w:val="24"/>
          <w:szCs w:val="24"/>
        </w:rPr>
        <w:t>și</w:t>
      </w:r>
      <w:r w:rsidR="003C4703">
        <w:rPr>
          <w:rFonts w:ascii="Tahoma" w:hAnsi="Tahoma" w:cs="Tahoma"/>
          <w:sz w:val="24"/>
          <w:szCs w:val="24"/>
        </w:rPr>
        <w:t xml:space="preserve"> 4 au fost în sumă de 26,</w:t>
      </w:r>
      <w:r w:rsidRPr="00292E18">
        <w:rPr>
          <w:rFonts w:ascii="Tahoma" w:hAnsi="Tahoma" w:cs="Tahoma"/>
          <w:sz w:val="24"/>
          <w:szCs w:val="24"/>
        </w:rPr>
        <w:t>22</w:t>
      </w:r>
      <w:r w:rsidR="003C4703">
        <w:rPr>
          <w:rFonts w:ascii="Tahoma" w:hAnsi="Tahoma" w:cs="Tahoma"/>
          <w:sz w:val="24"/>
          <w:szCs w:val="24"/>
        </w:rPr>
        <w:t xml:space="preserve"> mld.</w:t>
      </w:r>
      <w:r w:rsidRPr="00292E18">
        <w:rPr>
          <w:rFonts w:ascii="Tahoma" w:hAnsi="Tahoma" w:cs="Tahoma"/>
          <w:sz w:val="24"/>
          <w:szCs w:val="24"/>
        </w:rPr>
        <w:t xml:space="preserve"> lei (2,4</w:t>
      </w:r>
      <w:r>
        <w:rPr>
          <w:rFonts w:ascii="Tahoma" w:hAnsi="Tahoma" w:cs="Tahoma"/>
          <w:sz w:val="24"/>
          <w:szCs w:val="24"/>
        </w:rPr>
        <w:t>% din PIB) ș</w:t>
      </w:r>
      <w:r w:rsidRPr="00292E18">
        <w:rPr>
          <w:rFonts w:ascii="Tahoma" w:hAnsi="Tahoma" w:cs="Tahoma"/>
          <w:sz w:val="24"/>
          <w:szCs w:val="24"/>
        </w:rPr>
        <w:t xml:space="preserve">i s-au efectuat în proporție de 97,4% față de nivelul estimat a se efectua în trimestrul I 2020. </w:t>
      </w:r>
    </w:p>
    <w:p w:rsidR="00B10206" w:rsidRPr="00292E18" w:rsidRDefault="00B10206" w:rsidP="00620B19">
      <w:pPr>
        <w:spacing w:before="120" w:after="120"/>
        <w:jc w:val="both"/>
        <w:rPr>
          <w:rFonts w:ascii="Tahoma" w:hAnsi="Tahoma" w:cs="Tahoma"/>
          <w:bCs/>
          <w:sz w:val="24"/>
          <w:szCs w:val="24"/>
        </w:rPr>
      </w:pPr>
      <w:r w:rsidRPr="00292E18">
        <w:rPr>
          <w:rFonts w:ascii="Tahoma" w:hAnsi="Tahoma" w:cs="Tahoma"/>
          <w:bCs/>
          <w:sz w:val="24"/>
          <w:szCs w:val="24"/>
        </w:rPr>
        <w:t>Cheltuielile de personal au fost influențate de majorările salariale acordate în temeiul Legii cadru nr. 153/2017 privind salarizarea personalului plătit din fonduri publice.</w:t>
      </w:r>
    </w:p>
    <w:p w:rsidR="00B10206" w:rsidRPr="00292E18" w:rsidRDefault="00B10206" w:rsidP="00620B19">
      <w:pPr>
        <w:spacing w:before="120" w:after="120"/>
        <w:jc w:val="both"/>
        <w:rPr>
          <w:rFonts w:ascii="Tahoma" w:hAnsi="Tahoma" w:cs="Tahoma"/>
          <w:sz w:val="24"/>
          <w:szCs w:val="24"/>
        </w:rPr>
      </w:pPr>
      <w:r w:rsidRPr="00640FBB">
        <w:rPr>
          <w:rFonts w:ascii="Tahoma" w:hAnsi="Tahoma" w:cs="Tahoma"/>
          <w:b/>
          <w:bCs/>
          <w:i/>
          <w:sz w:val="24"/>
          <w:szCs w:val="24"/>
        </w:rPr>
        <w:t>Cheltuielile cu bunuri și servicii</w:t>
      </w:r>
      <w:r w:rsidR="00826F2E">
        <w:rPr>
          <w:rFonts w:ascii="Tahoma" w:hAnsi="Tahoma" w:cs="Tahoma"/>
          <w:b/>
          <w:bCs/>
          <w:i/>
          <w:sz w:val="24"/>
          <w:szCs w:val="24"/>
        </w:rPr>
        <w:t xml:space="preserve"> </w:t>
      </w:r>
      <w:r w:rsidR="003C4703">
        <w:rPr>
          <w:rFonts w:ascii="Tahoma" w:hAnsi="Tahoma" w:cs="Tahoma"/>
          <w:sz w:val="24"/>
          <w:szCs w:val="24"/>
        </w:rPr>
        <w:t>au însumat 12,</w:t>
      </w:r>
      <w:r w:rsidRPr="00292E18">
        <w:rPr>
          <w:rFonts w:ascii="Tahoma" w:hAnsi="Tahoma" w:cs="Tahoma"/>
          <w:sz w:val="24"/>
          <w:szCs w:val="24"/>
        </w:rPr>
        <w:t>19 m</w:t>
      </w:r>
      <w:r w:rsidR="003C4703">
        <w:rPr>
          <w:rFonts w:ascii="Tahoma" w:hAnsi="Tahoma" w:cs="Tahoma"/>
          <w:sz w:val="24"/>
          <w:szCs w:val="24"/>
        </w:rPr>
        <w:t>ld</w:t>
      </w:r>
      <w:r w:rsidR="005B36B4">
        <w:rPr>
          <w:rFonts w:ascii="Tahoma" w:hAnsi="Tahoma" w:cs="Tahoma"/>
          <w:sz w:val="24"/>
          <w:szCs w:val="24"/>
        </w:rPr>
        <w:t>.</w:t>
      </w:r>
      <w:r w:rsidRPr="00292E18">
        <w:rPr>
          <w:rFonts w:ascii="Tahoma" w:hAnsi="Tahoma" w:cs="Tahoma"/>
          <w:sz w:val="24"/>
          <w:szCs w:val="24"/>
        </w:rPr>
        <w:t xml:space="preserve"> lei (1,1% din PIB) și s-au efectuat în proporție de 102,5% comparativ cu programul trimestrial. </w:t>
      </w:r>
      <w:r w:rsidR="00573703">
        <w:rPr>
          <w:rFonts w:ascii="Tahoma" w:hAnsi="Tahoma" w:cs="Tahoma"/>
          <w:sz w:val="24"/>
          <w:szCs w:val="24"/>
        </w:rPr>
        <w:t>Execuția peste estimările</w:t>
      </w:r>
      <w:r w:rsidRPr="00292E18">
        <w:rPr>
          <w:rFonts w:ascii="Tahoma" w:hAnsi="Tahoma" w:cs="Tahoma"/>
          <w:sz w:val="24"/>
          <w:szCs w:val="24"/>
        </w:rPr>
        <w:t xml:space="preserve"> trimestrial</w:t>
      </w:r>
      <w:r w:rsidR="00573703">
        <w:rPr>
          <w:rFonts w:ascii="Tahoma" w:hAnsi="Tahoma" w:cs="Tahoma"/>
          <w:sz w:val="24"/>
          <w:szCs w:val="24"/>
        </w:rPr>
        <w:t>e</w:t>
      </w:r>
      <w:r w:rsidRPr="00292E18">
        <w:rPr>
          <w:rFonts w:ascii="Tahoma" w:hAnsi="Tahoma" w:cs="Tahoma"/>
          <w:sz w:val="24"/>
          <w:szCs w:val="24"/>
        </w:rPr>
        <w:t xml:space="preserve"> a fost determinată de evoluția cheltuielilor cu bunuri și servicii la bugetul general centralizat al unităților administrativ teritoriale unde acestea s-au efectuat în proporție de 130,5%</w:t>
      </w:r>
      <w:r w:rsidR="005B36B4">
        <w:rPr>
          <w:rFonts w:ascii="Tahoma" w:hAnsi="Tahoma" w:cs="Tahoma"/>
          <w:sz w:val="24"/>
          <w:szCs w:val="24"/>
        </w:rPr>
        <w:t xml:space="preserve">, în special </w:t>
      </w:r>
      <w:r w:rsidRPr="00292E18">
        <w:rPr>
          <w:rFonts w:ascii="Tahoma" w:hAnsi="Tahoma" w:cs="Tahoma"/>
          <w:sz w:val="24"/>
          <w:szCs w:val="24"/>
        </w:rPr>
        <w:t>ca urmare a plăților suplimentare realizate pentru prevenirea și combaterea pandemiei cu coronavirusul SARS-CoV-2.</w:t>
      </w:r>
    </w:p>
    <w:p w:rsidR="00B10206" w:rsidRPr="00292E18" w:rsidRDefault="00B10206" w:rsidP="00620B19">
      <w:pPr>
        <w:ind w:right="6"/>
        <w:jc w:val="both"/>
        <w:rPr>
          <w:rFonts w:ascii="Tahoma" w:hAnsi="Tahoma" w:cs="Tahoma"/>
          <w:sz w:val="24"/>
          <w:szCs w:val="24"/>
        </w:rPr>
      </w:pPr>
      <w:r w:rsidRPr="00640FBB">
        <w:rPr>
          <w:rFonts w:ascii="Tahoma" w:hAnsi="Tahoma" w:cs="Tahoma"/>
          <w:b/>
          <w:bCs/>
          <w:i/>
          <w:sz w:val="24"/>
          <w:szCs w:val="24"/>
        </w:rPr>
        <w:lastRenderedPageBreak/>
        <w:t>Cheltuielile cu dobânzile</w:t>
      </w:r>
      <w:r w:rsidRPr="00292E18">
        <w:rPr>
          <w:rFonts w:ascii="Tahoma" w:hAnsi="Tahoma" w:cs="Tahoma"/>
          <w:sz w:val="24"/>
          <w:szCs w:val="24"/>
        </w:rPr>
        <w:t xml:space="preserve"> a</w:t>
      </w:r>
      <w:r w:rsidR="003C4703">
        <w:rPr>
          <w:rFonts w:ascii="Tahoma" w:hAnsi="Tahoma" w:cs="Tahoma"/>
          <w:sz w:val="24"/>
          <w:szCs w:val="24"/>
        </w:rPr>
        <w:t>u fost în termeni nominali de 3,</w:t>
      </w:r>
      <w:r w:rsidRPr="00292E18">
        <w:rPr>
          <w:rFonts w:ascii="Tahoma" w:hAnsi="Tahoma" w:cs="Tahoma"/>
          <w:sz w:val="24"/>
          <w:szCs w:val="24"/>
        </w:rPr>
        <w:t>5</w:t>
      </w:r>
      <w:r w:rsidR="003C4703">
        <w:rPr>
          <w:rFonts w:ascii="Tahoma" w:hAnsi="Tahoma" w:cs="Tahoma"/>
          <w:sz w:val="24"/>
          <w:szCs w:val="24"/>
        </w:rPr>
        <w:t>2</w:t>
      </w:r>
      <w:r w:rsidRPr="00292E18">
        <w:rPr>
          <w:rFonts w:ascii="Tahoma" w:hAnsi="Tahoma" w:cs="Tahoma"/>
          <w:sz w:val="24"/>
          <w:szCs w:val="24"/>
        </w:rPr>
        <w:t xml:space="preserve"> m</w:t>
      </w:r>
      <w:r w:rsidR="003C4703">
        <w:rPr>
          <w:rFonts w:ascii="Tahoma" w:hAnsi="Tahoma" w:cs="Tahoma"/>
          <w:sz w:val="24"/>
          <w:szCs w:val="24"/>
        </w:rPr>
        <w:t>ld.</w:t>
      </w:r>
      <w:r w:rsidRPr="00292E18">
        <w:rPr>
          <w:rFonts w:ascii="Tahoma" w:hAnsi="Tahoma" w:cs="Tahoma"/>
          <w:sz w:val="24"/>
          <w:szCs w:val="24"/>
        </w:rPr>
        <w:t xml:space="preserve"> lei (0,3% din PIB) și s-au efectuat în proporție de 81,8% din programul trimestrial. </w:t>
      </w:r>
    </w:p>
    <w:p w:rsidR="00F12863" w:rsidRPr="00BA678C" w:rsidRDefault="00B10206" w:rsidP="00F12863">
      <w:pPr>
        <w:jc w:val="both"/>
        <w:rPr>
          <w:rFonts w:ascii="Tahoma" w:hAnsi="Tahoma" w:cs="Tahoma"/>
          <w:bCs/>
          <w:color w:val="000000"/>
          <w:sz w:val="24"/>
          <w:szCs w:val="24"/>
        </w:rPr>
      </w:pPr>
      <w:r w:rsidRPr="00640FBB">
        <w:rPr>
          <w:rFonts w:ascii="Tahoma" w:hAnsi="Tahoma" w:cs="Tahoma"/>
          <w:b/>
          <w:bCs/>
          <w:i/>
          <w:color w:val="000000"/>
          <w:sz w:val="24"/>
          <w:szCs w:val="24"/>
        </w:rPr>
        <w:t>Cheltuielile cu subvențiile</w:t>
      </w:r>
      <w:r w:rsidR="003C4703">
        <w:rPr>
          <w:rFonts w:ascii="Tahoma" w:hAnsi="Tahoma" w:cs="Tahoma"/>
          <w:bCs/>
          <w:color w:val="000000"/>
          <w:sz w:val="24"/>
          <w:szCs w:val="24"/>
        </w:rPr>
        <w:t xml:space="preserve"> au fost în sumă de 2,</w:t>
      </w:r>
      <w:r w:rsidRPr="00292E18">
        <w:rPr>
          <w:rFonts w:ascii="Tahoma" w:hAnsi="Tahoma" w:cs="Tahoma"/>
          <w:bCs/>
          <w:color w:val="000000"/>
          <w:sz w:val="24"/>
          <w:szCs w:val="24"/>
        </w:rPr>
        <w:t>62</w:t>
      </w:r>
      <w:r w:rsidR="003C4703">
        <w:rPr>
          <w:rFonts w:ascii="Tahoma" w:hAnsi="Tahoma" w:cs="Tahoma"/>
          <w:bCs/>
          <w:color w:val="000000"/>
          <w:sz w:val="24"/>
          <w:szCs w:val="24"/>
        </w:rPr>
        <w:t xml:space="preserve"> mld.</w:t>
      </w:r>
      <w:r w:rsidRPr="00292E18">
        <w:rPr>
          <w:rFonts w:ascii="Tahoma" w:hAnsi="Tahoma" w:cs="Tahoma"/>
          <w:bCs/>
          <w:color w:val="000000"/>
          <w:sz w:val="24"/>
          <w:szCs w:val="24"/>
        </w:rPr>
        <w:t xml:space="preserve"> lei, au reprezentat 0,2% din PIB și s-au efectuat în proporție de 84,7% comparativ cu programul trimestrial</w:t>
      </w:r>
      <w:r w:rsidR="006737B0">
        <w:rPr>
          <w:rFonts w:ascii="Tahoma" w:hAnsi="Tahoma" w:cs="Tahoma"/>
          <w:bCs/>
          <w:color w:val="000000"/>
          <w:sz w:val="24"/>
          <w:szCs w:val="24"/>
        </w:rPr>
        <w:t xml:space="preserve">, reprezentând în general </w:t>
      </w:r>
      <w:r w:rsidR="006737B0">
        <w:rPr>
          <w:rFonts w:ascii="Tahoma" w:hAnsi="Tahoma" w:cs="Tahoma"/>
          <w:sz w:val="24"/>
          <w:szCs w:val="28"/>
        </w:rPr>
        <w:t>subvenții din sectorul agricol, respectiv</w:t>
      </w:r>
      <w:r w:rsidR="006737B0" w:rsidRPr="00F228D9">
        <w:rPr>
          <w:rFonts w:ascii="Tahoma" w:hAnsi="Tahoma" w:cs="Tahoma"/>
          <w:sz w:val="24"/>
          <w:szCs w:val="28"/>
        </w:rPr>
        <w:t xml:space="preserve"> de acordarea în avans a ajutoarelor naționale tranzitorii în sectorul vegetal și zootehnic</w:t>
      </w:r>
      <w:r w:rsidRPr="00292E18">
        <w:rPr>
          <w:rFonts w:ascii="Tahoma" w:hAnsi="Tahoma" w:cs="Tahoma"/>
          <w:bCs/>
          <w:color w:val="000000"/>
          <w:sz w:val="24"/>
          <w:szCs w:val="24"/>
        </w:rPr>
        <w:t>.</w:t>
      </w:r>
      <w:r w:rsidR="00405833">
        <w:rPr>
          <w:rFonts w:ascii="Tahoma" w:hAnsi="Tahoma" w:cs="Tahoma"/>
          <w:bCs/>
          <w:color w:val="000000"/>
          <w:sz w:val="24"/>
          <w:szCs w:val="24"/>
        </w:rPr>
        <w:t xml:space="preserve"> A existat </w:t>
      </w:r>
      <w:r w:rsidR="00BA678C">
        <w:rPr>
          <w:rFonts w:ascii="Tahoma" w:hAnsi="Tahoma" w:cs="Tahoma"/>
          <w:bCs/>
          <w:color w:val="000000"/>
          <w:sz w:val="24"/>
          <w:szCs w:val="24"/>
        </w:rPr>
        <w:t xml:space="preserve">un grad redus de execuție față de programul propus pentru primul trimestrul </w:t>
      </w:r>
      <w:r w:rsidR="00405833">
        <w:rPr>
          <w:rFonts w:ascii="Tahoma" w:hAnsi="Tahoma" w:cs="Tahoma"/>
          <w:bCs/>
          <w:color w:val="000000"/>
          <w:sz w:val="24"/>
          <w:szCs w:val="24"/>
        </w:rPr>
        <w:t xml:space="preserve">al acestui anul la unii ordonatori principali de credite finanțați din bugetul de stat, </w:t>
      </w:r>
      <w:r w:rsidR="00BA678C">
        <w:rPr>
          <w:rFonts w:ascii="Tahoma" w:hAnsi="Tahoma" w:cs="Tahoma"/>
          <w:bCs/>
          <w:color w:val="000000"/>
          <w:sz w:val="24"/>
          <w:szCs w:val="24"/>
        </w:rPr>
        <w:t xml:space="preserve">cum ar fi </w:t>
      </w:r>
      <w:r w:rsidR="00F12863" w:rsidRPr="00BA678C">
        <w:rPr>
          <w:rFonts w:ascii="Tahoma" w:hAnsi="Tahoma" w:cs="Tahoma"/>
          <w:bCs/>
          <w:color w:val="000000"/>
          <w:sz w:val="24"/>
          <w:szCs w:val="24"/>
        </w:rPr>
        <w:t xml:space="preserve">Ministerul </w:t>
      </w:r>
      <w:r w:rsidR="00BA678C" w:rsidRPr="00BA678C">
        <w:rPr>
          <w:rFonts w:ascii="Tahoma" w:hAnsi="Tahoma" w:cs="Tahoma"/>
          <w:bCs/>
          <w:color w:val="000000"/>
          <w:sz w:val="24"/>
          <w:szCs w:val="24"/>
        </w:rPr>
        <w:t>Lucrărilor</w:t>
      </w:r>
      <w:r w:rsidR="00F12863" w:rsidRPr="00BA678C">
        <w:rPr>
          <w:rFonts w:ascii="Tahoma" w:hAnsi="Tahoma" w:cs="Tahoma"/>
          <w:bCs/>
          <w:color w:val="000000"/>
          <w:sz w:val="24"/>
          <w:szCs w:val="24"/>
        </w:rPr>
        <w:t xml:space="preserve"> Publice </w:t>
      </w:r>
      <w:r w:rsidR="00405833" w:rsidRPr="00BA678C">
        <w:rPr>
          <w:rFonts w:ascii="Tahoma" w:hAnsi="Tahoma" w:cs="Tahoma"/>
          <w:bCs/>
          <w:color w:val="000000"/>
          <w:sz w:val="24"/>
          <w:szCs w:val="24"/>
        </w:rPr>
        <w:t>Dezvoltării</w:t>
      </w:r>
      <w:r w:rsidR="00405833">
        <w:rPr>
          <w:rFonts w:ascii="Tahoma" w:hAnsi="Tahoma" w:cs="Tahoma"/>
          <w:bCs/>
          <w:color w:val="000000"/>
          <w:sz w:val="24"/>
          <w:szCs w:val="24"/>
        </w:rPr>
        <w:t>ș</w:t>
      </w:r>
      <w:r w:rsidR="00F12863" w:rsidRPr="00BA678C">
        <w:rPr>
          <w:rFonts w:ascii="Tahoma" w:hAnsi="Tahoma" w:cs="Tahoma"/>
          <w:bCs/>
          <w:color w:val="000000"/>
          <w:sz w:val="24"/>
          <w:szCs w:val="24"/>
        </w:rPr>
        <w:t xml:space="preserve">i </w:t>
      </w:r>
      <w:r w:rsidR="00BA678C" w:rsidRPr="00BA678C">
        <w:rPr>
          <w:rFonts w:ascii="Tahoma" w:hAnsi="Tahoma" w:cs="Tahoma"/>
          <w:bCs/>
          <w:color w:val="000000"/>
          <w:sz w:val="24"/>
          <w:szCs w:val="24"/>
        </w:rPr>
        <w:t>Administrației</w:t>
      </w:r>
      <w:r w:rsidR="00F12863">
        <w:rPr>
          <w:rFonts w:ascii="Tahoma" w:hAnsi="Tahoma" w:cs="Tahoma"/>
          <w:bCs/>
          <w:color w:val="000000"/>
          <w:sz w:val="24"/>
          <w:szCs w:val="24"/>
        </w:rPr>
        <w:t xml:space="preserve">, </w:t>
      </w:r>
      <w:r w:rsidR="00F12863" w:rsidRPr="00BA678C">
        <w:rPr>
          <w:rFonts w:ascii="Tahoma" w:hAnsi="Tahoma" w:cs="Tahoma"/>
          <w:bCs/>
          <w:color w:val="000000"/>
          <w:sz w:val="24"/>
          <w:szCs w:val="24"/>
        </w:rPr>
        <w:t xml:space="preserve">Ministerul Transporturilor Infrastructurii </w:t>
      </w:r>
      <w:r w:rsidR="00BA678C">
        <w:rPr>
          <w:rFonts w:ascii="Tahoma" w:hAnsi="Tahoma" w:cs="Tahoma"/>
          <w:bCs/>
          <w:color w:val="000000"/>
          <w:sz w:val="24"/>
          <w:szCs w:val="24"/>
        </w:rPr>
        <w:t>ș</w:t>
      </w:r>
      <w:r w:rsidR="00F12863" w:rsidRPr="00BA678C">
        <w:rPr>
          <w:rFonts w:ascii="Tahoma" w:hAnsi="Tahoma" w:cs="Tahoma"/>
          <w:bCs/>
          <w:color w:val="000000"/>
          <w:sz w:val="24"/>
          <w:szCs w:val="24"/>
        </w:rPr>
        <w:t xml:space="preserve">i </w:t>
      </w:r>
      <w:r w:rsidR="00BA678C" w:rsidRPr="00BA678C">
        <w:rPr>
          <w:rFonts w:ascii="Tahoma" w:hAnsi="Tahoma" w:cs="Tahoma"/>
          <w:bCs/>
          <w:color w:val="000000"/>
          <w:sz w:val="24"/>
          <w:szCs w:val="24"/>
        </w:rPr>
        <w:t>Comunicațiilor</w:t>
      </w:r>
      <w:r w:rsidR="00F12863" w:rsidRPr="00BA678C">
        <w:rPr>
          <w:rFonts w:ascii="Tahoma" w:hAnsi="Tahoma" w:cs="Tahoma"/>
          <w:bCs/>
          <w:color w:val="000000"/>
          <w:sz w:val="24"/>
          <w:szCs w:val="24"/>
        </w:rPr>
        <w:t xml:space="preserve"> (86</w:t>
      </w:r>
      <w:r w:rsidR="000D317D">
        <w:rPr>
          <w:rFonts w:ascii="Tahoma" w:hAnsi="Tahoma" w:cs="Tahoma"/>
          <w:bCs/>
          <w:color w:val="000000"/>
          <w:sz w:val="24"/>
          <w:szCs w:val="24"/>
        </w:rPr>
        <w:t>,</w:t>
      </w:r>
      <w:r w:rsidR="00F12863" w:rsidRPr="00BA678C">
        <w:rPr>
          <w:rFonts w:ascii="Tahoma" w:hAnsi="Tahoma" w:cs="Tahoma"/>
          <w:bCs/>
          <w:color w:val="000000"/>
          <w:sz w:val="24"/>
          <w:szCs w:val="24"/>
        </w:rPr>
        <w:t>5%)</w:t>
      </w:r>
      <w:r w:rsidR="00BA678C">
        <w:rPr>
          <w:rFonts w:ascii="Tahoma" w:hAnsi="Tahoma" w:cs="Tahoma"/>
          <w:bCs/>
          <w:color w:val="000000"/>
          <w:sz w:val="24"/>
          <w:szCs w:val="24"/>
        </w:rPr>
        <w:t xml:space="preserve"> ș</w:t>
      </w:r>
      <w:r w:rsidR="00F12863" w:rsidRPr="00BA678C">
        <w:rPr>
          <w:rFonts w:ascii="Tahoma" w:hAnsi="Tahoma" w:cs="Tahoma"/>
          <w:bCs/>
          <w:color w:val="000000"/>
          <w:sz w:val="24"/>
          <w:szCs w:val="24"/>
        </w:rPr>
        <w:t xml:space="preserve">i Ministerul Economiei Energiei si Mediului de Afaceri </w:t>
      </w:r>
      <w:r w:rsidR="00BA678C">
        <w:rPr>
          <w:rFonts w:ascii="Tahoma" w:hAnsi="Tahoma" w:cs="Tahoma"/>
          <w:bCs/>
          <w:color w:val="000000"/>
          <w:sz w:val="24"/>
          <w:szCs w:val="24"/>
        </w:rPr>
        <w:t>(</w:t>
      </w:r>
      <w:r w:rsidR="00F12863" w:rsidRPr="00BA678C">
        <w:rPr>
          <w:rFonts w:ascii="Tahoma" w:hAnsi="Tahoma" w:cs="Tahoma"/>
          <w:bCs/>
          <w:color w:val="000000"/>
          <w:sz w:val="24"/>
          <w:szCs w:val="24"/>
        </w:rPr>
        <w:t>23</w:t>
      </w:r>
      <w:r w:rsidR="000D317D">
        <w:rPr>
          <w:rFonts w:ascii="Tahoma" w:hAnsi="Tahoma" w:cs="Tahoma"/>
          <w:bCs/>
          <w:color w:val="000000"/>
          <w:sz w:val="24"/>
          <w:szCs w:val="24"/>
        </w:rPr>
        <w:t>,</w:t>
      </w:r>
      <w:r w:rsidR="00F12863" w:rsidRPr="00BA678C">
        <w:rPr>
          <w:rFonts w:ascii="Tahoma" w:hAnsi="Tahoma" w:cs="Tahoma"/>
          <w:bCs/>
          <w:color w:val="000000"/>
          <w:sz w:val="24"/>
          <w:szCs w:val="24"/>
        </w:rPr>
        <w:t>4%)</w:t>
      </w:r>
      <w:r w:rsidR="00405833">
        <w:rPr>
          <w:rFonts w:ascii="Tahoma" w:hAnsi="Tahoma" w:cs="Tahoma"/>
          <w:bCs/>
          <w:color w:val="000000"/>
          <w:sz w:val="24"/>
          <w:szCs w:val="24"/>
        </w:rPr>
        <w:t>.</w:t>
      </w:r>
    </w:p>
    <w:p w:rsidR="00B10206" w:rsidRPr="00292E18" w:rsidRDefault="00B10206" w:rsidP="006737B0">
      <w:pPr>
        <w:spacing w:before="120" w:after="120"/>
        <w:jc w:val="both"/>
        <w:rPr>
          <w:rFonts w:ascii="Tahoma" w:hAnsi="Tahoma" w:cs="Tahoma"/>
          <w:sz w:val="24"/>
          <w:szCs w:val="24"/>
        </w:rPr>
      </w:pPr>
      <w:r w:rsidRPr="00640FBB">
        <w:rPr>
          <w:rFonts w:ascii="Tahoma" w:hAnsi="Tahoma" w:cs="Tahoma"/>
          <w:b/>
          <w:bCs/>
          <w:i/>
          <w:sz w:val="24"/>
          <w:szCs w:val="24"/>
        </w:rPr>
        <w:t>Cheltuielile cu asistența socială</w:t>
      </w:r>
      <w:r w:rsidR="003C4703">
        <w:rPr>
          <w:rFonts w:ascii="Tahoma" w:hAnsi="Tahoma" w:cs="Tahoma"/>
          <w:sz w:val="24"/>
          <w:szCs w:val="24"/>
        </w:rPr>
        <w:t xml:space="preserve"> au fost în sumă de 32,</w:t>
      </w:r>
      <w:r w:rsidRPr="00292E18">
        <w:rPr>
          <w:rFonts w:ascii="Tahoma" w:hAnsi="Tahoma" w:cs="Tahoma"/>
          <w:sz w:val="24"/>
          <w:szCs w:val="24"/>
        </w:rPr>
        <w:t>77</w:t>
      </w:r>
      <w:r w:rsidR="003C4703">
        <w:rPr>
          <w:rFonts w:ascii="Tahoma" w:hAnsi="Tahoma" w:cs="Tahoma"/>
          <w:sz w:val="24"/>
          <w:szCs w:val="24"/>
        </w:rPr>
        <w:t xml:space="preserve"> mld</w:t>
      </w:r>
      <w:r w:rsidR="005B36B4">
        <w:rPr>
          <w:rFonts w:ascii="Tahoma" w:hAnsi="Tahoma" w:cs="Tahoma"/>
          <w:sz w:val="24"/>
          <w:szCs w:val="24"/>
        </w:rPr>
        <w:t>.</w:t>
      </w:r>
      <w:r w:rsidRPr="00292E18">
        <w:rPr>
          <w:rFonts w:ascii="Tahoma" w:hAnsi="Tahoma" w:cs="Tahoma"/>
          <w:sz w:val="24"/>
          <w:szCs w:val="24"/>
        </w:rPr>
        <w:t xml:space="preserve"> lei, au reprezentat 3,0% din PIB şi s-au efectuat în proporție de 99,7% față de programul trimestrial.</w:t>
      </w:r>
      <w:r w:rsidR="006737B0" w:rsidRPr="00F228D9">
        <w:rPr>
          <w:rFonts w:ascii="Tahoma" w:hAnsi="Tahoma" w:cs="Tahoma"/>
          <w:sz w:val="24"/>
          <w:szCs w:val="28"/>
        </w:rPr>
        <w:t xml:space="preserve">Evoluția cheltuielilor cu asistența socială a fost influențată, în principal, de majorarea punctului de pensie, începând cu 1 septembrie 2019, cu 15%, respectiv de la 1.100 lei la 1.265 lei, a îndemnizației sociale pentru pensionari garantată cu 10%, majorarea alocațiilor de stat pentru copii începând cu 1 mai 2019, precum și indexarea acestora cu rata inflației din anul 2019, începând cu 1 ianuarie 2020. De asemenea, decontările indemnizațiilor de asigurări sociale de sănătate pentru concedii medicale pe primul trimestrul al acestui an sunt de doua ori mai mult față de aceeași perioadă a anului trecut, în luna martie decontându-se </w:t>
      </w:r>
      <w:r w:rsidR="006737B0">
        <w:rPr>
          <w:rFonts w:ascii="Tahoma" w:hAnsi="Tahoma" w:cs="Tahoma"/>
          <w:sz w:val="24"/>
          <w:szCs w:val="28"/>
        </w:rPr>
        <w:t xml:space="preserve">în valoare de </w:t>
      </w:r>
      <w:r w:rsidR="006737B0" w:rsidRPr="00F228D9">
        <w:rPr>
          <w:rFonts w:ascii="Tahoma" w:hAnsi="Tahoma" w:cs="Tahoma"/>
          <w:sz w:val="24"/>
          <w:szCs w:val="28"/>
        </w:rPr>
        <w:t>401,7 milioane lei.</w:t>
      </w:r>
    </w:p>
    <w:p w:rsidR="006737B0" w:rsidRDefault="006737B0" w:rsidP="00620B19">
      <w:pPr>
        <w:spacing w:before="240"/>
        <w:ind w:right="6"/>
        <w:jc w:val="both"/>
        <w:rPr>
          <w:rFonts w:ascii="Tahoma" w:hAnsi="Tahoma" w:cs="Tahoma"/>
          <w:bCs/>
          <w:sz w:val="24"/>
          <w:szCs w:val="28"/>
        </w:rPr>
      </w:pPr>
      <w:r w:rsidRPr="00F228D9">
        <w:rPr>
          <w:rFonts w:ascii="Tahoma" w:hAnsi="Tahoma" w:cs="Tahoma"/>
          <w:b/>
          <w:bCs/>
          <w:i/>
          <w:sz w:val="24"/>
          <w:szCs w:val="28"/>
        </w:rPr>
        <w:t>Alte cheltuieli</w:t>
      </w:r>
      <w:r w:rsidRPr="00F228D9">
        <w:rPr>
          <w:rFonts w:ascii="Tahoma" w:hAnsi="Tahoma" w:cs="Tahoma"/>
          <w:bCs/>
          <w:sz w:val="24"/>
          <w:szCs w:val="28"/>
        </w:rPr>
        <w:t xml:space="preserve"> reprezentând, în principal, sume aferente titlurilor de plată emise de Autoritatea Națională pentru Restituirea Proprietăților, conform legislației în vigoare, burse pentru elevi și studenți, precum și alte despăgubiri civile, acestea au însumat 1,</w:t>
      </w:r>
      <w:r>
        <w:rPr>
          <w:rFonts w:ascii="Tahoma" w:hAnsi="Tahoma" w:cs="Tahoma"/>
          <w:bCs/>
          <w:sz w:val="24"/>
          <w:szCs w:val="28"/>
        </w:rPr>
        <w:t>3</w:t>
      </w:r>
      <w:r w:rsidRPr="00F228D9">
        <w:rPr>
          <w:rFonts w:ascii="Tahoma" w:hAnsi="Tahoma" w:cs="Tahoma"/>
          <w:bCs/>
          <w:sz w:val="24"/>
          <w:szCs w:val="28"/>
        </w:rPr>
        <w:t>4 mld lei</w:t>
      </w:r>
      <w:r w:rsidR="004260FF">
        <w:rPr>
          <w:rFonts w:ascii="Tahoma" w:hAnsi="Tahoma" w:cs="Tahoma"/>
          <w:bCs/>
          <w:sz w:val="24"/>
          <w:szCs w:val="28"/>
        </w:rPr>
        <w:t>, reprezentând 88,5</w:t>
      </w:r>
      <w:r>
        <w:rPr>
          <w:rFonts w:ascii="Tahoma" w:hAnsi="Tahoma" w:cs="Tahoma"/>
          <w:bCs/>
          <w:sz w:val="24"/>
          <w:szCs w:val="28"/>
        </w:rPr>
        <w:t>% din programul estimat pe</w:t>
      </w:r>
      <w:r w:rsidR="00DB3A55">
        <w:rPr>
          <w:rFonts w:ascii="Tahoma" w:hAnsi="Tahoma" w:cs="Tahoma"/>
          <w:bCs/>
          <w:sz w:val="24"/>
          <w:szCs w:val="28"/>
        </w:rPr>
        <w:t xml:space="preserve"> primul trimestru a anului 2020</w:t>
      </w:r>
      <w:r w:rsidRPr="00F228D9">
        <w:rPr>
          <w:rFonts w:ascii="Tahoma" w:hAnsi="Tahoma" w:cs="Tahoma"/>
          <w:bCs/>
          <w:sz w:val="24"/>
          <w:szCs w:val="28"/>
        </w:rPr>
        <w:t>.</w:t>
      </w:r>
    </w:p>
    <w:p w:rsidR="00CB1087" w:rsidRPr="00BA678C" w:rsidRDefault="00B10206" w:rsidP="00BA678C">
      <w:pPr>
        <w:spacing w:before="240"/>
        <w:ind w:right="6"/>
        <w:jc w:val="both"/>
        <w:rPr>
          <w:rFonts w:ascii="Tahoma" w:hAnsi="Tahoma" w:cs="Tahoma"/>
          <w:sz w:val="24"/>
          <w:szCs w:val="24"/>
        </w:rPr>
      </w:pPr>
      <w:r w:rsidRPr="00640FBB">
        <w:rPr>
          <w:rFonts w:ascii="Tahoma" w:hAnsi="Tahoma" w:cs="Tahoma"/>
          <w:b/>
          <w:bCs/>
          <w:i/>
          <w:sz w:val="24"/>
          <w:szCs w:val="24"/>
        </w:rPr>
        <w:t>Plățile pentru proiectele cu finanțare din fonduri UE</w:t>
      </w:r>
      <w:r w:rsidR="00826F2E">
        <w:rPr>
          <w:rFonts w:ascii="Tahoma" w:hAnsi="Tahoma" w:cs="Tahoma"/>
          <w:b/>
          <w:bCs/>
          <w:i/>
          <w:sz w:val="24"/>
          <w:szCs w:val="24"/>
        </w:rPr>
        <w:t xml:space="preserve"> </w:t>
      </w:r>
      <w:r w:rsidRPr="00292E18">
        <w:rPr>
          <w:rFonts w:ascii="Tahoma" w:hAnsi="Tahoma" w:cs="Tahoma"/>
          <w:sz w:val="24"/>
          <w:szCs w:val="24"/>
        </w:rPr>
        <w:t xml:space="preserve">au reprezentat 0,4% din PIB şi s-au efectuat în proporție de </w:t>
      </w:r>
      <w:r>
        <w:rPr>
          <w:rFonts w:ascii="Tahoma" w:hAnsi="Tahoma" w:cs="Tahoma"/>
          <w:sz w:val="24"/>
          <w:szCs w:val="24"/>
        </w:rPr>
        <w:t>75,3</w:t>
      </w:r>
      <w:r w:rsidRPr="00292E18">
        <w:rPr>
          <w:rFonts w:ascii="Tahoma" w:hAnsi="Tahoma" w:cs="Tahoma"/>
          <w:sz w:val="24"/>
          <w:szCs w:val="24"/>
        </w:rPr>
        <w:t xml:space="preserve">%, majoritatea plăților realizate fiind pentru proiectele finanțate din cadrul bugetar 2014-2020. </w:t>
      </w:r>
      <w:r w:rsidR="00BA678C">
        <w:rPr>
          <w:rFonts w:ascii="Tahoma" w:hAnsi="Tahoma" w:cs="Tahoma"/>
          <w:sz w:val="24"/>
          <w:szCs w:val="24"/>
        </w:rPr>
        <w:t>Un grad redus din</w:t>
      </w:r>
      <w:r w:rsidR="0060609A">
        <w:rPr>
          <w:rFonts w:ascii="Tahoma" w:hAnsi="Tahoma" w:cs="Tahoma"/>
          <w:sz w:val="24"/>
          <w:szCs w:val="24"/>
        </w:rPr>
        <w:t xml:space="preserve"> programul</w:t>
      </w:r>
      <w:r w:rsidR="00BA678C">
        <w:rPr>
          <w:rFonts w:ascii="Tahoma" w:hAnsi="Tahoma" w:cs="Tahoma"/>
          <w:sz w:val="24"/>
          <w:szCs w:val="24"/>
        </w:rPr>
        <w:t xml:space="preserve"> propus pentruprimul trimestru s-a înregistrat la</w:t>
      </w:r>
      <w:r w:rsidR="00826F2E">
        <w:rPr>
          <w:rFonts w:ascii="Tahoma" w:hAnsi="Tahoma" w:cs="Tahoma"/>
          <w:sz w:val="24"/>
          <w:szCs w:val="24"/>
        </w:rPr>
        <w:t xml:space="preserve"> </w:t>
      </w:r>
      <w:r w:rsidR="00CB1087" w:rsidRPr="00BA678C">
        <w:rPr>
          <w:rFonts w:ascii="Tahoma" w:hAnsi="Tahoma" w:cs="Tahoma"/>
          <w:sz w:val="24"/>
          <w:szCs w:val="24"/>
        </w:rPr>
        <w:t xml:space="preserve">Ministerul Transporturilor Infrastructurii </w:t>
      </w:r>
      <w:r w:rsidR="00BA678C">
        <w:rPr>
          <w:rFonts w:ascii="Tahoma" w:hAnsi="Tahoma" w:cs="Tahoma"/>
          <w:sz w:val="24"/>
          <w:szCs w:val="24"/>
        </w:rPr>
        <w:t>ș</w:t>
      </w:r>
      <w:r w:rsidR="00CB1087" w:rsidRPr="00BA678C">
        <w:rPr>
          <w:rFonts w:ascii="Tahoma" w:hAnsi="Tahoma" w:cs="Tahoma"/>
          <w:sz w:val="24"/>
          <w:szCs w:val="24"/>
        </w:rPr>
        <w:t xml:space="preserve">i </w:t>
      </w:r>
      <w:r w:rsidR="00BA678C" w:rsidRPr="00BA678C">
        <w:rPr>
          <w:rFonts w:ascii="Tahoma" w:hAnsi="Tahoma" w:cs="Tahoma"/>
          <w:sz w:val="24"/>
          <w:szCs w:val="24"/>
        </w:rPr>
        <w:t>Comunicațiilor</w:t>
      </w:r>
      <w:r w:rsidR="00826F2E">
        <w:rPr>
          <w:rFonts w:ascii="Tahoma" w:hAnsi="Tahoma" w:cs="Tahoma"/>
          <w:sz w:val="24"/>
          <w:szCs w:val="24"/>
        </w:rPr>
        <w:t xml:space="preserve"> </w:t>
      </w:r>
      <w:r w:rsidR="00BA678C">
        <w:rPr>
          <w:rFonts w:ascii="Tahoma" w:hAnsi="Tahoma" w:cs="Tahoma"/>
          <w:sz w:val="24"/>
          <w:szCs w:val="24"/>
        </w:rPr>
        <w:t>(</w:t>
      </w:r>
      <w:r w:rsidR="0060609A" w:rsidRPr="00BA678C">
        <w:rPr>
          <w:rFonts w:ascii="Tahoma" w:hAnsi="Tahoma" w:cs="Tahoma"/>
          <w:sz w:val="24"/>
          <w:szCs w:val="24"/>
        </w:rPr>
        <w:t xml:space="preserve">68,5%) </w:t>
      </w:r>
      <w:r w:rsidR="00CB1087" w:rsidRPr="00BA678C">
        <w:rPr>
          <w:rFonts w:ascii="Tahoma" w:hAnsi="Tahoma" w:cs="Tahoma"/>
          <w:sz w:val="24"/>
          <w:szCs w:val="24"/>
        </w:rPr>
        <w:t>Ministerul Fondurilor Europene</w:t>
      </w:r>
      <w:r w:rsidR="00BA678C">
        <w:rPr>
          <w:rFonts w:ascii="Tahoma" w:hAnsi="Tahoma" w:cs="Tahoma"/>
          <w:sz w:val="24"/>
          <w:szCs w:val="24"/>
        </w:rPr>
        <w:t xml:space="preserve"> (</w:t>
      </w:r>
      <w:r w:rsidR="00CB1087" w:rsidRPr="00BA678C">
        <w:rPr>
          <w:rFonts w:ascii="Tahoma" w:hAnsi="Tahoma" w:cs="Tahoma"/>
          <w:sz w:val="24"/>
          <w:szCs w:val="24"/>
        </w:rPr>
        <w:t>60,</w:t>
      </w:r>
      <w:r w:rsidR="0060609A" w:rsidRPr="00BA678C">
        <w:rPr>
          <w:rFonts w:ascii="Tahoma" w:hAnsi="Tahoma" w:cs="Tahoma"/>
          <w:sz w:val="24"/>
          <w:szCs w:val="24"/>
        </w:rPr>
        <w:t xml:space="preserve">2%), </w:t>
      </w:r>
      <w:r w:rsidR="00CB1087" w:rsidRPr="00BA678C">
        <w:rPr>
          <w:rFonts w:ascii="Tahoma" w:hAnsi="Tahoma" w:cs="Tahoma"/>
          <w:sz w:val="24"/>
          <w:szCs w:val="24"/>
        </w:rPr>
        <w:t xml:space="preserve">Ministerul </w:t>
      </w:r>
      <w:r w:rsidR="00BA678C" w:rsidRPr="00BA678C">
        <w:rPr>
          <w:rFonts w:ascii="Tahoma" w:hAnsi="Tahoma" w:cs="Tahoma"/>
          <w:sz w:val="24"/>
          <w:szCs w:val="24"/>
        </w:rPr>
        <w:t>Lucrărilor</w:t>
      </w:r>
      <w:r w:rsidR="00CB1087" w:rsidRPr="00BA678C">
        <w:rPr>
          <w:rFonts w:ascii="Tahoma" w:hAnsi="Tahoma" w:cs="Tahoma"/>
          <w:sz w:val="24"/>
          <w:szCs w:val="24"/>
        </w:rPr>
        <w:t xml:space="preserve"> Publice </w:t>
      </w:r>
      <w:r w:rsidR="00BA678C" w:rsidRPr="00BA678C">
        <w:rPr>
          <w:rFonts w:ascii="Tahoma" w:hAnsi="Tahoma" w:cs="Tahoma"/>
          <w:sz w:val="24"/>
          <w:szCs w:val="24"/>
        </w:rPr>
        <w:t>Dezvoltării</w:t>
      </w:r>
      <w:r w:rsidR="00BA678C">
        <w:rPr>
          <w:rFonts w:ascii="Tahoma" w:hAnsi="Tahoma" w:cs="Tahoma"/>
          <w:sz w:val="24"/>
          <w:szCs w:val="24"/>
        </w:rPr>
        <w:t xml:space="preserve"> ș</w:t>
      </w:r>
      <w:r w:rsidR="00CB1087" w:rsidRPr="00BA678C">
        <w:rPr>
          <w:rFonts w:ascii="Tahoma" w:hAnsi="Tahoma" w:cs="Tahoma"/>
          <w:sz w:val="24"/>
          <w:szCs w:val="24"/>
        </w:rPr>
        <w:t xml:space="preserve">i </w:t>
      </w:r>
      <w:r w:rsidR="00BA678C" w:rsidRPr="00BA678C">
        <w:rPr>
          <w:rFonts w:ascii="Tahoma" w:hAnsi="Tahoma" w:cs="Tahoma"/>
          <w:sz w:val="24"/>
          <w:szCs w:val="24"/>
        </w:rPr>
        <w:t>Administrației</w:t>
      </w:r>
      <w:r w:rsidR="00826F2E">
        <w:rPr>
          <w:rFonts w:ascii="Tahoma" w:hAnsi="Tahoma" w:cs="Tahoma"/>
          <w:sz w:val="24"/>
          <w:szCs w:val="24"/>
        </w:rPr>
        <w:t xml:space="preserve"> </w:t>
      </w:r>
      <w:r w:rsidR="00BA678C">
        <w:rPr>
          <w:rFonts w:ascii="Tahoma" w:hAnsi="Tahoma" w:cs="Tahoma"/>
          <w:sz w:val="24"/>
          <w:szCs w:val="24"/>
        </w:rPr>
        <w:t>(</w:t>
      </w:r>
      <w:r w:rsidR="00CB1087" w:rsidRPr="00BA678C">
        <w:rPr>
          <w:rFonts w:ascii="Tahoma" w:hAnsi="Tahoma" w:cs="Tahoma"/>
          <w:sz w:val="24"/>
          <w:szCs w:val="24"/>
        </w:rPr>
        <w:t>39</w:t>
      </w:r>
      <w:r w:rsidR="00CB1087">
        <w:rPr>
          <w:rFonts w:ascii="Tahoma" w:hAnsi="Tahoma" w:cs="Tahoma"/>
          <w:sz w:val="24"/>
          <w:szCs w:val="24"/>
        </w:rPr>
        <w:t>,</w:t>
      </w:r>
      <w:r w:rsidR="00CB1087" w:rsidRPr="00BA678C">
        <w:rPr>
          <w:rFonts w:ascii="Tahoma" w:hAnsi="Tahoma" w:cs="Tahoma"/>
          <w:sz w:val="24"/>
          <w:szCs w:val="24"/>
        </w:rPr>
        <w:t>4</w:t>
      </w:r>
      <w:r w:rsidR="0060609A" w:rsidRPr="00BA678C">
        <w:rPr>
          <w:rFonts w:ascii="Tahoma" w:hAnsi="Tahoma" w:cs="Tahoma"/>
          <w:sz w:val="24"/>
          <w:szCs w:val="24"/>
        </w:rPr>
        <w:t>%</w:t>
      </w:r>
      <w:r w:rsidR="00CB1087" w:rsidRPr="00BA678C">
        <w:rPr>
          <w:rFonts w:ascii="Tahoma" w:hAnsi="Tahoma" w:cs="Tahoma"/>
          <w:sz w:val="24"/>
          <w:szCs w:val="24"/>
        </w:rPr>
        <w:t xml:space="preserve">), Ministerul </w:t>
      </w:r>
      <w:r w:rsidR="00BA678C" w:rsidRPr="00BA678C">
        <w:rPr>
          <w:rFonts w:ascii="Tahoma" w:hAnsi="Tahoma" w:cs="Tahoma"/>
          <w:sz w:val="24"/>
          <w:szCs w:val="24"/>
        </w:rPr>
        <w:t>Educației</w:t>
      </w:r>
      <w:r w:rsidR="00826F2E">
        <w:rPr>
          <w:rFonts w:ascii="Tahoma" w:hAnsi="Tahoma" w:cs="Tahoma"/>
          <w:sz w:val="24"/>
          <w:szCs w:val="24"/>
        </w:rPr>
        <w:t xml:space="preserve"> </w:t>
      </w:r>
      <w:r w:rsidR="00BA678C">
        <w:rPr>
          <w:rFonts w:ascii="Tahoma" w:hAnsi="Tahoma" w:cs="Tahoma"/>
          <w:sz w:val="24"/>
          <w:szCs w:val="24"/>
        </w:rPr>
        <w:t>ș</w:t>
      </w:r>
      <w:r w:rsidR="00CB1087" w:rsidRPr="00BA678C">
        <w:rPr>
          <w:rFonts w:ascii="Tahoma" w:hAnsi="Tahoma" w:cs="Tahoma"/>
          <w:sz w:val="24"/>
          <w:szCs w:val="24"/>
        </w:rPr>
        <w:t xml:space="preserve">i </w:t>
      </w:r>
      <w:r w:rsidR="00BA678C" w:rsidRPr="00BA678C">
        <w:rPr>
          <w:rFonts w:ascii="Tahoma" w:hAnsi="Tahoma" w:cs="Tahoma"/>
          <w:sz w:val="24"/>
          <w:szCs w:val="24"/>
        </w:rPr>
        <w:t>Cercetării</w:t>
      </w:r>
      <w:r w:rsidR="00826F2E">
        <w:rPr>
          <w:rFonts w:ascii="Tahoma" w:hAnsi="Tahoma" w:cs="Tahoma"/>
          <w:sz w:val="24"/>
          <w:szCs w:val="24"/>
        </w:rPr>
        <w:t xml:space="preserve"> </w:t>
      </w:r>
      <w:r w:rsidR="00BA678C">
        <w:rPr>
          <w:rFonts w:ascii="Tahoma" w:hAnsi="Tahoma" w:cs="Tahoma"/>
          <w:sz w:val="24"/>
          <w:szCs w:val="24"/>
        </w:rPr>
        <w:t>(</w:t>
      </w:r>
      <w:r w:rsidR="00CB1087" w:rsidRPr="00BA678C">
        <w:rPr>
          <w:rFonts w:ascii="Tahoma" w:hAnsi="Tahoma" w:cs="Tahoma"/>
          <w:sz w:val="24"/>
          <w:szCs w:val="24"/>
        </w:rPr>
        <w:t>44,2%)</w:t>
      </w:r>
      <w:r w:rsidR="00BA678C">
        <w:rPr>
          <w:rFonts w:ascii="Tahoma" w:hAnsi="Tahoma" w:cs="Tahoma"/>
          <w:sz w:val="24"/>
          <w:szCs w:val="24"/>
        </w:rPr>
        <w:t xml:space="preserve"> și</w:t>
      </w:r>
      <w:r w:rsidR="00CB1087" w:rsidRPr="00BA678C">
        <w:rPr>
          <w:rFonts w:ascii="Tahoma" w:hAnsi="Tahoma" w:cs="Tahoma"/>
          <w:sz w:val="24"/>
          <w:szCs w:val="24"/>
        </w:rPr>
        <w:t xml:space="preserve"> Ministerul Mediului Apelor si </w:t>
      </w:r>
      <w:r w:rsidR="00BA678C" w:rsidRPr="00BA678C">
        <w:rPr>
          <w:rFonts w:ascii="Tahoma" w:hAnsi="Tahoma" w:cs="Tahoma"/>
          <w:sz w:val="24"/>
          <w:szCs w:val="24"/>
        </w:rPr>
        <w:t>Pădurilor</w:t>
      </w:r>
      <w:r w:rsidR="00BA678C">
        <w:rPr>
          <w:rFonts w:ascii="Tahoma" w:hAnsi="Tahoma" w:cs="Tahoma"/>
          <w:sz w:val="24"/>
          <w:szCs w:val="24"/>
        </w:rPr>
        <w:t xml:space="preserve"> (</w:t>
      </w:r>
      <w:r w:rsidR="00CB1087" w:rsidRPr="00BA678C">
        <w:rPr>
          <w:rFonts w:ascii="Tahoma" w:hAnsi="Tahoma" w:cs="Tahoma"/>
          <w:sz w:val="24"/>
          <w:szCs w:val="24"/>
        </w:rPr>
        <w:t>2</w:t>
      </w:r>
      <w:r w:rsidR="00CB1087">
        <w:rPr>
          <w:rFonts w:ascii="Tahoma" w:hAnsi="Tahoma" w:cs="Tahoma"/>
          <w:sz w:val="24"/>
          <w:szCs w:val="24"/>
        </w:rPr>
        <w:t>,</w:t>
      </w:r>
      <w:r w:rsidR="00CB1087" w:rsidRPr="00BA678C">
        <w:rPr>
          <w:rFonts w:ascii="Tahoma" w:hAnsi="Tahoma" w:cs="Tahoma"/>
          <w:sz w:val="24"/>
          <w:szCs w:val="24"/>
        </w:rPr>
        <w:t>96%)</w:t>
      </w:r>
      <w:r w:rsidR="00BA678C">
        <w:rPr>
          <w:rFonts w:ascii="Tahoma" w:hAnsi="Tahoma" w:cs="Tahoma"/>
          <w:sz w:val="24"/>
          <w:szCs w:val="24"/>
        </w:rPr>
        <w:t>.</w:t>
      </w:r>
    </w:p>
    <w:p w:rsidR="00733B62" w:rsidRPr="00BA678C" w:rsidRDefault="00B10206" w:rsidP="00BA678C">
      <w:pPr>
        <w:spacing w:before="240"/>
        <w:ind w:right="6"/>
        <w:jc w:val="both"/>
        <w:rPr>
          <w:rFonts w:ascii="Tahoma" w:hAnsi="Tahoma" w:cs="Tahoma"/>
          <w:sz w:val="24"/>
          <w:szCs w:val="24"/>
        </w:rPr>
      </w:pPr>
      <w:r w:rsidRPr="00640FBB">
        <w:rPr>
          <w:rFonts w:ascii="Tahoma" w:hAnsi="Tahoma" w:cs="Tahoma"/>
          <w:b/>
          <w:i/>
          <w:sz w:val="24"/>
          <w:szCs w:val="24"/>
        </w:rPr>
        <w:t>Cheltuielile de capital</w:t>
      </w:r>
      <w:r w:rsidRPr="00292E18">
        <w:rPr>
          <w:rFonts w:ascii="Tahoma" w:hAnsi="Tahoma" w:cs="Tahoma"/>
          <w:sz w:val="24"/>
          <w:szCs w:val="24"/>
        </w:rPr>
        <w:t>au reprezentat 0,3% din PIB și s-au efectuat în proporție de 47,2% comparativ cu programul trimestrial.</w:t>
      </w:r>
      <w:r w:rsidR="00BA678C">
        <w:rPr>
          <w:rFonts w:ascii="Tahoma" w:hAnsi="Tahoma" w:cs="Tahoma"/>
          <w:sz w:val="24"/>
          <w:szCs w:val="24"/>
        </w:rPr>
        <w:t>Cheltuielile</w:t>
      </w:r>
      <w:r w:rsidR="000D317D">
        <w:rPr>
          <w:rFonts w:ascii="Tahoma" w:hAnsi="Tahoma" w:cs="Tahoma"/>
          <w:sz w:val="24"/>
          <w:szCs w:val="24"/>
        </w:rPr>
        <w:t xml:space="preserve"> de ca</w:t>
      </w:r>
      <w:r w:rsidR="00733B62">
        <w:rPr>
          <w:rFonts w:ascii="Tahoma" w:hAnsi="Tahoma" w:cs="Tahoma"/>
          <w:sz w:val="24"/>
          <w:szCs w:val="24"/>
        </w:rPr>
        <w:t xml:space="preserve">pital </w:t>
      </w:r>
      <w:r w:rsidR="00BA678C">
        <w:rPr>
          <w:rFonts w:ascii="Tahoma" w:hAnsi="Tahoma" w:cs="Tahoma"/>
          <w:sz w:val="24"/>
          <w:szCs w:val="24"/>
        </w:rPr>
        <w:t>realizate față de programul propusla nivelul</w:t>
      </w:r>
      <w:r w:rsidR="000D317D">
        <w:rPr>
          <w:rFonts w:ascii="Tahoma" w:hAnsi="Tahoma" w:cs="Tahoma"/>
          <w:sz w:val="24"/>
          <w:szCs w:val="24"/>
        </w:rPr>
        <w:t xml:space="preserve"> bugetul</w:t>
      </w:r>
      <w:r w:rsidR="00BA678C">
        <w:rPr>
          <w:rFonts w:ascii="Tahoma" w:hAnsi="Tahoma" w:cs="Tahoma"/>
          <w:sz w:val="24"/>
          <w:szCs w:val="24"/>
        </w:rPr>
        <w:t>ui</w:t>
      </w:r>
      <w:r w:rsidR="000D317D">
        <w:rPr>
          <w:rFonts w:ascii="Tahoma" w:hAnsi="Tahoma" w:cs="Tahoma"/>
          <w:sz w:val="24"/>
          <w:szCs w:val="24"/>
        </w:rPr>
        <w:t xml:space="preserve"> de stat a</w:t>
      </w:r>
      <w:r w:rsidR="00BA678C">
        <w:rPr>
          <w:rFonts w:ascii="Tahoma" w:hAnsi="Tahoma" w:cs="Tahoma"/>
          <w:sz w:val="24"/>
          <w:szCs w:val="24"/>
        </w:rPr>
        <w:t>u</w:t>
      </w:r>
      <w:r w:rsidR="000D317D">
        <w:rPr>
          <w:rFonts w:ascii="Tahoma" w:hAnsi="Tahoma" w:cs="Tahoma"/>
          <w:sz w:val="24"/>
          <w:szCs w:val="24"/>
        </w:rPr>
        <w:t xml:space="preserve"> fost de 30%</w:t>
      </w:r>
      <w:r w:rsidR="00E15D34">
        <w:rPr>
          <w:rFonts w:ascii="Tahoma" w:hAnsi="Tahoma" w:cs="Tahoma"/>
          <w:sz w:val="24"/>
          <w:szCs w:val="24"/>
        </w:rPr>
        <w:t xml:space="preserve">, gradul scăzut de plăți față de programul trimestrial </w:t>
      </w:r>
      <w:r w:rsidR="00405833">
        <w:rPr>
          <w:rFonts w:ascii="Tahoma" w:hAnsi="Tahoma" w:cs="Tahoma"/>
          <w:sz w:val="24"/>
          <w:szCs w:val="24"/>
        </w:rPr>
        <w:t xml:space="preserve">propus a fost </w:t>
      </w:r>
      <w:r w:rsidR="008D6F60">
        <w:rPr>
          <w:rFonts w:ascii="Tahoma" w:hAnsi="Tahoma" w:cs="Tahoma"/>
          <w:sz w:val="24"/>
          <w:szCs w:val="24"/>
        </w:rPr>
        <w:t xml:space="preserve">înregistrat la </w:t>
      </w:r>
      <w:bookmarkStart w:id="0" w:name="_GoBack"/>
      <w:bookmarkEnd w:id="0"/>
      <w:r w:rsidR="00E15D34">
        <w:rPr>
          <w:rFonts w:ascii="Tahoma" w:hAnsi="Tahoma" w:cs="Tahoma"/>
          <w:sz w:val="24"/>
          <w:szCs w:val="24"/>
        </w:rPr>
        <w:t xml:space="preserve">Ministerului Apărării Naționale (27,9%), Ministerului Afacerilor Interne (45,7%) și </w:t>
      </w:r>
      <w:r w:rsidR="00E15D34" w:rsidRPr="00BA678C">
        <w:rPr>
          <w:rFonts w:ascii="Tahoma" w:hAnsi="Tahoma" w:cs="Tahoma"/>
          <w:sz w:val="24"/>
          <w:szCs w:val="24"/>
        </w:rPr>
        <w:t>Ministerul T</w:t>
      </w:r>
      <w:r w:rsidR="00E15D34">
        <w:rPr>
          <w:rFonts w:ascii="Tahoma" w:hAnsi="Tahoma" w:cs="Tahoma"/>
          <w:sz w:val="24"/>
          <w:szCs w:val="24"/>
        </w:rPr>
        <w:t>ransporturilor</w:t>
      </w:r>
      <w:r w:rsidR="00AA06C8">
        <w:rPr>
          <w:rFonts w:ascii="Tahoma" w:hAnsi="Tahoma" w:cs="Tahoma"/>
          <w:sz w:val="24"/>
          <w:szCs w:val="24"/>
        </w:rPr>
        <w:t>,</w:t>
      </w:r>
      <w:r w:rsidR="00E15D34">
        <w:rPr>
          <w:rFonts w:ascii="Tahoma" w:hAnsi="Tahoma" w:cs="Tahoma"/>
          <w:sz w:val="24"/>
          <w:szCs w:val="24"/>
        </w:rPr>
        <w:t xml:space="preserve"> Infrastructurii ș</w:t>
      </w:r>
      <w:r w:rsidR="00E15D34" w:rsidRPr="00BA678C">
        <w:rPr>
          <w:rFonts w:ascii="Tahoma" w:hAnsi="Tahoma" w:cs="Tahoma"/>
          <w:sz w:val="24"/>
          <w:szCs w:val="24"/>
        </w:rPr>
        <w:t>i Comunicațiilor</w:t>
      </w:r>
      <w:r w:rsidR="00E15D34">
        <w:rPr>
          <w:rFonts w:ascii="Tahoma" w:hAnsi="Tahoma" w:cs="Tahoma"/>
          <w:sz w:val="24"/>
          <w:szCs w:val="24"/>
        </w:rPr>
        <w:t xml:space="preserve">. De </w:t>
      </w:r>
      <w:r w:rsidR="00E15D34">
        <w:rPr>
          <w:rFonts w:ascii="Tahoma" w:hAnsi="Tahoma" w:cs="Tahoma"/>
          <w:sz w:val="24"/>
          <w:szCs w:val="24"/>
        </w:rPr>
        <w:lastRenderedPageBreak/>
        <w:t>asemenea, s-au înregistrați plăți sub programul estimat și la nivelul administrației locale (59,3%), dar peste execuția aferentă același perioade a anului precedent.</w:t>
      </w:r>
    </w:p>
    <w:p w:rsidR="00B10206" w:rsidRDefault="00B10206" w:rsidP="00620B19">
      <w:pPr>
        <w:spacing w:before="240"/>
        <w:ind w:right="6"/>
        <w:jc w:val="both"/>
        <w:rPr>
          <w:rFonts w:ascii="Tahoma" w:hAnsi="Tahoma" w:cs="Tahoma"/>
          <w:bCs/>
          <w:sz w:val="24"/>
          <w:szCs w:val="24"/>
        </w:rPr>
      </w:pPr>
      <w:r w:rsidRPr="00640FBB">
        <w:rPr>
          <w:rFonts w:ascii="Tahoma" w:hAnsi="Tahoma" w:cs="Tahoma"/>
          <w:b/>
          <w:i/>
          <w:sz w:val="24"/>
          <w:szCs w:val="24"/>
        </w:rPr>
        <w:t>Cheltuielile pentru investiții</w:t>
      </w:r>
      <w:r w:rsidRPr="00292E18">
        <w:rPr>
          <w:rFonts w:ascii="Tahoma" w:hAnsi="Tahoma" w:cs="Tahoma"/>
          <w:sz w:val="24"/>
          <w:szCs w:val="24"/>
        </w:rPr>
        <w:t xml:space="preserve"> (includ cheltuielile de capital, precum şi cele aferente programelor de dezvoltare finanțate din surse interne şi externe) în primul trimestru al anului 2020 au totalizat în termeni nominali </w:t>
      </w:r>
      <w:r w:rsidRPr="00292E18">
        <w:rPr>
          <w:rFonts w:ascii="Tahoma" w:hAnsi="Tahoma" w:cs="Tahoma"/>
          <w:bCs/>
          <w:sz w:val="24"/>
          <w:szCs w:val="24"/>
        </w:rPr>
        <w:t>5,85</w:t>
      </w:r>
      <w:r w:rsidR="003C4703">
        <w:rPr>
          <w:rFonts w:ascii="Tahoma" w:hAnsi="Tahoma" w:cs="Tahoma"/>
          <w:bCs/>
          <w:sz w:val="24"/>
          <w:szCs w:val="24"/>
        </w:rPr>
        <w:t xml:space="preserve"> mld.</w:t>
      </w:r>
      <w:r w:rsidRPr="00292E18">
        <w:rPr>
          <w:rFonts w:ascii="Tahoma" w:hAnsi="Tahoma" w:cs="Tahoma"/>
          <w:bCs/>
          <w:sz w:val="24"/>
          <w:szCs w:val="24"/>
        </w:rPr>
        <w:t xml:space="preserve"> lei (0,5 % din PIB). Comparativ cu aceeași perioadă a anului 2019 cheltuielile pentru investiții s-au majorat cu 20,4%, iar ca procent în PIB cu aproximativ 0,1 puncte procentuale. </w:t>
      </w:r>
      <w:r w:rsidR="00DB3A55" w:rsidRPr="00DB3A55">
        <w:rPr>
          <w:rFonts w:ascii="Tahoma" w:hAnsi="Tahoma" w:cs="Tahoma"/>
          <w:bCs/>
          <w:sz w:val="24"/>
          <w:szCs w:val="24"/>
        </w:rPr>
        <w:t>În cadrul bugetului general consolidat, majorările apar la bugetul de stat și la bugetele locale atât din fonduri naționale, cât și aferente proiectelor finanțate din fonduri externe nerambursabile. De asemenea, în luna martie, din bugetul Ministerului Afacerilor Interne s-au plătit 154,7 milioane lei pentru achiziționarea de produse - stocuri de urgență medicală, inclusiv scannere termice pentru combaterea răspândirii infecției cu coronavirusul SARS-COV-2.</w:t>
      </w:r>
    </w:p>
    <w:p w:rsidR="00373FDE" w:rsidRDefault="00373FDE" w:rsidP="005E607E">
      <w:pPr>
        <w:spacing w:before="240"/>
        <w:ind w:right="6"/>
        <w:jc w:val="both"/>
        <w:rPr>
          <w:rFonts w:ascii="Tahoma" w:hAnsi="Tahoma" w:cs="Tahoma"/>
          <w:bCs/>
          <w:sz w:val="24"/>
          <w:szCs w:val="24"/>
        </w:rPr>
      </w:pPr>
    </w:p>
    <w:p w:rsidR="00373FDE" w:rsidRPr="00F228D9" w:rsidRDefault="00373FDE" w:rsidP="00373FDE">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Pr>
          <w:rFonts w:ascii="Tahoma" w:hAnsi="Tahoma" w:cs="Tahoma"/>
          <w:b/>
          <w:caps/>
          <w:color w:val="0070C0"/>
          <w:sz w:val="24"/>
          <w:szCs w:val="24"/>
        </w:rPr>
        <w:t>CONCLUZII</w:t>
      </w:r>
    </w:p>
    <w:p w:rsidR="00415B7E" w:rsidRDefault="00415B7E" w:rsidP="005E607E">
      <w:pPr>
        <w:spacing w:before="240"/>
        <w:ind w:right="6"/>
        <w:jc w:val="both"/>
        <w:rPr>
          <w:rFonts w:ascii="Tahoma" w:hAnsi="Tahoma" w:cs="Tahoma"/>
          <w:bCs/>
          <w:sz w:val="24"/>
          <w:szCs w:val="24"/>
        </w:rPr>
      </w:pPr>
      <w:r w:rsidRPr="007C6A86">
        <w:rPr>
          <w:rFonts w:ascii="Tahoma" w:hAnsi="Tahoma" w:cs="Tahoma"/>
          <w:bCs/>
          <w:sz w:val="24"/>
          <w:szCs w:val="24"/>
        </w:rPr>
        <w:t>Având în vedere evoluția veniturilor</w:t>
      </w:r>
      <w:r w:rsidR="00315666">
        <w:rPr>
          <w:rFonts w:ascii="Tahoma" w:hAnsi="Tahoma" w:cs="Tahoma"/>
          <w:bCs/>
          <w:sz w:val="24"/>
          <w:szCs w:val="24"/>
        </w:rPr>
        <w:t xml:space="preserve"> și cheltuielilor</w:t>
      </w:r>
      <w:r w:rsidRPr="007C6A86">
        <w:rPr>
          <w:rFonts w:ascii="Tahoma" w:hAnsi="Tahoma" w:cs="Tahoma"/>
          <w:bCs/>
          <w:sz w:val="24"/>
          <w:szCs w:val="24"/>
        </w:rPr>
        <w:t xml:space="preserve"> bugetare, soldul bugetar </w:t>
      </w:r>
      <w:r w:rsidR="00315666">
        <w:rPr>
          <w:rFonts w:ascii="Tahoma" w:hAnsi="Tahoma" w:cs="Tahoma"/>
          <w:bCs/>
          <w:sz w:val="24"/>
          <w:szCs w:val="24"/>
        </w:rPr>
        <w:t>aferent</w:t>
      </w:r>
      <w:r w:rsidRPr="007C6A86">
        <w:rPr>
          <w:rFonts w:ascii="Tahoma" w:hAnsi="Tahoma" w:cs="Tahoma"/>
          <w:bCs/>
          <w:sz w:val="24"/>
          <w:szCs w:val="24"/>
        </w:rPr>
        <w:t xml:space="preserve"> primul</w:t>
      </w:r>
      <w:r w:rsidR="00315666">
        <w:rPr>
          <w:rFonts w:ascii="Tahoma" w:hAnsi="Tahoma" w:cs="Tahoma"/>
          <w:bCs/>
          <w:sz w:val="24"/>
          <w:szCs w:val="24"/>
        </w:rPr>
        <w:t>ui</w:t>
      </w:r>
      <w:r w:rsidRPr="007C6A86">
        <w:rPr>
          <w:rFonts w:ascii="Tahoma" w:hAnsi="Tahoma" w:cs="Tahoma"/>
          <w:bCs/>
          <w:sz w:val="24"/>
          <w:szCs w:val="24"/>
        </w:rPr>
        <w:t xml:space="preserve"> trimestru a depăși</w:t>
      </w:r>
      <w:r w:rsidR="00315666">
        <w:rPr>
          <w:rFonts w:ascii="Tahoma" w:hAnsi="Tahoma" w:cs="Tahoma"/>
          <w:bCs/>
          <w:sz w:val="24"/>
          <w:szCs w:val="24"/>
        </w:rPr>
        <w:t>t</w:t>
      </w:r>
      <w:r w:rsidR="003C4703">
        <w:rPr>
          <w:rFonts w:ascii="Tahoma" w:hAnsi="Tahoma" w:cs="Tahoma"/>
          <w:bCs/>
          <w:sz w:val="24"/>
          <w:szCs w:val="24"/>
        </w:rPr>
        <w:t xml:space="preserve"> ținta stabilită cu 1,</w:t>
      </w:r>
      <w:r w:rsidRPr="007C6A86">
        <w:rPr>
          <w:rFonts w:ascii="Tahoma" w:hAnsi="Tahoma" w:cs="Tahoma"/>
          <w:bCs/>
          <w:sz w:val="24"/>
          <w:szCs w:val="24"/>
        </w:rPr>
        <w:t>12</w:t>
      </w:r>
      <w:r w:rsidR="003C4703">
        <w:rPr>
          <w:rFonts w:ascii="Tahoma" w:hAnsi="Tahoma" w:cs="Tahoma"/>
          <w:bCs/>
          <w:sz w:val="24"/>
          <w:szCs w:val="24"/>
        </w:rPr>
        <w:t xml:space="preserve"> mld</w:t>
      </w:r>
      <w:r w:rsidRPr="007C6A86">
        <w:rPr>
          <w:rFonts w:ascii="Tahoma" w:hAnsi="Tahoma" w:cs="Tahoma"/>
          <w:bCs/>
          <w:sz w:val="24"/>
          <w:szCs w:val="24"/>
        </w:rPr>
        <w:t xml:space="preserve">. lei.  </w:t>
      </w:r>
    </w:p>
    <w:p w:rsidR="005E607E" w:rsidRPr="005E607E" w:rsidRDefault="00315666" w:rsidP="005E607E">
      <w:pPr>
        <w:spacing w:before="240"/>
        <w:ind w:right="6"/>
        <w:jc w:val="both"/>
        <w:rPr>
          <w:rFonts w:ascii="Tahoma" w:hAnsi="Tahoma" w:cs="Tahoma"/>
          <w:bCs/>
          <w:sz w:val="24"/>
          <w:szCs w:val="24"/>
        </w:rPr>
      </w:pPr>
      <w:r>
        <w:rPr>
          <w:rFonts w:ascii="Tahoma" w:hAnsi="Tahoma" w:cs="Tahoma"/>
          <w:bCs/>
          <w:sz w:val="24"/>
          <w:szCs w:val="24"/>
        </w:rPr>
        <w:t>În primele</w:t>
      </w:r>
      <w:r w:rsidR="008849D9">
        <w:rPr>
          <w:rFonts w:ascii="Tahoma" w:hAnsi="Tahoma" w:cs="Tahoma"/>
          <w:bCs/>
          <w:sz w:val="24"/>
          <w:szCs w:val="24"/>
        </w:rPr>
        <w:t xml:space="preserve"> trei luni</w:t>
      </w:r>
      <w:r>
        <w:rPr>
          <w:rFonts w:ascii="Tahoma" w:hAnsi="Tahoma" w:cs="Tahoma"/>
          <w:bCs/>
          <w:sz w:val="24"/>
          <w:szCs w:val="24"/>
        </w:rPr>
        <w:t xml:space="preserve"> ale anului</w:t>
      </w:r>
      <w:r w:rsidR="008849D9">
        <w:rPr>
          <w:rFonts w:ascii="Tahoma" w:hAnsi="Tahoma" w:cs="Tahoma"/>
          <w:bCs/>
          <w:sz w:val="24"/>
          <w:szCs w:val="24"/>
        </w:rPr>
        <w:t>, n</w:t>
      </w:r>
      <w:r w:rsidR="005E607E" w:rsidRPr="005E607E">
        <w:rPr>
          <w:rFonts w:ascii="Tahoma" w:hAnsi="Tahoma" w:cs="Tahoma"/>
          <w:bCs/>
          <w:sz w:val="24"/>
          <w:szCs w:val="24"/>
        </w:rPr>
        <w:t>ivelul încasărilor bugetare este sub cel al programului trimestrial, în principal ca urmare a nerealizării veniturilor programate a fi încasate din economia internă</w:t>
      </w:r>
      <w:r w:rsidR="00415B7E">
        <w:rPr>
          <w:rFonts w:ascii="Tahoma" w:hAnsi="Tahoma" w:cs="Tahoma"/>
          <w:bCs/>
          <w:sz w:val="24"/>
          <w:szCs w:val="24"/>
        </w:rPr>
        <w:t xml:space="preserve"> în luna martie,</w:t>
      </w:r>
      <w:r w:rsidR="005E607E" w:rsidRPr="005E607E">
        <w:rPr>
          <w:rFonts w:ascii="Tahoma" w:hAnsi="Tahoma" w:cs="Tahoma"/>
          <w:bCs/>
          <w:sz w:val="24"/>
          <w:szCs w:val="24"/>
        </w:rPr>
        <w:t xml:space="preserve"> pe fondul instituirii stării de urgentă și adoptării unor măsuri fiscale pentru sprijinirea pieței muncii și a mediului de afaceri, măsuri ce au</w:t>
      </w:r>
      <w:r w:rsidR="00712127" w:rsidRPr="005E607E">
        <w:rPr>
          <w:rFonts w:ascii="Tahoma" w:hAnsi="Tahoma" w:cs="Tahoma"/>
          <w:bCs/>
          <w:sz w:val="24"/>
          <w:szCs w:val="24"/>
        </w:rPr>
        <w:t>pe termen scurt</w:t>
      </w:r>
      <w:r w:rsidR="005E607E" w:rsidRPr="005E607E">
        <w:rPr>
          <w:rFonts w:ascii="Tahoma" w:hAnsi="Tahoma" w:cs="Tahoma"/>
          <w:bCs/>
          <w:sz w:val="24"/>
          <w:szCs w:val="24"/>
        </w:rPr>
        <w:t xml:space="preserve"> un </w:t>
      </w:r>
      <w:r>
        <w:rPr>
          <w:rFonts w:ascii="Tahoma" w:hAnsi="Tahoma" w:cs="Tahoma"/>
          <w:bCs/>
          <w:sz w:val="24"/>
          <w:szCs w:val="24"/>
        </w:rPr>
        <w:t>impact</w:t>
      </w:r>
      <w:r w:rsidR="00826F2E">
        <w:rPr>
          <w:rFonts w:ascii="Tahoma" w:hAnsi="Tahoma" w:cs="Tahoma"/>
          <w:bCs/>
          <w:sz w:val="24"/>
          <w:szCs w:val="24"/>
        </w:rPr>
        <w:t xml:space="preserve"> </w:t>
      </w:r>
      <w:r w:rsidR="005E607E" w:rsidRPr="005E607E">
        <w:rPr>
          <w:rFonts w:ascii="Tahoma" w:hAnsi="Tahoma" w:cs="Tahoma"/>
          <w:bCs/>
          <w:sz w:val="24"/>
          <w:szCs w:val="24"/>
        </w:rPr>
        <w:t xml:space="preserve">negativ asupra veniturilor bugetare. </w:t>
      </w:r>
    </w:p>
    <w:p w:rsidR="005E607E" w:rsidRPr="005E607E" w:rsidRDefault="005E607E" w:rsidP="005E607E">
      <w:pPr>
        <w:spacing w:before="240"/>
        <w:ind w:right="6"/>
        <w:jc w:val="both"/>
        <w:rPr>
          <w:rFonts w:ascii="Tahoma" w:hAnsi="Tahoma" w:cs="Tahoma"/>
          <w:bCs/>
          <w:sz w:val="24"/>
          <w:szCs w:val="24"/>
        </w:rPr>
      </w:pPr>
      <w:r w:rsidRPr="005E607E">
        <w:rPr>
          <w:rFonts w:ascii="Tahoma" w:hAnsi="Tahoma" w:cs="Tahoma"/>
          <w:bCs/>
          <w:sz w:val="24"/>
          <w:szCs w:val="24"/>
        </w:rPr>
        <w:t xml:space="preserve">Cheltuielile bugetare efectuate în primul trimestru al anului 2020 s-au situat sub nivelul programat în cazul majorității titlurilor de cheltuieli cu </w:t>
      </w:r>
      <w:r w:rsidR="00CA7C81" w:rsidRPr="005E607E">
        <w:rPr>
          <w:rFonts w:ascii="Tahoma" w:hAnsi="Tahoma" w:cs="Tahoma"/>
          <w:bCs/>
          <w:sz w:val="24"/>
          <w:szCs w:val="24"/>
        </w:rPr>
        <w:t>excepția</w:t>
      </w:r>
      <w:r w:rsidRPr="005E607E">
        <w:rPr>
          <w:rFonts w:ascii="Tahoma" w:hAnsi="Tahoma" w:cs="Tahoma"/>
          <w:bCs/>
          <w:sz w:val="24"/>
          <w:szCs w:val="24"/>
        </w:rPr>
        <w:t xml:space="preserve"> cheltuielilor cu bunuri și servicii</w:t>
      </w:r>
      <w:r w:rsidR="00315666">
        <w:rPr>
          <w:rFonts w:ascii="Tahoma" w:hAnsi="Tahoma" w:cs="Tahoma"/>
          <w:bCs/>
          <w:sz w:val="24"/>
          <w:szCs w:val="24"/>
        </w:rPr>
        <w:t>,</w:t>
      </w:r>
      <w:r w:rsidRPr="005E607E">
        <w:rPr>
          <w:rFonts w:ascii="Tahoma" w:hAnsi="Tahoma" w:cs="Tahoma"/>
          <w:bCs/>
          <w:sz w:val="24"/>
          <w:szCs w:val="24"/>
        </w:rPr>
        <w:t xml:space="preserve"> unde a fost nevoie de suplimentarea </w:t>
      </w:r>
      <w:r w:rsidR="00CA7C81" w:rsidRPr="005E607E">
        <w:rPr>
          <w:rFonts w:ascii="Tahoma" w:hAnsi="Tahoma" w:cs="Tahoma"/>
          <w:bCs/>
          <w:sz w:val="24"/>
          <w:szCs w:val="24"/>
        </w:rPr>
        <w:t>plăților</w:t>
      </w:r>
      <w:r w:rsidRPr="005E607E">
        <w:rPr>
          <w:rFonts w:ascii="Tahoma" w:hAnsi="Tahoma" w:cs="Tahoma"/>
          <w:bCs/>
          <w:sz w:val="24"/>
          <w:szCs w:val="24"/>
        </w:rPr>
        <w:t xml:space="preserve"> pentru prevenirea și combaterea pandemiei cu coronaviru</w:t>
      </w:r>
      <w:r w:rsidR="00601884">
        <w:rPr>
          <w:rFonts w:ascii="Tahoma" w:hAnsi="Tahoma" w:cs="Tahoma"/>
          <w:bCs/>
          <w:sz w:val="24"/>
          <w:szCs w:val="24"/>
        </w:rPr>
        <w:t>s</w:t>
      </w:r>
      <w:r w:rsidRPr="005E607E">
        <w:rPr>
          <w:rFonts w:ascii="Tahoma" w:hAnsi="Tahoma" w:cs="Tahoma"/>
          <w:bCs/>
          <w:sz w:val="24"/>
          <w:szCs w:val="24"/>
        </w:rPr>
        <w:t>.</w:t>
      </w:r>
    </w:p>
    <w:p w:rsidR="005E607E" w:rsidRPr="005E607E" w:rsidRDefault="005E607E" w:rsidP="005E607E">
      <w:pPr>
        <w:spacing w:before="240"/>
        <w:ind w:right="6"/>
        <w:jc w:val="both"/>
        <w:rPr>
          <w:rFonts w:ascii="Tahoma" w:hAnsi="Tahoma" w:cs="Tahoma"/>
          <w:bCs/>
          <w:sz w:val="24"/>
          <w:szCs w:val="24"/>
        </w:rPr>
      </w:pPr>
      <w:r w:rsidRPr="005E607E">
        <w:rPr>
          <w:rFonts w:ascii="Tahoma" w:hAnsi="Tahoma" w:cs="Tahoma"/>
          <w:bCs/>
          <w:sz w:val="24"/>
          <w:szCs w:val="24"/>
        </w:rPr>
        <w:t>Este de așteptat ca în perioada imediat următoare presiunea pe cheltuielile bugetare să se amplifice având în vedere implementarea măsurilor de susținere a pieței muncii și de sprijinire a mediului de afaceri</w:t>
      </w:r>
      <w:r w:rsidR="00415B7E">
        <w:rPr>
          <w:rFonts w:ascii="Tahoma" w:hAnsi="Tahoma" w:cs="Tahoma"/>
          <w:bCs/>
          <w:sz w:val="24"/>
          <w:szCs w:val="24"/>
        </w:rPr>
        <w:t>. În aceste condiții</w:t>
      </w:r>
      <w:r w:rsidRPr="005E607E">
        <w:rPr>
          <w:rFonts w:ascii="Tahoma" w:hAnsi="Tahoma" w:cs="Tahoma"/>
          <w:bCs/>
          <w:sz w:val="24"/>
          <w:szCs w:val="24"/>
        </w:rPr>
        <w:t xml:space="preserve">, pentru a nu afecta </w:t>
      </w:r>
      <w:r w:rsidR="00315666">
        <w:rPr>
          <w:rFonts w:ascii="Tahoma" w:hAnsi="Tahoma" w:cs="Tahoma"/>
          <w:bCs/>
          <w:sz w:val="24"/>
          <w:szCs w:val="24"/>
        </w:rPr>
        <w:t>semnificativ</w:t>
      </w:r>
      <w:r w:rsidRPr="005E607E">
        <w:rPr>
          <w:rFonts w:ascii="Tahoma" w:hAnsi="Tahoma" w:cs="Tahoma"/>
          <w:bCs/>
          <w:sz w:val="24"/>
          <w:szCs w:val="24"/>
        </w:rPr>
        <w:t xml:space="preserve">soldul bugetar anual la nivelul ordonatorilor principali de credite, ar trebui să se efectueze o analiză cât mai riguroasă a cheltuielilor pentru următoarele trimestre. </w:t>
      </w:r>
    </w:p>
    <w:p w:rsidR="0043013B" w:rsidRPr="0043013B" w:rsidRDefault="00315666" w:rsidP="002E4DC6">
      <w:pPr>
        <w:spacing w:before="240"/>
        <w:ind w:right="6"/>
        <w:jc w:val="both"/>
        <w:rPr>
          <w:rFonts w:ascii="Tahoma" w:hAnsi="Tahoma" w:cs="Tahoma"/>
          <w:sz w:val="24"/>
          <w:szCs w:val="24"/>
        </w:rPr>
      </w:pPr>
      <w:r>
        <w:rPr>
          <w:rFonts w:ascii="Tahoma" w:hAnsi="Tahoma" w:cs="Tahoma"/>
          <w:bCs/>
          <w:sz w:val="24"/>
          <w:szCs w:val="24"/>
        </w:rPr>
        <w:t>Totodată, î</w:t>
      </w:r>
      <w:r w:rsidR="005E607E" w:rsidRPr="005E607E">
        <w:rPr>
          <w:rFonts w:ascii="Tahoma" w:hAnsi="Tahoma" w:cs="Tahoma"/>
          <w:bCs/>
          <w:sz w:val="24"/>
          <w:szCs w:val="24"/>
        </w:rPr>
        <w:t xml:space="preserve">n </w:t>
      </w:r>
      <w:r w:rsidR="00415B7E">
        <w:rPr>
          <w:rFonts w:ascii="Tahoma" w:hAnsi="Tahoma" w:cs="Tahoma"/>
          <w:bCs/>
          <w:sz w:val="24"/>
          <w:szCs w:val="24"/>
        </w:rPr>
        <w:t>privința</w:t>
      </w:r>
      <w:r w:rsidR="00826F2E">
        <w:rPr>
          <w:rFonts w:ascii="Tahoma" w:hAnsi="Tahoma" w:cs="Tahoma"/>
          <w:bCs/>
          <w:sz w:val="24"/>
          <w:szCs w:val="24"/>
        </w:rPr>
        <w:t xml:space="preserve"> </w:t>
      </w:r>
      <w:r w:rsidR="00415B7E">
        <w:rPr>
          <w:rFonts w:ascii="Tahoma" w:hAnsi="Tahoma" w:cs="Tahoma"/>
          <w:bCs/>
          <w:sz w:val="24"/>
          <w:szCs w:val="24"/>
        </w:rPr>
        <w:t>veniturile</w:t>
      </w:r>
      <w:r w:rsidR="00826F2E">
        <w:rPr>
          <w:rFonts w:ascii="Tahoma" w:hAnsi="Tahoma" w:cs="Tahoma"/>
          <w:bCs/>
          <w:sz w:val="24"/>
          <w:szCs w:val="24"/>
        </w:rPr>
        <w:t xml:space="preserve"> </w:t>
      </w:r>
      <w:r w:rsidR="005E607E" w:rsidRPr="005E607E">
        <w:rPr>
          <w:rFonts w:ascii="Tahoma" w:hAnsi="Tahoma" w:cs="Tahoma"/>
          <w:bCs/>
          <w:sz w:val="24"/>
          <w:szCs w:val="24"/>
        </w:rPr>
        <w:t xml:space="preserve">bugetare, </w:t>
      </w:r>
      <w:r w:rsidR="00415B7E">
        <w:rPr>
          <w:rFonts w:ascii="Tahoma" w:hAnsi="Tahoma" w:cs="Tahoma"/>
          <w:bCs/>
          <w:sz w:val="24"/>
          <w:szCs w:val="24"/>
        </w:rPr>
        <w:t xml:space="preserve">se recomandă </w:t>
      </w:r>
      <w:r w:rsidR="005E607E" w:rsidRPr="005E607E">
        <w:rPr>
          <w:rFonts w:ascii="Tahoma" w:hAnsi="Tahoma" w:cs="Tahoma"/>
          <w:bCs/>
          <w:sz w:val="24"/>
          <w:szCs w:val="24"/>
        </w:rPr>
        <w:t>intensifica</w:t>
      </w:r>
      <w:r w:rsidR="00415B7E">
        <w:rPr>
          <w:rFonts w:ascii="Tahoma" w:hAnsi="Tahoma" w:cs="Tahoma"/>
          <w:bCs/>
          <w:sz w:val="24"/>
          <w:szCs w:val="24"/>
        </w:rPr>
        <w:t>rea</w:t>
      </w:r>
      <w:r w:rsidR="005E607E" w:rsidRPr="005E607E">
        <w:rPr>
          <w:rFonts w:ascii="Tahoma" w:hAnsi="Tahoma" w:cs="Tahoma"/>
          <w:bCs/>
          <w:sz w:val="24"/>
          <w:szCs w:val="24"/>
        </w:rPr>
        <w:t xml:space="preserve"> eforturile de absorbție a fondurilor europene concomitent cu eforturilor de îmbunătățire a colectării în următoarele trimestre.</w:t>
      </w:r>
    </w:p>
    <w:sectPr w:rsidR="0043013B" w:rsidRPr="0043013B" w:rsidSect="005E607E">
      <w:footerReference w:type="default" r:id="rId12"/>
      <w:pgSz w:w="12240" w:h="15840"/>
      <w:pgMar w:top="1166" w:right="1253" w:bottom="1440" w:left="1166" w:header="720" w:footer="5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006" w:rsidRDefault="00007006" w:rsidP="006704C5">
      <w:pPr>
        <w:spacing w:after="0" w:line="240" w:lineRule="auto"/>
      </w:pPr>
      <w:r>
        <w:separator/>
      </w:r>
    </w:p>
  </w:endnote>
  <w:endnote w:type="continuationSeparator" w:id="1">
    <w:p w:rsidR="00007006" w:rsidRDefault="00007006" w:rsidP="00670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8714"/>
      <w:gridCol w:w="1337"/>
    </w:tblGrid>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Content>
          <w:tc>
            <w:tcPr>
              <w:tcW w:w="8505" w:type="dxa"/>
              <w:shd w:val="clear" w:color="auto" w:fill="auto"/>
              <w:vAlign w:val="center"/>
            </w:tcPr>
            <w:p w:rsidR="0090217B" w:rsidRPr="00CA4A92" w:rsidRDefault="0090217B" w:rsidP="005E607E">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RAPORT PRIVIND EXECUȚIA BUGETARĂ PE PRIMUL TRIMESTRU AL ANULUI 2020</w:t>
              </w:r>
            </w:p>
          </w:tc>
        </w:sdtContent>
      </w:sdt>
      <w:tc>
        <w:tcPr>
          <w:tcW w:w="1305" w:type="dxa"/>
          <w:shd w:val="clear" w:color="auto" w:fill="auto"/>
          <w:vAlign w:val="center"/>
        </w:tcPr>
        <w:p w:rsidR="0090217B" w:rsidRPr="00CA4A92" w:rsidRDefault="00353C3C"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826F2E">
            <w:rPr>
              <w:rFonts w:ascii="Tahoma" w:hAnsi="Tahoma" w:cs="Tahoma"/>
              <w:caps/>
              <w:noProof/>
              <w:color w:val="808080" w:themeColor="background1" w:themeShade="80"/>
              <w:sz w:val="18"/>
              <w:szCs w:val="18"/>
            </w:rPr>
            <w:t>10</w:t>
          </w:r>
          <w:r w:rsidRPr="00CA4A92">
            <w:rPr>
              <w:rFonts w:ascii="Tahoma" w:hAnsi="Tahoma" w:cs="Tahoma"/>
              <w:caps/>
              <w:noProof/>
              <w:color w:val="808080" w:themeColor="background1" w:themeShade="80"/>
              <w:sz w:val="18"/>
              <w:szCs w:val="18"/>
            </w:rPr>
            <w:fldChar w:fldCharType="end"/>
          </w:r>
        </w:p>
      </w:tc>
    </w:tr>
  </w:tbl>
  <w:p w:rsidR="0090217B" w:rsidRDefault="0090217B" w:rsidP="005E607E">
    <w:pPr>
      <w:pStyle w:val="Footer"/>
    </w:pPr>
  </w:p>
  <w:p w:rsidR="0090217B" w:rsidRDefault="009021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006" w:rsidRDefault="00007006" w:rsidP="006704C5">
      <w:pPr>
        <w:spacing w:after="0" w:line="240" w:lineRule="auto"/>
      </w:pPr>
      <w:r>
        <w:separator/>
      </w:r>
    </w:p>
  </w:footnote>
  <w:footnote w:type="continuationSeparator" w:id="1">
    <w:p w:rsidR="00007006" w:rsidRDefault="00007006" w:rsidP="006704C5">
      <w:pPr>
        <w:spacing w:after="0" w:line="240" w:lineRule="auto"/>
      </w:pPr>
      <w:r>
        <w:continuationSeparator/>
      </w:r>
    </w:p>
  </w:footnote>
  <w:footnote w:id="2">
    <w:p w:rsidR="0090217B" w:rsidRDefault="0090217B" w:rsidP="007C6A86">
      <w:pPr>
        <w:pStyle w:val="FootnoteText"/>
        <w:jc w:val="both"/>
      </w:pPr>
      <w:r>
        <w:rPr>
          <w:rStyle w:val="FootnoteReference"/>
        </w:rPr>
        <w:footnoteRef/>
      </w:r>
      <w:r>
        <w:t xml:space="preserve"> Facilitate acordată prin OUG nr. 29/2020 privind unele măsuri economice și fiscal – bugetare, pentru sprijinirea mediului de afaceri </w:t>
      </w:r>
    </w:p>
  </w:footnote>
  <w:footnote w:id="3">
    <w:p w:rsidR="0090217B" w:rsidRPr="00373877" w:rsidRDefault="0090217B" w:rsidP="00DD52A5">
      <w:pPr>
        <w:pStyle w:val="FootnoteText"/>
        <w:spacing w:after="120"/>
        <w:jc w:val="both"/>
      </w:pPr>
      <w:r w:rsidRPr="00373877">
        <w:rPr>
          <w:rStyle w:val="FootnoteReference"/>
          <w:rFonts w:eastAsia="Calibri"/>
        </w:rPr>
        <w:footnoteRef/>
      </w:r>
      <w:r w:rsidRPr="00E211E9">
        <w:rPr>
          <w:lang w:val="it-IT"/>
        </w:rPr>
        <w:t xml:space="preserve">Impozit pe profit de la agentii economici reprezintă 96,3% din totalul </w:t>
      </w:r>
      <w:r>
        <w:rPr>
          <w:lang w:val="it-IT"/>
        </w:rPr>
        <w:t>î</w:t>
      </w:r>
      <w:r w:rsidRPr="00E211E9">
        <w:rPr>
          <w:lang w:val="it-IT"/>
        </w:rPr>
        <w:t>ncasărilor din impozitul pe profit</w:t>
      </w:r>
    </w:p>
  </w:footnote>
  <w:footnote w:id="4">
    <w:p w:rsidR="0090217B" w:rsidRPr="00373877" w:rsidRDefault="0090217B" w:rsidP="00DD52A5">
      <w:pPr>
        <w:pStyle w:val="FootnoteText"/>
        <w:jc w:val="both"/>
      </w:pPr>
      <w:r w:rsidRPr="00373877">
        <w:rPr>
          <w:rStyle w:val="FootnoteReference"/>
          <w:rFonts w:eastAsia="Calibri"/>
        </w:rPr>
        <w:footnoteRef/>
      </w:r>
      <w:r w:rsidRPr="00E211E9">
        <w:rPr>
          <w:lang w:val="it-IT"/>
        </w:rPr>
        <w:t>Impozit pe profit de la bancile comerciale reprezintă 3,7% din totalul incasărilor din impozitul pe profit</w:t>
      </w:r>
    </w:p>
  </w:footnote>
  <w:footnote w:id="5">
    <w:p w:rsidR="0090217B" w:rsidRPr="00DE6936" w:rsidRDefault="0090217B" w:rsidP="00660554">
      <w:pPr>
        <w:pStyle w:val="FootnoteText"/>
      </w:pPr>
      <w:r w:rsidRPr="00DE6936">
        <w:rPr>
          <w:rStyle w:val="FootnoteReference"/>
          <w:rFonts w:eastAsia="Calibri"/>
        </w:rPr>
        <w:footnoteRef/>
      </w:r>
      <w:r w:rsidRPr="00D907DE">
        <w:rPr>
          <w:rFonts w:cs="Calibri"/>
          <w:noProof/>
        </w:rPr>
        <w:t xml:space="preserve">câștigului salarial </w:t>
      </w:r>
      <w:r>
        <w:rPr>
          <w:rFonts w:cs="Calibri"/>
          <w:noProof/>
        </w:rPr>
        <w:t xml:space="preserve">mediu </w:t>
      </w:r>
      <w:r w:rsidRPr="00D907DE">
        <w:rPr>
          <w:rFonts w:cs="Calibri"/>
          <w:noProof/>
        </w:rPr>
        <w:t>brut</w:t>
      </w:r>
      <w:r>
        <w:rPr>
          <w:rFonts w:cs="Calibri"/>
          <w:noProof/>
        </w:rPr>
        <w:t xml:space="preserve"> la nivelul economiei în perioada dec – febr 2020comparativ cu perioada similară a anului precedent. </w:t>
      </w:r>
    </w:p>
  </w:footnote>
  <w:footnote w:id="6">
    <w:p w:rsidR="0090217B" w:rsidRPr="00E211E9" w:rsidRDefault="0090217B" w:rsidP="00DD52A5">
      <w:pPr>
        <w:pStyle w:val="FootnoteText"/>
        <w:jc w:val="both"/>
        <w:rPr>
          <w:lang w:val="it-IT"/>
        </w:rPr>
      </w:pPr>
      <w:r>
        <w:rPr>
          <w:rStyle w:val="FootnoteReference"/>
          <w:rFonts w:eastAsia="Calibri"/>
        </w:rPr>
        <w:footnoteRef/>
      </w:r>
      <w:r w:rsidRPr="00E211E9">
        <w:rPr>
          <w:lang w:val="it-IT"/>
        </w:rPr>
        <w:t xml:space="preserve">Ordonanța de urgență a Guvernului nr.29/2020 privind unele masuri economice și fiscal bugetare </w:t>
      </w:r>
    </w:p>
  </w:footnote>
  <w:footnote w:id="7">
    <w:p w:rsidR="0090217B" w:rsidRPr="00E211E9" w:rsidRDefault="0090217B" w:rsidP="00DD52A5">
      <w:pPr>
        <w:pStyle w:val="FootnoteText"/>
        <w:jc w:val="both"/>
        <w:rPr>
          <w:lang w:val="it-IT"/>
        </w:rPr>
      </w:pPr>
      <w:r>
        <w:rPr>
          <w:rStyle w:val="FootnoteReference"/>
          <w:rFonts w:eastAsia="Calibri"/>
        </w:rPr>
        <w:footnoteRef/>
      </w:r>
      <w:r w:rsidRPr="00E211E9">
        <w:rPr>
          <w:lang w:val="it-IT"/>
        </w:rPr>
        <w:t>Ordonanța Guvernului nr. 6/2020 pentru modificarea și completarea Legii nr. 227/2015 privind Codul fiscal, precum și pentru reglementarea unor măsuri financiare</w:t>
      </w:r>
    </w:p>
  </w:footnote>
  <w:footnote w:id="8">
    <w:p w:rsidR="0090217B" w:rsidRPr="005E77E7" w:rsidRDefault="0090217B" w:rsidP="00895655">
      <w:pPr>
        <w:pStyle w:val="FootnoteText"/>
        <w:spacing w:after="120"/>
        <w:jc w:val="both"/>
      </w:pPr>
      <w:r>
        <w:rPr>
          <w:rStyle w:val="FootnoteReference"/>
          <w:rFonts w:eastAsia="Calibri"/>
        </w:rPr>
        <w:footnoteRef/>
      </w:r>
      <w:r w:rsidRPr="00363BBB">
        <w:t>OUG nr.29/2020 privind unele masuri economice si fiscal bugetare</w:t>
      </w:r>
      <w:r>
        <w:t xml:space="preserve">; </w:t>
      </w:r>
      <w:r w:rsidRPr="00363BBB">
        <w:t>OUG nr.33/2020 privind unele măsuri fiscale și modificarea unor acte normative</w:t>
      </w:r>
      <w:r>
        <w:t xml:space="preserve">; </w:t>
      </w:r>
      <w:r w:rsidRPr="00363BBB">
        <w:t>Ordonanța militara nr. 4/2020</w:t>
      </w:r>
    </w:p>
  </w:footnote>
  <w:footnote w:id="9">
    <w:p w:rsidR="0090217B" w:rsidRPr="004E1C72" w:rsidRDefault="0090217B" w:rsidP="00DD52A5">
      <w:pPr>
        <w:pStyle w:val="FootnoteText"/>
        <w:spacing w:after="120"/>
      </w:pPr>
      <w:r w:rsidRPr="00F71606">
        <w:rPr>
          <w:rStyle w:val="FootnoteReference"/>
          <w:rFonts w:eastAsia="Calibri"/>
        </w:rPr>
        <w:footnoteRef/>
      </w:r>
      <w:r w:rsidRPr="00F71606">
        <w:t xml:space="preserve">Calcule interne pe baza date Comunicat INS  </w:t>
      </w:r>
      <w:r w:rsidRPr="00E211E9">
        <w:rPr>
          <w:lang w:val="it-IT"/>
        </w:rPr>
        <w:t>: Comerţ internaţional cu bunuri nr 94/aprilie 2020</w:t>
      </w:r>
    </w:p>
  </w:footnote>
  <w:footnote w:id="10">
    <w:p w:rsidR="0090217B" w:rsidRPr="00475701" w:rsidRDefault="0090217B" w:rsidP="00DD52A5">
      <w:pPr>
        <w:pStyle w:val="FootnoteText"/>
        <w:rPr>
          <w:rFonts w:cs="Liberation Serif"/>
          <w:kern w:val="1"/>
        </w:rPr>
      </w:pPr>
      <w:r>
        <w:rPr>
          <w:rStyle w:val="FootnoteReference"/>
          <w:rFonts w:eastAsia="Calibri"/>
        </w:rPr>
        <w:footnoteRef/>
      </w:r>
      <w:r w:rsidRPr="00475701">
        <w:rPr>
          <w:rFonts w:cs="Liberation Serif"/>
          <w:kern w:val="1"/>
        </w:rPr>
        <w:t>contribuții sociale aferente lun</w:t>
      </w:r>
      <w:r>
        <w:rPr>
          <w:rFonts w:cs="Liberation Serif"/>
          <w:kern w:val="1"/>
        </w:rPr>
        <w:t>ii</w:t>
      </w:r>
      <w:r w:rsidRPr="00475701">
        <w:rPr>
          <w:rFonts w:cs="Liberation Serif"/>
          <w:kern w:val="1"/>
        </w:rPr>
        <w:t xml:space="preserve"> februarie 2020</w:t>
      </w:r>
      <w:r>
        <w:rPr>
          <w:rFonts w:cs="Liberation Serif"/>
          <w:kern w:val="1"/>
        </w:rPr>
        <w:t>,</w:t>
      </w:r>
      <w:r w:rsidRPr="00475701">
        <w:rPr>
          <w:rFonts w:cs="Liberation Serif"/>
          <w:kern w:val="1"/>
        </w:rPr>
        <w:t xml:space="preserve"> cu termen de plat</w:t>
      </w:r>
      <w:r w:rsidR="00C12274">
        <w:rPr>
          <w:rFonts w:cs="Liberation Serif"/>
          <w:kern w:val="1"/>
        </w:rPr>
        <w:t>ăî</w:t>
      </w:r>
      <w:r w:rsidRPr="00475701">
        <w:rPr>
          <w:rFonts w:cs="Liberation Serif"/>
          <w:kern w:val="1"/>
        </w:rPr>
        <w:t>n luna martie 2020</w:t>
      </w:r>
    </w:p>
  </w:footnote>
  <w:footnote w:id="11">
    <w:p w:rsidR="0090217B" w:rsidRPr="007C49B1" w:rsidRDefault="0090217B" w:rsidP="00DD52A5">
      <w:pPr>
        <w:pStyle w:val="FootnoteText"/>
        <w:jc w:val="both"/>
      </w:pPr>
      <w:r>
        <w:rPr>
          <w:rStyle w:val="FootnoteReference"/>
          <w:rFonts w:eastAsia="Calibri"/>
        </w:rPr>
        <w:footnoteRef/>
      </w:r>
      <w:r>
        <w:rPr>
          <w:rFonts w:cs="Liberation Serif"/>
          <w:kern w:val="1"/>
        </w:rPr>
        <w:t>OUG</w:t>
      </w:r>
      <w:r w:rsidRPr="00B41C69">
        <w:rPr>
          <w:rFonts w:cs="Liberation Serif"/>
          <w:kern w:val="1"/>
        </w:rPr>
        <w:t xml:space="preserve"> nr.29/2020 </w:t>
      </w:r>
      <w:r>
        <w:rPr>
          <w:rFonts w:cs="Liberation Serif"/>
          <w:kern w:val="1"/>
        </w:rPr>
        <w:t>privind unele m</w:t>
      </w:r>
      <w:r w:rsidR="00C12274">
        <w:rPr>
          <w:rFonts w:cs="Liberation Serif"/>
          <w:kern w:val="1"/>
        </w:rPr>
        <w:t>ă</w:t>
      </w:r>
      <w:r>
        <w:rPr>
          <w:rFonts w:cs="Liberation Serif"/>
          <w:kern w:val="1"/>
        </w:rPr>
        <w:t>suri economice ș</w:t>
      </w:r>
      <w:r w:rsidRPr="00B41C69">
        <w:rPr>
          <w:rFonts w:cs="Liberation Serif"/>
          <w:kern w:val="1"/>
        </w:rPr>
        <w:t>i fiscal b</w:t>
      </w:r>
      <w:r>
        <w:rPr>
          <w:rFonts w:cs="Liberation Serif"/>
          <w:kern w:val="1"/>
        </w:rPr>
        <w:t>ugetare</w:t>
      </w:r>
    </w:p>
  </w:footnote>
  <w:footnote w:id="12">
    <w:p w:rsidR="0090217B" w:rsidRPr="00E211E9" w:rsidRDefault="0090217B" w:rsidP="004F35DA">
      <w:pPr>
        <w:pStyle w:val="FootnoteText"/>
        <w:rPr>
          <w:lang w:val="it-IT"/>
        </w:rPr>
      </w:pPr>
      <w:r>
        <w:rPr>
          <w:rStyle w:val="FootnoteReference"/>
          <w:rFonts w:eastAsia="Calibri"/>
        </w:rPr>
        <w:footnoteRef/>
      </w:r>
      <w:r w:rsidRPr="00E211E9">
        <w:rPr>
          <w:lang w:val="it-IT"/>
        </w:rPr>
        <w:t>Legea nr. 263/2019 pentru modificarea Legii nr. 227/2015 privind Codul fiscal</w:t>
      </w:r>
    </w:p>
  </w:footnote>
  <w:footnote w:id="13">
    <w:p w:rsidR="0090217B" w:rsidRPr="00B41C69" w:rsidRDefault="0090217B" w:rsidP="00DD52A5">
      <w:pPr>
        <w:pStyle w:val="FootnoteText"/>
        <w:jc w:val="both"/>
      </w:pPr>
      <w:r>
        <w:rPr>
          <w:rStyle w:val="FootnoteReference"/>
          <w:rFonts w:eastAsia="Calibri"/>
        </w:rPr>
        <w:footnoteRef/>
      </w:r>
      <w:r>
        <w:rPr>
          <w:rFonts w:cs="Liberation Serif"/>
          <w:kern w:val="1"/>
        </w:rPr>
        <w:t>Ordonanț</w:t>
      </w:r>
      <w:r w:rsidRPr="00B41C69">
        <w:rPr>
          <w:rFonts w:cs="Liberation Serif"/>
          <w:kern w:val="1"/>
        </w:rPr>
        <w:t>a Guvernului</w:t>
      </w:r>
      <w:r>
        <w:rPr>
          <w:rFonts w:cs="Liberation Serif"/>
          <w:kern w:val="1"/>
        </w:rPr>
        <w:t xml:space="preserve"> nr. 6/2020 pentru modificarea ș</w:t>
      </w:r>
      <w:r w:rsidRPr="00B41C69">
        <w:rPr>
          <w:rFonts w:cs="Liberation Serif"/>
          <w:kern w:val="1"/>
        </w:rPr>
        <w:t>i completarea Legii nr. 227/201</w:t>
      </w:r>
      <w:r>
        <w:rPr>
          <w:rFonts w:cs="Liberation Serif"/>
          <w:kern w:val="1"/>
        </w:rPr>
        <w:t>5 privind Codul fiscal, precum și pentru reglementarea unor mă</w:t>
      </w:r>
      <w:r w:rsidRPr="00B41C69">
        <w:rPr>
          <w:rFonts w:cs="Liberation Serif"/>
          <w:kern w:val="1"/>
        </w:rPr>
        <w:t>suri financiare</w:t>
      </w:r>
    </w:p>
  </w:footnote>
  <w:footnote w:id="14">
    <w:p w:rsidR="0090217B" w:rsidRPr="00E211E9" w:rsidRDefault="0090217B" w:rsidP="00DD52A5">
      <w:pPr>
        <w:pStyle w:val="FootnoteText"/>
        <w:spacing w:after="120"/>
        <w:jc w:val="both"/>
        <w:rPr>
          <w:lang w:val="it-IT"/>
        </w:rPr>
      </w:pPr>
      <w:r>
        <w:rPr>
          <w:rStyle w:val="FootnoteReference"/>
          <w:rFonts w:eastAsia="Calibri"/>
        </w:rPr>
        <w:footnoteRef/>
      </w:r>
      <w:r w:rsidRPr="00E211E9">
        <w:rPr>
          <w:lang w:val="it-IT"/>
        </w:rPr>
        <w:t xml:space="preserve">Soldul contului distinct deschis, conform </w:t>
      </w:r>
      <w:hyperlink r:id="rId1" w:anchor="p-26016056" w:tgtFrame="_blank" w:history="1">
        <w:r w:rsidRPr="00E211E9">
          <w:rPr>
            <w:lang w:val="it-IT"/>
          </w:rPr>
          <w:t>art. 20</w:t>
        </w:r>
      </w:hyperlink>
      <w:r w:rsidRPr="00E211E9">
        <w:rPr>
          <w:lang w:val="it-IT"/>
        </w:rPr>
        <w:t xml:space="preserve"> din Legea nr. 555/2004 privind unele măsuri pentru privatizarea Societății Naționale a Petrolului "Petrom" - S.A. București, în sumă de 224.105 mii lei, se face venit la bugetul de stat.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8">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5">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6"/>
  </w:num>
  <w:num w:numId="5">
    <w:abstractNumId w:val="11"/>
  </w:num>
  <w:num w:numId="6">
    <w:abstractNumId w:val="2"/>
  </w:num>
  <w:num w:numId="7">
    <w:abstractNumId w:val="10"/>
  </w:num>
  <w:num w:numId="8">
    <w:abstractNumId w:val="13"/>
  </w:num>
  <w:num w:numId="9">
    <w:abstractNumId w:val="14"/>
  </w:num>
  <w:num w:numId="10">
    <w:abstractNumId w:val="7"/>
  </w:num>
  <w:num w:numId="11">
    <w:abstractNumId w:val="4"/>
  </w:num>
  <w:num w:numId="12">
    <w:abstractNumId w:val="5"/>
  </w:num>
  <w:num w:numId="13">
    <w:abstractNumId w:val="0"/>
  </w:num>
  <w:num w:numId="14">
    <w:abstractNumId w:val="1"/>
  </w:num>
  <w:num w:numId="15">
    <w:abstractNumId w:val="1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910F23"/>
    <w:rsid w:val="00001E8C"/>
    <w:rsid w:val="00005729"/>
    <w:rsid w:val="00007006"/>
    <w:rsid w:val="00011138"/>
    <w:rsid w:val="00012C3B"/>
    <w:rsid w:val="000141BF"/>
    <w:rsid w:val="00016F63"/>
    <w:rsid w:val="00017361"/>
    <w:rsid w:val="00020D5F"/>
    <w:rsid w:val="00021A38"/>
    <w:rsid w:val="000248D3"/>
    <w:rsid w:val="00026DEC"/>
    <w:rsid w:val="00032A05"/>
    <w:rsid w:val="00041D0D"/>
    <w:rsid w:val="000434BF"/>
    <w:rsid w:val="00052351"/>
    <w:rsid w:val="000557D4"/>
    <w:rsid w:val="00056BE3"/>
    <w:rsid w:val="000573AD"/>
    <w:rsid w:val="0005779D"/>
    <w:rsid w:val="00061787"/>
    <w:rsid w:val="00062A56"/>
    <w:rsid w:val="0008264F"/>
    <w:rsid w:val="000842A5"/>
    <w:rsid w:val="0008642C"/>
    <w:rsid w:val="00086871"/>
    <w:rsid w:val="000916B5"/>
    <w:rsid w:val="000923D7"/>
    <w:rsid w:val="000942F8"/>
    <w:rsid w:val="000951A2"/>
    <w:rsid w:val="00095242"/>
    <w:rsid w:val="000A2574"/>
    <w:rsid w:val="000A25FA"/>
    <w:rsid w:val="000A3B0F"/>
    <w:rsid w:val="000A4203"/>
    <w:rsid w:val="000A48D8"/>
    <w:rsid w:val="000A62E1"/>
    <w:rsid w:val="000A7436"/>
    <w:rsid w:val="000B579B"/>
    <w:rsid w:val="000C30DF"/>
    <w:rsid w:val="000C5478"/>
    <w:rsid w:val="000C7AF8"/>
    <w:rsid w:val="000D293A"/>
    <w:rsid w:val="000D2B64"/>
    <w:rsid w:val="000D317D"/>
    <w:rsid w:val="000D5417"/>
    <w:rsid w:val="000D653B"/>
    <w:rsid w:val="000D6F9B"/>
    <w:rsid w:val="000D7561"/>
    <w:rsid w:val="000F0A63"/>
    <w:rsid w:val="000F10A9"/>
    <w:rsid w:val="000F1E3F"/>
    <w:rsid w:val="000F48B4"/>
    <w:rsid w:val="000F62DB"/>
    <w:rsid w:val="001005D0"/>
    <w:rsid w:val="00107875"/>
    <w:rsid w:val="001176FC"/>
    <w:rsid w:val="00122DF5"/>
    <w:rsid w:val="001236DE"/>
    <w:rsid w:val="00125818"/>
    <w:rsid w:val="00141717"/>
    <w:rsid w:val="00142FC5"/>
    <w:rsid w:val="00145872"/>
    <w:rsid w:val="001506F4"/>
    <w:rsid w:val="00153418"/>
    <w:rsid w:val="001535C1"/>
    <w:rsid w:val="001546A2"/>
    <w:rsid w:val="00155AFB"/>
    <w:rsid w:val="00156388"/>
    <w:rsid w:val="00163874"/>
    <w:rsid w:val="001648BC"/>
    <w:rsid w:val="00170657"/>
    <w:rsid w:val="001707DC"/>
    <w:rsid w:val="00175AD6"/>
    <w:rsid w:val="0017667A"/>
    <w:rsid w:val="0018055E"/>
    <w:rsid w:val="00180AC2"/>
    <w:rsid w:val="00182B0D"/>
    <w:rsid w:val="00187781"/>
    <w:rsid w:val="001915F6"/>
    <w:rsid w:val="00191CC0"/>
    <w:rsid w:val="001A2254"/>
    <w:rsid w:val="001B13BC"/>
    <w:rsid w:val="001B1E6F"/>
    <w:rsid w:val="001B20A6"/>
    <w:rsid w:val="001B435B"/>
    <w:rsid w:val="001B60DA"/>
    <w:rsid w:val="001B70D2"/>
    <w:rsid w:val="001C52B3"/>
    <w:rsid w:val="001C6E10"/>
    <w:rsid w:val="001D03AF"/>
    <w:rsid w:val="001D06A7"/>
    <w:rsid w:val="001D29DC"/>
    <w:rsid w:val="001D44C7"/>
    <w:rsid w:val="001D65FC"/>
    <w:rsid w:val="001D6927"/>
    <w:rsid w:val="001E4EAE"/>
    <w:rsid w:val="001E6762"/>
    <w:rsid w:val="001F1E8A"/>
    <w:rsid w:val="001F36DD"/>
    <w:rsid w:val="00202269"/>
    <w:rsid w:val="00206989"/>
    <w:rsid w:val="00207E04"/>
    <w:rsid w:val="00210FCE"/>
    <w:rsid w:val="00212F98"/>
    <w:rsid w:val="00214764"/>
    <w:rsid w:val="00217F5C"/>
    <w:rsid w:val="002200B1"/>
    <w:rsid w:val="00220A5A"/>
    <w:rsid w:val="00222906"/>
    <w:rsid w:val="00223065"/>
    <w:rsid w:val="00225829"/>
    <w:rsid w:val="0022634D"/>
    <w:rsid w:val="00231361"/>
    <w:rsid w:val="00231AE5"/>
    <w:rsid w:val="00232E16"/>
    <w:rsid w:val="00233AC4"/>
    <w:rsid w:val="0023449A"/>
    <w:rsid w:val="00237850"/>
    <w:rsid w:val="00241CAA"/>
    <w:rsid w:val="00244ACB"/>
    <w:rsid w:val="0025301D"/>
    <w:rsid w:val="00253FAE"/>
    <w:rsid w:val="00256949"/>
    <w:rsid w:val="00267D26"/>
    <w:rsid w:val="00272B9B"/>
    <w:rsid w:val="00273697"/>
    <w:rsid w:val="00274B69"/>
    <w:rsid w:val="00274F7D"/>
    <w:rsid w:val="00290A07"/>
    <w:rsid w:val="002914A1"/>
    <w:rsid w:val="002915B1"/>
    <w:rsid w:val="0029776C"/>
    <w:rsid w:val="002A7F1B"/>
    <w:rsid w:val="002B01DC"/>
    <w:rsid w:val="002B0F64"/>
    <w:rsid w:val="002B3CC9"/>
    <w:rsid w:val="002B64BB"/>
    <w:rsid w:val="002C1755"/>
    <w:rsid w:val="002C17E1"/>
    <w:rsid w:val="002C3B7D"/>
    <w:rsid w:val="002C50FD"/>
    <w:rsid w:val="002C7C10"/>
    <w:rsid w:val="002D304B"/>
    <w:rsid w:val="002D4811"/>
    <w:rsid w:val="002E36A6"/>
    <w:rsid w:val="002E4DC6"/>
    <w:rsid w:val="002E5330"/>
    <w:rsid w:val="002E593E"/>
    <w:rsid w:val="002E7628"/>
    <w:rsid w:val="002F2CFC"/>
    <w:rsid w:val="002F44EA"/>
    <w:rsid w:val="002F4790"/>
    <w:rsid w:val="00302BA3"/>
    <w:rsid w:val="00311431"/>
    <w:rsid w:val="00313230"/>
    <w:rsid w:val="00315666"/>
    <w:rsid w:val="00322A56"/>
    <w:rsid w:val="003308B1"/>
    <w:rsid w:val="0033447D"/>
    <w:rsid w:val="00335354"/>
    <w:rsid w:val="0033573F"/>
    <w:rsid w:val="00344677"/>
    <w:rsid w:val="003477B4"/>
    <w:rsid w:val="00353276"/>
    <w:rsid w:val="00353C3C"/>
    <w:rsid w:val="003565E1"/>
    <w:rsid w:val="00356F6A"/>
    <w:rsid w:val="00360906"/>
    <w:rsid w:val="003700C3"/>
    <w:rsid w:val="0037130B"/>
    <w:rsid w:val="00373FDE"/>
    <w:rsid w:val="00374899"/>
    <w:rsid w:val="003773F4"/>
    <w:rsid w:val="003836BC"/>
    <w:rsid w:val="00391CC2"/>
    <w:rsid w:val="00392457"/>
    <w:rsid w:val="00392E3D"/>
    <w:rsid w:val="0039710E"/>
    <w:rsid w:val="003A18B2"/>
    <w:rsid w:val="003A4F72"/>
    <w:rsid w:val="003A6D4C"/>
    <w:rsid w:val="003B44A7"/>
    <w:rsid w:val="003C25D1"/>
    <w:rsid w:val="003C28B1"/>
    <w:rsid w:val="003C4703"/>
    <w:rsid w:val="003C663D"/>
    <w:rsid w:val="003D2A0E"/>
    <w:rsid w:val="003E621C"/>
    <w:rsid w:val="003F0AE0"/>
    <w:rsid w:val="003F37F1"/>
    <w:rsid w:val="003F4337"/>
    <w:rsid w:val="003F4E84"/>
    <w:rsid w:val="00400409"/>
    <w:rsid w:val="00405833"/>
    <w:rsid w:val="004071E1"/>
    <w:rsid w:val="00407EFE"/>
    <w:rsid w:val="00410E69"/>
    <w:rsid w:val="00411D71"/>
    <w:rsid w:val="00414D79"/>
    <w:rsid w:val="00415B7E"/>
    <w:rsid w:val="00423CAE"/>
    <w:rsid w:val="004246D1"/>
    <w:rsid w:val="004260FF"/>
    <w:rsid w:val="00426972"/>
    <w:rsid w:val="0043013B"/>
    <w:rsid w:val="004320A1"/>
    <w:rsid w:val="00432FF1"/>
    <w:rsid w:val="00434C82"/>
    <w:rsid w:val="00452843"/>
    <w:rsid w:val="00452ACC"/>
    <w:rsid w:val="004546CE"/>
    <w:rsid w:val="0048352B"/>
    <w:rsid w:val="00484DB4"/>
    <w:rsid w:val="0048518E"/>
    <w:rsid w:val="004901E4"/>
    <w:rsid w:val="004A1E84"/>
    <w:rsid w:val="004A31C5"/>
    <w:rsid w:val="004B3151"/>
    <w:rsid w:val="004B7A33"/>
    <w:rsid w:val="004C373B"/>
    <w:rsid w:val="004C3A0E"/>
    <w:rsid w:val="004C5DB9"/>
    <w:rsid w:val="004C6D1D"/>
    <w:rsid w:val="004D1156"/>
    <w:rsid w:val="004D5422"/>
    <w:rsid w:val="004D6936"/>
    <w:rsid w:val="004E0E38"/>
    <w:rsid w:val="004E0EDE"/>
    <w:rsid w:val="004E126B"/>
    <w:rsid w:val="004E13C1"/>
    <w:rsid w:val="004E2A7B"/>
    <w:rsid w:val="004E3BAE"/>
    <w:rsid w:val="004F2959"/>
    <w:rsid w:val="004F35DA"/>
    <w:rsid w:val="00502B73"/>
    <w:rsid w:val="00503F46"/>
    <w:rsid w:val="0050613A"/>
    <w:rsid w:val="00506D31"/>
    <w:rsid w:val="00506ECF"/>
    <w:rsid w:val="005072F2"/>
    <w:rsid w:val="00511104"/>
    <w:rsid w:val="005233AC"/>
    <w:rsid w:val="00526E8B"/>
    <w:rsid w:val="00527A5F"/>
    <w:rsid w:val="005316E8"/>
    <w:rsid w:val="005458DC"/>
    <w:rsid w:val="00547F5F"/>
    <w:rsid w:val="005623F6"/>
    <w:rsid w:val="00565196"/>
    <w:rsid w:val="005656AD"/>
    <w:rsid w:val="00565CBB"/>
    <w:rsid w:val="00571D08"/>
    <w:rsid w:val="00573703"/>
    <w:rsid w:val="00573953"/>
    <w:rsid w:val="00581AF2"/>
    <w:rsid w:val="005842BD"/>
    <w:rsid w:val="0058551F"/>
    <w:rsid w:val="005879EE"/>
    <w:rsid w:val="005922C0"/>
    <w:rsid w:val="005927B9"/>
    <w:rsid w:val="00595DE7"/>
    <w:rsid w:val="005964AB"/>
    <w:rsid w:val="005A2C17"/>
    <w:rsid w:val="005A37CF"/>
    <w:rsid w:val="005A4448"/>
    <w:rsid w:val="005B36B4"/>
    <w:rsid w:val="005C04F8"/>
    <w:rsid w:val="005C1DD0"/>
    <w:rsid w:val="005C32C7"/>
    <w:rsid w:val="005D07BD"/>
    <w:rsid w:val="005D3714"/>
    <w:rsid w:val="005D3A4C"/>
    <w:rsid w:val="005D6D51"/>
    <w:rsid w:val="005E58C4"/>
    <w:rsid w:val="005E5AB8"/>
    <w:rsid w:val="005E607E"/>
    <w:rsid w:val="005F3004"/>
    <w:rsid w:val="00601884"/>
    <w:rsid w:val="0060609A"/>
    <w:rsid w:val="006165B6"/>
    <w:rsid w:val="00620465"/>
    <w:rsid w:val="00620B19"/>
    <w:rsid w:val="00622AC2"/>
    <w:rsid w:val="00622B86"/>
    <w:rsid w:val="00622EAC"/>
    <w:rsid w:val="00623A5E"/>
    <w:rsid w:val="00625493"/>
    <w:rsid w:val="006254C8"/>
    <w:rsid w:val="006306E1"/>
    <w:rsid w:val="006326E1"/>
    <w:rsid w:val="00633E45"/>
    <w:rsid w:val="0063711C"/>
    <w:rsid w:val="00640FBB"/>
    <w:rsid w:val="006477A6"/>
    <w:rsid w:val="00647AE3"/>
    <w:rsid w:val="006523E6"/>
    <w:rsid w:val="00660290"/>
    <w:rsid w:val="00660554"/>
    <w:rsid w:val="00661A38"/>
    <w:rsid w:val="00661C32"/>
    <w:rsid w:val="00666D81"/>
    <w:rsid w:val="00667C1C"/>
    <w:rsid w:val="006704C5"/>
    <w:rsid w:val="00671CB8"/>
    <w:rsid w:val="00672393"/>
    <w:rsid w:val="006730CA"/>
    <w:rsid w:val="006737B0"/>
    <w:rsid w:val="006741FB"/>
    <w:rsid w:val="00675166"/>
    <w:rsid w:val="00675E23"/>
    <w:rsid w:val="006815B0"/>
    <w:rsid w:val="00682712"/>
    <w:rsid w:val="00682DEE"/>
    <w:rsid w:val="0069273C"/>
    <w:rsid w:val="00692AF8"/>
    <w:rsid w:val="00692B95"/>
    <w:rsid w:val="00692CE7"/>
    <w:rsid w:val="00694A9A"/>
    <w:rsid w:val="00696A35"/>
    <w:rsid w:val="00696BE5"/>
    <w:rsid w:val="006A012D"/>
    <w:rsid w:val="006A0560"/>
    <w:rsid w:val="006A2FAF"/>
    <w:rsid w:val="006A3329"/>
    <w:rsid w:val="006B3457"/>
    <w:rsid w:val="006B50AB"/>
    <w:rsid w:val="006C0750"/>
    <w:rsid w:val="006C31A6"/>
    <w:rsid w:val="006C76FA"/>
    <w:rsid w:val="006C7DA9"/>
    <w:rsid w:val="006E2931"/>
    <w:rsid w:val="006E331D"/>
    <w:rsid w:val="006E734C"/>
    <w:rsid w:val="006F3F63"/>
    <w:rsid w:val="006F6BF2"/>
    <w:rsid w:val="00703ACE"/>
    <w:rsid w:val="0070453D"/>
    <w:rsid w:val="007108BD"/>
    <w:rsid w:val="00712127"/>
    <w:rsid w:val="007121BE"/>
    <w:rsid w:val="00712417"/>
    <w:rsid w:val="00713D80"/>
    <w:rsid w:val="00717788"/>
    <w:rsid w:val="00721CAF"/>
    <w:rsid w:val="0072241B"/>
    <w:rsid w:val="00731902"/>
    <w:rsid w:val="00733B62"/>
    <w:rsid w:val="00733F08"/>
    <w:rsid w:val="00734D13"/>
    <w:rsid w:val="0073637C"/>
    <w:rsid w:val="0073781B"/>
    <w:rsid w:val="00740BCB"/>
    <w:rsid w:val="00740FA8"/>
    <w:rsid w:val="00741961"/>
    <w:rsid w:val="00742502"/>
    <w:rsid w:val="00742F88"/>
    <w:rsid w:val="00744377"/>
    <w:rsid w:val="00744E04"/>
    <w:rsid w:val="00746D5E"/>
    <w:rsid w:val="007507EE"/>
    <w:rsid w:val="00751BF9"/>
    <w:rsid w:val="007536F7"/>
    <w:rsid w:val="00754831"/>
    <w:rsid w:val="00771F9D"/>
    <w:rsid w:val="00782EB2"/>
    <w:rsid w:val="00790ED9"/>
    <w:rsid w:val="00791FEB"/>
    <w:rsid w:val="0079445D"/>
    <w:rsid w:val="007A0DDC"/>
    <w:rsid w:val="007A23F1"/>
    <w:rsid w:val="007A3AFD"/>
    <w:rsid w:val="007A5BD6"/>
    <w:rsid w:val="007B4E71"/>
    <w:rsid w:val="007B5527"/>
    <w:rsid w:val="007C1785"/>
    <w:rsid w:val="007C6A86"/>
    <w:rsid w:val="007D0985"/>
    <w:rsid w:val="007D381A"/>
    <w:rsid w:val="007D76CC"/>
    <w:rsid w:val="007D782E"/>
    <w:rsid w:val="007E2111"/>
    <w:rsid w:val="007E48B7"/>
    <w:rsid w:val="007E6BCA"/>
    <w:rsid w:val="007F440C"/>
    <w:rsid w:val="007F4FE7"/>
    <w:rsid w:val="00800AC8"/>
    <w:rsid w:val="00804263"/>
    <w:rsid w:val="008045BB"/>
    <w:rsid w:val="00807885"/>
    <w:rsid w:val="00811D17"/>
    <w:rsid w:val="00812166"/>
    <w:rsid w:val="008154B0"/>
    <w:rsid w:val="008160DE"/>
    <w:rsid w:val="008201C6"/>
    <w:rsid w:val="0082174B"/>
    <w:rsid w:val="00826F2E"/>
    <w:rsid w:val="0082715B"/>
    <w:rsid w:val="0082791D"/>
    <w:rsid w:val="0083203F"/>
    <w:rsid w:val="008343FE"/>
    <w:rsid w:val="008365AB"/>
    <w:rsid w:val="00845E89"/>
    <w:rsid w:val="00854A05"/>
    <w:rsid w:val="00856530"/>
    <w:rsid w:val="00860E4A"/>
    <w:rsid w:val="0086613A"/>
    <w:rsid w:val="00877230"/>
    <w:rsid w:val="00883977"/>
    <w:rsid w:val="0088400F"/>
    <w:rsid w:val="008841E4"/>
    <w:rsid w:val="008849D9"/>
    <w:rsid w:val="00885473"/>
    <w:rsid w:val="00886DFA"/>
    <w:rsid w:val="00895655"/>
    <w:rsid w:val="00896686"/>
    <w:rsid w:val="008A2ED1"/>
    <w:rsid w:val="008A34D2"/>
    <w:rsid w:val="008A3F97"/>
    <w:rsid w:val="008A6AFE"/>
    <w:rsid w:val="008B1FD4"/>
    <w:rsid w:val="008B44CC"/>
    <w:rsid w:val="008D4EFA"/>
    <w:rsid w:val="008D5E65"/>
    <w:rsid w:val="008D6F60"/>
    <w:rsid w:val="008E2FC1"/>
    <w:rsid w:val="008E39D6"/>
    <w:rsid w:val="008E6500"/>
    <w:rsid w:val="008F1328"/>
    <w:rsid w:val="008F6106"/>
    <w:rsid w:val="008F636D"/>
    <w:rsid w:val="008F735B"/>
    <w:rsid w:val="009008DE"/>
    <w:rsid w:val="0090217B"/>
    <w:rsid w:val="0090243B"/>
    <w:rsid w:val="00907645"/>
    <w:rsid w:val="00910F23"/>
    <w:rsid w:val="0092174A"/>
    <w:rsid w:val="009300C7"/>
    <w:rsid w:val="0093341F"/>
    <w:rsid w:val="00933946"/>
    <w:rsid w:val="00934745"/>
    <w:rsid w:val="00934D73"/>
    <w:rsid w:val="0093611B"/>
    <w:rsid w:val="00936318"/>
    <w:rsid w:val="00936B61"/>
    <w:rsid w:val="00943365"/>
    <w:rsid w:val="00943E38"/>
    <w:rsid w:val="00944C2A"/>
    <w:rsid w:val="00950B7A"/>
    <w:rsid w:val="00964866"/>
    <w:rsid w:val="00964CBD"/>
    <w:rsid w:val="009714B3"/>
    <w:rsid w:val="009723DE"/>
    <w:rsid w:val="0097352C"/>
    <w:rsid w:val="00973651"/>
    <w:rsid w:val="009746E7"/>
    <w:rsid w:val="00974E99"/>
    <w:rsid w:val="00975E6F"/>
    <w:rsid w:val="009775C3"/>
    <w:rsid w:val="009833EE"/>
    <w:rsid w:val="00993264"/>
    <w:rsid w:val="009A25BD"/>
    <w:rsid w:val="009A2E62"/>
    <w:rsid w:val="009A2FA1"/>
    <w:rsid w:val="009A3E60"/>
    <w:rsid w:val="009A4D06"/>
    <w:rsid w:val="009A5714"/>
    <w:rsid w:val="009A5F48"/>
    <w:rsid w:val="009A6166"/>
    <w:rsid w:val="009A7463"/>
    <w:rsid w:val="009B4EFE"/>
    <w:rsid w:val="009B5876"/>
    <w:rsid w:val="009B7E76"/>
    <w:rsid w:val="009C2214"/>
    <w:rsid w:val="009C3388"/>
    <w:rsid w:val="009C3BE1"/>
    <w:rsid w:val="009C614B"/>
    <w:rsid w:val="009C6F20"/>
    <w:rsid w:val="009C72B0"/>
    <w:rsid w:val="009D16DA"/>
    <w:rsid w:val="009D71C3"/>
    <w:rsid w:val="009D729F"/>
    <w:rsid w:val="009E35E8"/>
    <w:rsid w:val="009E4B9C"/>
    <w:rsid w:val="00A02EF0"/>
    <w:rsid w:val="00A13FDB"/>
    <w:rsid w:val="00A15402"/>
    <w:rsid w:val="00A21C68"/>
    <w:rsid w:val="00A263BF"/>
    <w:rsid w:val="00A44D76"/>
    <w:rsid w:val="00A45580"/>
    <w:rsid w:val="00A45C4C"/>
    <w:rsid w:val="00A46A47"/>
    <w:rsid w:val="00A5347B"/>
    <w:rsid w:val="00A725CE"/>
    <w:rsid w:val="00A73F57"/>
    <w:rsid w:val="00A811A1"/>
    <w:rsid w:val="00A819BB"/>
    <w:rsid w:val="00A86B38"/>
    <w:rsid w:val="00A95591"/>
    <w:rsid w:val="00AA06C8"/>
    <w:rsid w:val="00AA6EE5"/>
    <w:rsid w:val="00AB7B38"/>
    <w:rsid w:val="00AC33D2"/>
    <w:rsid w:val="00AC4064"/>
    <w:rsid w:val="00AC5273"/>
    <w:rsid w:val="00AD433F"/>
    <w:rsid w:val="00AD661E"/>
    <w:rsid w:val="00AD74AC"/>
    <w:rsid w:val="00AE5117"/>
    <w:rsid w:val="00AE54C4"/>
    <w:rsid w:val="00AE619D"/>
    <w:rsid w:val="00AF077A"/>
    <w:rsid w:val="00AF2145"/>
    <w:rsid w:val="00AF3117"/>
    <w:rsid w:val="00AF475F"/>
    <w:rsid w:val="00AF5A15"/>
    <w:rsid w:val="00AF7AEA"/>
    <w:rsid w:val="00B0181F"/>
    <w:rsid w:val="00B03261"/>
    <w:rsid w:val="00B06151"/>
    <w:rsid w:val="00B06A32"/>
    <w:rsid w:val="00B10206"/>
    <w:rsid w:val="00B14A5D"/>
    <w:rsid w:val="00B16FC7"/>
    <w:rsid w:val="00B17760"/>
    <w:rsid w:val="00B25F58"/>
    <w:rsid w:val="00B27620"/>
    <w:rsid w:val="00B3358B"/>
    <w:rsid w:val="00B339DC"/>
    <w:rsid w:val="00B42D64"/>
    <w:rsid w:val="00B42F67"/>
    <w:rsid w:val="00B43EF4"/>
    <w:rsid w:val="00B44140"/>
    <w:rsid w:val="00B4588B"/>
    <w:rsid w:val="00B50A7D"/>
    <w:rsid w:val="00B519D8"/>
    <w:rsid w:val="00B55707"/>
    <w:rsid w:val="00B561AA"/>
    <w:rsid w:val="00B60435"/>
    <w:rsid w:val="00B6727A"/>
    <w:rsid w:val="00B67AE1"/>
    <w:rsid w:val="00B67E3C"/>
    <w:rsid w:val="00B734CD"/>
    <w:rsid w:val="00B87BDE"/>
    <w:rsid w:val="00B921B0"/>
    <w:rsid w:val="00B92CB3"/>
    <w:rsid w:val="00B92EB8"/>
    <w:rsid w:val="00BA152F"/>
    <w:rsid w:val="00BA17B1"/>
    <w:rsid w:val="00BA47F5"/>
    <w:rsid w:val="00BA63CD"/>
    <w:rsid w:val="00BA66BF"/>
    <w:rsid w:val="00BA678C"/>
    <w:rsid w:val="00BA7231"/>
    <w:rsid w:val="00BB1057"/>
    <w:rsid w:val="00BD4CA5"/>
    <w:rsid w:val="00BE168E"/>
    <w:rsid w:val="00BE3856"/>
    <w:rsid w:val="00BE4BB6"/>
    <w:rsid w:val="00BE4FC7"/>
    <w:rsid w:val="00BE5D00"/>
    <w:rsid w:val="00BE6357"/>
    <w:rsid w:val="00BE7B9B"/>
    <w:rsid w:val="00BF0246"/>
    <w:rsid w:val="00BF0415"/>
    <w:rsid w:val="00BF41BE"/>
    <w:rsid w:val="00C067B1"/>
    <w:rsid w:val="00C06FA2"/>
    <w:rsid w:val="00C12274"/>
    <w:rsid w:val="00C1370B"/>
    <w:rsid w:val="00C16D94"/>
    <w:rsid w:val="00C1718B"/>
    <w:rsid w:val="00C24803"/>
    <w:rsid w:val="00C267BD"/>
    <w:rsid w:val="00C361BA"/>
    <w:rsid w:val="00C447E9"/>
    <w:rsid w:val="00C50AC2"/>
    <w:rsid w:val="00C51147"/>
    <w:rsid w:val="00C56676"/>
    <w:rsid w:val="00C6120B"/>
    <w:rsid w:val="00C624BA"/>
    <w:rsid w:val="00C7035B"/>
    <w:rsid w:val="00C7250A"/>
    <w:rsid w:val="00C728CC"/>
    <w:rsid w:val="00C76E83"/>
    <w:rsid w:val="00C77514"/>
    <w:rsid w:val="00C80231"/>
    <w:rsid w:val="00C83108"/>
    <w:rsid w:val="00C865DA"/>
    <w:rsid w:val="00C86C65"/>
    <w:rsid w:val="00C87154"/>
    <w:rsid w:val="00C8723C"/>
    <w:rsid w:val="00C87486"/>
    <w:rsid w:val="00C877EE"/>
    <w:rsid w:val="00C90455"/>
    <w:rsid w:val="00C92DEA"/>
    <w:rsid w:val="00C9325A"/>
    <w:rsid w:val="00C96474"/>
    <w:rsid w:val="00C9727F"/>
    <w:rsid w:val="00CA2A40"/>
    <w:rsid w:val="00CA3901"/>
    <w:rsid w:val="00CA4A92"/>
    <w:rsid w:val="00CA50CD"/>
    <w:rsid w:val="00CA52C0"/>
    <w:rsid w:val="00CA79E1"/>
    <w:rsid w:val="00CA7C81"/>
    <w:rsid w:val="00CB1087"/>
    <w:rsid w:val="00CB5101"/>
    <w:rsid w:val="00CB72EB"/>
    <w:rsid w:val="00CC03AF"/>
    <w:rsid w:val="00CC04B4"/>
    <w:rsid w:val="00CC1F6A"/>
    <w:rsid w:val="00CC402A"/>
    <w:rsid w:val="00CC4F2C"/>
    <w:rsid w:val="00CD33CA"/>
    <w:rsid w:val="00CD37CA"/>
    <w:rsid w:val="00CD3EBC"/>
    <w:rsid w:val="00CD578B"/>
    <w:rsid w:val="00CD7C03"/>
    <w:rsid w:val="00CE2B39"/>
    <w:rsid w:val="00CE54D7"/>
    <w:rsid w:val="00CE6770"/>
    <w:rsid w:val="00CE721E"/>
    <w:rsid w:val="00CF0B91"/>
    <w:rsid w:val="00CF1ED7"/>
    <w:rsid w:val="00CF55E5"/>
    <w:rsid w:val="00D05158"/>
    <w:rsid w:val="00D1037B"/>
    <w:rsid w:val="00D109D6"/>
    <w:rsid w:val="00D13094"/>
    <w:rsid w:val="00D13C76"/>
    <w:rsid w:val="00D16CCD"/>
    <w:rsid w:val="00D2421D"/>
    <w:rsid w:val="00D333E6"/>
    <w:rsid w:val="00D342AA"/>
    <w:rsid w:val="00D36298"/>
    <w:rsid w:val="00D374AE"/>
    <w:rsid w:val="00D37654"/>
    <w:rsid w:val="00D40303"/>
    <w:rsid w:val="00D43F8B"/>
    <w:rsid w:val="00D506AC"/>
    <w:rsid w:val="00D60BC0"/>
    <w:rsid w:val="00D61C8C"/>
    <w:rsid w:val="00D630AC"/>
    <w:rsid w:val="00D716F8"/>
    <w:rsid w:val="00D872D5"/>
    <w:rsid w:val="00D96816"/>
    <w:rsid w:val="00DA35E4"/>
    <w:rsid w:val="00DA4DCA"/>
    <w:rsid w:val="00DB3A55"/>
    <w:rsid w:val="00DB67BD"/>
    <w:rsid w:val="00DC09CB"/>
    <w:rsid w:val="00DD03A2"/>
    <w:rsid w:val="00DD1C70"/>
    <w:rsid w:val="00DD3FBA"/>
    <w:rsid w:val="00DD52A5"/>
    <w:rsid w:val="00DD5C43"/>
    <w:rsid w:val="00DE2EB1"/>
    <w:rsid w:val="00DE5601"/>
    <w:rsid w:val="00DF01F7"/>
    <w:rsid w:val="00DF4F15"/>
    <w:rsid w:val="00DF5205"/>
    <w:rsid w:val="00DF6426"/>
    <w:rsid w:val="00DF707F"/>
    <w:rsid w:val="00DF73CB"/>
    <w:rsid w:val="00E001D0"/>
    <w:rsid w:val="00E0129F"/>
    <w:rsid w:val="00E01455"/>
    <w:rsid w:val="00E103A8"/>
    <w:rsid w:val="00E15D34"/>
    <w:rsid w:val="00E16164"/>
    <w:rsid w:val="00E21827"/>
    <w:rsid w:val="00E21979"/>
    <w:rsid w:val="00E23BE8"/>
    <w:rsid w:val="00E25FC5"/>
    <w:rsid w:val="00E261B4"/>
    <w:rsid w:val="00E27A1E"/>
    <w:rsid w:val="00E33517"/>
    <w:rsid w:val="00E42080"/>
    <w:rsid w:val="00E42AAB"/>
    <w:rsid w:val="00E42BEC"/>
    <w:rsid w:val="00E511C3"/>
    <w:rsid w:val="00E56254"/>
    <w:rsid w:val="00E74759"/>
    <w:rsid w:val="00E74A8C"/>
    <w:rsid w:val="00E75196"/>
    <w:rsid w:val="00E762E4"/>
    <w:rsid w:val="00E812EF"/>
    <w:rsid w:val="00E82CC6"/>
    <w:rsid w:val="00E87431"/>
    <w:rsid w:val="00E92C88"/>
    <w:rsid w:val="00E94D84"/>
    <w:rsid w:val="00EA7E68"/>
    <w:rsid w:val="00EB0ECB"/>
    <w:rsid w:val="00EB6BD9"/>
    <w:rsid w:val="00EB7155"/>
    <w:rsid w:val="00EC0E42"/>
    <w:rsid w:val="00EC3F79"/>
    <w:rsid w:val="00EC7BB5"/>
    <w:rsid w:val="00ED10AC"/>
    <w:rsid w:val="00ED2E0A"/>
    <w:rsid w:val="00ED2E85"/>
    <w:rsid w:val="00ED3C31"/>
    <w:rsid w:val="00ED6201"/>
    <w:rsid w:val="00EE3559"/>
    <w:rsid w:val="00EE4334"/>
    <w:rsid w:val="00EE7641"/>
    <w:rsid w:val="00EF2503"/>
    <w:rsid w:val="00EF6134"/>
    <w:rsid w:val="00EF74C2"/>
    <w:rsid w:val="00F072D2"/>
    <w:rsid w:val="00F07738"/>
    <w:rsid w:val="00F12863"/>
    <w:rsid w:val="00F13D2C"/>
    <w:rsid w:val="00F14666"/>
    <w:rsid w:val="00F155D7"/>
    <w:rsid w:val="00F156D5"/>
    <w:rsid w:val="00F160D8"/>
    <w:rsid w:val="00F170F2"/>
    <w:rsid w:val="00F228D9"/>
    <w:rsid w:val="00F22F81"/>
    <w:rsid w:val="00F24FA0"/>
    <w:rsid w:val="00F2551A"/>
    <w:rsid w:val="00F263F6"/>
    <w:rsid w:val="00F27AD3"/>
    <w:rsid w:val="00F30899"/>
    <w:rsid w:val="00F34109"/>
    <w:rsid w:val="00F34894"/>
    <w:rsid w:val="00F405DB"/>
    <w:rsid w:val="00F42E28"/>
    <w:rsid w:val="00F46295"/>
    <w:rsid w:val="00F46722"/>
    <w:rsid w:val="00F51834"/>
    <w:rsid w:val="00F52EB0"/>
    <w:rsid w:val="00F53291"/>
    <w:rsid w:val="00F5546F"/>
    <w:rsid w:val="00F5559E"/>
    <w:rsid w:val="00F578E9"/>
    <w:rsid w:val="00F62C9A"/>
    <w:rsid w:val="00F7321C"/>
    <w:rsid w:val="00F7443E"/>
    <w:rsid w:val="00F8178B"/>
    <w:rsid w:val="00F83B9B"/>
    <w:rsid w:val="00F859E9"/>
    <w:rsid w:val="00F859F4"/>
    <w:rsid w:val="00F90F76"/>
    <w:rsid w:val="00F94C90"/>
    <w:rsid w:val="00F96070"/>
    <w:rsid w:val="00F972DC"/>
    <w:rsid w:val="00FA06A2"/>
    <w:rsid w:val="00FA10B7"/>
    <w:rsid w:val="00FA11D3"/>
    <w:rsid w:val="00FA1E35"/>
    <w:rsid w:val="00FA2524"/>
    <w:rsid w:val="00FB03C6"/>
    <w:rsid w:val="00FB6A82"/>
    <w:rsid w:val="00FC0E54"/>
    <w:rsid w:val="00FC1C56"/>
    <w:rsid w:val="00FD1E06"/>
    <w:rsid w:val="00FD1F6D"/>
    <w:rsid w:val="00FE00AD"/>
    <w:rsid w:val="00FE0E8B"/>
    <w:rsid w:val="00FE1EA0"/>
    <w:rsid w:val="00FE57E7"/>
    <w:rsid w:val="00FF06B4"/>
    <w:rsid w:val="00FF15AC"/>
    <w:rsid w:val="00FF29DD"/>
    <w:rsid w:val="00FF60CF"/>
    <w:rsid w:val="00FF695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nhideWhenUsed/>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nhideWhenUsed/>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locked/>
    <w:rsid w:val="00DB67BD"/>
    <w:rPr>
      <w:rFonts w:eastAsia="Calibri"/>
      <w:lang w:val="en-GB"/>
    </w:rPr>
  </w:style>
  <w:style w:type="character" w:customStyle="1" w:styleId="ListParagraphChar">
    <w:name w:val="List Paragraph Char"/>
    <w:link w:val="ListParagraph"/>
    <w:uiPriority w:val="99"/>
    <w:locked/>
    <w:rsid w:val="00DB67BD"/>
    <w:rPr>
      <w:lang w:val="ro-RO"/>
    </w:rPr>
  </w:style>
  <w:style w:type="paragraph" w:customStyle="1" w:styleId="SUPERSChar1">
    <w:name w:val="SUPERS Char1"/>
    <w:basedOn w:val="Normal"/>
    <w:next w:val="Normal"/>
    <w:link w:val="FootnoteReference"/>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lege5.ro/Gratuit/gezdamzqg4/legea-nr-555-2004-privind-unele-masuri-pentru-privatizarea-societatii-nationale-a-petrolului-petrom-sa-bucuresti?pid=26016056&amp;d=2020-04-15"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Matei\Downloads\grafice%20202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roundedCorners val="1"/>
  <c:style val="29"/>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624853391405459"/>
          <c:y val="0.19875152050378422"/>
          <c:w val="0.5614860482388484"/>
          <c:h val="0.6757551697128672"/>
        </c:manualLayout>
      </c:layout>
      <c:barChart>
        <c:barDir val="bar"/>
        <c:grouping val="stacked"/>
        <c:ser>
          <c:idx val="0"/>
          <c:order val="0"/>
          <c:tx>
            <c:strRef>
              <c:f>'Sheet2 (2)'!$B$103</c:f>
              <c:strCache>
                <c:ptCount val="1"/>
                <c:pt idx="0">
                  <c:v>Grad de realizare</c:v>
                </c:pt>
              </c:strCache>
            </c:strRef>
          </c:tx>
          <c:spPr>
            <a:solidFill>
              <a:srgbClr val="70AD47">
                <a:lumMod val="75000"/>
                <a:alpha val="56863"/>
              </a:srgbClr>
            </a:solidFill>
          </c:spPr>
          <c:dLbls>
            <c:spPr>
              <a:noFill/>
              <a:ln w="25400">
                <a:noFill/>
              </a:ln>
            </c:spPr>
            <c:txPr>
              <a:bodyPr wrap="square" lIns="38100" tIns="19050" rIns="38100" bIns="19050" anchor="ctr">
                <a:spAutoFit/>
              </a:bodyPr>
              <a:lstStyle/>
              <a:p>
                <a:pPr>
                  <a:defRPr lang="en-US" sz="1100" b="0" i="0" u="none" strike="noStrike" baseline="0">
                    <a:solidFill>
                      <a:srgbClr val="000000"/>
                    </a:solidFill>
                    <a:latin typeface="Calibri"/>
                    <a:ea typeface="Calibri"/>
                    <a:cs typeface="Calibri"/>
                  </a:defRPr>
                </a:pPr>
                <a:endParaRPr lang="ro-RO"/>
              </a:p>
            </c:txPr>
            <c:dLblPos val="ctr"/>
            <c:showVal val="1"/>
            <c:extLst xmlns:c16r2="http://schemas.microsoft.com/office/drawing/2015/06/chart">
              <c:ext xmlns:c15="http://schemas.microsoft.com/office/drawing/2012/chart" uri="{CE6537A1-D6FC-4f65-9D91-7224C49458BB}">
                <c15:showLeaderLines val="0"/>
              </c:ext>
            </c:extLst>
          </c:dLbls>
          <c:cat>
            <c:strRef>
              <c:f>'Sheet2 (2)'!$A$104:$A$111</c:f>
              <c:strCache>
                <c:ptCount val="8"/>
                <c:pt idx="0">
                  <c:v>Alte cheltuieli</c:v>
                </c:pt>
                <c:pt idx="1">
                  <c:v>Cheltuieli de capital</c:v>
                </c:pt>
                <c:pt idx="2">
                  <c:v>Asistenta sociala</c:v>
                </c:pt>
                <c:pt idx="3">
                  <c:v>Proiecte finanțate din FEN</c:v>
                </c:pt>
                <c:pt idx="4">
                  <c:v>Subventii</c:v>
                </c:pt>
                <c:pt idx="5">
                  <c:v>Dobanzi</c:v>
                </c:pt>
                <c:pt idx="6">
                  <c:v>Bunuri si servicii</c:v>
                </c:pt>
                <c:pt idx="7">
                  <c:v>Cheltuieli de personal</c:v>
                </c:pt>
              </c:strCache>
            </c:strRef>
          </c:cat>
          <c:val>
            <c:numRef>
              <c:f>'Sheet2 (2)'!$B$104:$B$111</c:f>
              <c:numCache>
                <c:formatCode>0.0%</c:formatCode>
                <c:ptCount val="8"/>
                <c:pt idx="0">
                  <c:v>0.64964859123622765</c:v>
                </c:pt>
                <c:pt idx="1">
                  <c:v>0.47163142130552965</c:v>
                </c:pt>
                <c:pt idx="2">
                  <c:v>0.99668225878667549</c:v>
                </c:pt>
                <c:pt idx="3">
                  <c:v>0.7534427585641994</c:v>
                </c:pt>
                <c:pt idx="4">
                  <c:v>0.84663980790685323</c:v>
                </c:pt>
                <c:pt idx="5">
                  <c:v>0.8177034350218958</c:v>
                </c:pt>
                <c:pt idx="6">
                  <c:v>1.0247039440587806</c:v>
                </c:pt>
                <c:pt idx="7">
                  <c:v>0.9740801087165073</c:v>
                </c:pt>
              </c:numCache>
            </c:numRef>
          </c:val>
          <c:extLst xmlns:c16r2="http://schemas.microsoft.com/office/drawing/2015/06/chart">
            <c:ext xmlns:c16="http://schemas.microsoft.com/office/drawing/2014/chart" uri="{C3380CC4-5D6E-409C-BE32-E72D297353CC}">
              <c16:uniqueId val="{00000000-166C-437B-8200-204E11C5C145}"/>
            </c:ext>
          </c:extLst>
        </c:ser>
        <c:gapWidth val="55"/>
        <c:overlap val="100"/>
        <c:axId val="256464000"/>
        <c:axId val="256465536"/>
      </c:barChart>
      <c:catAx>
        <c:axId val="256464000"/>
        <c:scaling>
          <c:orientation val="minMax"/>
        </c:scaling>
        <c:axPos val="l"/>
        <c:numFmt formatCode="General" sourceLinked="1"/>
        <c:tickLblPos val="nextTo"/>
        <c:txPr>
          <a:bodyPr rot="0" vert="horz" anchor="b" anchorCtr="0"/>
          <a:lstStyle/>
          <a:p>
            <a:pPr>
              <a:defRPr lang="en-US" sz="900" b="0" i="0" u="none" strike="noStrike" baseline="0">
                <a:solidFill>
                  <a:srgbClr val="000000"/>
                </a:solidFill>
                <a:latin typeface="Calibri"/>
                <a:ea typeface="Calibri"/>
                <a:cs typeface="Calibri"/>
              </a:defRPr>
            </a:pPr>
            <a:endParaRPr lang="ro-RO"/>
          </a:p>
        </c:txPr>
        <c:crossAx val="256465536"/>
        <c:crosses val="autoZero"/>
        <c:lblAlgn val="ctr"/>
        <c:lblOffset val="100"/>
      </c:catAx>
      <c:valAx>
        <c:axId val="256465536"/>
        <c:scaling>
          <c:orientation val="minMax"/>
        </c:scaling>
        <c:axPos val="b"/>
        <c:numFmt formatCode="0%" sourceLinked="0"/>
        <c:tickLblPos val="nextTo"/>
        <c:txPr>
          <a:bodyPr rot="0" vert="horz"/>
          <a:lstStyle/>
          <a:p>
            <a:pPr>
              <a:defRPr lang="en-US" sz="1100" b="0" i="0" u="none" strike="noStrike" baseline="0">
                <a:solidFill>
                  <a:srgbClr val="000000"/>
                </a:solidFill>
                <a:latin typeface="Calibri"/>
                <a:ea typeface="Calibri"/>
                <a:cs typeface="Calibri"/>
              </a:defRPr>
            </a:pPr>
            <a:endParaRPr lang="ro-RO"/>
          </a:p>
        </c:txPr>
        <c:crossAx val="256464000"/>
        <c:crosses val="autoZero"/>
        <c:crossBetween val="between"/>
      </c:valAx>
      <c:spPr>
        <a:solidFill>
          <a:srgbClr val="A5A5A5">
            <a:lumMod val="20000"/>
            <a:lumOff val="80000"/>
          </a:srgbClr>
        </a:solidFill>
        <a:ln w="25400">
          <a:noFill/>
        </a:ln>
      </c:spPr>
    </c:plotArea>
    <c:plotVisOnly val="1"/>
    <c:dispBlanksAs val="gap"/>
  </c:chart>
  <c:spPr>
    <a:solidFill>
      <a:srgbClr val="A5A5A5">
        <a:lumMod val="20000"/>
        <a:lumOff val="80000"/>
      </a:srgbClr>
    </a:solidFill>
    <a:ln w="3175">
      <a:solidFill>
        <a:srgbClr val="808080"/>
      </a:solidFill>
      <a:prstDash val="solid"/>
    </a:ln>
  </c:spPr>
  <c:txPr>
    <a:bodyPr/>
    <a:lstStyle/>
    <a:p>
      <a:pPr>
        <a:defRPr sz="1100" b="0" i="0" u="none" strike="noStrike" baseline="0">
          <a:solidFill>
            <a:srgbClr val="000000"/>
          </a:solidFill>
          <a:latin typeface="Calibri"/>
          <a:ea typeface="Calibri"/>
          <a:cs typeface="Calibri"/>
        </a:defRPr>
      </a:pPr>
      <a:endParaRPr lang="ro-RO"/>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0.80828</cdr:x>
      <cdr:y>0.19019</cdr:y>
    </cdr:from>
    <cdr:to>
      <cdr:x>0.92926</cdr:x>
      <cdr:y>0.25155</cdr:y>
    </cdr:to>
    <cdr:sp macro="" textlink="">
      <cdr:nvSpPr>
        <cdr:cNvPr id="3" name="Oval 2"/>
        <cdr:cNvSpPr/>
      </cdr:nvSpPr>
      <cdr:spPr>
        <a:xfrm xmlns:a="http://schemas.openxmlformats.org/drawingml/2006/main">
          <a:off x="4810245" y="627522"/>
          <a:ext cx="719978" cy="202455"/>
        </a:xfrm>
        <a:prstGeom xmlns:a="http://schemas.openxmlformats.org/drawingml/2006/main" prst="ellipse">
          <a:avLst/>
        </a:prstGeom>
        <a:solidFill xmlns:a="http://schemas.openxmlformats.org/drawingml/2006/main">
          <a:schemeClr val="accent6">
            <a:lumMod val="40000"/>
            <a:lumOff val="60000"/>
          </a:schemeClr>
        </a:solidFill>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2,4%</a:t>
          </a:r>
        </a:p>
      </cdr:txBody>
    </cdr:sp>
  </cdr:relSizeAnchor>
  <cdr:relSizeAnchor xmlns:cdr="http://schemas.openxmlformats.org/drawingml/2006/chartDrawing">
    <cdr:from>
      <cdr:x>0.80964</cdr:x>
      <cdr:y>0.27539</cdr:y>
    </cdr:from>
    <cdr:to>
      <cdr:x>0.93062</cdr:x>
      <cdr:y>0.33675</cdr:y>
    </cdr:to>
    <cdr:sp macro="" textlink="">
      <cdr:nvSpPr>
        <cdr:cNvPr id="4" name="Oval 3"/>
        <cdr:cNvSpPr/>
      </cdr:nvSpPr>
      <cdr:spPr>
        <a:xfrm xmlns:a="http://schemas.openxmlformats.org/drawingml/2006/main">
          <a:off x="4818346" y="807911"/>
          <a:ext cx="720000" cy="180000"/>
        </a:xfrm>
        <a:prstGeom xmlns:a="http://schemas.openxmlformats.org/drawingml/2006/main" prst="ellipse">
          <a:avLst/>
        </a:prstGeom>
        <a:solidFill xmlns:a="http://schemas.openxmlformats.org/drawingml/2006/main">
          <a:schemeClr val="accent6">
            <a:lumMod val="40000"/>
            <a:lumOff val="60000"/>
          </a:schemeClr>
        </a:solidFill>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1,1%</a:t>
          </a:r>
        </a:p>
      </cdr:txBody>
    </cdr:sp>
  </cdr:relSizeAnchor>
  <cdr:relSizeAnchor xmlns:cdr="http://schemas.openxmlformats.org/drawingml/2006/chartDrawing">
    <cdr:from>
      <cdr:x>0.81217</cdr:x>
      <cdr:y>0.3593</cdr:y>
    </cdr:from>
    <cdr:to>
      <cdr:x>0.93315</cdr:x>
      <cdr:y>0.42066</cdr:y>
    </cdr:to>
    <cdr:sp macro="" textlink="">
      <cdr:nvSpPr>
        <cdr:cNvPr id="5" name="Oval 4"/>
        <cdr:cNvSpPr/>
      </cdr:nvSpPr>
      <cdr:spPr>
        <a:xfrm xmlns:a="http://schemas.openxmlformats.org/drawingml/2006/main">
          <a:off x="4833402" y="1054078"/>
          <a:ext cx="720000" cy="180000"/>
        </a:xfrm>
        <a:prstGeom xmlns:a="http://schemas.openxmlformats.org/drawingml/2006/main" prst="ellipse">
          <a:avLst/>
        </a:prstGeom>
        <a:solidFill xmlns:a="http://schemas.openxmlformats.org/drawingml/2006/main">
          <a:schemeClr val="accent6">
            <a:lumMod val="40000"/>
            <a:lumOff val="60000"/>
          </a:schemeClr>
        </a:solidFill>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0,3%</a:t>
          </a:r>
        </a:p>
      </cdr:txBody>
    </cdr:sp>
  </cdr:relSizeAnchor>
  <cdr:relSizeAnchor xmlns:cdr="http://schemas.openxmlformats.org/drawingml/2006/chartDrawing">
    <cdr:from>
      <cdr:x>0.55358</cdr:x>
      <cdr:y>0.02078</cdr:y>
    </cdr:from>
    <cdr:to>
      <cdr:x>0.98441</cdr:x>
      <cdr:y>0.14526</cdr:y>
    </cdr:to>
    <cdr:sp macro="" textlink="">
      <cdr:nvSpPr>
        <cdr:cNvPr id="35844" name="Rounded Rectangle 6"/>
        <cdr:cNvSpPr>
          <a:spLocks xmlns:a="http://schemas.openxmlformats.org/drawingml/2006/main" noChangeArrowheads="1"/>
        </cdr:cNvSpPr>
      </cdr:nvSpPr>
      <cdr:spPr bwMode="auto">
        <a:xfrm xmlns:a="http://schemas.openxmlformats.org/drawingml/2006/main" rot="10800000" flipV="1">
          <a:off x="3294476" y="60959"/>
          <a:ext cx="2563964" cy="365190"/>
        </a:xfrm>
        <a:prstGeom xmlns:a="http://schemas.openxmlformats.org/drawingml/2006/main" prst="roundRect">
          <a:avLst>
            <a:gd name="adj" fmla="val 16667"/>
          </a:avLst>
        </a:prstGeom>
        <a:solidFill xmlns:a="http://schemas.openxmlformats.org/drawingml/2006/main">
          <a:schemeClr val="accent6">
            <a:lumMod val="40000"/>
            <a:lumOff val="60000"/>
          </a:schemeClr>
        </a:solidFill>
        <a:ln xmlns:a="http://schemas.openxmlformats.org/drawingml/2006/main" w="9525" algn="ctr">
          <a:noFill/>
          <a:round/>
          <a:headEnd/>
          <a:tailEnd/>
        </a:ln>
        <a:effectLst xmlns:a="http://schemas.openxmlformats.org/drawingml/2006/main">
          <a:outerShdw dist="20000" dir="5400000" rotWithShape="0">
            <a:srgbClr val="000000">
              <a:alpha val="37999"/>
            </a:srgbClr>
          </a:outerShdw>
        </a:effectLst>
      </cdr:spPr>
      <cdr:txBody>
        <a:bodyPr xmlns:a="http://schemas.openxmlformats.org/drawingml/2006/main" vertOverflow="clip" wrap="square" lIns="91440" tIns="45720" rIns="91440" bIns="45720" anchor="ctr"/>
        <a:lstStyle xmlns:a="http://schemas.openxmlformats.org/drawingml/2006/main"/>
        <a:p xmlns:a="http://schemas.openxmlformats.org/drawingml/2006/main">
          <a:pPr algn="ctr" rtl="0">
            <a:lnSpc>
              <a:spcPts val="1000"/>
            </a:lnSpc>
            <a:defRPr sz="1000"/>
          </a:pPr>
          <a:r>
            <a:rPr lang="ro-RO" sz="1000" b="0" i="0" u="none" strike="noStrike" baseline="0">
              <a:solidFill>
                <a:srgbClr val="000000"/>
              </a:solidFill>
              <a:latin typeface="Arial"/>
              <a:cs typeface="Arial"/>
            </a:rPr>
            <a:t>Ponderea în PIB a cheltuielilor bugetare efectuate în trimestrul I 2020</a:t>
          </a:r>
        </a:p>
      </cdr:txBody>
    </cdr:sp>
  </cdr:relSizeAnchor>
  <cdr:relSizeAnchor xmlns:cdr="http://schemas.openxmlformats.org/drawingml/2006/chartDrawing">
    <cdr:from>
      <cdr:x>0.04349</cdr:x>
      <cdr:y>0.02309</cdr:y>
    </cdr:from>
    <cdr:to>
      <cdr:x>0.51087</cdr:x>
      <cdr:y>0.16116</cdr:y>
    </cdr:to>
    <cdr:sp macro="" textlink="">
      <cdr:nvSpPr>
        <cdr:cNvPr id="35845" name="Rounded Rectangle 7"/>
        <cdr:cNvSpPr>
          <a:spLocks xmlns:a="http://schemas.openxmlformats.org/drawingml/2006/main" noChangeArrowheads="1"/>
        </cdr:cNvSpPr>
      </cdr:nvSpPr>
      <cdr:spPr bwMode="auto">
        <a:xfrm xmlns:a="http://schemas.openxmlformats.org/drawingml/2006/main" rot="10800000" flipV="1">
          <a:off x="258818" y="76200"/>
          <a:ext cx="2781481" cy="455541"/>
        </a:xfrm>
        <a:prstGeom xmlns:a="http://schemas.openxmlformats.org/drawingml/2006/main" prst="roundRect">
          <a:avLst>
            <a:gd name="adj" fmla="val 16667"/>
          </a:avLst>
        </a:prstGeom>
        <a:solidFill xmlns:a="http://schemas.openxmlformats.org/drawingml/2006/main">
          <a:schemeClr val="bg1">
            <a:lumMod val="75000"/>
            <a:alpha val="56863"/>
          </a:schemeClr>
        </a:solidFill>
        <a:ln xmlns:a="http://schemas.openxmlformats.org/drawingml/2006/main" w="9525" algn="ctr">
          <a:noFill/>
          <a:round/>
          <a:headEnd/>
          <a:tailEnd/>
        </a:ln>
        <a:effectLst xmlns:a="http://schemas.openxmlformats.org/drawingml/2006/main">
          <a:outerShdw dist="20000" dir="5400000" rotWithShape="0">
            <a:srgbClr val="000000">
              <a:alpha val="37999"/>
            </a:srgbClr>
          </a:outerShdw>
        </a:effectLst>
      </cdr:spPr>
      <cdr:txBody>
        <a:bodyPr xmlns:a="http://schemas.openxmlformats.org/drawingml/2006/main" vertOverflow="clip" wrap="square" lIns="91440" tIns="45720" rIns="91440" bIns="45720" anchor="ctr"/>
        <a:lstStyle xmlns:a="http://schemas.openxmlformats.org/drawingml/2006/main"/>
        <a:p xmlns:a="http://schemas.openxmlformats.org/drawingml/2006/main">
          <a:pPr algn="ctr" rtl="0">
            <a:lnSpc>
              <a:spcPts val="1000"/>
            </a:lnSpc>
            <a:defRPr sz="1000"/>
          </a:pPr>
          <a:r>
            <a:rPr lang="ro-RO" sz="1000" b="0" i="0" u="none" strike="noStrike" baseline="0">
              <a:solidFill>
                <a:srgbClr val="000000"/>
              </a:solidFill>
              <a:latin typeface="Arial"/>
              <a:cs typeface="Arial"/>
            </a:rPr>
            <a:t>Gradul de realizare al cheltuielilor bugetului general consolidat în trim. I 2020</a:t>
          </a:r>
        </a:p>
      </cdr:txBody>
    </cdr:sp>
  </cdr:relSizeAnchor>
  <cdr:relSizeAnchor xmlns:cdr="http://schemas.openxmlformats.org/drawingml/2006/chartDrawing">
    <cdr:from>
      <cdr:x>0.81207</cdr:x>
      <cdr:y>0.44484</cdr:y>
    </cdr:from>
    <cdr:to>
      <cdr:x>0.93305</cdr:x>
      <cdr:y>0.5062</cdr:y>
    </cdr:to>
    <cdr:sp macro="" textlink="">
      <cdr:nvSpPr>
        <cdr:cNvPr id="9" name="Oval 8"/>
        <cdr:cNvSpPr/>
      </cdr:nvSpPr>
      <cdr:spPr>
        <a:xfrm xmlns:a="http://schemas.openxmlformats.org/drawingml/2006/main">
          <a:off x="4832807" y="1305027"/>
          <a:ext cx="720000" cy="180000"/>
        </a:xfrm>
        <a:prstGeom xmlns:a="http://schemas.openxmlformats.org/drawingml/2006/main" prst="ellipse">
          <a:avLst/>
        </a:prstGeom>
        <a:solidFill xmlns:a="http://schemas.openxmlformats.org/drawingml/2006/main">
          <a:schemeClr val="accent6">
            <a:lumMod val="40000"/>
            <a:lumOff val="60000"/>
          </a:schemeClr>
        </a:solidFill>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100" b="0" i="0" u="none" strike="noStrike" baseline="0">
              <a:solidFill>
                <a:srgbClr val="000000"/>
              </a:solidFill>
              <a:latin typeface="Calibri"/>
              <a:cs typeface="Calibri"/>
            </a:rPr>
            <a:t>0,2%</a:t>
          </a:r>
          <a:endParaRPr lang="en-US" sz="1100" b="0" i="0" u="none" strike="noStrike" baseline="0">
            <a:solidFill>
              <a:srgbClr val="000000"/>
            </a:solidFill>
            <a:latin typeface="Calibri"/>
            <a:cs typeface="Calibri"/>
          </a:endParaRPr>
        </a:p>
      </cdr:txBody>
    </cdr:sp>
  </cdr:relSizeAnchor>
  <cdr:relSizeAnchor xmlns:cdr="http://schemas.openxmlformats.org/drawingml/2006/chartDrawing">
    <cdr:from>
      <cdr:x>0.80933</cdr:x>
      <cdr:y>0.5315</cdr:y>
    </cdr:from>
    <cdr:to>
      <cdr:x>0.93031</cdr:x>
      <cdr:y>0.59286</cdr:y>
    </cdr:to>
    <cdr:sp macro="" textlink="">
      <cdr:nvSpPr>
        <cdr:cNvPr id="10" name="Oval 9"/>
        <cdr:cNvSpPr/>
      </cdr:nvSpPr>
      <cdr:spPr>
        <a:xfrm xmlns:a="http://schemas.openxmlformats.org/drawingml/2006/main">
          <a:off x="4816501" y="1559262"/>
          <a:ext cx="720000" cy="180000"/>
        </a:xfrm>
        <a:prstGeom xmlns:a="http://schemas.openxmlformats.org/drawingml/2006/main" prst="ellipse">
          <a:avLst/>
        </a:prstGeom>
        <a:solidFill xmlns:a="http://schemas.openxmlformats.org/drawingml/2006/main">
          <a:schemeClr val="accent6">
            <a:lumMod val="40000"/>
            <a:lumOff val="60000"/>
          </a:schemeClr>
        </a:solidFill>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0,4%</a:t>
          </a:r>
        </a:p>
      </cdr:txBody>
    </cdr:sp>
  </cdr:relSizeAnchor>
  <cdr:relSizeAnchor xmlns:cdr="http://schemas.openxmlformats.org/drawingml/2006/chartDrawing">
    <cdr:from>
      <cdr:x>0.81216</cdr:x>
      <cdr:y>0.61875</cdr:y>
    </cdr:from>
    <cdr:to>
      <cdr:x>0.93314</cdr:x>
      <cdr:y>0.69254</cdr:y>
    </cdr:to>
    <cdr:sp macro="" textlink="">
      <cdr:nvSpPr>
        <cdr:cNvPr id="12" name="Oval 11"/>
        <cdr:cNvSpPr/>
      </cdr:nvSpPr>
      <cdr:spPr>
        <a:xfrm xmlns:a="http://schemas.openxmlformats.org/drawingml/2006/main">
          <a:off x="4833343" y="1974352"/>
          <a:ext cx="719978" cy="235447"/>
        </a:xfrm>
        <a:prstGeom xmlns:a="http://schemas.openxmlformats.org/drawingml/2006/main" prst="ellipse">
          <a:avLst/>
        </a:prstGeom>
        <a:solidFill xmlns:a="http://schemas.openxmlformats.org/drawingml/2006/main">
          <a:schemeClr val="accent6">
            <a:lumMod val="40000"/>
            <a:lumOff val="60000"/>
          </a:schemeClr>
        </a:solidFill>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3,0%</a:t>
          </a:r>
        </a:p>
      </cdr:txBody>
    </cdr:sp>
  </cdr:relSizeAnchor>
  <cdr:relSizeAnchor xmlns:cdr="http://schemas.openxmlformats.org/drawingml/2006/chartDrawing">
    <cdr:from>
      <cdr:x>0.80956</cdr:x>
      <cdr:y>0.70192</cdr:y>
    </cdr:from>
    <cdr:to>
      <cdr:x>0.93054</cdr:x>
      <cdr:y>0.78209</cdr:y>
    </cdr:to>
    <cdr:sp macro="" textlink="">
      <cdr:nvSpPr>
        <cdr:cNvPr id="48137" name="Oval 12"/>
        <cdr:cNvSpPr>
          <a:spLocks xmlns:a="http://schemas.openxmlformats.org/drawingml/2006/main" noChangeArrowheads="1"/>
        </cdr:cNvSpPr>
      </cdr:nvSpPr>
      <cdr:spPr bwMode="auto">
        <a:xfrm xmlns:a="http://schemas.openxmlformats.org/drawingml/2006/main">
          <a:off x="4817870" y="2239737"/>
          <a:ext cx="719978" cy="255813"/>
        </a:xfrm>
        <a:prstGeom xmlns:a="http://schemas.openxmlformats.org/drawingml/2006/main" prst="ellipse">
          <a:avLst/>
        </a:prstGeom>
        <a:solidFill xmlns:a="http://schemas.openxmlformats.org/drawingml/2006/main">
          <a:schemeClr val="accent6">
            <a:lumMod val="40000"/>
            <a:lumOff val="60000"/>
          </a:schemeClr>
        </a:solidFill>
        <a:ln xmlns:a="http://schemas.openxmlformats.org/drawingml/2006/main" w="9525" algn="ctr">
          <a:solidFill>
            <a:srgbClr val="46AAC5"/>
          </a:solidFill>
          <a:round/>
          <a:headEnd/>
          <a:tailEnd/>
        </a:ln>
        <a:effectLst xmlns:a="http://schemas.openxmlformats.org/drawingml/2006/main">
          <a:outerShdw blurRad="40000" dist="20000" dir="5400000" rotWithShape="0">
            <a:srgbClr val="000000">
              <a:alpha val="37999"/>
            </a:srgbClr>
          </a:outerShdw>
        </a:effec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0,3%</a:t>
          </a:r>
        </a:p>
      </cdr:txBody>
    </cdr:sp>
  </cdr:relSizeAnchor>
  <cdr:relSizeAnchor xmlns:cdr="http://schemas.openxmlformats.org/drawingml/2006/chartDrawing">
    <cdr:from>
      <cdr:x>0.80956</cdr:x>
      <cdr:y>0.78878</cdr:y>
    </cdr:from>
    <cdr:to>
      <cdr:x>0.93054</cdr:x>
      <cdr:y>0.86269</cdr:y>
    </cdr:to>
    <cdr:sp macro="" textlink="">
      <cdr:nvSpPr>
        <cdr:cNvPr id="48139" name="Oval 12"/>
        <cdr:cNvSpPr>
          <a:spLocks xmlns:a="http://schemas.openxmlformats.org/drawingml/2006/main" noChangeArrowheads="1"/>
        </cdr:cNvSpPr>
      </cdr:nvSpPr>
      <cdr:spPr bwMode="auto">
        <a:xfrm xmlns:a="http://schemas.openxmlformats.org/drawingml/2006/main">
          <a:off x="4817870" y="2516897"/>
          <a:ext cx="719978" cy="235827"/>
        </a:xfrm>
        <a:prstGeom xmlns:a="http://schemas.openxmlformats.org/drawingml/2006/main" prst="ellipse">
          <a:avLst/>
        </a:prstGeom>
        <a:solidFill xmlns:a="http://schemas.openxmlformats.org/drawingml/2006/main">
          <a:schemeClr val="accent6">
            <a:lumMod val="40000"/>
            <a:lumOff val="60000"/>
          </a:schemeClr>
        </a:solidFill>
        <a:ln xmlns:a="http://schemas.openxmlformats.org/drawingml/2006/main" w="9525" algn="ctr">
          <a:solidFill>
            <a:srgbClr val="46AAC5"/>
          </a:solidFill>
          <a:round/>
          <a:headEnd/>
          <a:tailEnd/>
        </a:ln>
        <a:effectLst xmlns:a="http://schemas.openxmlformats.org/drawingml/2006/main">
          <a:outerShdw blurRad="40000" dist="20000" dir="5400000" rotWithShape="0">
            <a:srgbClr val="000000">
              <a:alpha val="37999"/>
            </a:srgbClr>
          </a:outerShdw>
        </a:effec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0,5%</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EC30AA"/>
    <w:rsid w:val="000069C4"/>
    <w:rsid w:val="00380767"/>
    <w:rsid w:val="003A3581"/>
    <w:rsid w:val="003C565D"/>
    <w:rsid w:val="004C41A1"/>
    <w:rsid w:val="004D7935"/>
    <w:rsid w:val="004E297A"/>
    <w:rsid w:val="00521A6A"/>
    <w:rsid w:val="005F4EA3"/>
    <w:rsid w:val="005F5A98"/>
    <w:rsid w:val="006569BF"/>
    <w:rsid w:val="007260C7"/>
    <w:rsid w:val="007E2DAF"/>
    <w:rsid w:val="00A6098D"/>
    <w:rsid w:val="00AA72C7"/>
    <w:rsid w:val="00CE46E0"/>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F8C64A9800D0422085EDA2283C482DCF">
    <w:name w:val="F8C64A9800D0422085EDA2283C482DCF"/>
    <w:rsid w:val="00EC30AA"/>
  </w:style>
  <w:style w:type="paragraph" w:customStyle="1" w:styleId="6BF091545DF5430EA6AAEAE65AB5A483">
    <w:name w:val="6BF091545DF5430EA6AAEAE65AB5A483"/>
    <w:rsid w:val="005F4EA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23072-E784-4E4B-BAA1-CB6330A7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2823</Words>
  <Characters>16378</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19163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RAPORT PRIVIND EXECUȚIA BUGETARĂ PE PRIMUL TRIMESTRU AL ANULUI 2020</dc:creator>
  <cp:lastModifiedBy>74608387</cp:lastModifiedBy>
  <cp:revision>4</cp:revision>
  <cp:lastPrinted>2020-02-25T14:57:00Z</cp:lastPrinted>
  <dcterms:created xsi:type="dcterms:W3CDTF">2020-05-14T07:31:00Z</dcterms:created>
  <dcterms:modified xsi:type="dcterms:W3CDTF">2020-08-15T06:44:00Z</dcterms:modified>
</cp:coreProperties>
</file>