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1BB" w:rsidRPr="00F32228" w:rsidRDefault="00CF55E5" w:rsidP="003F4E84">
      <w:pPr>
        <w:pBdr>
          <w:top w:val="single" w:sz="4" w:space="1" w:color="auto"/>
          <w:bottom w:val="single" w:sz="4" w:space="1" w:color="auto"/>
        </w:pBdr>
        <w:spacing w:after="120" w:line="240" w:lineRule="auto"/>
        <w:jc w:val="right"/>
        <w:rPr>
          <w:rFonts w:ascii="Tahoma" w:hAnsi="Tahoma" w:cs="Tahoma"/>
          <w:b/>
          <w:caps/>
          <w:color w:val="0070C0"/>
          <w:sz w:val="28"/>
          <w:szCs w:val="28"/>
        </w:rPr>
      </w:pPr>
      <w:r w:rsidRPr="00F32228">
        <w:rPr>
          <w:rFonts w:ascii="Tahoma" w:hAnsi="Tahoma" w:cs="Tahoma"/>
          <w:b/>
          <w:caps/>
          <w:color w:val="0070C0"/>
          <w:sz w:val="28"/>
          <w:szCs w:val="28"/>
        </w:rPr>
        <w:t>RAPORT PRIVIND EXECU</w:t>
      </w:r>
      <w:r w:rsidR="003F4E84" w:rsidRPr="00F32228">
        <w:rPr>
          <w:rFonts w:ascii="Tahoma" w:hAnsi="Tahoma" w:cs="Tahoma"/>
          <w:b/>
          <w:caps/>
          <w:color w:val="0070C0"/>
          <w:sz w:val="28"/>
          <w:szCs w:val="28"/>
        </w:rPr>
        <w:t>ția buget</w:t>
      </w:r>
      <w:r w:rsidRPr="00F32228">
        <w:rPr>
          <w:rFonts w:ascii="Tahoma" w:hAnsi="Tahoma" w:cs="Tahoma"/>
          <w:b/>
          <w:caps/>
          <w:color w:val="0070C0"/>
          <w:sz w:val="28"/>
          <w:szCs w:val="28"/>
        </w:rPr>
        <w:t xml:space="preserve">ARĂ PE </w:t>
      </w:r>
    </w:p>
    <w:p w:rsidR="003F4E84" w:rsidRPr="00F32228" w:rsidRDefault="00CF55E5" w:rsidP="003F4E84">
      <w:pPr>
        <w:pBdr>
          <w:top w:val="single" w:sz="4" w:space="1" w:color="auto"/>
          <w:bottom w:val="single" w:sz="4" w:space="1" w:color="auto"/>
        </w:pBdr>
        <w:spacing w:after="120" w:line="240" w:lineRule="auto"/>
        <w:jc w:val="right"/>
        <w:rPr>
          <w:rFonts w:ascii="Tahoma" w:hAnsi="Tahoma" w:cs="Tahoma"/>
          <w:b/>
          <w:caps/>
          <w:color w:val="0070C0"/>
          <w:sz w:val="28"/>
          <w:szCs w:val="28"/>
        </w:rPr>
      </w:pPr>
      <w:r w:rsidRPr="00F32228">
        <w:rPr>
          <w:rFonts w:ascii="Tahoma" w:hAnsi="Tahoma" w:cs="Tahoma"/>
          <w:b/>
          <w:caps/>
          <w:color w:val="0070C0"/>
          <w:sz w:val="28"/>
          <w:szCs w:val="28"/>
        </w:rPr>
        <w:t>TRIMESTRU</w:t>
      </w:r>
      <w:r w:rsidR="008761BB" w:rsidRPr="00F32228">
        <w:rPr>
          <w:rFonts w:ascii="Tahoma" w:hAnsi="Tahoma" w:cs="Tahoma"/>
          <w:b/>
          <w:caps/>
          <w:color w:val="0070C0"/>
          <w:sz w:val="28"/>
          <w:szCs w:val="28"/>
        </w:rPr>
        <w:t xml:space="preserve">L </w:t>
      </w:r>
      <w:r w:rsidRPr="00F32228">
        <w:rPr>
          <w:rFonts w:ascii="Tahoma" w:hAnsi="Tahoma" w:cs="Tahoma"/>
          <w:b/>
          <w:caps/>
          <w:color w:val="0070C0"/>
          <w:sz w:val="28"/>
          <w:szCs w:val="28"/>
        </w:rPr>
        <w:t>AL</w:t>
      </w:r>
      <w:r w:rsidR="008761BB" w:rsidRPr="00F32228">
        <w:rPr>
          <w:rFonts w:ascii="Tahoma" w:hAnsi="Tahoma" w:cs="Tahoma"/>
          <w:b/>
          <w:caps/>
          <w:color w:val="0070C0"/>
          <w:sz w:val="28"/>
          <w:szCs w:val="28"/>
        </w:rPr>
        <w:t xml:space="preserve"> II-lea al</w:t>
      </w:r>
      <w:r w:rsidRPr="00F32228">
        <w:rPr>
          <w:rFonts w:ascii="Tahoma" w:hAnsi="Tahoma" w:cs="Tahoma"/>
          <w:b/>
          <w:caps/>
          <w:color w:val="0070C0"/>
          <w:sz w:val="28"/>
          <w:szCs w:val="28"/>
        </w:rPr>
        <w:t xml:space="preserve"> ANULUI 2020</w:t>
      </w:r>
    </w:p>
    <w:p w:rsidR="003F4E84" w:rsidRPr="00F32228" w:rsidRDefault="00526E8B" w:rsidP="00C9727F">
      <w:pPr>
        <w:spacing w:after="120" w:line="240" w:lineRule="auto"/>
        <w:jc w:val="right"/>
        <w:rPr>
          <w:rFonts w:ascii="Tahoma" w:hAnsi="Tahoma" w:cs="Tahoma"/>
          <w:b/>
          <w:color w:val="0070C0"/>
          <w:sz w:val="24"/>
          <w:szCs w:val="24"/>
        </w:rPr>
      </w:pPr>
      <w:r w:rsidRPr="00F32228">
        <w:rPr>
          <w:rFonts w:ascii="Tahoma" w:hAnsi="Tahoma" w:cs="Tahoma"/>
          <w:b/>
          <w:color w:val="0070C0"/>
          <w:sz w:val="24"/>
          <w:szCs w:val="24"/>
        </w:rPr>
        <w:br/>
      </w:r>
    </w:p>
    <w:p w:rsidR="00061787" w:rsidRPr="00F32228" w:rsidRDefault="005D6D51" w:rsidP="00C670D8">
      <w:pPr>
        <w:shd w:val="clear" w:color="auto" w:fill="DEEAF6" w:themeFill="accent1" w:themeFillTint="33"/>
        <w:spacing w:after="120" w:line="276" w:lineRule="auto"/>
        <w:ind w:firstLine="720"/>
        <w:jc w:val="both"/>
        <w:rPr>
          <w:rFonts w:ascii="Tahoma" w:hAnsi="Tahoma" w:cs="Tahoma"/>
          <w:bCs/>
          <w:sz w:val="28"/>
          <w:szCs w:val="28"/>
        </w:rPr>
      </w:pPr>
      <w:r w:rsidRPr="00F32228">
        <w:rPr>
          <w:rFonts w:ascii="Tahoma" w:hAnsi="Tahoma" w:cs="Tahoma"/>
          <w:bCs/>
          <w:sz w:val="28"/>
          <w:szCs w:val="28"/>
        </w:rPr>
        <w:t xml:space="preserve">În </w:t>
      </w:r>
      <w:r w:rsidR="00B37CEF" w:rsidRPr="00F32228">
        <w:rPr>
          <w:rFonts w:ascii="Tahoma" w:hAnsi="Tahoma" w:cs="Tahoma"/>
          <w:bCs/>
          <w:sz w:val="28"/>
          <w:szCs w:val="28"/>
        </w:rPr>
        <w:t xml:space="preserve">al doilea </w:t>
      </w:r>
      <w:r w:rsidRPr="00F32228">
        <w:rPr>
          <w:rFonts w:ascii="Tahoma" w:hAnsi="Tahoma" w:cs="Tahoma"/>
          <w:bCs/>
          <w:sz w:val="28"/>
          <w:szCs w:val="28"/>
        </w:rPr>
        <w:t>trimestru al anului 2020</w:t>
      </w:r>
      <w:r w:rsidR="002F2CFC" w:rsidRPr="00F32228">
        <w:rPr>
          <w:rFonts w:ascii="Tahoma" w:hAnsi="Tahoma" w:cs="Tahoma"/>
          <w:bCs/>
          <w:sz w:val="28"/>
          <w:szCs w:val="28"/>
        </w:rPr>
        <w:t>,</w:t>
      </w:r>
      <w:r w:rsidRPr="00F32228">
        <w:rPr>
          <w:rFonts w:ascii="Tahoma" w:hAnsi="Tahoma" w:cs="Tahoma"/>
          <w:bCs/>
          <w:sz w:val="28"/>
          <w:szCs w:val="28"/>
        </w:rPr>
        <w:t xml:space="preserve"> bugetul general consolidat a înregistrat un </w:t>
      </w:r>
      <w:r w:rsidRPr="00F32228">
        <w:rPr>
          <w:rFonts w:ascii="Tahoma" w:hAnsi="Tahoma" w:cs="Tahoma"/>
          <w:b/>
          <w:bCs/>
          <w:sz w:val="28"/>
          <w:szCs w:val="28"/>
        </w:rPr>
        <w:t>deficit</w:t>
      </w:r>
      <w:r w:rsidRPr="00F32228">
        <w:rPr>
          <w:rFonts w:ascii="Tahoma" w:hAnsi="Tahoma" w:cs="Tahoma"/>
          <w:bCs/>
          <w:sz w:val="28"/>
          <w:szCs w:val="28"/>
        </w:rPr>
        <w:t xml:space="preserve"> în valoare de </w:t>
      </w:r>
      <w:r w:rsidR="00B37CEF" w:rsidRPr="00F32228">
        <w:rPr>
          <w:rFonts w:ascii="Tahoma" w:hAnsi="Tahoma" w:cs="Tahoma"/>
          <w:b/>
          <w:bCs/>
          <w:sz w:val="28"/>
          <w:szCs w:val="28"/>
        </w:rPr>
        <w:t>27,1</w:t>
      </w:r>
      <w:r w:rsidR="007369A7">
        <w:rPr>
          <w:rFonts w:ascii="Tahoma" w:hAnsi="Tahoma" w:cs="Tahoma"/>
          <w:b/>
          <w:bCs/>
          <w:sz w:val="28"/>
          <w:szCs w:val="28"/>
        </w:rPr>
        <w:t xml:space="preserve"> </w:t>
      </w:r>
      <w:r w:rsidR="007C6A86" w:rsidRPr="00F32228">
        <w:rPr>
          <w:rFonts w:ascii="Tahoma" w:hAnsi="Tahoma" w:cs="Tahoma"/>
          <w:b/>
          <w:bCs/>
          <w:sz w:val="28"/>
          <w:szCs w:val="28"/>
        </w:rPr>
        <w:t>m</w:t>
      </w:r>
      <w:r w:rsidR="00713D80" w:rsidRPr="00F32228">
        <w:rPr>
          <w:rFonts w:ascii="Tahoma" w:hAnsi="Tahoma" w:cs="Tahoma"/>
          <w:b/>
          <w:bCs/>
          <w:sz w:val="28"/>
          <w:szCs w:val="28"/>
        </w:rPr>
        <w:t>l</w:t>
      </w:r>
      <w:r w:rsidR="007C6A86" w:rsidRPr="00F32228">
        <w:rPr>
          <w:rFonts w:ascii="Tahoma" w:hAnsi="Tahoma" w:cs="Tahoma"/>
          <w:b/>
          <w:bCs/>
          <w:sz w:val="28"/>
          <w:szCs w:val="28"/>
        </w:rPr>
        <w:t>d</w:t>
      </w:r>
      <w:r w:rsidR="003C4703" w:rsidRPr="00F32228">
        <w:rPr>
          <w:rFonts w:ascii="Tahoma" w:hAnsi="Tahoma" w:cs="Tahoma"/>
          <w:b/>
          <w:bCs/>
          <w:sz w:val="28"/>
          <w:szCs w:val="28"/>
        </w:rPr>
        <w:t>.</w:t>
      </w:r>
      <w:r w:rsidRPr="00F32228">
        <w:rPr>
          <w:rFonts w:ascii="Tahoma" w:hAnsi="Tahoma" w:cs="Tahoma"/>
          <w:b/>
          <w:bCs/>
          <w:sz w:val="28"/>
          <w:szCs w:val="28"/>
        </w:rPr>
        <w:t>lei (</w:t>
      </w:r>
      <w:r w:rsidR="00B37CEF" w:rsidRPr="00F32228">
        <w:rPr>
          <w:rFonts w:ascii="Tahoma" w:hAnsi="Tahoma" w:cs="Tahoma"/>
          <w:b/>
          <w:bCs/>
          <w:sz w:val="28"/>
          <w:szCs w:val="28"/>
        </w:rPr>
        <w:t>2,51</w:t>
      </w:r>
      <w:r w:rsidRPr="00F32228">
        <w:rPr>
          <w:rFonts w:ascii="Tahoma" w:hAnsi="Tahoma" w:cs="Tahoma"/>
          <w:b/>
          <w:bCs/>
          <w:sz w:val="28"/>
          <w:szCs w:val="28"/>
        </w:rPr>
        <w:t>% din PIB)</w:t>
      </w:r>
      <w:r w:rsidR="00C9727F" w:rsidRPr="00F32228">
        <w:rPr>
          <w:rFonts w:ascii="Tahoma" w:hAnsi="Tahoma" w:cs="Tahoma"/>
          <w:bCs/>
          <w:sz w:val="28"/>
          <w:szCs w:val="28"/>
        </w:rPr>
        <w:t>,</w:t>
      </w:r>
      <w:r w:rsidR="007C6A86" w:rsidRPr="00F32228">
        <w:rPr>
          <w:rFonts w:ascii="Tahoma" w:hAnsi="Tahoma" w:cs="Tahoma"/>
          <w:bCs/>
          <w:sz w:val="28"/>
          <w:szCs w:val="28"/>
        </w:rPr>
        <w:t xml:space="preserve"> cu </w:t>
      </w:r>
      <w:r w:rsidR="004108CF" w:rsidRPr="00F32228">
        <w:rPr>
          <w:rFonts w:ascii="Tahoma" w:hAnsi="Tahoma" w:cs="Tahoma"/>
          <w:bCs/>
          <w:sz w:val="28"/>
          <w:szCs w:val="28"/>
        </w:rPr>
        <w:t>6,11</w:t>
      </w:r>
      <w:r w:rsidR="007C6A86" w:rsidRPr="00F32228">
        <w:rPr>
          <w:rFonts w:ascii="Tahoma" w:hAnsi="Tahoma" w:cs="Tahoma"/>
          <w:bCs/>
          <w:sz w:val="28"/>
          <w:szCs w:val="28"/>
        </w:rPr>
        <w:t xml:space="preserve"> mld</w:t>
      </w:r>
      <w:r w:rsidR="003C4703" w:rsidRPr="00F32228">
        <w:rPr>
          <w:rFonts w:ascii="Tahoma" w:hAnsi="Tahoma" w:cs="Tahoma"/>
          <w:bCs/>
          <w:sz w:val="28"/>
          <w:szCs w:val="28"/>
        </w:rPr>
        <w:t>.</w:t>
      </w:r>
      <w:r w:rsidRPr="00F32228">
        <w:rPr>
          <w:rFonts w:ascii="Tahoma" w:hAnsi="Tahoma" w:cs="Tahoma"/>
          <w:bCs/>
          <w:sz w:val="28"/>
          <w:szCs w:val="28"/>
        </w:rPr>
        <w:t xml:space="preserve">lei </w:t>
      </w:r>
      <w:r w:rsidR="004108CF" w:rsidRPr="00F32228">
        <w:rPr>
          <w:rFonts w:ascii="Tahoma" w:hAnsi="Tahoma" w:cs="Tahoma"/>
          <w:bCs/>
          <w:sz w:val="28"/>
          <w:szCs w:val="28"/>
        </w:rPr>
        <w:t>sub</w:t>
      </w:r>
      <w:r w:rsidRPr="00F32228">
        <w:rPr>
          <w:rFonts w:ascii="Tahoma" w:hAnsi="Tahoma" w:cs="Tahoma"/>
          <w:bCs/>
          <w:sz w:val="28"/>
          <w:szCs w:val="28"/>
        </w:rPr>
        <w:t xml:space="preserve"> nivelul prognozat </w:t>
      </w:r>
      <w:r w:rsidR="007C6A86" w:rsidRPr="00F32228">
        <w:rPr>
          <w:rFonts w:ascii="Tahoma" w:hAnsi="Tahoma" w:cs="Tahoma"/>
          <w:bCs/>
          <w:sz w:val="28"/>
          <w:szCs w:val="28"/>
        </w:rPr>
        <w:t xml:space="preserve">pentru perioada analizată de </w:t>
      </w:r>
      <w:r w:rsidR="004108CF" w:rsidRPr="00F32228">
        <w:rPr>
          <w:rFonts w:ascii="Tahoma" w:hAnsi="Tahoma" w:cs="Tahoma"/>
          <w:bCs/>
          <w:sz w:val="28"/>
          <w:szCs w:val="28"/>
        </w:rPr>
        <w:t>33,17</w:t>
      </w:r>
      <w:r w:rsidR="007369A7">
        <w:rPr>
          <w:rFonts w:ascii="Tahoma" w:hAnsi="Tahoma" w:cs="Tahoma"/>
          <w:bCs/>
          <w:sz w:val="28"/>
          <w:szCs w:val="28"/>
        </w:rPr>
        <w:t xml:space="preserve"> </w:t>
      </w:r>
      <w:r w:rsidR="007C6A86" w:rsidRPr="00F32228">
        <w:rPr>
          <w:rFonts w:ascii="Tahoma" w:hAnsi="Tahoma" w:cs="Tahoma"/>
          <w:bCs/>
          <w:sz w:val="28"/>
          <w:szCs w:val="28"/>
        </w:rPr>
        <w:t>m</w:t>
      </w:r>
      <w:r w:rsidR="00713D80" w:rsidRPr="00F32228">
        <w:rPr>
          <w:rFonts w:ascii="Tahoma" w:hAnsi="Tahoma" w:cs="Tahoma"/>
          <w:bCs/>
          <w:sz w:val="28"/>
          <w:szCs w:val="28"/>
        </w:rPr>
        <w:t>l</w:t>
      </w:r>
      <w:r w:rsidR="007C6A86" w:rsidRPr="00F32228">
        <w:rPr>
          <w:rFonts w:ascii="Tahoma" w:hAnsi="Tahoma" w:cs="Tahoma"/>
          <w:bCs/>
          <w:sz w:val="28"/>
          <w:szCs w:val="28"/>
        </w:rPr>
        <w:t>d</w:t>
      </w:r>
      <w:r w:rsidR="007369A7">
        <w:rPr>
          <w:rFonts w:ascii="Tahoma" w:hAnsi="Tahoma" w:cs="Tahoma"/>
          <w:bCs/>
          <w:sz w:val="28"/>
          <w:szCs w:val="28"/>
        </w:rPr>
        <w:t xml:space="preserve"> </w:t>
      </w:r>
      <w:r w:rsidRPr="00F32228">
        <w:rPr>
          <w:rFonts w:ascii="Tahoma" w:hAnsi="Tahoma" w:cs="Tahoma"/>
          <w:bCs/>
          <w:sz w:val="28"/>
          <w:szCs w:val="28"/>
        </w:rPr>
        <w:t>lei (</w:t>
      </w:r>
      <w:r w:rsidR="004108CF" w:rsidRPr="00F32228">
        <w:rPr>
          <w:rFonts w:ascii="Tahoma" w:hAnsi="Tahoma" w:cs="Tahoma"/>
          <w:bCs/>
          <w:sz w:val="28"/>
          <w:szCs w:val="28"/>
        </w:rPr>
        <w:t>3,07</w:t>
      </w:r>
      <w:r w:rsidRPr="00F32228">
        <w:rPr>
          <w:rFonts w:ascii="Tahoma" w:hAnsi="Tahoma" w:cs="Tahoma"/>
          <w:bCs/>
          <w:sz w:val="28"/>
          <w:szCs w:val="28"/>
        </w:rPr>
        <w:t>% din PIB).</w:t>
      </w:r>
    </w:p>
    <w:p w:rsidR="00C670D8" w:rsidRPr="00F32228" w:rsidRDefault="00C670D8" w:rsidP="00C670D8">
      <w:pPr>
        <w:shd w:val="clear" w:color="auto" w:fill="DEEAF6"/>
        <w:spacing w:after="120" w:line="276" w:lineRule="auto"/>
        <w:ind w:firstLine="720"/>
        <w:jc w:val="both"/>
        <w:rPr>
          <w:rFonts w:ascii="Tahoma" w:hAnsi="Tahoma" w:cs="Tahoma"/>
          <w:bCs/>
          <w:sz w:val="28"/>
          <w:szCs w:val="28"/>
        </w:rPr>
      </w:pPr>
      <w:r w:rsidRPr="00F32228">
        <w:rPr>
          <w:rFonts w:ascii="Tahoma" w:hAnsi="Tahoma" w:cs="Tahoma"/>
          <w:bCs/>
          <w:sz w:val="28"/>
          <w:szCs w:val="28"/>
        </w:rPr>
        <w:t>Comparativ cu anul anterior deficitul bugetar a crescut în termeni nominali cu 12,6 miliarde lei</w:t>
      </w:r>
      <w:r w:rsidR="00F318A7" w:rsidRPr="00F32228">
        <w:rPr>
          <w:rFonts w:ascii="Tahoma" w:hAnsi="Tahoma" w:cs="Tahoma"/>
          <w:bCs/>
          <w:sz w:val="28"/>
          <w:szCs w:val="28"/>
        </w:rPr>
        <w:t>,</w:t>
      </w:r>
      <w:r w:rsidRPr="00F32228">
        <w:rPr>
          <w:rFonts w:ascii="Tahoma" w:hAnsi="Tahoma" w:cs="Tahoma"/>
          <w:bCs/>
          <w:sz w:val="28"/>
          <w:szCs w:val="28"/>
        </w:rPr>
        <w:t xml:space="preserve"> iar ca procent în PIB s-a majorat cu 1,14 puncte procentuale de la 1,37% din PIB în trimestrul II 2019 la 2,51% din PIB în trimestrul II 2020.</w:t>
      </w:r>
    </w:p>
    <w:p w:rsidR="00FB49C7" w:rsidRPr="00F32228" w:rsidRDefault="00F24FA0" w:rsidP="00C670D8">
      <w:pPr>
        <w:shd w:val="clear" w:color="auto" w:fill="DEEAF6"/>
        <w:spacing w:after="120" w:line="276" w:lineRule="auto"/>
        <w:ind w:firstLine="720"/>
        <w:jc w:val="both"/>
        <w:rPr>
          <w:rFonts w:ascii="Tahoma" w:hAnsi="Tahoma" w:cs="Tahoma"/>
          <w:sz w:val="28"/>
          <w:szCs w:val="28"/>
        </w:rPr>
      </w:pPr>
      <w:r w:rsidRPr="00F32228">
        <w:rPr>
          <w:rFonts w:ascii="Tahoma" w:hAnsi="Tahoma" w:cs="Tahoma"/>
          <w:bCs/>
          <w:sz w:val="28"/>
          <w:szCs w:val="28"/>
        </w:rPr>
        <w:t>Adânci</w:t>
      </w:r>
      <w:r w:rsidR="00FB49C7" w:rsidRPr="00F32228">
        <w:rPr>
          <w:rFonts w:ascii="Tahoma" w:hAnsi="Tahoma" w:cs="Tahoma"/>
          <w:bCs/>
          <w:sz w:val="28"/>
          <w:szCs w:val="28"/>
        </w:rPr>
        <w:t>rea deficitului bugetar aferent</w:t>
      </w:r>
      <w:r w:rsidRPr="00F32228">
        <w:rPr>
          <w:rFonts w:ascii="Tahoma" w:hAnsi="Tahoma" w:cs="Tahoma"/>
          <w:bCs/>
          <w:sz w:val="28"/>
          <w:szCs w:val="28"/>
        </w:rPr>
        <w:t xml:space="preserve"> trimestru</w:t>
      </w:r>
      <w:r w:rsidR="00FB49C7" w:rsidRPr="00F32228">
        <w:rPr>
          <w:rFonts w:ascii="Tahoma" w:hAnsi="Tahoma" w:cs="Tahoma"/>
          <w:bCs/>
          <w:sz w:val="28"/>
          <w:szCs w:val="28"/>
        </w:rPr>
        <w:t>lui II 2020</w:t>
      </w:r>
      <w:r w:rsidRPr="00F32228">
        <w:rPr>
          <w:rFonts w:ascii="Tahoma" w:hAnsi="Tahoma" w:cs="Tahoma"/>
          <w:bCs/>
          <w:sz w:val="28"/>
          <w:szCs w:val="28"/>
        </w:rPr>
        <w:t xml:space="preserve"> comparativ cu perioada similară a anului trecut este explicată în primul rând de evoluția nefavorabilă a veniturilor bugetare </w:t>
      </w:r>
      <w:r w:rsidR="00FB49C7" w:rsidRPr="00F32228">
        <w:rPr>
          <w:rFonts w:ascii="Tahoma" w:hAnsi="Tahoma" w:cs="Tahoma"/>
          <w:sz w:val="28"/>
          <w:szCs w:val="28"/>
        </w:rPr>
        <w:t>ca urmare a amânării plății unor obligații fiscale de către agenții economici pe perioada crizei</w:t>
      </w:r>
      <w:r w:rsidR="00F318A7" w:rsidRPr="00F32228">
        <w:rPr>
          <w:rFonts w:ascii="Tahoma" w:hAnsi="Tahoma" w:cs="Tahoma"/>
          <w:sz w:val="28"/>
          <w:szCs w:val="28"/>
        </w:rPr>
        <w:t>,</w:t>
      </w:r>
      <w:r w:rsidR="00FB49C7" w:rsidRPr="00F32228">
        <w:rPr>
          <w:rFonts w:ascii="Tahoma" w:hAnsi="Tahoma" w:cs="Tahoma"/>
          <w:sz w:val="28"/>
          <w:szCs w:val="28"/>
        </w:rPr>
        <w:t xml:space="preserve"> precum și de bonificațiile acordate pentru plata la scadență a impozitului pe profit și a celui pe veniturile microîntreprinderilor. </w:t>
      </w:r>
      <w:r w:rsidR="00FB49C7" w:rsidRPr="00F32228">
        <w:rPr>
          <w:rFonts w:ascii="Tahoma" w:hAnsi="Tahoma" w:cs="Tahoma"/>
          <w:bCs/>
          <w:sz w:val="28"/>
          <w:szCs w:val="28"/>
        </w:rPr>
        <w:t>Totodată, pe partea de cheltuieli, majorarea cheltuielilor de investiții (+</w:t>
      </w:r>
      <w:r w:rsidR="00C670D8" w:rsidRPr="00F32228">
        <w:rPr>
          <w:rFonts w:ascii="Tahoma" w:hAnsi="Tahoma" w:cs="Tahoma"/>
          <w:bCs/>
          <w:sz w:val="28"/>
          <w:szCs w:val="28"/>
        </w:rPr>
        <w:t xml:space="preserve">2,8 </w:t>
      </w:r>
      <w:r w:rsidR="00FB49C7" w:rsidRPr="00F32228">
        <w:rPr>
          <w:rFonts w:ascii="Tahoma" w:hAnsi="Tahoma" w:cs="Tahoma"/>
          <w:bCs/>
          <w:sz w:val="28"/>
          <w:szCs w:val="28"/>
        </w:rPr>
        <w:t>mld. lei) față de trimestrul I</w:t>
      </w:r>
      <w:r w:rsidR="00C670D8" w:rsidRPr="00F32228">
        <w:rPr>
          <w:rFonts w:ascii="Tahoma" w:hAnsi="Tahoma" w:cs="Tahoma"/>
          <w:bCs/>
          <w:sz w:val="28"/>
          <w:szCs w:val="28"/>
        </w:rPr>
        <w:t>I</w:t>
      </w:r>
      <w:r w:rsidR="00FB49C7" w:rsidRPr="00F32228">
        <w:rPr>
          <w:rFonts w:ascii="Tahoma" w:hAnsi="Tahoma" w:cs="Tahoma"/>
          <w:bCs/>
          <w:sz w:val="28"/>
          <w:szCs w:val="28"/>
        </w:rPr>
        <w:t xml:space="preserve"> 2019</w:t>
      </w:r>
      <w:r w:rsidR="00F32228" w:rsidRPr="00F32228">
        <w:rPr>
          <w:rFonts w:ascii="Tahoma" w:hAnsi="Tahoma" w:cs="Tahoma"/>
          <w:bCs/>
          <w:sz w:val="28"/>
          <w:szCs w:val="28"/>
        </w:rPr>
        <w:t>,</w:t>
      </w:r>
      <w:r w:rsidR="00FB49C7" w:rsidRPr="00F32228">
        <w:rPr>
          <w:rFonts w:ascii="Tahoma" w:hAnsi="Tahoma" w:cs="Tahoma"/>
          <w:sz w:val="28"/>
          <w:szCs w:val="28"/>
        </w:rPr>
        <w:t xml:space="preserve"> precum și plăți</w:t>
      </w:r>
      <w:r w:rsidR="00C670D8" w:rsidRPr="00F32228">
        <w:rPr>
          <w:rFonts w:ascii="Tahoma" w:hAnsi="Tahoma" w:cs="Tahoma"/>
          <w:sz w:val="28"/>
          <w:szCs w:val="28"/>
        </w:rPr>
        <w:t>le</w:t>
      </w:r>
      <w:r w:rsidR="00FB49C7" w:rsidRPr="00F32228">
        <w:rPr>
          <w:rFonts w:ascii="Tahoma" w:hAnsi="Tahoma" w:cs="Tahoma"/>
          <w:sz w:val="28"/>
          <w:szCs w:val="28"/>
        </w:rPr>
        <w:t xml:space="preserve"> cu caracter excepțional generate de epidemia COVID-19 de aproximativ 5,</w:t>
      </w:r>
      <w:r w:rsidR="00C670D8" w:rsidRPr="00F32228">
        <w:rPr>
          <w:rFonts w:ascii="Tahoma" w:hAnsi="Tahoma" w:cs="Tahoma"/>
          <w:sz w:val="28"/>
          <w:szCs w:val="28"/>
        </w:rPr>
        <w:t>05</w:t>
      </w:r>
      <w:r w:rsidR="00FB49C7" w:rsidRPr="00F32228">
        <w:rPr>
          <w:rFonts w:ascii="Tahoma" w:hAnsi="Tahoma" w:cs="Tahoma"/>
          <w:sz w:val="28"/>
          <w:szCs w:val="28"/>
        </w:rPr>
        <w:t xml:space="preserve"> mld lei</w:t>
      </w:r>
      <w:r w:rsidR="00FB49C7" w:rsidRPr="00F32228">
        <w:rPr>
          <w:rFonts w:ascii="Tahoma" w:hAnsi="Tahoma" w:cs="Tahoma"/>
          <w:bCs/>
          <w:sz w:val="28"/>
          <w:szCs w:val="28"/>
        </w:rPr>
        <w:t xml:space="preserve"> au contribuit la adâncirea deficitului. </w:t>
      </w:r>
    </w:p>
    <w:p w:rsidR="00F24FA0" w:rsidRPr="00F32228" w:rsidRDefault="00F24FA0" w:rsidP="00DF4DFB">
      <w:pPr>
        <w:spacing w:line="276" w:lineRule="auto"/>
        <w:jc w:val="both"/>
        <w:rPr>
          <w:rFonts w:ascii="Tahoma" w:hAnsi="Tahoma" w:cs="Tahoma"/>
          <w:b/>
          <w:color w:val="767171" w:themeColor="background2" w:themeShade="80"/>
          <w:sz w:val="28"/>
          <w:szCs w:val="28"/>
        </w:rPr>
      </w:pPr>
    </w:p>
    <w:p w:rsidR="00F972DC" w:rsidRPr="00F32228" w:rsidRDefault="00F972DC" w:rsidP="00DF4DFB">
      <w:pPr>
        <w:pStyle w:val="ListParagraph"/>
        <w:numPr>
          <w:ilvl w:val="0"/>
          <w:numId w:val="2"/>
        </w:numPr>
        <w:shd w:val="clear" w:color="auto" w:fill="D9D9D9" w:themeFill="background1" w:themeFillShade="D9"/>
        <w:spacing w:after="120" w:line="276" w:lineRule="auto"/>
        <w:ind w:hanging="1080"/>
        <w:jc w:val="both"/>
        <w:rPr>
          <w:rFonts w:ascii="Tahoma" w:hAnsi="Tahoma" w:cs="Tahoma"/>
          <w:b/>
          <w:caps/>
          <w:color w:val="0070C0"/>
          <w:sz w:val="28"/>
          <w:szCs w:val="28"/>
        </w:rPr>
      </w:pPr>
      <w:r w:rsidRPr="00F32228">
        <w:rPr>
          <w:rFonts w:ascii="Tahoma" w:hAnsi="Tahoma" w:cs="Tahoma"/>
          <w:b/>
          <w:caps/>
          <w:color w:val="0070C0"/>
          <w:sz w:val="28"/>
          <w:szCs w:val="28"/>
        </w:rPr>
        <w:t>veniturile bugetului general consolidat</w:t>
      </w:r>
    </w:p>
    <w:p w:rsidR="000F1E3F" w:rsidRPr="00F32228" w:rsidRDefault="000F1E3F" w:rsidP="00DF4DFB">
      <w:pPr>
        <w:spacing w:after="120" w:line="276" w:lineRule="auto"/>
        <w:rPr>
          <w:rFonts w:ascii="Tahoma" w:hAnsi="Tahoma" w:cs="Tahoma"/>
          <w:b/>
          <w:color w:val="0070C0"/>
          <w:sz w:val="28"/>
          <w:szCs w:val="28"/>
        </w:rPr>
      </w:pPr>
    </w:p>
    <w:p w:rsidR="00141717" w:rsidRPr="00F32228" w:rsidRDefault="00CF55E5" w:rsidP="00152E04">
      <w:pPr>
        <w:shd w:val="clear" w:color="auto" w:fill="D9D9D9" w:themeFill="background1" w:themeFillShade="D9"/>
        <w:spacing w:after="0" w:line="276" w:lineRule="auto"/>
        <w:ind w:firstLine="720"/>
        <w:jc w:val="both"/>
        <w:rPr>
          <w:rFonts w:ascii="Tahoma" w:hAnsi="Tahoma" w:cs="Tahoma"/>
          <w:sz w:val="28"/>
          <w:szCs w:val="28"/>
        </w:rPr>
      </w:pPr>
      <w:r w:rsidRPr="00F32228">
        <w:rPr>
          <w:rFonts w:ascii="Tahoma" w:hAnsi="Tahoma" w:cs="Tahoma"/>
          <w:b/>
          <w:sz w:val="28"/>
          <w:szCs w:val="28"/>
        </w:rPr>
        <w:t>Veniturile bugetului general</w:t>
      </w:r>
      <w:r w:rsidR="009D16DA" w:rsidRPr="00F32228">
        <w:rPr>
          <w:rFonts w:ascii="Tahoma" w:hAnsi="Tahoma" w:cs="Tahoma"/>
          <w:b/>
          <w:sz w:val="28"/>
          <w:szCs w:val="28"/>
        </w:rPr>
        <w:t xml:space="preserve"> consolidat</w:t>
      </w:r>
      <w:r w:rsidR="007A3AFD" w:rsidRPr="00F32228">
        <w:rPr>
          <w:rFonts w:ascii="Tahoma" w:hAnsi="Tahoma" w:cs="Tahoma"/>
          <w:sz w:val="28"/>
          <w:szCs w:val="28"/>
        </w:rPr>
        <w:t xml:space="preserve"> au însumat </w:t>
      </w:r>
      <w:r w:rsidR="00FE664F" w:rsidRPr="00F32228">
        <w:rPr>
          <w:rFonts w:ascii="Tahoma" w:hAnsi="Tahoma" w:cs="Tahoma"/>
          <w:sz w:val="28"/>
          <w:szCs w:val="28"/>
        </w:rPr>
        <w:t>74,02</w:t>
      </w:r>
      <w:r w:rsidR="007A3AFD" w:rsidRPr="00F32228">
        <w:rPr>
          <w:rFonts w:ascii="Tahoma" w:hAnsi="Tahoma" w:cs="Tahoma"/>
          <w:sz w:val="28"/>
          <w:szCs w:val="28"/>
        </w:rPr>
        <w:t>m</w:t>
      </w:r>
      <w:r w:rsidR="00713D80" w:rsidRPr="00F32228">
        <w:rPr>
          <w:rFonts w:ascii="Tahoma" w:hAnsi="Tahoma" w:cs="Tahoma"/>
          <w:sz w:val="28"/>
          <w:szCs w:val="28"/>
        </w:rPr>
        <w:t>l</w:t>
      </w:r>
      <w:r w:rsidR="007A3AFD" w:rsidRPr="00F32228">
        <w:rPr>
          <w:rFonts w:ascii="Tahoma" w:hAnsi="Tahoma" w:cs="Tahoma"/>
          <w:sz w:val="28"/>
          <w:szCs w:val="28"/>
        </w:rPr>
        <w:t>d</w:t>
      </w:r>
      <w:r w:rsidR="003C4703" w:rsidRPr="00F32228">
        <w:rPr>
          <w:rFonts w:ascii="Tahoma" w:hAnsi="Tahoma" w:cs="Tahoma"/>
          <w:sz w:val="28"/>
          <w:szCs w:val="28"/>
        </w:rPr>
        <w:t>.</w:t>
      </w:r>
      <w:r w:rsidR="009D16DA" w:rsidRPr="00F32228">
        <w:rPr>
          <w:rFonts w:ascii="Tahoma" w:hAnsi="Tahoma" w:cs="Tahoma"/>
          <w:sz w:val="28"/>
          <w:szCs w:val="28"/>
        </w:rPr>
        <w:t>lei (6,</w:t>
      </w:r>
      <w:r w:rsidR="00FE664F" w:rsidRPr="00F32228">
        <w:rPr>
          <w:rFonts w:ascii="Tahoma" w:hAnsi="Tahoma" w:cs="Tahoma"/>
          <w:sz w:val="28"/>
          <w:szCs w:val="28"/>
        </w:rPr>
        <w:t>8</w:t>
      </w:r>
      <w:r w:rsidR="009D16DA" w:rsidRPr="00F32228">
        <w:rPr>
          <w:rFonts w:ascii="Tahoma" w:hAnsi="Tahoma" w:cs="Tahoma"/>
          <w:sz w:val="28"/>
          <w:szCs w:val="28"/>
        </w:rPr>
        <w:t>% din PIB)</w:t>
      </w:r>
      <w:r w:rsidR="002F2CFC" w:rsidRPr="00F32228">
        <w:rPr>
          <w:rFonts w:ascii="Tahoma" w:hAnsi="Tahoma" w:cs="Tahoma"/>
          <w:sz w:val="28"/>
          <w:szCs w:val="28"/>
        </w:rPr>
        <w:t xml:space="preserve"> în </w:t>
      </w:r>
      <w:r w:rsidR="00FE664F" w:rsidRPr="00F32228">
        <w:rPr>
          <w:rFonts w:ascii="Tahoma" w:hAnsi="Tahoma" w:cs="Tahoma"/>
          <w:sz w:val="28"/>
          <w:szCs w:val="28"/>
        </w:rPr>
        <w:t>perioada analizată</w:t>
      </w:r>
      <w:r w:rsidR="002F2CFC" w:rsidRPr="00F32228">
        <w:rPr>
          <w:rFonts w:ascii="Tahoma" w:hAnsi="Tahoma" w:cs="Tahoma"/>
          <w:sz w:val="28"/>
          <w:szCs w:val="28"/>
        </w:rPr>
        <w:t>,</w:t>
      </w:r>
      <w:r w:rsidR="007A3AFD" w:rsidRPr="00F32228">
        <w:rPr>
          <w:rFonts w:ascii="Tahoma" w:hAnsi="Tahoma" w:cs="Tahoma"/>
          <w:sz w:val="28"/>
          <w:szCs w:val="28"/>
        </w:rPr>
        <w:t xml:space="preserve"> cu </w:t>
      </w:r>
      <w:r w:rsidR="00FE664F" w:rsidRPr="00F32228">
        <w:rPr>
          <w:rFonts w:ascii="Tahoma" w:hAnsi="Tahoma" w:cs="Tahoma"/>
          <w:sz w:val="28"/>
          <w:szCs w:val="28"/>
        </w:rPr>
        <w:t>7,2</w:t>
      </w:r>
      <w:r w:rsidR="007A3AFD" w:rsidRPr="00F32228">
        <w:rPr>
          <w:rFonts w:ascii="Tahoma" w:hAnsi="Tahoma" w:cs="Tahoma"/>
          <w:sz w:val="28"/>
          <w:szCs w:val="28"/>
        </w:rPr>
        <w:t>m</w:t>
      </w:r>
      <w:r w:rsidR="00713D80" w:rsidRPr="00F32228">
        <w:rPr>
          <w:rFonts w:ascii="Tahoma" w:hAnsi="Tahoma" w:cs="Tahoma"/>
          <w:sz w:val="28"/>
          <w:szCs w:val="28"/>
        </w:rPr>
        <w:t>l</w:t>
      </w:r>
      <w:r w:rsidR="007A3AFD" w:rsidRPr="00F32228">
        <w:rPr>
          <w:rFonts w:ascii="Tahoma" w:hAnsi="Tahoma" w:cs="Tahoma"/>
          <w:sz w:val="28"/>
          <w:szCs w:val="28"/>
        </w:rPr>
        <w:t>d</w:t>
      </w:r>
      <w:r w:rsidR="003C4703" w:rsidRPr="00F32228">
        <w:rPr>
          <w:rFonts w:ascii="Tahoma" w:hAnsi="Tahoma" w:cs="Tahoma"/>
          <w:sz w:val="28"/>
          <w:szCs w:val="28"/>
        </w:rPr>
        <w:t>.</w:t>
      </w:r>
      <w:r w:rsidR="009D16DA" w:rsidRPr="00F32228">
        <w:rPr>
          <w:rFonts w:ascii="Tahoma" w:hAnsi="Tahoma" w:cs="Tahoma"/>
          <w:sz w:val="28"/>
          <w:szCs w:val="28"/>
        </w:rPr>
        <w:t xml:space="preserve">lei sub nivelul prognozat, </w:t>
      </w:r>
      <w:r w:rsidR="00733F08" w:rsidRPr="00F32228">
        <w:rPr>
          <w:rFonts w:ascii="Tahoma" w:hAnsi="Tahoma" w:cs="Tahoma"/>
          <w:sz w:val="28"/>
          <w:szCs w:val="28"/>
        </w:rPr>
        <w:t xml:space="preserve">reflectând un </w:t>
      </w:r>
      <w:r w:rsidR="009D16DA" w:rsidRPr="00F32228">
        <w:rPr>
          <w:rFonts w:ascii="Tahoma" w:hAnsi="Tahoma" w:cs="Tahoma"/>
          <w:sz w:val="28"/>
          <w:szCs w:val="28"/>
        </w:rPr>
        <w:t xml:space="preserve">grad de realizare a programului de încasări de </w:t>
      </w:r>
      <w:r w:rsidR="00FE664F" w:rsidRPr="00F32228">
        <w:rPr>
          <w:rFonts w:ascii="Tahoma" w:hAnsi="Tahoma" w:cs="Tahoma"/>
          <w:sz w:val="28"/>
          <w:szCs w:val="28"/>
        </w:rPr>
        <w:t>91,2</w:t>
      </w:r>
      <w:r w:rsidR="009D16DA" w:rsidRPr="00F32228">
        <w:rPr>
          <w:rFonts w:ascii="Tahoma" w:hAnsi="Tahoma" w:cs="Tahoma"/>
          <w:sz w:val="28"/>
          <w:szCs w:val="28"/>
        </w:rPr>
        <w:t>%</w:t>
      </w:r>
      <w:r w:rsidR="002F2CFC" w:rsidRPr="00F32228">
        <w:rPr>
          <w:rFonts w:ascii="Tahoma" w:hAnsi="Tahoma" w:cs="Tahoma"/>
          <w:sz w:val="28"/>
          <w:szCs w:val="28"/>
        </w:rPr>
        <w:t>.</w:t>
      </w:r>
    </w:p>
    <w:p w:rsidR="006C1BA2" w:rsidRPr="00F32228" w:rsidRDefault="00DD52A5" w:rsidP="00152E04">
      <w:pPr>
        <w:tabs>
          <w:tab w:val="left" w:pos="810"/>
          <w:tab w:val="left" w:pos="1134"/>
        </w:tabs>
        <w:spacing w:before="120" w:after="120" w:line="276" w:lineRule="auto"/>
        <w:ind w:firstLine="720"/>
        <w:jc w:val="both"/>
        <w:rPr>
          <w:rFonts w:ascii="Tahoma" w:hAnsi="Tahoma" w:cs="Tahoma"/>
          <w:bCs/>
          <w:color w:val="000000"/>
          <w:sz w:val="28"/>
          <w:szCs w:val="28"/>
        </w:rPr>
      </w:pPr>
      <w:r w:rsidRPr="00F32228">
        <w:rPr>
          <w:rFonts w:ascii="Tahoma" w:hAnsi="Tahoma" w:cs="Tahoma"/>
          <w:bCs/>
          <w:color w:val="000000"/>
          <w:sz w:val="28"/>
          <w:szCs w:val="28"/>
        </w:rPr>
        <w:t>Comparativ cu încasările trimestru</w:t>
      </w:r>
      <w:r w:rsidR="00C51FB2" w:rsidRPr="00F32228">
        <w:rPr>
          <w:rFonts w:ascii="Tahoma" w:hAnsi="Tahoma" w:cs="Tahoma"/>
          <w:bCs/>
          <w:color w:val="000000"/>
          <w:sz w:val="28"/>
          <w:szCs w:val="28"/>
        </w:rPr>
        <w:t xml:space="preserve">lui al II-lea </w:t>
      </w:r>
      <w:r w:rsidRPr="00F32228">
        <w:rPr>
          <w:rFonts w:ascii="Tahoma" w:hAnsi="Tahoma" w:cs="Tahoma"/>
          <w:bCs/>
          <w:color w:val="000000"/>
          <w:sz w:val="28"/>
          <w:szCs w:val="28"/>
        </w:rPr>
        <w:t xml:space="preserve">al anului 2019, </w:t>
      </w:r>
      <w:r w:rsidR="002F2CFC" w:rsidRPr="00F32228">
        <w:rPr>
          <w:rFonts w:ascii="Tahoma" w:hAnsi="Tahoma" w:cs="Tahoma"/>
          <w:bCs/>
          <w:color w:val="000000"/>
          <w:sz w:val="28"/>
          <w:szCs w:val="28"/>
        </w:rPr>
        <w:t xml:space="preserve">veniturile totale au </w:t>
      </w:r>
      <w:r w:rsidR="00C51FB2" w:rsidRPr="00F32228">
        <w:rPr>
          <w:rFonts w:ascii="Tahoma" w:hAnsi="Tahoma" w:cs="Tahoma"/>
          <w:bCs/>
          <w:color w:val="000000"/>
          <w:sz w:val="28"/>
          <w:szCs w:val="28"/>
        </w:rPr>
        <w:t xml:space="preserve">crescut </w:t>
      </w:r>
      <w:r w:rsidR="009D16DA" w:rsidRPr="00F32228">
        <w:rPr>
          <w:rFonts w:ascii="Tahoma" w:hAnsi="Tahoma" w:cs="Tahoma"/>
          <w:bCs/>
          <w:color w:val="000000"/>
          <w:sz w:val="28"/>
          <w:szCs w:val="28"/>
        </w:rPr>
        <w:t xml:space="preserve">cu </w:t>
      </w:r>
      <w:r w:rsidR="00C51FB2" w:rsidRPr="00F32228">
        <w:rPr>
          <w:rFonts w:ascii="Tahoma" w:hAnsi="Tahoma" w:cs="Tahoma"/>
          <w:bCs/>
          <w:color w:val="000000"/>
          <w:sz w:val="28"/>
          <w:szCs w:val="28"/>
        </w:rPr>
        <w:t>0,1</w:t>
      </w:r>
      <w:r w:rsidR="009D16DA" w:rsidRPr="00F32228">
        <w:rPr>
          <w:rFonts w:ascii="Tahoma" w:hAnsi="Tahoma" w:cs="Tahoma"/>
          <w:bCs/>
          <w:color w:val="000000"/>
          <w:sz w:val="28"/>
          <w:szCs w:val="28"/>
        </w:rPr>
        <w:t>%,</w:t>
      </w:r>
      <w:r w:rsidR="006C1BA2" w:rsidRPr="00F32228">
        <w:rPr>
          <w:rFonts w:ascii="Tahoma" w:hAnsi="Tahoma" w:cs="Tahoma"/>
          <w:bCs/>
          <w:color w:val="000000"/>
          <w:sz w:val="28"/>
          <w:szCs w:val="28"/>
        </w:rPr>
        <w:t xml:space="preserve"> ace</w:t>
      </w:r>
      <w:r w:rsidR="003C5108" w:rsidRPr="00F32228">
        <w:rPr>
          <w:rFonts w:ascii="Tahoma" w:hAnsi="Tahoma" w:cs="Tahoma"/>
          <w:bCs/>
          <w:color w:val="000000"/>
          <w:sz w:val="28"/>
          <w:szCs w:val="28"/>
        </w:rPr>
        <w:t>a</w:t>
      </w:r>
      <w:r w:rsidR="006C1BA2" w:rsidRPr="00F32228">
        <w:rPr>
          <w:rFonts w:ascii="Tahoma" w:hAnsi="Tahoma" w:cs="Tahoma"/>
          <w:bCs/>
          <w:color w:val="000000"/>
          <w:sz w:val="28"/>
          <w:szCs w:val="28"/>
        </w:rPr>
        <w:t xml:space="preserve">stă evoluție fiind realizată în contextul în care de la instituirea, începând cu luna martie, </w:t>
      </w:r>
      <w:r w:rsidR="00F318A7" w:rsidRPr="00F32228">
        <w:rPr>
          <w:rFonts w:ascii="Tahoma" w:hAnsi="Tahoma" w:cs="Tahoma"/>
          <w:bCs/>
          <w:color w:val="000000"/>
          <w:sz w:val="28"/>
          <w:szCs w:val="28"/>
        </w:rPr>
        <w:t xml:space="preserve">a </w:t>
      </w:r>
      <w:r w:rsidR="006C1BA2" w:rsidRPr="00F32228">
        <w:rPr>
          <w:rFonts w:ascii="Tahoma" w:hAnsi="Tahoma" w:cs="Tahoma"/>
          <w:bCs/>
          <w:color w:val="000000"/>
          <w:sz w:val="28"/>
          <w:szCs w:val="28"/>
        </w:rPr>
        <w:t>stării de urgență</w:t>
      </w:r>
      <w:r w:rsidR="00F318A7" w:rsidRPr="00F32228">
        <w:rPr>
          <w:rFonts w:ascii="Tahoma" w:hAnsi="Tahoma" w:cs="Tahoma"/>
          <w:bCs/>
          <w:color w:val="000000"/>
          <w:sz w:val="28"/>
          <w:szCs w:val="28"/>
        </w:rPr>
        <w:t>,</w:t>
      </w:r>
      <w:r w:rsidR="006C1BA2" w:rsidRPr="00F32228">
        <w:rPr>
          <w:rFonts w:ascii="Tahoma" w:hAnsi="Tahoma" w:cs="Tahoma"/>
          <w:bCs/>
          <w:color w:val="000000"/>
          <w:sz w:val="28"/>
          <w:szCs w:val="28"/>
        </w:rPr>
        <w:t xml:space="preserve"> respectiv a stării </w:t>
      </w:r>
      <w:r w:rsidR="006C1BA2" w:rsidRPr="00F32228">
        <w:rPr>
          <w:rFonts w:ascii="Tahoma" w:hAnsi="Tahoma" w:cs="Tahoma"/>
          <w:bCs/>
          <w:color w:val="000000"/>
          <w:sz w:val="28"/>
          <w:szCs w:val="28"/>
        </w:rPr>
        <w:lastRenderedPageBreak/>
        <w:t>de alertă se poate observa un efect negativ asupra colectării veniturilor</w:t>
      </w:r>
      <w:r w:rsidR="00F318A7" w:rsidRPr="00F32228">
        <w:rPr>
          <w:rFonts w:ascii="Tahoma" w:hAnsi="Tahoma" w:cs="Tahoma"/>
          <w:bCs/>
          <w:color w:val="000000"/>
          <w:sz w:val="28"/>
          <w:szCs w:val="28"/>
        </w:rPr>
        <w:t>,</w:t>
      </w:r>
      <w:r w:rsidR="006C1BA2" w:rsidRPr="00F32228">
        <w:rPr>
          <w:rFonts w:ascii="Tahoma" w:hAnsi="Tahoma" w:cs="Tahoma"/>
          <w:bCs/>
          <w:color w:val="000000"/>
          <w:sz w:val="28"/>
          <w:szCs w:val="28"/>
        </w:rPr>
        <w:t xml:space="preserve"> urmare a aprobării unor măsuri fiscale menite să îi sprijine pe contribuabili în contextul efectelor generate de pandemia COVID-19 (amânarea unor termene de plată, bonificații sau scutiri pentru anumite obligații fiscale).</w:t>
      </w:r>
    </w:p>
    <w:p w:rsidR="00DD52A5" w:rsidRPr="00F32228" w:rsidRDefault="00DD52A5" w:rsidP="00152E04">
      <w:pPr>
        <w:tabs>
          <w:tab w:val="left" w:pos="810"/>
          <w:tab w:val="left" w:pos="1134"/>
        </w:tabs>
        <w:spacing w:before="240" w:line="276" w:lineRule="auto"/>
        <w:ind w:firstLine="720"/>
        <w:jc w:val="both"/>
        <w:rPr>
          <w:rFonts w:ascii="Tahoma" w:hAnsi="Tahoma" w:cs="Tahoma"/>
          <w:sz w:val="28"/>
          <w:szCs w:val="28"/>
        </w:rPr>
      </w:pPr>
      <w:r w:rsidRPr="00F32228">
        <w:rPr>
          <w:rFonts w:ascii="Tahoma" w:hAnsi="Tahoma" w:cs="Tahoma"/>
          <w:b/>
          <w:bCs/>
          <w:sz w:val="28"/>
          <w:szCs w:val="28"/>
        </w:rPr>
        <w:t>Veniturile încasatedin economia internă</w:t>
      </w:r>
      <w:r w:rsidRPr="00F32228">
        <w:rPr>
          <w:rFonts w:ascii="Tahoma" w:hAnsi="Tahoma" w:cs="Tahoma"/>
          <w:sz w:val="28"/>
          <w:szCs w:val="28"/>
        </w:rPr>
        <w:t xml:space="preserve"> (fără fonduri de la Uniunea Europeană) au fost în sumă de </w:t>
      </w:r>
      <w:r w:rsidRPr="00F32228">
        <w:rPr>
          <w:rFonts w:ascii="Tahoma" w:hAnsi="Tahoma" w:cs="Tahoma"/>
          <w:bCs/>
          <w:sz w:val="28"/>
          <w:szCs w:val="28"/>
        </w:rPr>
        <w:t>68</w:t>
      </w:r>
      <w:r w:rsidR="007A3AFD" w:rsidRPr="00F32228">
        <w:rPr>
          <w:rFonts w:ascii="Tahoma" w:hAnsi="Tahoma" w:cs="Tahoma"/>
          <w:bCs/>
          <w:sz w:val="28"/>
          <w:szCs w:val="28"/>
        </w:rPr>
        <w:t>,</w:t>
      </w:r>
      <w:r w:rsidR="006C1BA2" w:rsidRPr="00F32228">
        <w:rPr>
          <w:rFonts w:ascii="Tahoma" w:hAnsi="Tahoma" w:cs="Tahoma"/>
          <w:bCs/>
          <w:sz w:val="28"/>
          <w:szCs w:val="28"/>
        </w:rPr>
        <w:t>9</w:t>
      </w:r>
      <w:r w:rsidR="007A3AFD" w:rsidRPr="00F32228">
        <w:rPr>
          <w:rFonts w:ascii="Tahoma" w:hAnsi="Tahoma" w:cs="Tahoma"/>
          <w:bCs/>
          <w:sz w:val="28"/>
          <w:szCs w:val="28"/>
        </w:rPr>
        <w:t>m</w:t>
      </w:r>
      <w:r w:rsidR="00713D80" w:rsidRPr="00F32228">
        <w:rPr>
          <w:rFonts w:ascii="Tahoma" w:hAnsi="Tahoma" w:cs="Tahoma"/>
          <w:bCs/>
          <w:sz w:val="28"/>
          <w:szCs w:val="28"/>
        </w:rPr>
        <w:t>l</w:t>
      </w:r>
      <w:r w:rsidR="007A3AFD" w:rsidRPr="00F32228">
        <w:rPr>
          <w:rFonts w:ascii="Tahoma" w:hAnsi="Tahoma" w:cs="Tahoma"/>
          <w:bCs/>
          <w:sz w:val="28"/>
          <w:szCs w:val="28"/>
        </w:rPr>
        <w:t>d</w:t>
      </w:r>
      <w:r w:rsidR="003C4703" w:rsidRPr="00F32228">
        <w:rPr>
          <w:rFonts w:ascii="Tahoma" w:hAnsi="Tahoma" w:cs="Tahoma"/>
          <w:bCs/>
          <w:sz w:val="28"/>
          <w:szCs w:val="28"/>
        </w:rPr>
        <w:t>.</w:t>
      </w:r>
      <w:r w:rsidRPr="00F32228">
        <w:rPr>
          <w:rFonts w:ascii="Tahoma" w:hAnsi="Tahoma" w:cs="Tahoma"/>
          <w:bCs/>
          <w:sz w:val="28"/>
          <w:szCs w:val="28"/>
        </w:rPr>
        <w:t>lei,</w:t>
      </w:r>
      <w:r w:rsidRPr="00F32228">
        <w:rPr>
          <w:rFonts w:ascii="Tahoma" w:hAnsi="Tahoma" w:cs="Tahoma"/>
          <w:sz w:val="28"/>
          <w:szCs w:val="28"/>
        </w:rPr>
        <w:t>reprezentând 6,</w:t>
      </w:r>
      <w:r w:rsidR="006C1BA2" w:rsidRPr="00F32228">
        <w:rPr>
          <w:rFonts w:ascii="Tahoma" w:hAnsi="Tahoma" w:cs="Tahoma"/>
          <w:sz w:val="28"/>
          <w:szCs w:val="28"/>
        </w:rPr>
        <w:t>4</w:t>
      </w:r>
      <w:r w:rsidRPr="00F32228">
        <w:rPr>
          <w:rFonts w:ascii="Tahoma" w:hAnsi="Tahoma" w:cs="Tahoma"/>
          <w:sz w:val="28"/>
          <w:szCs w:val="28"/>
        </w:rPr>
        <w:t xml:space="preserve">% ca pondere în PIB </w:t>
      </w:r>
      <w:r w:rsidR="009D16DA" w:rsidRPr="00F32228">
        <w:rPr>
          <w:rFonts w:ascii="Tahoma" w:hAnsi="Tahoma" w:cs="Tahoma"/>
          <w:sz w:val="28"/>
          <w:szCs w:val="28"/>
        </w:rPr>
        <w:t>și</w:t>
      </w:r>
      <w:r w:rsidRPr="00F32228">
        <w:rPr>
          <w:rFonts w:ascii="Tahoma" w:hAnsi="Tahoma" w:cs="Tahoma"/>
          <w:sz w:val="28"/>
          <w:szCs w:val="28"/>
        </w:rPr>
        <w:t xml:space="preserve"> un grad de realizare a programului trimestrial de </w:t>
      </w:r>
      <w:r w:rsidR="006C1BA2" w:rsidRPr="00F32228">
        <w:rPr>
          <w:rFonts w:ascii="Tahoma" w:hAnsi="Tahoma" w:cs="Tahoma"/>
          <w:sz w:val="28"/>
          <w:szCs w:val="28"/>
        </w:rPr>
        <w:t>90,8</w:t>
      </w:r>
      <w:r w:rsidRPr="00F32228">
        <w:rPr>
          <w:rFonts w:ascii="Tahoma" w:hAnsi="Tahoma" w:cs="Tahoma"/>
          <w:sz w:val="28"/>
          <w:szCs w:val="28"/>
        </w:rPr>
        <w:t>%.</w:t>
      </w:r>
    </w:p>
    <w:p w:rsidR="00187781" w:rsidRPr="00F32228" w:rsidRDefault="006C1BA2" w:rsidP="00187781">
      <w:pPr>
        <w:tabs>
          <w:tab w:val="left" w:pos="810"/>
          <w:tab w:val="left" w:pos="1134"/>
        </w:tabs>
        <w:spacing w:before="240"/>
        <w:jc w:val="both"/>
        <w:rPr>
          <w:rFonts w:ascii="Tahoma" w:hAnsi="Tahoma" w:cs="Tahoma"/>
          <w:sz w:val="24"/>
          <w:szCs w:val="24"/>
        </w:rPr>
      </w:pPr>
      <w:r w:rsidRPr="00F32228">
        <w:rPr>
          <w:rFonts w:ascii="Tahoma" w:hAnsi="Tahoma" w:cs="Tahoma"/>
          <w:noProof/>
          <w:sz w:val="24"/>
          <w:szCs w:val="24"/>
          <w:lang w:eastAsia="ro-RO"/>
        </w:rPr>
        <w:drawing>
          <wp:inline distT="0" distB="0" distL="0" distR="0">
            <wp:extent cx="6304915" cy="2488018"/>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19076" cy="2493606"/>
                    </a:xfrm>
                    <a:prstGeom prst="rect">
                      <a:avLst/>
                    </a:prstGeom>
                    <a:noFill/>
                  </pic:spPr>
                </pic:pic>
              </a:graphicData>
            </a:graphic>
          </wp:inline>
        </w:drawing>
      </w:r>
    </w:p>
    <w:p w:rsidR="00DD52A5" w:rsidRPr="00F32228" w:rsidRDefault="00DD52A5" w:rsidP="00152E04">
      <w:pPr>
        <w:pStyle w:val="NormalWeb"/>
        <w:shd w:val="clear" w:color="auto" w:fill="FFFFFF"/>
        <w:tabs>
          <w:tab w:val="left" w:pos="142"/>
        </w:tabs>
        <w:spacing w:before="120" w:after="120"/>
        <w:ind w:firstLine="720"/>
        <w:rPr>
          <w:rFonts w:ascii="Tahoma" w:hAnsi="Tahoma" w:cs="Tahoma"/>
          <w:color w:val="auto"/>
          <w:sz w:val="28"/>
          <w:szCs w:val="28"/>
          <w:lang w:val="ro-RO"/>
        </w:rPr>
      </w:pPr>
      <w:r w:rsidRPr="00F32228">
        <w:rPr>
          <w:rFonts w:ascii="Tahoma" w:hAnsi="Tahoma" w:cs="Tahoma"/>
          <w:b/>
          <w:bCs/>
          <w:color w:val="00000A"/>
          <w:sz w:val="28"/>
          <w:szCs w:val="28"/>
          <w:lang w:val="ro-RO"/>
        </w:rPr>
        <w:t>Veniturile fiscale</w:t>
      </w:r>
      <w:r w:rsidRPr="00F32228">
        <w:rPr>
          <w:rFonts w:ascii="Tahoma" w:hAnsi="Tahoma" w:cs="Tahoma"/>
          <w:color w:val="00000A"/>
          <w:sz w:val="28"/>
          <w:szCs w:val="28"/>
          <w:lang w:val="ro-RO"/>
        </w:rPr>
        <w:t xml:space="preserve"> au </w:t>
      </w:r>
      <w:r w:rsidR="00C06FA2" w:rsidRPr="00F32228">
        <w:rPr>
          <w:rFonts w:ascii="Tahoma" w:hAnsi="Tahoma" w:cs="Tahoma"/>
          <w:color w:val="00000A"/>
          <w:sz w:val="28"/>
          <w:szCs w:val="28"/>
          <w:lang w:val="ro-RO"/>
        </w:rPr>
        <w:t>însumat</w:t>
      </w:r>
      <w:r w:rsidR="006C1BA2" w:rsidRPr="00F32228">
        <w:rPr>
          <w:rFonts w:ascii="Tahoma" w:hAnsi="Tahoma" w:cs="Tahoma"/>
          <w:color w:val="00000A"/>
          <w:sz w:val="28"/>
          <w:szCs w:val="28"/>
          <w:lang w:val="ro-RO"/>
        </w:rPr>
        <w:t>34,98</w:t>
      </w:r>
      <w:r w:rsidR="00595DE7" w:rsidRPr="00F32228">
        <w:rPr>
          <w:rFonts w:ascii="Tahoma" w:hAnsi="Tahoma" w:cs="Tahoma"/>
          <w:color w:val="00000A"/>
          <w:sz w:val="28"/>
          <w:szCs w:val="28"/>
          <w:lang w:val="ro-RO"/>
        </w:rPr>
        <w:t>m</w:t>
      </w:r>
      <w:r w:rsidR="00713D80" w:rsidRPr="00F32228">
        <w:rPr>
          <w:rFonts w:ascii="Tahoma" w:hAnsi="Tahoma" w:cs="Tahoma"/>
          <w:color w:val="00000A"/>
          <w:sz w:val="28"/>
          <w:szCs w:val="28"/>
          <w:lang w:val="ro-RO"/>
        </w:rPr>
        <w:t>l</w:t>
      </w:r>
      <w:r w:rsidR="00595DE7" w:rsidRPr="00F32228">
        <w:rPr>
          <w:rFonts w:ascii="Tahoma" w:hAnsi="Tahoma" w:cs="Tahoma"/>
          <w:color w:val="00000A"/>
          <w:sz w:val="28"/>
          <w:szCs w:val="28"/>
          <w:lang w:val="ro-RO"/>
        </w:rPr>
        <w:t>d</w:t>
      </w:r>
      <w:r w:rsidR="003C4703" w:rsidRPr="00F32228">
        <w:rPr>
          <w:rFonts w:ascii="Tahoma" w:hAnsi="Tahoma" w:cs="Tahoma"/>
          <w:color w:val="00000A"/>
          <w:sz w:val="28"/>
          <w:szCs w:val="28"/>
          <w:lang w:val="ro-RO"/>
        </w:rPr>
        <w:t>.</w:t>
      </w:r>
      <w:r w:rsidRPr="00F32228">
        <w:rPr>
          <w:rFonts w:ascii="Tahoma" w:hAnsi="Tahoma" w:cs="Tahoma"/>
          <w:color w:val="00000A"/>
          <w:sz w:val="28"/>
          <w:szCs w:val="28"/>
          <w:lang w:val="ro-RO"/>
        </w:rPr>
        <w:t xml:space="preserve">lei și s-au realizat în proporție de </w:t>
      </w:r>
      <w:r w:rsidR="006C1BA2" w:rsidRPr="00F32228">
        <w:rPr>
          <w:rFonts w:ascii="Tahoma" w:hAnsi="Tahoma" w:cs="Tahoma"/>
          <w:color w:val="00000A"/>
          <w:sz w:val="28"/>
          <w:szCs w:val="28"/>
          <w:lang w:val="ro-RO"/>
        </w:rPr>
        <w:t>94,2</w:t>
      </w:r>
      <w:r w:rsidRPr="00F32228">
        <w:rPr>
          <w:rFonts w:ascii="Tahoma" w:hAnsi="Tahoma" w:cs="Tahoma"/>
          <w:color w:val="00000A"/>
          <w:sz w:val="28"/>
          <w:szCs w:val="28"/>
          <w:lang w:val="ro-RO"/>
        </w:rPr>
        <w:t>%. Acestea au reprezentat 3,</w:t>
      </w:r>
      <w:r w:rsidR="006C1BA2" w:rsidRPr="00F32228">
        <w:rPr>
          <w:rFonts w:ascii="Tahoma" w:hAnsi="Tahoma" w:cs="Tahoma"/>
          <w:color w:val="00000A"/>
          <w:sz w:val="28"/>
          <w:szCs w:val="28"/>
          <w:lang w:val="ro-RO"/>
        </w:rPr>
        <w:t>2</w:t>
      </w:r>
      <w:r w:rsidRPr="00F32228">
        <w:rPr>
          <w:rFonts w:ascii="Tahoma" w:hAnsi="Tahoma" w:cs="Tahoma"/>
          <w:color w:val="00000A"/>
          <w:sz w:val="28"/>
          <w:szCs w:val="28"/>
          <w:lang w:val="ro-RO"/>
        </w:rPr>
        <w:t xml:space="preserve">% din PIB, </w:t>
      </w:r>
      <w:r w:rsidRPr="00F32228">
        <w:rPr>
          <w:rFonts w:ascii="Tahoma" w:hAnsi="Tahoma" w:cs="Tahoma"/>
          <w:color w:val="auto"/>
          <w:sz w:val="28"/>
          <w:szCs w:val="28"/>
          <w:lang w:val="ro-RO"/>
        </w:rPr>
        <w:t xml:space="preserve">fiind cu </w:t>
      </w:r>
      <w:r w:rsidR="006C1BA2" w:rsidRPr="00F32228">
        <w:rPr>
          <w:rFonts w:ascii="Tahoma" w:hAnsi="Tahoma" w:cs="Tahoma"/>
          <w:color w:val="auto"/>
          <w:sz w:val="28"/>
          <w:szCs w:val="28"/>
          <w:lang w:val="ro-RO"/>
        </w:rPr>
        <w:t>4,8</w:t>
      </w:r>
      <w:r w:rsidRPr="00F32228">
        <w:rPr>
          <w:rFonts w:ascii="Tahoma" w:hAnsi="Tahoma" w:cs="Tahoma"/>
          <w:color w:val="auto"/>
          <w:sz w:val="28"/>
          <w:szCs w:val="28"/>
          <w:lang w:val="ro-RO"/>
        </w:rPr>
        <w:t xml:space="preserve">% mai </w:t>
      </w:r>
      <w:r w:rsidR="006C1BA2" w:rsidRPr="00F32228">
        <w:rPr>
          <w:rFonts w:ascii="Tahoma" w:hAnsi="Tahoma" w:cs="Tahoma"/>
          <w:color w:val="auto"/>
          <w:sz w:val="28"/>
          <w:szCs w:val="28"/>
          <w:lang w:val="ro-RO"/>
        </w:rPr>
        <w:t>mari</w:t>
      </w:r>
      <w:r w:rsidRPr="00F32228">
        <w:rPr>
          <w:rFonts w:ascii="Tahoma" w:hAnsi="Tahoma" w:cs="Tahoma"/>
          <w:color w:val="auto"/>
          <w:sz w:val="28"/>
          <w:szCs w:val="28"/>
          <w:lang w:val="ro-RO"/>
        </w:rPr>
        <w:t xml:space="preserve"> comparativ cu încasările trimestru</w:t>
      </w:r>
      <w:r w:rsidR="006C1BA2" w:rsidRPr="00F32228">
        <w:rPr>
          <w:rFonts w:ascii="Tahoma" w:hAnsi="Tahoma" w:cs="Tahoma"/>
          <w:color w:val="auto"/>
          <w:sz w:val="28"/>
          <w:szCs w:val="28"/>
          <w:lang w:val="ro-RO"/>
        </w:rPr>
        <w:t xml:space="preserve">lui al II-lea </w:t>
      </w:r>
      <w:r w:rsidRPr="00F32228">
        <w:rPr>
          <w:rFonts w:ascii="Tahoma" w:hAnsi="Tahoma" w:cs="Tahoma"/>
          <w:color w:val="auto"/>
          <w:sz w:val="28"/>
          <w:szCs w:val="28"/>
          <w:lang w:val="ro-RO"/>
        </w:rPr>
        <w:t>al anului 2019.</w:t>
      </w:r>
    </w:p>
    <w:p w:rsidR="00620465" w:rsidRPr="00F32228" w:rsidRDefault="006C1BA2" w:rsidP="009D16DA">
      <w:pPr>
        <w:pStyle w:val="NormalWeb"/>
        <w:shd w:val="clear" w:color="auto" w:fill="FFFFFF"/>
        <w:tabs>
          <w:tab w:val="left" w:pos="142"/>
        </w:tabs>
        <w:spacing w:before="280"/>
        <w:ind w:right="-57" w:firstLine="0"/>
        <w:rPr>
          <w:rFonts w:ascii="Tahoma" w:hAnsi="Tahoma" w:cs="Tahoma"/>
          <w:color w:val="auto"/>
          <w:lang w:val="ro-RO"/>
        </w:rPr>
      </w:pPr>
      <w:r w:rsidRPr="00F32228">
        <w:rPr>
          <w:rFonts w:ascii="Tahoma" w:hAnsi="Tahoma" w:cs="Tahoma"/>
          <w:noProof/>
          <w:color w:val="auto"/>
          <w:lang w:val="ro-RO" w:eastAsia="ro-RO"/>
        </w:rPr>
        <w:lastRenderedPageBreak/>
        <w:drawing>
          <wp:inline distT="0" distB="0" distL="0" distR="0">
            <wp:extent cx="6299386" cy="282826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340281" cy="2846622"/>
                    </a:xfrm>
                    <a:prstGeom prst="rect">
                      <a:avLst/>
                    </a:prstGeom>
                    <a:noFill/>
                  </pic:spPr>
                </pic:pic>
              </a:graphicData>
            </a:graphic>
          </wp:inline>
        </w:drawing>
      </w:r>
    </w:p>
    <w:p w:rsidR="00DD52A5" w:rsidRPr="00F32228" w:rsidRDefault="00222906" w:rsidP="00DF4DFB">
      <w:pPr>
        <w:pStyle w:val="NormalWeb"/>
        <w:shd w:val="clear" w:color="auto" w:fill="FFFFFF"/>
        <w:spacing w:before="120" w:after="120"/>
        <w:ind w:firstLine="720"/>
        <w:rPr>
          <w:rFonts w:ascii="Tahoma" w:hAnsi="Tahoma" w:cs="Tahoma"/>
          <w:color w:val="00000A"/>
          <w:sz w:val="28"/>
          <w:szCs w:val="28"/>
          <w:lang w:val="ro-RO"/>
        </w:rPr>
      </w:pPr>
      <w:r w:rsidRPr="00F32228">
        <w:rPr>
          <w:rFonts w:ascii="Tahoma" w:hAnsi="Tahoma" w:cs="Tahoma"/>
          <w:sz w:val="28"/>
          <w:szCs w:val="28"/>
          <w:lang w:val="ro-RO"/>
        </w:rPr>
        <w:t>În</w:t>
      </w:r>
      <w:r w:rsidR="0079445D" w:rsidRPr="00F32228">
        <w:rPr>
          <w:rFonts w:ascii="Tahoma" w:hAnsi="Tahoma" w:cs="Tahoma"/>
          <w:sz w:val="28"/>
          <w:szCs w:val="28"/>
          <w:lang w:val="ro-RO"/>
        </w:rPr>
        <w:t xml:space="preserve"> trimestru</w:t>
      </w:r>
      <w:r w:rsidR="00EE29D6" w:rsidRPr="00F32228">
        <w:rPr>
          <w:rFonts w:ascii="Tahoma" w:hAnsi="Tahoma" w:cs="Tahoma"/>
          <w:sz w:val="28"/>
          <w:szCs w:val="28"/>
          <w:lang w:val="ro-RO"/>
        </w:rPr>
        <w:t xml:space="preserve">l al II-lea </w:t>
      </w:r>
      <w:r w:rsidR="008849D9" w:rsidRPr="00F32228">
        <w:rPr>
          <w:rFonts w:ascii="Tahoma" w:hAnsi="Tahoma" w:cs="Tahoma"/>
          <w:sz w:val="28"/>
          <w:szCs w:val="28"/>
          <w:lang w:val="ro-RO"/>
        </w:rPr>
        <w:t>al anului 2020</w:t>
      </w:r>
      <w:r w:rsidR="0079445D" w:rsidRPr="00F32228">
        <w:rPr>
          <w:rFonts w:ascii="Tahoma" w:hAnsi="Tahoma" w:cs="Tahoma"/>
          <w:sz w:val="28"/>
          <w:szCs w:val="28"/>
          <w:lang w:val="ro-RO"/>
        </w:rPr>
        <w:t>, î</w:t>
      </w:r>
      <w:r w:rsidR="00DD52A5" w:rsidRPr="00F32228">
        <w:rPr>
          <w:rFonts w:ascii="Tahoma" w:hAnsi="Tahoma" w:cs="Tahoma"/>
          <w:sz w:val="28"/>
          <w:szCs w:val="28"/>
          <w:lang w:val="ro-RO"/>
        </w:rPr>
        <w:t>ncasările pe principalele categorii de impoziteau înregistrat următoarea evoluție:</w:t>
      </w:r>
    </w:p>
    <w:p w:rsidR="00EE29D6" w:rsidRPr="00F32228" w:rsidRDefault="00EE29D6" w:rsidP="00DF4DFB">
      <w:pPr>
        <w:spacing w:after="0" w:line="276" w:lineRule="auto"/>
        <w:ind w:firstLine="720"/>
        <w:jc w:val="both"/>
        <w:rPr>
          <w:rFonts w:ascii="Tahoma" w:eastAsia="Calibri" w:hAnsi="Tahoma" w:cs="Tahoma"/>
          <w:kern w:val="1"/>
          <w:sz w:val="28"/>
          <w:szCs w:val="28"/>
        </w:rPr>
      </w:pPr>
      <w:r w:rsidRPr="00F32228">
        <w:rPr>
          <w:rFonts w:ascii="Tahoma" w:eastAsia="Times New Roman" w:hAnsi="Tahoma" w:cs="Tahoma"/>
          <w:b/>
          <w:noProof/>
          <w:sz w:val="28"/>
          <w:szCs w:val="28"/>
          <w:lang w:eastAsia="ro-RO"/>
        </w:rPr>
        <w:t>Încasările din impozitul pe profit</w:t>
      </w:r>
      <w:r w:rsidRPr="00F32228">
        <w:rPr>
          <w:rFonts w:ascii="Tahoma" w:eastAsia="Times New Roman" w:hAnsi="Tahoma" w:cs="Tahoma"/>
          <w:noProof/>
          <w:sz w:val="28"/>
          <w:szCs w:val="28"/>
          <w:lang w:eastAsia="ro-RO"/>
        </w:rPr>
        <w:t xml:space="preserve"> în trimestrul II 2020 de 4,7 mld. lei,</w:t>
      </w:r>
      <w:r w:rsidRPr="00F32228">
        <w:rPr>
          <w:rFonts w:ascii="Tahoma" w:eastAsia="Calibri" w:hAnsi="Tahoma" w:cs="Tahoma"/>
          <w:kern w:val="1"/>
          <w:sz w:val="28"/>
          <w:szCs w:val="28"/>
        </w:rPr>
        <w:t xml:space="preserve"> în creștere cu 19,0% comparativ cu aceeași perioadă a anului precedent, înregistrează un grad de realizare față de programul stabilit pentru această perioadă de 94,0% (-0,3 mld. lei).</w:t>
      </w:r>
    </w:p>
    <w:p w:rsidR="00EE29D6" w:rsidRPr="00F32228" w:rsidRDefault="00EE29D6" w:rsidP="00DF4DFB">
      <w:pPr>
        <w:spacing w:after="0" w:line="276" w:lineRule="auto"/>
        <w:ind w:firstLine="720"/>
        <w:jc w:val="both"/>
        <w:rPr>
          <w:rFonts w:ascii="Tahoma" w:eastAsia="Times New Roman" w:hAnsi="Tahoma" w:cs="Tahoma"/>
          <w:noProof/>
          <w:sz w:val="28"/>
          <w:szCs w:val="28"/>
          <w:lang w:eastAsia="ro-RO"/>
        </w:rPr>
      </w:pPr>
      <w:r w:rsidRPr="00F32228">
        <w:rPr>
          <w:rFonts w:ascii="Tahoma" w:eastAsia="Times New Roman" w:hAnsi="Tahoma" w:cs="Tahoma"/>
          <w:noProof/>
          <w:sz w:val="28"/>
          <w:szCs w:val="28"/>
          <w:lang w:eastAsia="ro-RO"/>
        </w:rPr>
        <w:t>Evoluția impozitului pe profit în structură este următoarea:</w:t>
      </w:r>
    </w:p>
    <w:p w:rsidR="00EE29D6" w:rsidRPr="00F32228" w:rsidRDefault="00EE29D6" w:rsidP="00DF4DFB">
      <w:pPr>
        <w:spacing w:after="0" w:line="276" w:lineRule="auto"/>
        <w:jc w:val="both"/>
        <w:rPr>
          <w:rFonts w:ascii="Tahoma" w:eastAsia="Times New Roman" w:hAnsi="Tahoma" w:cs="Tahoma"/>
          <w:noProof/>
          <w:sz w:val="28"/>
          <w:szCs w:val="28"/>
          <w:lang w:eastAsia="ro-RO"/>
        </w:rPr>
      </w:pPr>
    </w:p>
    <w:p w:rsidR="00EE29D6" w:rsidRPr="00F32228" w:rsidRDefault="00EE29D6" w:rsidP="00DF4DFB">
      <w:pPr>
        <w:numPr>
          <w:ilvl w:val="0"/>
          <w:numId w:val="10"/>
        </w:numPr>
        <w:suppressAutoHyphens/>
        <w:spacing w:after="0" w:line="276" w:lineRule="auto"/>
        <w:ind w:left="1440" w:hanging="720"/>
        <w:jc w:val="both"/>
        <w:rPr>
          <w:rFonts w:ascii="Tahoma" w:eastAsia="Times New Roman" w:hAnsi="Tahoma" w:cs="Tahoma"/>
          <w:noProof/>
          <w:sz w:val="28"/>
          <w:szCs w:val="28"/>
          <w:lang w:eastAsia="ro-RO"/>
        </w:rPr>
      </w:pPr>
      <w:r w:rsidRPr="00F32228">
        <w:rPr>
          <w:rFonts w:ascii="Tahoma" w:eastAsia="Times New Roman" w:hAnsi="Tahoma" w:cs="Tahoma"/>
          <w:b/>
          <w:noProof/>
          <w:sz w:val="28"/>
          <w:szCs w:val="28"/>
          <w:lang w:eastAsia="ro-RO"/>
        </w:rPr>
        <w:t>impozitul pe profit virat de agenții economici</w:t>
      </w:r>
      <w:r w:rsidRPr="00F32228">
        <w:rPr>
          <w:rFonts w:ascii="Tahoma" w:eastAsia="Times New Roman" w:hAnsi="Tahoma" w:cs="Tahoma"/>
          <w:noProof/>
          <w:sz w:val="28"/>
          <w:szCs w:val="28"/>
          <w:vertAlign w:val="superscript"/>
          <w:lang w:eastAsia="ro-RO"/>
        </w:rPr>
        <w:footnoteReference w:id="2"/>
      </w:r>
      <w:r w:rsidRPr="00F32228">
        <w:rPr>
          <w:rFonts w:ascii="Tahoma" w:eastAsia="Times New Roman" w:hAnsi="Tahoma" w:cs="Tahoma"/>
          <w:noProof/>
          <w:sz w:val="28"/>
          <w:szCs w:val="28"/>
          <w:lang w:eastAsia="ro-RO"/>
        </w:rPr>
        <w:t xml:space="preserve"> atinge ținta de program trimestrial estimat (grad de realizare de 100,3%), pe fondul măsurilor legislative adoptate în această perioadă privind acordarea de bonificații pentru plata anticipată efectuată trimestrial, pentru anul 2020, la nivelul sumei rezultate din calculul impozitului pe profit trimestrial curent. </w:t>
      </w:r>
    </w:p>
    <w:p w:rsidR="00EE29D6" w:rsidRPr="00F32228" w:rsidRDefault="00EE29D6" w:rsidP="00DF4DFB">
      <w:pPr>
        <w:spacing w:after="0" w:line="276" w:lineRule="auto"/>
        <w:ind w:left="1440" w:hanging="720"/>
        <w:contextualSpacing/>
        <w:jc w:val="both"/>
        <w:rPr>
          <w:rFonts w:ascii="Tahoma" w:eastAsia="Times New Roman" w:hAnsi="Tahoma" w:cs="Tahoma"/>
          <w:noProof/>
          <w:sz w:val="28"/>
          <w:szCs w:val="28"/>
          <w:lang w:eastAsia="ro-RO"/>
        </w:rPr>
      </w:pPr>
    </w:p>
    <w:p w:rsidR="00EE29D6" w:rsidRPr="00F32228" w:rsidRDefault="00EE29D6" w:rsidP="00DF4DFB">
      <w:pPr>
        <w:numPr>
          <w:ilvl w:val="0"/>
          <w:numId w:val="10"/>
        </w:numPr>
        <w:suppressAutoHyphens/>
        <w:autoSpaceDE w:val="0"/>
        <w:autoSpaceDN w:val="0"/>
        <w:adjustRightInd w:val="0"/>
        <w:spacing w:after="0" w:line="276" w:lineRule="auto"/>
        <w:ind w:left="1440" w:hanging="720"/>
        <w:jc w:val="both"/>
        <w:rPr>
          <w:rFonts w:ascii="Tahoma" w:eastAsia="SimSun" w:hAnsi="Tahoma" w:cs="Tahoma"/>
          <w:color w:val="00000A"/>
          <w:kern w:val="1"/>
          <w:sz w:val="28"/>
          <w:szCs w:val="28"/>
          <w:lang w:eastAsia="zh-CN"/>
        </w:rPr>
      </w:pPr>
      <w:r w:rsidRPr="00F32228">
        <w:rPr>
          <w:rFonts w:ascii="Tahoma" w:eastAsia="Times New Roman" w:hAnsi="Tahoma" w:cs="Tahoma"/>
          <w:b/>
          <w:noProof/>
          <w:sz w:val="28"/>
          <w:szCs w:val="28"/>
          <w:lang w:eastAsia="ro-RO"/>
        </w:rPr>
        <w:t>impozitul pe profit virat de băncile comerciale</w:t>
      </w:r>
      <w:r w:rsidRPr="00F32228">
        <w:rPr>
          <w:rFonts w:ascii="Tahoma" w:eastAsia="Times New Roman" w:hAnsi="Tahoma" w:cs="Tahoma"/>
          <w:noProof/>
          <w:sz w:val="28"/>
          <w:szCs w:val="28"/>
          <w:vertAlign w:val="superscript"/>
          <w:lang w:eastAsia="ro-RO"/>
        </w:rPr>
        <w:footnoteReference w:id="3"/>
      </w:r>
      <w:r w:rsidRPr="00F32228">
        <w:rPr>
          <w:rFonts w:ascii="Tahoma" w:eastAsia="Times New Roman" w:hAnsi="Tahoma" w:cs="Tahoma"/>
          <w:noProof/>
          <w:sz w:val="28"/>
          <w:szCs w:val="28"/>
          <w:lang w:eastAsia="ro-RO"/>
        </w:rPr>
        <w:t xml:space="preserve"> de 0,4 mld. lei, desi se află sub nivelul viramentelor din trimestrul II al anului precedent cu 13,0%, inregistreaz</w:t>
      </w:r>
      <w:r w:rsidR="00EB003F" w:rsidRPr="00F32228">
        <w:rPr>
          <w:rFonts w:ascii="Tahoma" w:eastAsia="Times New Roman" w:hAnsi="Tahoma" w:cs="Tahoma"/>
          <w:noProof/>
          <w:sz w:val="28"/>
          <w:szCs w:val="28"/>
          <w:lang w:eastAsia="ro-RO"/>
        </w:rPr>
        <w:t>ă</w:t>
      </w:r>
      <w:r w:rsidRPr="00F32228">
        <w:rPr>
          <w:rFonts w:ascii="Tahoma" w:eastAsia="Times New Roman" w:hAnsi="Tahoma" w:cs="Tahoma"/>
          <w:noProof/>
          <w:sz w:val="28"/>
          <w:szCs w:val="28"/>
          <w:lang w:eastAsia="ro-RO"/>
        </w:rPr>
        <w:t xml:space="preserve"> o evolu</w:t>
      </w:r>
      <w:r w:rsidR="00EB003F" w:rsidRPr="00F32228">
        <w:rPr>
          <w:rFonts w:ascii="Tahoma" w:eastAsia="Times New Roman" w:hAnsi="Tahoma" w:cs="Tahoma"/>
          <w:noProof/>
          <w:sz w:val="28"/>
          <w:szCs w:val="28"/>
          <w:lang w:eastAsia="ro-RO"/>
        </w:rPr>
        <w:t>ț</w:t>
      </w:r>
      <w:r w:rsidRPr="00F32228">
        <w:rPr>
          <w:rFonts w:ascii="Tahoma" w:eastAsia="Times New Roman" w:hAnsi="Tahoma" w:cs="Tahoma"/>
          <w:noProof/>
          <w:sz w:val="28"/>
          <w:szCs w:val="28"/>
          <w:lang w:eastAsia="ro-RO"/>
        </w:rPr>
        <w:t>ie pozitiv</w:t>
      </w:r>
      <w:r w:rsidR="00EB003F" w:rsidRPr="00F32228">
        <w:rPr>
          <w:rFonts w:ascii="Tahoma" w:eastAsia="Times New Roman" w:hAnsi="Tahoma" w:cs="Tahoma"/>
          <w:noProof/>
          <w:sz w:val="28"/>
          <w:szCs w:val="28"/>
          <w:lang w:eastAsia="ro-RO"/>
        </w:rPr>
        <w:t>ă</w:t>
      </w:r>
      <w:r w:rsidRPr="00F32228">
        <w:rPr>
          <w:rFonts w:ascii="Tahoma" w:eastAsia="Times New Roman" w:hAnsi="Tahoma" w:cs="Tahoma"/>
          <w:noProof/>
          <w:sz w:val="28"/>
          <w:szCs w:val="28"/>
          <w:lang w:eastAsia="ro-RO"/>
        </w:rPr>
        <w:t xml:space="preserve"> comparativ </w:t>
      </w:r>
      <w:r w:rsidRPr="00F32228">
        <w:rPr>
          <w:rFonts w:ascii="Tahoma" w:eastAsia="Times New Roman" w:hAnsi="Tahoma" w:cs="Tahoma"/>
          <w:noProof/>
          <w:sz w:val="28"/>
          <w:szCs w:val="28"/>
          <w:lang w:eastAsia="ro-RO"/>
        </w:rPr>
        <w:lastRenderedPageBreak/>
        <w:t>cu încasarile din trimestrul I al anului 2020 de 0,1 mld. lei, resim</w:t>
      </w:r>
      <w:r w:rsidR="00EB003F" w:rsidRPr="00F32228">
        <w:rPr>
          <w:rFonts w:ascii="Tahoma" w:eastAsia="Times New Roman" w:hAnsi="Tahoma" w:cs="Tahoma"/>
          <w:noProof/>
          <w:sz w:val="28"/>
          <w:szCs w:val="28"/>
          <w:lang w:eastAsia="ro-RO"/>
        </w:rPr>
        <w:t>ț</w:t>
      </w:r>
      <w:r w:rsidRPr="00F32228">
        <w:rPr>
          <w:rFonts w:ascii="Tahoma" w:eastAsia="Times New Roman" w:hAnsi="Tahoma" w:cs="Tahoma"/>
          <w:noProof/>
          <w:sz w:val="28"/>
          <w:szCs w:val="28"/>
          <w:lang w:eastAsia="ro-RO"/>
        </w:rPr>
        <w:t>indu-se efectul instituirii de măsuri procedural-fiscale de susținere a contribuabililor plătitori de impozit pe profit prin acordarea de bonificații pentru plata anticipat</w:t>
      </w:r>
      <w:r w:rsidR="00EB003F" w:rsidRPr="00F32228">
        <w:rPr>
          <w:rFonts w:ascii="Tahoma" w:eastAsia="Times New Roman" w:hAnsi="Tahoma" w:cs="Tahoma"/>
          <w:noProof/>
          <w:sz w:val="28"/>
          <w:szCs w:val="28"/>
          <w:lang w:eastAsia="ro-RO"/>
        </w:rPr>
        <w:t>ă</w:t>
      </w:r>
      <w:r w:rsidRPr="00F32228">
        <w:rPr>
          <w:rFonts w:ascii="Tahoma" w:eastAsia="Times New Roman" w:hAnsi="Tahoma" w:cs="Tahoma"/>
          <w:noProof/>
          <w:sz w:val="28"/>
          <w:szCs w:val="28"/>
          <w:lang w:eastAsia="ro-RO"/>
        </w:rPr>
        <w:t xml:space="preserve"> aferent</w:t>
      </w:r>
      <w:r w:rsidR="00EB003F" w:rsidRPr="00F32228">
        <w:rPr>
          <w:rFonts w:ascii="Tahoma" w:eastAsia="Times New Roman" w:hAnsi="Tahoma" w:cs="Tahoma"/>
          <w:noProof/>
          <w:sz w:val="28"/>
          <w:szCs w:val="28"/>
          <w:lang w:eastAsia="ro-RO"/>
        </w:rPr>
        <w:t>ă</w:t>
      </w:r>
      <w:r w:rsidRPr="00F32228">
        <w:rPr>
          <w:rFonts w:ascii="Tahoma" w:eastAsia="Times New Roman" w:hAnsi="Tahoma" w:cs="Tahoma"/>
          <w:noProof/>
          <w:sz w:val="28"/>
          <w:szCs w:val="28"/>
          <w:lang w:eastAsia="ro-RO"/>
        </w:rPr>
        <w:t xml:space="preserve"> trimestrului I al anului 2020, p</w:t>
      </w:r>
      <w:r w:rsidR="00EB003F" w:rsidRPr="00F32228">
        <w:rPr>
          <w:rFonts w:ascii="Tahoma" w:eastAsia="Times New Roman" w:hAnsi="Tahoma" w:cs="Tahoma"/>
          <w:noProof/>
          <w:sz w:val="28"/>
          <w:szCs w:val="28"/>
          <w:lang w:eastAsia="ro-RO"/>
        </w:rPr>
        <w:t>â</w:t>
      </w:r>
      <w:r w:rsidRPr="00F32228">
        <w:rPr>
          <w:rFonts w:ascii="Tahoma" w:eastAsia="Times New Roman" w:hAnsi="Tahoma" w:cs="Tahoma"/>
          <w:noProof/>
          <w:sz w:val="28"/>
          <w:szCs w:val="28"/>
          <w:lang w:eastAsia="ro-RO"/>
        </w:rPr>
        <w:t>n</w:t>
      </w:r>
      <w:r w:rsidR="00EB003F" w:rsidRPr="00F32228">
        <w:rPr>
          <w:rFonts w:ascii="Tahoma" w:eastAsia="Times New Roman" w:hAnsi="Tahoma" w:cs="Tahoma"/>
          <w:noProof/>
          <w:sz w:val="28"/>
          <w:szCs w:val="28"/>
          <w:lang w:eastAsia="ro-RO"/>
        </w:rPr>
        <w:t>ă</w:t>
      </w:r>
      <w:r w:rsidRPr="00F32228">
        <w:rPr>
          <w:rFonts w:ascii="Tahoma" w:eastAsia="Times New Roman" w:hAnsi="Tahoma" w:cs="Tahoma"/>
          <w:noProof/>
          <w:sz w:val="28"/>
          <w:szCs w:val="28"/>
          <w:lang w:eastAsia="ro-RO"/>
        </w:rPr>
        <w:t xml:space="preserve"> la termenul scadent (Ordonan</w:t>
      </w:r>
      <w:r w:rsidR="00EB003F" w:rsidRPr="00F32228">
        <w:rPr>
          <w:rFonts w:ascii="Tahoma" w:eastAsia="Times New Roman" w:hAnsi="Tahoma" w:cs="Tahoma"/>
          <w:noProof/>
          <w:sz w:val="28"/>
          <w:szCs w:val="28"/>
          <w:lang w:eastAsia="ro-RO"/>
        </w:rPr>
        <w:t>ț</w:t>
      </w:r>
      <w:r w:rsidRPr="00F32228">
        <w:rPr>
          <w:rFonts w:ascii="Tahoma" w:eastAsia="Times New Roman" w:hAnsi="Tahoma" w:cs="Tahoma"/>
          <w:noProof/>
          <w:sz w:val="28"/>
          <w:szCs w:val="28"/>
          <w:lang w:eastAsia="ro-RO"/>
        </w:rPr>
        <w:t xml:space="preserve">a de urgență a Guvernului nr. 33/2020). Gradul de de realizare al programului trimestrial este de 50,2% (-0,3 mld. lei). Nerealizarea programului de încasari trimestrial se datorează, în principal: </w:t>
      </w:r>
      <w:r w:rsidRPr="00F32228">
        <w:rPr>
          <w:rFonts w:ascii="Tahoma" w:eastAsia="SimSun" w:hAnsi="Tahoma" w:cs="Tahoma"/>
          <w:color w:val="00000A"/>
          <w:kern w:val="1"/>
          <w:sz w:val="28"/>
          <w:szCs w:val="28"/>
          <w:lang w:eastAsia="zh-CN"/>
        </w:rPr>
        <w:t>(i)</w:t>
      </w:r>
      <w:r w:rsidRPr="00F32228">
        <w:rPr>
          <w:rFonts w:ascii="Tahoma" w:eastAsia="Calibri" w:hAnsi="Tahoma" w:cs="Tahoma"/>
          <w:kern w:val="1"/>
          <w:sz w:val="28"/>
          <w:szCs w:val="28"/>
        </w:rPr>
        <w:t>prorogării termenului de plată a obligațiilor fiscale declarate;</w:t>
      </w:r>
      <w:r w:rsidRPr="00F32228">
        <w:rPr>
          <w:rFonts w:ascii="Tahoma" w:eastAsia="SimSun" w:hAnsi="Tahoma" w:cs="Tahoma"/>
          <w:color w:val="00000A"/>
          <w:kern w:val="1"/>
          <w:sz w:val="28"/>
          <w:szCs w:val="28"/>
          <w:lang w:eastAsia="zh-CN"/>
        </w:rPr>
        <w:t>(ii)</w:t>
      </w:r>
      <w:r w:rsidRPr="00F32228">
        <w:rPr>
          <w:rFonts w:ascii="Tahoma" w:eastAsia="Times New Roman" w:hAnsi="Tahoma" w:cs="Tahoma"/>
          <w:noProof/>
          <w:sz w:val="28"/>
          <w:szCs w:val="28"/>
          <w:lang w:eastAsia="ro-RO"/>
        </w:rPr>
        <w:t xml:space="preserve"> scăderii volumului creditelor acordate po</w:t>
      </w:r>
      <w:r w:rsidR="00EB003F" w:rsidRPr="00F32228">
        <w:rPr>
          <w:rFonts w:ascii="Tahoma" w:eastAsia="Times New Roman" w:hAnsi="Tahoma" w:cs="Tahoma"/>
          <w:noProof/>
          <w:sz w:val="28"/>
          <w:szCs w:val="28"/>
          <w:lang w:eastAsia="ro-RO"/>
        </w:rPr>
        <w:t>p</w:t>
      </w:r>
      <w:r w:rsidRPr="00F32228">
        <w:rPr>
          <w:rFonts w:ascii="Tahoma" w:eastAsia="Times New Roman" w:hAnsi="Tahoma" w:cs="Tahoma"/>
          <w:noProof/>
          <w:sz w:val="28"/>
          <w:szCs w:val="28"/>
          <w:lang w:eastAsia="ro-RO"/>
        </w:rPr>
        <w:t xml:space="preserve">ulației și </w:t>
      </w:r>
      <w:r w:rsidR="00EB003F" w:rsidRPr="00F32228">
        <w:rPr>
          <w:rFonts w:ascii="Tahoma" w:eastAsia="Times New Roman" w:hAnsi="Tahoma" w:cs="Tahoma"/>
          <w:noProof/>
          <w:sz w:val="28"/>
          <w:szCs w:val="28"/>
          <w:lang w:eastAsia="ro-RO"/>
        </w:rPr>
        <w:t>î</w:t>
      </w:r>
      <w:r w:rsidRPr="00F32228">
        <w:rPr>
          <w:rFonts w:ascii="Tahoma" w:eastAsia="Times New Roman" w:hAnsi="Tahoma" w:cs="Tahoma"/>
          <w:noProof/>
          <w:sz w:val="28"/>
          <w:szCs w:val="28"/>
          <w:lang w:eastAsia="ro-RO"/>
        </w:rPr>
        <w:t>ntreprinderilor</w:t>
      </w:r>
      <w:r w:rsidRPr="00F32228">
        <w:rPr>
          <w:rFonts w:ascii="Tahoma" w:eastAsia="SimSun" w:hAnsi="Tahoma" w:cs="Tahoma"/>
          <w:color w:val="00000A"/>
          <w:kern w:val="1"/>
          <w:sz w:val="28"/>
          <w:szCs w:val="28"/>
          <w:lang w:eastAsia="zh-CN"/>
        </w:rPr>
        <w:t xml:space="preserve">; (iii) </w:t>
      </w:r>
      <w:r w:rsidRPr="00F32228">
        <w:rPr>
          <w:rFonts w:ascii="Tahoma" w:eastAsia="Times New Roman" w:hAnsi="Tahoma" w:cs="Tahoma"/>
          <w:noProof/>
          <w:sz w:val="28"/>
          <w:szCs w:val="28"/>
          <w:lang w:eastAsia="ro-RO"/>
        </w:rPr>
        <w:t>reducerea</w:t>
      </w:r>
      <w:r w:rsidR="00813B4C" w:rsidRPr="00F32228">
        <w:rPr>
          <w:rFonts w:ascii="Tahoma" w:eastAsia="Times New Roman" w:hAnsi="Tahoma" w:cs="Tahoma"/>
          <w:noProof/>
          <w:sz w:val="28"/>
          <w:szCs w:val="28"/>
          <w:lang w:eastAsia="ro-RO"/>
        </w:rPr>
        <w:t>ratei dobânzii de politică</w:t>
      </w:r>
      <w:r w:rsidRPr="00F32228">
        <w:rPr>
          <w:rFonts w:ascii="Tahoma" w:eastAsia="Times New Roman" w:hAnsi="Tahoma" w:cs="Tahoma"/>
          <w:noProof/>
          <w:sz w:val="28"/>
          <w:szCs w:val="28"/>
          <w:lang w:eastAsia="ro-RO"/>
        </w:rPr>
        <w:t xml:space="preserve"> monetar</w:t>
      </w:r>
      <w:r w:rsidR="00813B4C" w:rsidRPr="00F32228">
        <w:rPr>
          <w:rFonts w:ascii="Tahoma" w:eastAsia="Times New Roman" w:hAnsi="Tahoma" w:cs="Tahoma"/>
          <w:noProof/>
          <w:sz w:val="28"/>
          <w:szCs w:val="28"/>
          <w:lang w:eastAsia="ro-RO"/>
        </w:rPr>
        <w:t>ă</w:t>
      </w:r>
      <w:r w:rsidRPr="00F32228">
        <w:rPr>
          <w:rFonts w:ascii="Tahoma" w:eastAsia="Times New Roman" w:hAnsi="Tahoma" w:cs="Tahoma"/>
          <w:noProof/>
          <w:sz w:val="28"/>
          <w:szCs w:val="28"/>
          <w:lang w:eastAsia="ro-RO"/>
        </w:rPr>
        <w:t xml:space="preserve"> cu 0,5 puncte procentuale, începând cu data de 23 martie de la 2,5% la 2,0%</w:t>
      </w:r>
      <w:r w:rsidRPr="00F32228">
        <w:rPr>
          <w:rFonts w:ascii="Tahoma" w:eastAsia="Times New Roman" w:hAnsi="Tahoma" w:cs="Tahoma"/>
          <w:noProof/>
          <w:sz w:val="28"/>
          <w:szCs w:val="28"/>
          <w:vertAlign w:val="superscript"/>
          <w:lang w:eastAsia="ro-RO"/>
        </w:rPr>
        <w:footnoteReference w:id="4"/>
      </w:r>
      <w:r w:rsidRPr="00F32228">
        <w:rPr>
          <w:rFonts w:ascii="Tahoma" w:eastAsia="Times New Roman" w:hAnsi="Tahoma" w:cs="Tahoma"/>
          <w:noProof/>
          <w:sz w:val="28"/>
          <w:szCs w:val="28"/>
          <w:lang w:eastAsia="ro-RO"/>
        </w:rPr>
        <w:t xml:space="preserve"> pe an, respectiv la 1,75%</w:t>
      </w:r>
      <w:r w:rsidRPr="00F32228">
        <w:rPr>
          <w:rFonts w:ascii="Tahoma" w:eastAsia="Times New Roman" w:hAnsi="Tahoma" w:cs="Tahoma"/>
          <w:noProof/>
          <w:sz w:val="28"/>
          <w:szCs w:val="28"/>
          <w:vertAlign w:val="superscript"/>
          <w:lang w:eastAsia="ro-RO"/>
        </w:rPr>
        <w:footnoteReference w:id="5"/>
      </w:r>
      <w:r w:rsidRPr="00F32228">
        <w:rPr>
          <w:rFonts w:ascii="Tahoma" w:eastAsia="Times New Roman" w:hAnsi="Tahoma" w:cs="Tahoma"/>
          <w:noProof/>
          <w:sz w:val="28"/>
          <w:szCs w:val="28"/>
          <w:lang w:eastAsia="ro-RO"/>
        </w:rPr>
        <w:t xml:space="preserve"> pe an începând cu data de 02 iunie 2020</w:t>
      </w:r>
      <w:r w:rsidRPr="00F32228">
        <w:rPr>
          <w:rFonts w:ascii="Tahoma" w:eastAsia="SimSun" w:hAnsi="Tahoma" w:cs="Tahoma"/>
          <w:color w:val="00000A"/>
          <w:kern w:val="1"/>
          <w:sz w:val="28"/>
          <w:szCs w:val="28"/>
          <w:lang w:eastAsia="zh-CN"/>
        </w:rPr>
        <w:t xml:space="preserve">; (iv) </w:t>
      </w:r>
      <w:r w:rsidRPr="00F32228">
        <w:rPr>
          <w:rFonts w:ascii="Tahoma" w:eastAsia="Times New Roman" w:hAnsi="Tahoma" w:cs="Tahoma"/>
          <w:noProof/>
          <w:sz w:val="28"/>
          <w:szCs w:val="28"/>
          <w:lang w:eastAsia="ro-RO"/>
        </w:rPr>
        <w:t>suspendarii de la plată a ratelor scadente aferente împrumuturilor, reprezentând rate de capital, dobânzi și comisioane, acordate debitorilor de către creditor la cererea debitorului cu până la 9 luni, dar nu mai mult de 31.12.2020</w:t>
      </w:r>
      <w:r w:rsidRPr="00F32228">
        <w:rPr>
          <w:rFonts w:ascii="Tahoma" w:eastAsia="SimSun" w:hAnsi="Tahoma" w:cs="Tahoma"/>
          <w:color w:val="00000A"/>
          <w:kern w:val="1"/>
          <w:sz w:val="28"/>
          <w:szCs w:val="28"/>
          <w:lang w:eastAsia="zh-CN"/>
        </w:rPr>
        <w:t xml:space="preserve">. </w:t>
      </w:r>
    </w:p>
    <w:p w:rsidR="00EE29D6" w:rsidRPr="00F32228" w:rsidRDefault="00EE29D6" w:rsidP="00DF4DFB">
      <w:pPr>
        <w:spacing w:after="0" w:line="276" w:lineRule="auto"/>
        <w:ind w:left="720"/>
        <w:rPr>
          <w:rFonts w:ascii="Tahoma" w:eastAsia="Times New Roman" w:hAnsi="Tahoma" w:cs="Tahoma"/>
          <w:noProof/>
          <w:sz w:val="28"/>
          <w:szCs w:val="28"/>
          <w:lang w:eastAsia="ro-RO"/>
        </w:rPr>
      </w:pPr>
    </w:p>
    <w:p w:rsidR="00DF4DFB" w:rsidRPr="00F32228" w:rsidRDefault="00DF4DFB" w:rsidP="00DF4DFB">
      <w:pPr>
        <w:tabs>
          <w:tab w:val="left" w:pos="284"/>
        </w:tabs>
        <w:suppressAutoHyphens/>
        <w:autoSpaceDE w:val="0"/>
        <w:autoSpaceDN w:val="0"/>
        <w:adjustRightInd w:val="0"/>
        <w:spacing w:after="120" w:line="276" w:lineRule="auto"/>
        <w:ind w:firstLine="720"/>
        <w:jc w:val="both"/>
        <w:rPr>
          <w:rFonts w:ascii="Tahoma" w:eastAsia="Calibri" w:hAnsi="Tahoma" w:cs="Tahoma"/>
          <w:kern w:val="1"/>
          <w:sz w:val="28"/>
          <w:szCs w:val="28"/>
        </w:rPr>
      </w:pPr>
      <w:r w:rsidRPr="00F32228">
        <w:rPr>
          <w:rFonts w:ascii="Tahoma" w:eastAsia="Calibri" w:hAnsi="Tahoma" w:cs="Tahoma"/>
          <w:b/>
          <w:kern w:val="1"/>
          <w:sz w:val="28"/>
          <w:szCs w:val="28"/>
        </w:rPr>
        <w:t>Încasările din impozitul pe venit</w:t>
      </w:r>
      <w:r w:rsidRPr="00F32228">
        <w:rPr>
          <w:rFonts w:ascii="Tahoma" w:eastAsia="Calibri" w:hAnsi="Tahoma" w:cs="Tahoma"/>
          <w:kern w:val="1"/>
          <w:sz w:val="28"/>
          <w:szCs w:val="28"/>
        </w:rPr>
        <w:t xml:space="preserve"> în trimestrul II 2020 au totalizat 6,2 mld. lei, în  creștere cu 12,4%  comparativ cu aceeași perioadă a anului precedent. Gradul de realizare al impozitului pe venit față de programul stabilit pentru această perioadă a fost de 111,5% (+0,6 mld. lei).  </w:t>
      </w:r>
    </w:p>
    <w:p w:rsidR="00DF4DFB" w:rsidRPr="00F32228" w:rsidRDefault="00DF4DFB" w:rsidP="00DF4DFB">
      <w:pPr>
        <w:suppressAutoHyphens/>
        <w:autoSpaceDE w:val="0"/>
        <w:autoSpaceDN w:val="0"/>
        <w:adjustRightInd w:val="0"/>
        <w:spacing w:after="0" w:line="276" w:lineRule="auto"/>
        <w:ind w:firstLine="720"/>
        <w:jc w:val="both"/>
        <w:rPr>
          <w:rFonts w:ascii="Tahoma" w:eastAsia="Calibri" w:hAnsi="Tahoma" w:cs="Tahoma"/>
          <w:kern w:val="1"/>
          <w:sz w:val="28"/>
          <w:szCs w:val="28"/>
        </w:rPr>
      </w:pPr>
      <w:r w:rsidRPr="00F32228">
        <w:rPr>
          <w:rFonts w:ascii="Tahoma" w:eastAsia="Calibri" w:hAnsi="Tahoma" w:cs="Tahoma"/>
          <w:kern w:val="1"/>
          <w:sz w:val="28"/>
          <w:szCs w:val="28"/>
        </w:rPr>
        <w:t>În structură, impozitul pe venitul din salarii a înregistrat un grad de realizare de 108,0% față de programul trimestrial. Comparativ cu aceeași perioadă a anului 2019, încasările din impozit pe venit din salarii scad cu 1,8%, fiind sub evolu</w:t>
      </w:r>
      <w:r w:rsidR="00813B4C" w:rsidRPr="00F32228">
        <w:rPr>
          <w:rFonts w:ascii="Tahoma" w:eastAsia="Calibri" w:hAnsi="Tahoma" w:cs="Tahoma"/>
          <w:kern w:val="1"/>
          <w:sz w:val="28"/>
          <w:szCs w:val="28"/>
        </w:rPr>
        <w:t>ț</w:t>
      </w:r>
      <w:r w:rsidRPr="00F32228">
        <w:rPr>
          <w:rFonts w:ascii="Tahoma" w:eastAsia="Calibri" w:hAnsi="Tahoma" w:cs="Tahoma"/>
          <w:kern w:val="1"/>
          <w:sz w:val="28"/>
          <w:szCs w:val="28"/>
        </w:rPr>
        <w:t>ia fondului de salarii în perioada analizată de 2,5%</w:t>
      </w:r>
      <w:r w:rsidRPr="00F32228">
        <w:rPr>
          <w:rFonts w:ascii="Tahoma" w:eastAsia="Calibri" w:hAnsi="Tahoma" w:cs="Tahoma"/>
          <w:kern w:val="1"/>
          <w:sz w:val="28"/>
          <w:szCs w:val="28"/>
          <w:vertAlign w:val="superscript"/>
        </w:rPr>
        <w:footnoteReference w:id="6"/>
      </w:r>
      <w:r w:rsidRPr="00F32228">
        <w:rPr>
          <w:rFonts w:ascii="Tahoma" w:eastAsia="Calibri" w:hAnsi="Tahoma" w:cs="Tahoma"/>
          <w:kern w:val="1"/>
          <w:sz w:val="28"/>
          <w:szCs w:val="28"/>
        </w:rPr>
        <w:t xml:space="preserve">. </w:t>
      </w:r>
    </w:p>
    <w:p w:rsidR="00DF4DFB" w:rsidRPr="00F32228" w:rsidRDefault="00DF4DFB" w:rsidP="00DF4DFB">
      <w:pPr>
        <w:tabs>
          <w:tab w:val="left" w:pos="284"/>
        </w:tabs>
        <w:suppressAutoHyphens/>
        <w:autoSpaceDE w:val="0"/>
        <w:autoSpaceDN w:val="0"/>
        <w:adjustRightInd w:val="0"/>
        <w:spacing w:after="120" w:line="276" w:lineRule="auto"/>
        <w:ind w:firstLine="720"/>
        <w:jc w:val="both"/>
        <w:rPr>
          <w:rFonts w:ascii="Tahoma" w:eastAsia="Calibri" w:hAnsi="Tahoma" w:cs="Tahoma"/>
          <w:kern w:val="1"/>
          <w:sz w:val="28"/>
          <w:szCs w:val="28"/>
        </w:rPr>
      </w:pPr>
      <w:r w:rsidRPr="00F32228">
        <w:rPr>
          <w:rFonts w:ascii="Tahoma" w:eastAsia="Calibri" w:hAnsi="Tahoma" w:cs="Tahoma"/>
          <w:kern w:val="1"/>
          <w:sz w:val="28"/>
          <w:szCs w:val="28"/>
        </w:rPr>
        <w:t xml:space="preserve">O evoluție pozitivă au înregistrat-o încasările din impozitul pe venit aferent declarației unice cu termen de plată de până la 30.06.2020 (OUG nr. 69/2020), în creștere cu 0,8 mld lei comparativ cu aceeași perioadă a anului </w:t>
      </w:r>
      <w:r w:rsidRPr="00F32228">
        <w:rPr>
          <w:rFonts w:ascii="Tahoma" w:eastAsia="Calibri" w:hAnsi="Tahoma" w:cs="Tahoma"/>
          <w:kern w:val="1"/>
          <w:sz w:val="28"/>
          <w:szCs w:val="28"/>
        </w:rPr>
        <w:lastRenderedPageBreak/>
        <w:t xml:space="preserve">precedent (când termenul de plata a fost data de 31.07.2019). Gradul de realizare este de 172,8% (+0,4 mld. lei), pe fondul acordării bonificațiilor pentru declararea și plata la termen de până la 30.06.2020, inclusiv. </w:t>
      </w:r>
    </w:p>
    <w:p w:rsidR="00DD52A5" w:rsidRPr="00F32228" w:rsidRDefault="00DD52A5" w:rsidP="00C670D8">
      <w:pPr>
        <w:pStyle w:val="NormalWeb"/>
        <w:shd w:val="clear" w:color="auto" w:fill="FFFFFF"/>
        <w:tabs>
          <w:tab w:val="left" w:pos="810"/>
          <w:tab w:val="left" w:pos="1530"/>
        </w:tabs>
        <w:autoSpaceDE w:val="0"/>
        <w:autoSpaceDN w:val="0"/>
        <w:adjustRightInd w:val="0"/>
        <w:spacing w:before="120" w:after="120"/>
        <w:ind w:firstLine="720"/>
        <w:rPr>
          <w:rFonts w:ascii="Tahoma" w:hAnsi="Tahoma" w:cs="Tahoma"/>
          <w:color w:val="auto"/>
          <w:sz w:val="28"/>
          <w:szCs w:val="28"/>
          <w:lang w:val="ro-RO"/>
        </w:rPr>
      </w:pPr>
      <w:r w:rsidRPr="00F32228">
        <w:rPr>
          <w:rFonts w:ascii="Tahoma" w:hAnsi="Tahoma" w:cs="Tahoma"/>
          <w:b/>
          <w:color w:val="auto"/>
          <w:sz w:val="28"/>
          <w:szCs w:val="28"/>
          <w:lang w:val="ro-RO"/>
        </w:rPr>
        <w:t xml:space="preserve">Încasările din </w:t>
      </w:r>
      <w:r w:rsidRPr="00F32228">
        <w:rPr>
          <w:rFonts w:ascii="Tahoma" w:hAnsi="Tahoma" w:cs="Tahoma"/>
          <w:b/>
          <w:bCs/>
          <w:color w:val="auto"/>
          <w:sz w:val="28"/>
          <w:szCs w:val="28"/>
          <w:lang w:val="ro-RO"/>
        </w:rPr>
        <w:t xml:space="preserve">impozitele </w:t>
      </w:r>
      <w:r w:rsidR="00640FBB" w:rsidRPr="00F32228">
        <w:rPr>
          <w:rFonts w:ascii="Tahoma" w:hAnsi="Tahoma" w:cs="Tahoma"/>
          <w:b/>
          <w:bCs/>
          <w:color w:val="auto"/>
          <w:sz w:val="28"/>
          <w:szCs w:val="28"/>
          <w:lang w:val="ro-RO"/>
        </w:rPr>
        <w:t>și</w:t>
      </w:r>
      <w:r w:rsidRPr="00F32228">
        <w:rPr>
          <w:rFonts w:ascii="Tahoma" w:hAnsi="Tahoma" w:cs="Tahoma"/>
          <w:b/>
          <w:bCs/>
          <w:color w:val="auto"/>
          <w:sz w:val="28"/>
          <w:szCs w:val="28"/>
          <w:lang w:val="ro-RO"/>
        </w:rPr>
        <w:t xml:space="preserve"> taxele pe proprietate</w:t>
      </w:r>
      <w:r w:rsidRPr="00F32228">
        <w:rPr>
          <w:rFonts w:ascii="Tahoma" w:hAnsi="Tahoma" w:cs="Tahoma"/>
          <w:color w:val="auto"/>
          <w:sz w:val="28"/>
          <w:szCs w:val="28"/>
          <w:lang w:val="ro-RO"/>
        </w:rPr>
        <w:t xml:space="preserve"> au însumat </w:t>
      </w:r>
      <w:r w:rsidR="00DF4DFB" w:rsidRPr="00F32228">
        <w:rPr>
          <w:rFonts w:ascii="Tahoma" w:hAnsi="Tahoma" w:cs="Tahoma"/>
          <w:color w:val="auto"/>
          <w:sz w:val="28"/>
          <w:szCs w:val="28"/>
          <w:lang w:val="ro-RO"/>
        </w:rPr>
        <w:t>1,9</w:t>
      </w:r>
      <w:r w:rsidR="00713D80" w:rsidRPr="00F32228">
        <w:rPr>
          <w:rFonts w:ascii="Tahoma" w:hAnsi="Tahoma" w:cs="Tahoma"/>
          <w:color w:val="auto"/>
          <w:sz w:val="28"/>
          <w:szCs w:val="28"/>
          <w:lang w:val="ro-RO"/>
        </w:rPr>
        <w:t>ml</w:t>
      </w:r>
      <w:r w:rsidR="00595DE7" w:rsidRPr="00F32228">
        <w:rPr>
          <w:rFonts w:ascii="Tahoma" w:hAnsi="Tahoma" w:cs="Tahoma"/>
          <w:color w:val="auto"/>
          <w:sz w:val="28"/>
          <w:szCs w:val="28"/>
          <w:lang w:val="ro-RO"/>
        </w:rPr>
        <w:t>d</w:t>
      </w:r>
      <w:r w:rsidR="003C4703" w:rsidRPr="00F32228">
        <w:rPr>
          <w:rFonts w:ascii="Tahoma" w:hAnsi="Tahoma" w:cs="Tahoma"/>
          <w:color w:val="auto"/>
          <w:sz w:val="28"/>
          <w:szCs w:val="28"/>
          <w:lang w:val="ro-RO"/>
        </w:rPr>
        <w:t>.</w:t>
      </w:r>
      <w:r w:rsidRPr="00F32228">
        <w:rPr>
          <w:rFonts w:ascii="Tahoma" w:hAnsi="Tahoma" w:cs="Tahoma"/>
          <w:color w:val="auto"/>
          <w:sz w:val="28"/>
          <w:szCs w:val="28"/>
          <w:lang w:val="ro-RO"/>
        </w:rPr>
        <w:t xml:space="preserve">lei (0,2% din PIB) și s-au realizat în proporție de </w:t>
      </w:r>
      <w:r w:rsidR="00DF4DFB" w:rsidRPr="00F32228">
        <w:rPr>
          <w:rFonts w:ascii="Tahoma" w:hAnsi="Tahoma" w:cs="Tahoma"/>
          <w:color w:val="auto"/>
          <w:sz w:val="28"/>
          <w:szCs w:val="28"/>
          <w:lang w:val="ro-RO"/>
        </w:rPr>
        <w:t>113,8</w:t>
      </w:r>
      <w:r w:rsidRPr="00F32228">
        <w:rPr>
          <w:rFonts w:ascii="Tahoma" w:hAnsi="Tahoma" w:cs="Tahoma"/>
          <w:color w:val="auto"/>
          <w:sz w:val="28"/>
          <w:szCs w:val="28"/>
          <w:lang w:val="ro-RO"/>
        </w:rPr>
        <w:t xml:space="preserve">%. </w:t>
      </w:r>
      <w:r w:rsidR="0033447D" w:rsidRPr="00F32228">
        <w:rPr>
          <w:rFonts w:ascii="Tahoma" w:hAnsi="Tahoma" w:cs="Tahoma"/>
          <w:color w:val="auto"/>
          <w:sz w:val="28"/>
          <w:szCs w:val="28"/>
          <w:lang w:val="ro-RO"/>
        </w:rPr>
        <w:t>Totodată, c</w:t>
      </w:r>
      <w:r w:rsidRPr="00F32228">
        <w:rPr>
          <w:rFonts w:ascii="Tahoma" w:hAnsi="Tahoma" w:cs="Tahoma"/>
          <w:color w:val="auto"/>
          <w:sz w:val="28"/>
          <w:szCs w:val="28"/>
          <w:lang w:val="ro-RO"/>
        </w:rPr>
        <w:t>omparativ cu încasările din trimestrul I</w:t>
      </w:r>
      <w:r w:rsidR="00DF4DFB" w:rsidRPr="00F32228">
        <w:rPr>
          <w:rFonts w:ascii="Tahoma" w:hAnsi="Tahoma" w:cs="Tahoma"/>
          <w:color w:val="auto"/>
          <w:sz w:val="28"/>
          <w:szCs w:val="28"/>
          <w:lang w:val="ro-RO"/>
        </w:rPr>
        <w:t>I</w:t>
      </w:r>
      <w:r w:rsidRPr="00F32228">
        <w:rPr>
          <w:rFonts w:ascii="Tahoma" w:hAnsi="Tahoma" w:cs="Tahoma"/>
          <w:color w:val="auto"/>
          <w:sz w:val="28"/>
          <w:szCs w:val="28"/>
          <w:lang w:val="ro-RO"/>
        </w:rPr>
        <w:t xml:space="preserve"> 2019, acestea au </w:t>
      </w:r>
      <w:r w:rsidR="00DF4DFB" w:rsidRPr="00F32228">
        <w:rPr>
          <w:rFonts w:ascii="Tahoma" w:hAnsi="Tahoma" w:cs="Tahoma"/>
          <w:color w:val="auto"/>
          <w:sz w:val="28"/>
          <w:szCs w:val="28"/>
          <w:lang w:val="ro-RO"/>
        </w:rPr>
        <w:t xml:space="preserve">crescut cu 1,1 mld. lei </w:t>
      </w:r>
      <w:r w:rsidR="0033447D" w:rsidRPr="00F32228">
        <w:rPr>
          <w:rFonts w:ascii="Tahoma" w:hAnsi="Tahoma" w:cs="Tahoma"/>
          <w:color w:val="auto"/>
          <w:sz w:val="28"/>
          <w:szCs w:val="28"/>
          <w:lang w:val="ro-RO"/>
        </w:rPr>
        <w:t xml:space="preserve">pe fondul </w:t>
      </w:r>
      <w:r w:rsidRPr="00F32228">
        <w:rPr>
          <w:rFonts w:ascii="Tahoma" w:hAnsi="Tahoma" w:cs="Tahoma"/>
          <w:color w:val="auto"/>
          <w:sz w:val="28"/>
          <w:szCs w:val="28"/>
          <w:lang w:val="ro-RO"/>
        </w:rPr>
        <w:t xml:space="preserve">prorogării termenului de plată pentru impozitul pe clădiri și impozitul pe teren, de la 31 martie 2020 la 30 iunie 2020, conform prevederilor </w:t>
      </w:r>
      <w:r w:rsidR="0033447D" w:rsidRPr="00F32228">
        <w:rPr>
          <w:rFonts w:ascii="Tahoma" w:hAnsi="Tahoma" w:cs="Tahoma"/>
          <w:color w:val="auto"/>
          <w:sz w:val="28"/>
          <w:szCs w:val="28"/>
          <w:lang w:val="ro-RO"/>
        </w:rPr>
        <w:t>OUG</w:t>
      </w:r>
      <w:r w:rsidRPr="00F32228">
        <w:rPr>
          <w:rFonts w:ascii="Tahoma" w:hAnsi="Tahoma" w:cs="Tahoma"/>
          <w:color w:val="auto"/>
          <w:sz w:val="28"/>
          <w:szCs w:val="28"/>
          <w:lang w:val="ro-RO"/>
        </w:rPr>
        <w:t xml:space="preserve"> nr. 29/2020 privind unele măsuri economice și fiscal-bugetare.</w:t>
      </w:r>
    </w:p>
    <w:p w:rsidR="00F62AA6" w:rsidRPr="00F32228" w:rsidRDefault="00F62AA6" w:rsidP="00F62AA6">
      <w:pPr>
        <w:suppressAutoHyphens/>
        <w:autoSpaceDE w:val="0"/>
        <w:autoSpaceDN w:val="0"/>
        <w:adjustRightInd w:val="0"/>
        <w:spacing w:after="0" w:line="276" w:lineRule="auto"/>
        <w:ind w:firstLine="720"/>
        <w:jc w:val="both"/>
        <w:rPr>
          <w:rFonts w:ascii="Tahoma" w:eastAsia="Calibri" w:hAnsi="Tahoma" w:cs="Tahoma"/>
          <w:kern w:val="1"/>
          <w:sz w:val="28"/>
          <w:szCs w:val="28"/>
        </w:rPr>
      </w:pPr>
      <w:r w:rsidRPr="00F32228">
        <w:rPr>
          <w:rFonts w:ascii="Tahoma" w:eastAsia="Calibri" w:hAnsi="Tahoma" w:cs="Tahoma"/>
          <w:b/>
          <w:kern w:val="1"/>
          <w:sz w:val="28"/>
          <w:szCs w:val="28"/>
        </w:rPr>
        <w:t>Încasările din taxa pe valoarea adăugată</w:t>
      </w:r>
      <w:r w:rsidRPr="00F32228">
        <w:rPr>
          <w:rFonts w:ascii="Tahoma" w:eastAsia="Calibri" w:hAnsi="Tahoma" w:cs="Tahoma"/>
          <w:kern w:val="1"/>
          <w:sz w:val="28"/>
          <w:szCs w:val="28"/>
        </w:rPr>
        <w:t xml:space="preserve"> au fost în sumă de 13,1 mld. lei, gradul de realizare al programului trimestrial fiind de 84,3%. Comparativ cu încasările aferente trimestrului II 2019, în perioada analizată s-a înregistrat o diminuare a încasărilor din TVA cu 12,1%.</w:t>
      </w:r>
    </w:p>
    <w:p w:rsidR="00F62AA6" w:rsidRPr="00F32228" w:rsidRDefault="00F62AA6" w:rsidP="00F62AA6">
      <w:pPr>
        <w:suppressAutoHyphens/>
        <w:autoSpaceDE w:val="0"/>
        <w:autoSpaceDN w:val="0"/>
        <w:adjustRightInd w:val="0"/>
        <w:spacing w:after="0" w:line="276" w:lineRule="auto"/>
        <w:ind w:firstLine="720"/>
        <w:jc w:val="both"/>
        <w:rPr>
          <w:rFonts w:ascii="Tahoma" w:eastAsia="Calibri" w:hAnsi="Tahoma" w:cs="Tahoma"/>
          <w:kern w:val="1"/>
          <w:sz w:val="28"/>
          <w:szCs w:val="28"/>
        </w:rPr>
      </w:pPr>
      <w:r w:rsidRPr="00F32228">
        <w:rPr>
          <w:rFonts w:ascii="Tahoma" w:eastAsia="Calibri" w:hAnsi="Tahoma" w:cs="Tahoma"/>
          <w:kern w:val="1"/>
          <w:sz w:val="28"/>
          <w:szCs w:val="28"/>
        </w:rPr>
        <w:t>În structură, TVA încasată</w:t>
      </w:r>
      <w:r w:rsidRPr="00F32228">
        <w:rPr>
          <w:rFonts w:ascii="Tahoma" w:eastAsia="Calibri" w:hAnsi="Tahoma" w:cs="Tahoma"/>
          <w:kern w:val="1"/>
          <w:sz w:val="28"/>
          <w:szCs w:val="28"/>
          <w:vertAlign w:val="superscript"/>
        </w:rPr>
        <w:footnoteReference w:id="7"/>
      </w:r>
      <w:r w:rsidRPr="00F32228">
        <w:rPr>
          <w:rFonts w:ascii="Tahoma" w:eastAsia="Calibri" w:hAnsi="Tahoma" w:cs="Tahoma"/>
          <w:kern w:val="1"/>
          <w:sz w:val="28"/>
          <w:szCs w:val="28"/>
        </w:rPr>
        <w:t xml:space="preserve"> a sc</w:t>
      </w:r>
      <w:r w:rsidR="00987133" w:rsidRPr="00F32228">
        <w:rPr>
          <w:rFonts w:ascii="Tahoma" w:eastAsia="Calibri" w:hAnsi="Tahoma" w:cs="Tahoma"/>
          <w:kern w:val="1"/>
          <w:sz w:val="28"/>
          <w:szCs w:val="28"/>
        </w:rPr>
        <w:t>ă</w:t>
      </w:r>
      <w:r w:rsidRPr="00F32228">
        <w:rPr>
          <w:rFonts w:ascii="Tahoma" w:eastAsia="Calibri" w:hAnsi="Tahoma" w:cs="Tahoma"/>
          <w:kern w:val="1"/>
          <w:sz w:val="28"/>
          <w:szCs w:val="28"/>
        </w:rPr>
        <w:t>zut cu 9,6% (-1,9 mld. lei) față de trimestrul II 2019 (TVA din opera</w:t>
      </w:r>
      <w:r w:rsidR="00987133" w:rsidRPr="00F32228">
        <w:rPr>
          <w:rFonts w:ascii="Tahoma" w:eastAsia="Calibri" w:hAnsi="Tahoma" w:cs="Tahoma"/>
          <w:kern w:val="1"/>
          <w:sz w:val="28"/>
          <w:szCs w:val="28"/>
        </w:rPr>
        <w:t>ț</w:t>
      </w:r>
      <w:r w:rsidRPr="00F32228">
        <w:rPr>
          <w:rFonts w:ascii="Tahoma" w:eastAsia="Calibri" w:hAnsi="Tahoma" w:cs="Tahoma"/>
          <w:kern w:val="1"/>
          <w:sz w:val="28"/>
          <w:szCs w:val="28"/>
        </w:rPr>
        <w:t>iuni interne s-au diminuat cu 9,0% iar cele din importurile de bunuri s-au diminuat cu 15,3%), iar valoarea restituirilor de taxă pe valoare adăugată s-a diminuat cu 4,5% (0,2 mld. lei).</w:t>
      </w:r>
    </w:p>
    <w:p w:rsidR="00F62AA6" w:rsidRPr="00F32228" w:rsidRDefault="00F62AA6" w:rsidP="00F62AA6">
      <w:pPr>
        <w:suppressAutoHyphens/>
        <w:autoSpaceDE w:val="0"/>
        <w:autoSpaceDN w:val="0"/>
        <w:adjustRightInd w:val="0"/>
        <w:spacing w:after="0" w:line="276" w:lineRule="auto"/>
        <w:ind w:firstLine="720"/>
        <w:jc w:val="both"/>
        <w:rPr>
          <w:rFonts w:ascii="Tahoma" w:eastAsia="Calibri" w:hAnsi="Tahoma" w:cs="Tahoma"/>
          <w:kern w:val="1"/>
          <w:sz w:val="28"/>
          <w:szCs w:val="28"/>
        </w:rPr>
      </w:pPr>
      <w:r w:rsidRPr="00F32228">
        <w:rPr>
          <w:rFonts w:ascii="Tahoma" w:eastAsia="Calibri" w:hAnsi="Tahoma" w:cs="Tahoma"/>
          <w:kern w:val="1"/>
          <w:sz w:val="28"/>
          <w:szCs w:val="28"/>
        </w:rPr>
        <w:t xml:space="preserve">Evoluția încasărilor nete de TVA în trimestrul al II-lea al anului a fost influențată negativ de: (i) prorogarea termenului de plată a obligațiilor fiscale declarate; (ii) evoluțiile economice nefavorabile din sectoarele economice, începând cu luna martie: în principal serviciile de piață prestate populației, industria și comerțul. </w:t>
      </w:r>
    </w:p>
    <w:p w:rsidR="00F62AA6" w:rsidRPr="00F32228" w:rsidRDefault="00F62AA6" w:rsidP="00F62AA6">
      <w:pPr>
        <w:suppressAutoHyphens/>
        <w:autoSpaceDE w:val="0"/>
        <w:autoSpaceDN w:val="0"/>
        <w:adjustRightInd w:val="0"/>
        <w:spacing w:after="0" w:line="276" w:lineRule="auto"/>
        <w:ind w:firstLine="720"/>
        <w:jc w:val="both"/>
        <w:rPr>
          <w:rFonts w:ascii="Tahoma" w:eastAsia="SimSun" w:hAnsi="Tahoma" w:cs="Tahoma"/>
          <w:kern w:val="1"/>
          <w:sz w:val="28"/>
          <w:szCs w:val="28"/>
          <w:lang w:eastAsia="zh-CN"/>
        </w:rPr>
      </w:pPr>
      <w:r w:rsidRPr="00F32228">
        <w:rPr>
          <w:rFonts w:ascii="Tahoma" w:eastAsia="SimSun" w:hAnsi="Tahoma" w:cs="Tahoma"/>
          <w:kern w:val="1"/>
          <w:sz w:val="28"/>
          <w:szCs w:val="28"/>
          <w:lang w:eastAsia="zh-CN"/>
        </w:rPr>
        <w:t xml:space="preserve">În ceea ce privește volumul cifrei de afaceri din </w:t>
      </w:r>
      <w:r w:rsidR="00F32228" w:rsidRPr="00F32228">
        <w:rPr>
          <w:rFonts w:ascii="Tahoma" w:eastAsia="SimSun" w:hAnsi="Tahoma" w:cs="Tahoma"/>
          <w:kern w:val="1"/>
          <w:sz w:val="28"/>
          <w:szCs w:val="28"/>
          <w:lang w:eastAsia="zh-CN"/>
        </w:rPr>
        <w:t>comerțul</w:t>
      </w:r>
      <w:r w:rsidRPr="00F32228">
        <w:rPr>
          <w:rFonts w:ascii="Tahoma" w:eastAsia="SimSun" w:hAnsi="Tahoma" w:cs="Tahoma"/>
          <w:kern w:val="1"/>
          <w:sz w:val="28"/>
          <w:szCs w:val="28"/>
          <w:lang w:eastAsia="zh-CN"/>
        </w:rPr>
        <w:t xml:space="preserve"> cu amănuntul (cu </w:t>
      </w:r>
      <w:r w:rsidR="00F32228" w:rsidRPr="00F32228">
        <w:rPr>
          <w:rFonts w:ascii="Tahoma" w:eastAsia="SimSun" w:hAnsi="Tahoma" w:cs="Tahoma"/>
          <w:kern w:val="1"/>
          <w:sz w:val="28"/>
          <w:szCs w:val="28"/>
          <w:lang w:eastAsia="zh-CN"/>
        </w:rPr>
        <w:t>excepțiacomerțului</w:t>
      </w:r>
      <w:r w:rsidRPr="00F32228">
        <w:rPr>
          <w:rFonts w:ascii="Tahoma" w:eastAsia="SimSun" w:hAnsi="Tahoma" w:cs="Tahoma"/>
          <w:kern w:val="1"/>
          <w:sz w:val="28"/>
          <w:szCs w:val="28"/>
          <w:lang w:eastAsia="zh-CN"/>
        </w:rPr>
        <w:t xml:space="preserve"> cu autovehicule </w:t>
      </w:r>
      <w:r w:rsidR="00F32228" w:rsidRPr="00F32228">
        <w:rPr>
          <w:rFonts w:ascii="Tahoma" w:eastAsia="SimSun" w:hAnsi="Tahoma" w:cs="Tahoma"/>
          <w:kern w:val="1"/>
          <w:sz w:val="28"/>
          <w:szCs w:val="28"/>
          <w:lang w:eastAsia="zh-CN"/>
        </w:rPr>
        <w:t>și</w:t>
      </w:r>
      <w:r w:rsidRPr="00F32228">
        <w:rPr>
          <w:rFonts w:ascii="Tahoma" w:eastAsia="SimSun" w:hAnsi="Tahoma" w:cs="Tahoma"/>
          <w:kern w:val="1"/>
          <w:sz w:val="28"/>
          <w:szCs w:val="28"/>
          <w:lang w:eastAsia="zh-CN"/>
        </w:rPr>
        <w:t xml:space="preserve"> motociclete), serie brută, în perioada 1.I-31.V.2020, comparativ cu perioada 1.I-31.V.2019, a înregistrat o </w:t>
      </w:r>
      <w:r w:rsidR="00F32228" w:rsidRPr="00F32228">
        <w:rPr>
          <w:rFonts w:ascii="Tahoma" w:eastAsia="SimSun" w:hAnsi="Tahoma" w:cs="Tahoma"/>
          <w:kern w:val="1"/>
          <w:sz w:val="28"/>
          <w:szCs w:val="28"/>
          <w:lang w:eastAsia="zh-CN"/>
        </w:rPr>
        <w:t>creștere</w:t>
      </w:r>
      <w:r w:rsidRPr="00F32228">
        <w:rPr>
          <w:rFonts w:ascii="Tahoma" w:eastAsia="SimSun" w:hAnsi="Tahoma" w:cs="Tahoma"/>
          <w:kern w:val="1"/>
          <w:sz w:val="28"/>
          <w:szCs w:val="28"/>
          <w:lang w:eastAsia="zh-CN"/>
        </w:rPr>
        <w:t xml:space="preserve"> cu 0,1% datorită </w:t>
      </w:r>
      <w:r w:rsidR="00F32228" w:rsidRPr="00F32228">
        <w:rPr>
          <w:rFonts w:ascii="Tahoma" w:eastAsia="SimSun" w:hAnsi="Tahoma" w:cs="Tahoma"/>
          <w:kern w:val="1"/>
          <w:sz w:val="28"/>
          <w:szCs w:val="28"/>
          <w:lang w:eastAsia="zh-CN"/>
        </w:rPr>
        <w:t>creșterii</w:t>
      </w:r>
      <w:r w:rsidRPr="00F32228">
        <w:rPr>
          <w:rFonts w:ascii="Tahoma" w:eastAsia="SimSun" w:hAnsi="Tahoma" w:cs="Tahoma"/>
          <w:kern w:val="1"/>
          <w:sz w:val="28"/>
          <w:szCs w:val="28"/>
          <w:lang w:eastAsia="zh-CN"/>
        </w:rPr>
        <w:t xml:space="preserve"> vânzărilor de produse alimentare, băuturi </w:t>
      </w:r>
      <w:r w:rsidR="00F32228" w:rsidRPr="00F32228">
        <w:rPr>
          <w:rFonts w:ascii="Tahoma" w:eastAsia="SimSun" w:hAnsi="Tahoma" w:cs="Tahoma"/>
          <w:kern w:val="1"/>
          <w:sz w:val="28"/>
          <w:szCs w:val="28"/>
          <w:lang w:eastAsia="zh-CN"/>
        </w:rPr>
        <w:t>și</w:t>
      </w:r>
      <w:r w:rsidRPr="00F32228">
        <w:rPr>
          <w:rFonts w:ascii="Tahoma" w:eastAsia="SimSun" w:hAnsi="Tahoma" w:cs="Tahoma"/>
          <w:kern w:val="1"/>
          <w:sz w:val="28"/>
          <w:szCs w:val="28"/>
          <w:lang w:eastAsia="zh-CN"/>
        </w:rPr>
        <w:t xml:space="preserve"> tutun (+8,5%). Scăderi au înregistrat </w:t>
      </w:r>
      <w:r w:rsidR="00F32228" w:rsidRPr="00F32228">
        <w:rPr>
          <w:rFonts w:ascii="Tahoma" w:eastAsia="SimSun" w:hAnsi="Tahoma" w:cs="Tahoma"/>
          <w:kern w:val="1"/>
          <w:sz w:val="28"/>
          <w:szCs w:val="28"/>
          <w:lang w:eastAsia="zh-CN"/>
        </w:rPr>
        <w:t>comerțul</w:t>
      </w:r>
      <w:r w:rsidRPr="00F32228">
        <w:rPr>
          <w:rFonts w:ascii="Tahoma" w:eastAsia="SimSun" w:hAnsi="Tahoma" w:cs="Tahoma"/>
          <w:kern w:val="1"/>
          <w:sz w:val="28"/>
          <w:szCs w:val="28"/>
          <w:lang w:eastAsia="zh-CN"/>
        </w:rPr>
        <w:t xml:space="preserve"> cu amănuntul al </w:t>
      </w:r>
      <w:r w:rsidR="00F32228" w:rsidRPr="00F32228">
        <w:rPr>
          <w:rFonts w:ascii="Tahoma" w:eastAsia="SimSun" w:hAnsi="Tahoma" w:cs="Tahoma"/>
          <w:kern w:val="1"/>
          <w:sz w:val="28"/>
          <w:szCs w:val="28"/>
          <w:lang w:eastAsia="zh-CN"/>
        </w:rPr>
        <w:t>carburanților</w:t>
      </w:r>
      <w:r w:rsidRPr="00F32228">
        <w:rPr>
          <w:rFonts w:ascii="Tahoma" w:eastAsia="SimSun" w:hAnsi="Tahoma" w:cs="Tahoma"/>
          <w:kern w:val="1"/>
          <w:sz w:val="28"/>
          <w:szCs w:val="28"/>
          <w:lang w:eastAsia="zh-CN"/>
        </w:rPr>
        <w:t xml:space="preserve"> pentru autovehicule în magazine specializate (-11,2%) </w:t>
      </w:r>
      <w:r w:rsidR="00F32228" w:rsidRPr="00F32228">
        <w:rPr>
          <w:rFonts w:ascii="Tahoma" w:eastAsia="SimSun" w:hAnsi="Tahoma" w:cs="Tahoma"/>
          <w:kern w:val="1"/>
          <w:sz w:val="28"/>
          <w:szCs w:val="28"/>
          <w:lang w:eastAsia="zh-CN"/>
        </w:rPr>
        <w:t>și</w:t>
      </w:r>
      <w:r w:rsidRPr="00F32228">
        <w:rPr>
          <w:rFonts w:ascii="Tahoma" w:eastAsia="SimSun" w:hAnsi="Tahoma" w:cs="Tahoma"/>
          <w:kern w:val="1"/>
          <w:sz w:val="28"/>
          <w:szCs w:val="28"/>
          <w:lang w:eastAsia="zh-CN"/>
        </w:rPr>
        <w:t xml:space="preserve"> vânzările de produse nealimentare (-1,6%) .</w:t>
      </w:r>
    </w:p>
    <w:p w:rsidR="00F62AA6" w:rsidRPr="00F32228" w:rsidRDefault="00F62AA6" w:rsidP="00F62AA6">
      <w:pPr>
        <w:suppressAutoHyphens/>
        <w:autoSpaceDE w:val="0"/>
        <w:autoSpaceDN w:val="0"/>
        <w:adjustRightInd w:val="0"/>
        <w:spacing w:after="240" w:line="276" w:lineRule="auto"/>
        <w:ind w:firstLine="720"/>
        <w:jc w:val="both"/>
        <w:rPr>
          <w:rFonts w:ascii="Tahoma" w:eastAsia="SimSun" w:hAnsi="Tahoma" w:cs="Tahoma"/>
          <w:kern w:val="1"/>
          <w:sz w:val="28"/>
          <w:szCs w:val="28"/>
          <w:lang w:eastAsia="zh-CN"/>
        </w:rPr>
      </w:pPr>
      <w:r w:rsidRPr="00F32228">
        <w:rPr>
          <w:rFonts w:ascii="Tahoma" w:eastAsia="SimSun" w:hAnsi="Tahoma" w:cs="Tahoma"/>
          <w:kern w:val="1"/>
          <w:sz w:val="28"/>
          <w:szCs w:val="28"/>
          <w:lang w:eastAsia="zh-CN"/>
        </w:rPr>
        <w:t xml:space="preserve">Referitor la valoarea schimburilor extracomunitare de bunuri (Extra-UE27)  aceasta a scăzut cu 12,3% la importuri  și cu 14,6% la exporturi (la </w:t>
      </w:r>
      <w:r w:rsidRPr="00F32228">
        <w:rPr>
          <w:rFonts w:ascii="Tahoma" w:eastAsia="SimSun" w:hAnsi="Tahoma" w:cs="Tahoma"/>
          <w:kern w:val="1"/>
          <w:sz w:val="28"/>
          <w:szCs w:val="28"/>
          <w:lang w:eastAsia="zh-CN"/>
        </w:rPr>
        <w:lastRenderedPageBreak/>
        <w:t>valori exprimate în lei) în primele cinci luni ale anului 2020 comparativ cu perioada similară a anului precedent.</w:t>
      </w:r>
    </w:p>
    <w:p w:rsidR="00F62AA6" w:rsidRPr="00F32228" w:rsidRDefault="00F62AA6" w:rsidP="00F62AA6">
      <w:pPr>
        <w:tabs>
          <w:tab w:val="left" w:pos="284"/>
        </w:tabs>
        <w:suppressAutoHyphens/>
        <w:autoSpaceDE w:val="0"/>
        <w:autoSpaceDN w:val="0"/>
        <w:adjustRightInd w:val="0"/>
        <w:spacing w:after="120" w:line="276" w:lineRule="auto"/>
        <w:ind w:firstLine="720"/>
        <w:jc w:val="both"/>
        <w:rPr>
          <w:rFonts w:ascii="Tahoma" w:eastAsia="Calibri" w:hAnsi="Tahoma" w:cs="Tahoma"/>
          <w:kern w:val="1"/>
          <w:sz w:val="28"/>
          <w:szCs w:val="28"/>
        </w:rPr>
      </w:pPr>
      <w:r w:rsidRPr="00F32228">
        <w:rPr>
          <w:rFonts w:ascii="Tahoma" w:eastAsia="Calibri" w:hAnsi="Tahoma" w:cs="Tahoma"/>
          <w:b/>
          <w:kern w:val="1"/>
          <w:sz w:val="28"/>
          <w:szCs w:val="28"/>
        </w:rPr>
        <w:t>Încasările din accize</w:t>
      </w:r>
      <w:r w:rsidRPr="00F32228">
        <w:rPr>
          <w:rFonts w:ascii="Tahoma" w:eastAsia="Calibri" w:hAnsi="Tahoma" w:cs="Tahoma"/>
          <w:kern w:val="1"/>
          <w:sz w:val="28"/>
          <w:szCs w:val="28"/>
        </w:rPr>
        <w:t xml:space="preserve"> pe trimestrul II al anului 2020, în valoare de 6,2 mld. lei au înregistrat o scădere cu 14,6% comparativ cu aceeași perioadă a anului precedent. Gradul de realizare din accize </w:t>
      </w:r>
      <w:r w:rsidR="00F32228" w:rsidRPr="00F32228">
        <w:rPr>
          <w:rFonts w:ascii="Tahoma" w:eastAsia="Calibri" w:hAnsi="Tahoma" w:cs="Tahoma"/>
          <w:kern w:val="1"/>
          <w:sz w:val="28"/>
          <w:szCs w:val="28"/>
        </w:rPr>
        <w:t>față</w:t>
      </w:r>
      <w:r w:rsidRPr="00F32228">
        <w:rPr>
          <w:rFonts w:ascii="Tahoma" w:eastAsia="Calibri" w:hAnsi="Tahoma" w:cs="Tahoma"/>
          <w:kern w:val="1"/>
          <w:sz w:val="28"/>
          <w:szCs w:val="28"/>
        </w:rPr>
        <w:t xml:space="preserve"> de programul stabilit pentru această perioadă a fost de 99,4% (-0,04 mld. lei).</w:t>
      </w:r>
    </w:p>
    <w:p w:rsidR="00F62AA6" w:rsidRPr="00F32228" w:rsidRDefault="00F62AA6" w:rsidP="00F62AA6">
      <w:pPr>
        <w:tabs>
          <w:tab w:val="left" w:pos="284"/>
        </w:tabs>
        <w:suppressAutoHyphens/>
        <w:autoSpaceDE w:val="0"/>
        <w:autoSpaceDN w:val="0"/>
        <w:adjustRightInd w:val="0"/>
        <w:spacing w:after="120" w:line="276" w:lineRule="auto"/>
        <w:ind w:firstLine="720"/>
        <w:jc w:val="both"/>
        <w:rPr>
          <w:rFonts w:ascii="Tahoma" w:eastAsia="Calibri" w:hAnsi="Tahoma" w:cs="Tahoma"/>
          <w:kern w:val="1"/>
          <w:sz w:val="28"/>
          <w:szCs w:val="28"/>
        </w:rPr>
      </w:pPr>
      <w:r w:rsidRPr="00F32228">
        <w:rPr>
          <w:rFonts w:ascii="Tahoma" w:eastAsia="Calibri" w:hAnsi="Tahoma" w:cs="Tahoma"/>
          <w:kern w:val="1"/>
          <w:sz w:val="28"/>
          <w:szCs w:val="28"/>
        </w:rPr>
        <w:t>În structură, veniturile din accize pentru produse energetice au înregistrat o evoluție negativă de -29,0%, dat</w:t>
      </w:r>
      <w:r w:rsidR="00987133" w:rsidRPr="00F32228">
        <w:rPr>
          <w:rFonts w:ascii="Tahoma" w:eastAsia="Calibri" w:hAnsi="Tahoma" w:cs="Tahoma"/>
          <w:kern w:val="1"/>
          <w:sz w:val="28"/>
          <w:szCs w:val="28"/>
        </w:rPr>
        <w:t>ă</w:t>
      </w:r>
      <w:r w:rsidRPr="00F32228">
        <w:rPr>
          <w:rFonts w:ascii="Tahoma" w:eastAsia="Calibri" w:hAnsi="Tahoma" w:cs="Tahoma"/>
          <w:kern w:val="1"/>
          <w:sz w:val="28"/>
          <w:szCs w:val="28"/>
        </w:rPr>
        <w:t xml:space="preserve"> de nivelul diminuat al accizei pentru carburanți </w:t>
      </w:r>
      <w:r w:rsidR="00987133" w:rsidRPr="00F32228">
        <w:rPr>
          <w:rFonts w:ascii="Tahoma" w:eastAsia="Calibri" w:hAnsi="Tahoma" w:cs="Tahoma"/>
          <w:kern w:val="1"/>
          <w:sz w:val="28"/>
          <w:szCs w:val="28"/>
        </w:rPr>
        <w:t>î</w:t>
      </w:r>
      <w:r w:rsidRPr="00F32228">
        <w:rPr>
          <w:rFonts w:ascii="Tahoma" w:eastAsia="Calibri" w:hAnsi="Tahoma" w:cs="Tahoma"/>
          <w:kern w:val="1"/>
          <w:sz w:val="28"/>
          <w:szCs w:val="28"/>
        </w:rPr>
        <w:t>nc</w:t>
      </w:r>
      <w:r w:rsidR="00987133" w:rsidRPr="00F32228">
        <w:rPr>
          <w:rFonts w:ascii="Tahoma" w:eastAsia="Calibri" w:hAnsi="Tahoma" w:cs="Tahoma"/>
          <w:kern w:val="1"/>
          <w:sz w:val="28"/>
          <w:szCs w:val="28"/>
        </w:rPr>
        <w:t>ă</w:t>
      </w:r>
      <w:r w:rsidRPr="00F32228">
        <w:rPr>
          <w:rFonts w:ascii="Tahoma" w:eastAsia="Calibri" w:hAnsi="Tahoma" w:cs="Tahoma"/>
          <w:kern w:val="1"/>
          <w:sz w:val="28"/>
          <w:szCs w:val="28"/>
        </w:rPr>
        <w:t xml:space="preserve"> de la începutul acestui</w:t>
      </w:r>
      <w:r w:rsidR="00F32228">
        <w:rPr>
          <w:rFonts w:ascii="Tahoma" w:eastAsia="Calibri" w:hAnsi="Tahoma" w:cs="Tahoma"/>
          <w:kern w:val="1"/>
          <w:sz w:val="28"/>
          <w:szCs w:val="28"/>
        </w:rPr>
        <w:t xml:space="preserve"> an, respectiv cu 13% la benzină</w:t>
      </w:r>
      <w:r w:rsidRPr="00F32228">
        <w:rPr>
          <w:rFonts w:ascii="Tahoma" w:eastAsia="Calibri" w:hAnsi="Tahoma" w:cs="Tahoma"/>
          <w:kern w:val="1"/>
          <w:sz w:val="28"/>
          <w:szCs w:val="28"/>
        </w:rPr>
        <w:t xml:space="preserve"> fără plumb si 14,3% la motorină, si de consumul de carburan</w:t>
      </w:r>
      <w:r w:rsidR="00987133" w:rsidRPr="00F32228">
        <w:rPr>
          <w:rFonts w:ascii="Tahoma" w:eastAsia="Calibri" w:hAnsi="Tahoma" w:cs="Tahoma"/>
          <w:kern w:val="1"/>
          <w:sz w:val="28"/>
          <w:szCs w:val="28"/>
        </w:rPr>
        <w:t>ț</w:t>
      </w:r>
      <w:r w:rsidRPr="00F32228">
        <w:rPr>
          <w:rFonts w:ascii="Tahoma" w:eastAsia="Calibri" w:hAnsi="Tahoma" w:cs="Tahoma"/>
          <w:kern w:val="1"/>
          <w:sz w:val="28"/>
          <w:szCs w:val="28"/>
        </w:rPr>
        <w:t xml:space="preserve">i, în contextul instituirii stării de urgență </w:t>
      </w:r>
      <w:r w:rsidR="00987133" w:rsidRPr="00F32228">
        <w:rPr>
          <w:rFonts w:ascii="Tahoma" w:eastAsia="Calibri" w:hAnsi="Tahoma" w:cs="Tahoma"/>
          <w:kern w:val="1"/>
          <w:sz w:val="28"/>
          <w:szCs w:val="28"/>
        </w:rPr>
        <w:t>ș</w:t>
      </w:r>
      <w:r w:rsidRPr="00F32228">
        <w:rPr>
          <w:rFonts w:ascii="Tahoma" w:eastAsia="Calibri" w:hAnsi="Tahoma" w:cs="Tahoma"/>
          <w:kern w:val="1"/>
          <w:sz w:val="28"/>
          <w:szCs w:val="28"/>
        </w:rPr>
        <w:t>i alert</w:t>
      </w:r>
      <w:r w:rsidR="00987133" w:rsidRPr="00F32228">
        <w:rPr>
          <w:rFonts w:ascii="Tahoma" w:eastAsia="Calibri" w:hAnsi="Tahoma" w:cs="Tahoma"/>
          <w:kern w:val="1"/>
          <w:sz w:val="28"/>
          <w:szCs w:val="28"/>
        </w:rPr>
        <w:t>ă</w:t>
      </w:r>
      <w:r w:rsidRPr="00F32228">
        <w:rPr>
          <w:rFonts w:ascii="Tahoma" w:eastAsia="Calibri" w:hAnsi="Tahoma" w:cs="Tahoma"/>
          <w:kern w:val="1"/>
          <w:sz w:val="28"/>
          <w:szCs w:val="28"/>
        </w:rPr>
        <w:t xml:space="preserve"> din perioada analizat</w:t>
      </w:r>
      <w:r w:rsidR="00987133" w:rsidRPr="00F32228">
        <w:rPr>
          <w:rFonts w:ascii="Tahoma" w:eastAsia="Calibri" w:hAnsi="Tahoma" w:cs="Tahoma"/>
          <w:kern w:val="1"/>
          <w:sz w:val="28"/>
          <w:szCs w:val="28"/>
        </w:rPr>
        <w:t>ă</w:t>
      </w:r>
      <w:r w:rsidRPr="00F32228">
        <w:rPr>
          <w:rFonts w:ascii="Tahoma" w:eastAsia="Calibri" w:hAnsi="Tahoma" w:cs="Tahoma"/>
          <w:kern w:val="1"/>
          <w:sz w:val="28"/>
          <w:szCs w:val="28"/>
        </w:rPr>
        <w:t>, iar veniturile din accize pentru produsele din tutun au înregistrat o evoluție pozitivă de 6,6%, susținută de majorarea cu 4,2% a nivelului accizelor la țigarete.</w:t>
      </w:r>
    </w:p>
    <w:p w:rsidR="001C5C1A" w:rsidRPr="00F32228" w:rsidRDefault="00DD52A5" w:rsidP="001C5C1A">
      <w:pPr>
        <w:spacing w:before="240" w:after="240" w:line="276" w:lineRule="auto"/>
        <w:ind w:firstLine="720"/>
        <w:jc w:val="both"/>
      </w:pPr>
      <w:r w:rsidRPr="00F32228">
        <w:rPr>
          <w:rFonts w:ascii="Tahoma" w:hAnsi="Tahoma" w:cs="Tahoma"/>
          <w:b/>
          <w:sz w:val="28"/>
          <w:szCs w:val="28"/>
        </w:rPr>
        <w:t>Încasările din taxele pe utilizarea bunurilor</w:t>
      </w:r>
      <w:r w:rsidR="007369A7">
        <w:rPr>
          <w:rFonts w:ascii="Tahoma" w:hAnsi="Tahoma" w:cs="Tahoma"/>
          <w:b/>
          <w:sz w:val="28"/>
          <w:szCs w:val="28"/>
        </w:rPr>
        <w:t xml:space="preserve"> </w:t>
      </w:r>
      <w:r w:rsidR="00502B73" w:rsidRPr="00F32228">
        <w:rPr>
          <w:rFonts w:ascii="Tahoma" w:hAnsi="Tahoma" w:cs="Tahoma"/>
          <w:sz w:val="28"/>
          <w:szCs w:val="28"/>
        </w:rPr>
        <w:t xml:space="preserve">au fost în sumă de </w:t>
      </w:r>
      <w:r w:rsidR="00F62AA6" w:rsidRPr="00F32228">
        <w:rPr>
          <w:rFonts w:ascii="Tahoma" w:hAnsi="Tahoma" w:cs="Tahoma"/>
          <w:sz w:val="28"/>
          <w:szCs w:val="28"/>
        </w:rPr>
        <w:t>0,4</w:t>
      </w:r>
      <w:r w:rsidR="00713D80" w:rsidRPr="00F32228">
        <w:rPr>
          <w:rFonts w:ascii="Tahoma" w:hAnsi="Tahoma" w:cs="Tahoma"/>
          <w:sz w:val="28"/>
          <w:szCs w:val="28"/>
        </w:rPr>
        <w:t>ml</w:t>
      </w:r>
      <w:r w:rsidR="00502B73" w:rsidRPr="00F32228">
        <w:rPr>
          <w:rFonts w:ascii="Tahoma" w:hAnsi="Tahoma" w:cs="Tahoma"/>
          <w:sz w:val="28"/>
          <w:szCs w:val="28"/>
        </w:rPr>
        <w:t>d.</w:t>
      </w:r>
      <w:r w:rsidRPr="00F32228">
        <w:rPr>
          <w:rFonts w:ascii="Tahoma" w:hAnsi="Tahoma" w:cs="Tahoma"/>
          <w:sz w:val="28"/>
          <w:szCs w:val="28"/>
        </w:rPr>
        <w:t xml:space="preserve">lei, </w:t>
      </w:r>
      <w:r w:rsidR="00565196" w:rsidRPr="00F32228">
        <w:rPr>
          <w:rFonts w:ascii="Tahoma" w:hAnsi="Tahoma" w:cs="Tahoma"/>
          <w:sz w:val="28"/>
          <w:szCs w:val="28"/>
        </w:rPr>
        <w:t xml:space="preserve">în </w:t>
      </w:r>
      <w:r w:rsidR="00F62AA6" w:rsidRPr="00F32228">
        <w:rPr>
          <w:rFonts w:ascii="Tahoma" w:hAnsi="Tahoma" w:cs="Tahoma"/>
          <w:sz w:val="28"/>
          <w:szCs w:val="28"/>
        </w:rPr>
        <w:t>condițiile în care în trimestrul II 2019 înregistrau o valoare negativă ca urmare a restituirilor aferente taxei de poluare pentru autovehicule. Gradul de realizare al programului trimestrial a fost de 46,0%</w:t>
      </w:r>
      <w:r w:rsidR="001C5C1A" w:rsidRPr="00F32228">
        <w:rPr>
          <w:rFonts w:ascii="Tahoma" w:hAnsi="Tahoma" w:cs="Tahoma"/>
          <w:sz w:val="28"/>
          <w:szCs w:val="28"/>
        </w:rPr>
        <w:t xml:space="preserve">. Nerealizarea programului trimestrial s-a datorat </w:t>
      </w:r>
      <w:r w:rsidR="00987133" w:rsidRPr="00F32228">
        <w:rPr>
          <w:rFonts w:ascii="Tahoma" w:hAnsi="Tahoma" w:cs="Tahoma"/>
          <w:sz w:val="28"/>
          <w:szCs w:val="28"/>
        </w:rPr>
        <w:t>î</w:t>
      </w:r>
      <w:r w:rsidR="001C5C1A" w:rsidRPr="00F32228">
        <w:rPr>
          <w:rFonts w:ascii="Tahoma" w:hAnsi="Tahoma" w:cs="Tahoma"/>
          <w:sz w:val="28"/>
          <w:szCs w:val="28"/>
        </w:rPr>
        <w:t>ncasărilor de la bugetul de stat care au fost afectate de transferului sumei de 0,53 mld. lei efectuat în luna iunie 2020, la capitolul de venituri ale bugetului de stat „Alte operațiuni financiare”, suma ce are ca destinație programe/proiecte de eficiență energetică (conform art. IV din OUG nr. 90/2020), dim</w:t>
      </w:r>
      <w:r w:rsidR="00987133" w:rsidRPr="00F32228">
        <w:rPr>
          <w:rFonts w:ascii="Tahoma" w:hAnsi="Tahoma" w:cs="Tahoma"/>
          <w:sz w:val="28"/>
          <w:szCs w:val="28"/>
        </w:rPr>
        <w:t>i</w:t>
      </w:r>
      <w:r w:rsidR="001C5C1A" w:rsidRPr="00F32228">
        <w:rPr>
          <w:rFonts w:ascii="Tahoma" w:hAnsi="Tahoma" w:cs="Tahoma"/>
          <w:sz w:val="28"/>
          <w:szCs w:val="28"/>
        </w:rPr>
        <w:t xml:space="preserve">nuarea încasărilor din taxele pe jocurile de noroc au scăzut în perioada analizată cu 31,5 pe fondul scutirii de la plata a taxei aferentă autorizațiilor de exploatare a jocurilor de noroc pentru întreaga perioadă a stării de </w:t>
      </w:r>
      <w:r w:rsidR="00F32228" w:rsidRPr="00F32228">
        <w:rPr>
          <w:rFonts w:ascii="Tahoma" w:hAnsi="Tahoma" w:cs="Tahoma"/>
          <w:sz w:val="28"/>
          <w:szCs w:val="28"/>
        </w:rPr>
        <w:t>urgență</w:t>
      </w:r>
      <w:r w:rsidR="001C5C1A" w:rsidRPr="00F32228">
        <w:rPr>
          <w:rFonts w:ascii="Tahoma" w:hAnsi="Tahoma" w:cs="Tahoma"/>
          <w:sz w:val="28"/>
          <w:szCs w:val="28"/>
        </w:rPr>
        <w:t xml:space="preserve"> decretate (OUG nr. 48/2020) și amânării la plata a unor obligații fiscale.</w:t>
      </w:r>
    </w:p>
    <w:p w:rsidR="00DD52A5" w:rsidRPr="00F32228" w:rsidRDefault="001C5C1A" w:rsidP="001C5C1A">
      <w:pPr>
        <w:spacing w:before="240" w:after="240" w:line="276" w:lineRule="auto"/>
        <w:ind w:firstLine="720"/>
        <w:jc w:val="both"/>
        <w:rPr>
          <w:rFonts w:ascii="Tahoma" w:hAnsi="Tahoma" w:cs="Tahoma"/>
          <w:sz w:val="28"/>
          <w:szCs w:val="28"/>
        </w:rPr>
      </w:pPr>
      <w:r w:rsidRPr="00F32228">
        <w:rPr>
          <w:rFonts w:ascii="Tahoma" w:hAnsi="Tahoma" w:cs="Tahoma"/>
          <w:b/>
          <w:sz w:val="28"/>
          <w:szCs w:val="28"/>
        </w:rPr>
        <w:t>Încasările din alte impozite și taxe pe bunuri și servicii</w:t>
      </w:r>
      <w:r w:rsidRPr="00F32228">
        <w:rPr>
          <w:rFonts w:ascii="Tahoma" w:hAnsi="Tahoma" w:cs="Tahoma"/>
          <w:sz w:val="28"/>
          <w:szCs w:val="28"/>
        </w:rPr>
        <w:t xml:space="preserve"> au însumat 1,3 miliarde lei (0,1% din PIB) cu 23,9% mai mari comparativ cu aceeași perioadă a anului anterior, gradul de realizare al programului de încasări fiind de </w:t>
      </w:r>
      <w:r w:rsidR="00662746" w:rsidRPr="00F32228">
        <w:rPr>
          <w:rFonts w:ascii="Tahoma" w:hAnsi="Tahoma" w:cs="Tahoma"/>
          <w:sz w:val="28"/>
          <w:szCs w:val="28"/>
        </w:rPr>
        <w:t>136,3</w:t>
      </w:r>
      <w:r w:rsidRPr="00F32228">
        <w:rPr>
          <w:rFonts w:ascii="Tahoma" w:hAnsi="Tahoma" w:cs="Tahoma"/>
          <w:sz w:val="28"/>
          <w:szCs w:val="28"/>
        </w:rPr>
        <w:t xml:space="preserve">%. Evoluția încasărilor din alte impozite și taxe pe bunuri și servicii a fost determinată de creșterea încasărilor la bugetul Fondului </w:t>
      </w:r>
      <w:r w:rsidRPr="00F32228">
        <w:rPr>
          <w:rFonts w:ascii="Tahoma" w:hAnsi="Tahoma" w:cs="Tahoma"/>
          <w:sz w:val="28"/>
          <w:szCs w:val="28"/>
        </w:rPr>
        <w:lastRenderedPageBreak/>
        <w:t>național unic de asigurări sociale de sănătate ca urmare a creșterii veniturilor din contribu</w:t>
      </w:r>
      <w:r w:rsidR="00987133" w:rsidRPr="00F32228">
        <w:rPr>
          <w:rFonts w:ascii="Tahoma" w:hAnsi="Tahoma" w:cs="Tahoma"/>
          <w:sz w:val="28"/>
          <w:szCs w:val="28"/>
        </w:rPr>
        <w:t>ț</w:t>
      </w:r>
      <w:r w:rsidRPr="00F32228">
        <w:rPr>
          <w:rFonts w:ascii="Tahoma" w:hAnsi="Tahoma" w:cs="Tahoma"/>
          <w:sz w:val="28"/>
          <w:szCs w:val="28"/>
        </w:rPr>
        <w:t>ia datorat</w:t>
      </w:r>
      <w:r w:rsidR="00987133" w:rsidRPr="00F32228">
        <w:rPr>
          <w:rFonts w:ascii="Tahoma" w:hAnsi="Tahoma" w:cs="Tahoma"/>
          <w:sz w:val="28"/>
          <w:szCs w:val="28"/>
        </w:rPr>
        <w:t>ă</w:t>
      </w:r>
      <w:r w:rsidRPr="00F32228">
        <w:rPr>
          <w:rFonts w:ascii="Tahoma" w:hAnsi="Tahoma" w:cs="Tahoma"/>
          <w:sz w:val="28"/>
          <w:szCs w:val="28"/>
        </w:rPr>
        <w:t xml:space="preserve"> pentru medicamente finan</w:t>
      </w:r>
      <w:r w:rsidR="00987133" w:rsidRPr="00F32228">
        <w:rPr>
          <w:rFonts w:ascii="Tahoma" w:hAnsi="Tahoma" w:cs="Tahoma"/>
          <w:sz w:val="28"/>
          <w:szCs w:val="28"/>
        </w:rPr>
        <w:t>ț</w:t>
      </w:r>
      <w:r w:rsidRPr="00F32228">
        <w:rPr>
          <w:rFonts w:ascii="Tahoma" w:hAnsi="Tahoma" w:cs="Tahoma"/>
          <w:sz w:val="28"/>
          <w:szCs w:val="28"/>
        </w:rPr>
        <w:t>ate din Fondul National unic de asigur</w:t>
      </w:r>
      <w:r w:rsidR="00987133" w:rsidRPr="00F32228">
        <w:rPr>
          <w:rFonts w:ascii="Tahoma" w:hAnsi="Tahoma" w:cs="Tahoma"/>
          <w:sz w:val="28"/>
          <w:szCs w:val="28"/>
        </w:rPr>
        <w:t>ă</w:t>
      </w:r>
      <w:r w:rsidRPr="00F32228">
        <w:rPr>
          <w:rFonts w:ascii="Tahoma" w:hAnsi="Tahoma" w:cs="Tahoma"/>
          <w:sz w:val="28"/>
          <w:szCs w:val="28"/>
        </w:rPr>
        <w:t>ri sociale de s</w:t>
      </w:r>
      <w:r w:rsidR="00987133" w:rsidRPr="00F32228">
        <w:rPr>
          <w:rFonts w:ascii="Tahoma" w:hAnsi="Tahoma" w:cs="Tahoma"/>
          <w:sz w:val="28"/>
          <w:szCs w:val="28"/>
        </w:rPr>
        <w:t>ă</w:t>
      </w:r>
      <w:r w:rsidRPr="00F32228">
        <w:rPr>
          <w:rFonts w:ascii="Tahoma" w:hAnsi="Tahoma" w:cs="Tahoma"/>
          <w:sz w:val="28"/>
          <w:szCs w:val="28"/>
        </w:rPr>
        <w:t>n</w:t>
      </w:r>
      <w:r w:rsidR="00987133" w:rsidRPr="00F32228">
        <w:rPr>
          <w:rFonts w:ascii="Tahoma" w:hAnsi="Tahoma" w:cs="Tahoma"/>
          <w:sz w:val="28"/>
          <w:szCs w:val="28"/>
        </w:rPr>
        <w:t>ă</w:t>
      </w:r>
      <w:r w:rsidRPr="00F32228">
        <w:rPr>
          <w:rFonts w:ascii="Tahoma" w:hAnsi="Tahoma" w:cs="Tahoma"/>
          <w:sz w:val="28"/>
          <w:szCs w:val="28"/>
        </w:rPr>
        <w:t xml:space="preserve">tate </w:t>
      </w:r>
      <w:r w:rsidR="00987133" w:rsidRPr="00F32228">
        <w:rPr>
          <w:rFonts w:ascii="Tahoma" w:hAnsi="Tahoma" w:cs="Tahoma"/>
          <w:sz w:val="28"/>
          <w:szCs w:val="28"/>
        </w:rPr>
        <w:t>ș</w:t>
      </w:r>
      <w:r w:rsidRPr="00F32228">
        <w:rPr>
          <w:rFonts w:ascii="Tahoma" w:hAnsi="Tahoma" w:cs="Tahoma"/>
          <w:sz w:val="28"/>
          <w:szCs w:val="28"/>
        </w:rPr>
        <w:t>i din bugetul Ministerului S</w:t>
      </w:r>
      <w:r w:rsidR="00987133" w:rsidRPr="00F32228">
        <w:rPr>
          <w:rFonts w:ascii="Tahoma" w:hAnsi="Tahoma" w:cs="Tahoma"/>
          <w:sz w:val="28"/>
          <w:szCs w:val="28"/>
        </w:rPr>
        <w:t>ă</w:t>
      </w:r>
      <w:r w:rsidRPr="00F32228">
        <w:rPr>
          <w:rFonts w:ascii="Tahoma" w:hAnsi="Tahoma" w:cs="Tahoma"/>
          <w:sz w:val="28"/>
          <w:szCs w:val="28"/>
        </w:rPr>
        <w:t>n</w:t>
      </w:r>
      <w:r w:rsidR="00987133" w:rsidRPr="00F32228">
        <w:rPr>
          <w:rFonts w:ascii="Tahoma" w:hAnsi="Tahoma" w:cs="Tahoma"/>
          <w:sz w:val="28"/>
          <w:szCs w:val="28"/>
        </w:rPr>
        <w:t>ă</w:t>
      </w:r>
      <w:r w:rsidRPr="00F32228">
        <w:rPr>
          <w:rFonts w:ascii="Tahoma" w:hAnsi="Tahoma" w:cs="Tahoma"/>
          <w:sz w:val="28"/>
          <w:szCs w:val="28"/>
        </w:rPr>
        <w:t>t</w:t>
      </w:r>
      <w:r w:rsidR="00987133" w:rsidRPr="00F32228">
        <w:rPr>
          <w:rFonts w:ascii="Tahoma" w:hAnsi="Tahoma" w:cs="Tahoma"/>
          <w:sz w:val="28"/>
          <w:szCs w:val="28"/>
        </w:rPr>
        <w:t>ăț</w:t>
      </w:r>
      <w:r w:rsidRPr="00F32228">
        <w:rPr>
          <w:rFonts w:ascii="Tahoma" w:hAnsi="Tahoma" w:cs="Tahoma"/>
          <w:sz w:val="28"/>
          <w:szCs w:val="28"/>
        </w:rPr>
        <w:t>ii</w:t>
      </w:r>
      <w:r w:rsidR="00662746" w:rsidRPr="00F32228">
        <w:rPr>
          <w:rFonts w:ascii="Tahoma" w:hAnsi="Tahoma" w:cs="Tahoma"/>
          <w:sz w:val="28"/>
          <w:szCs w:val="28"/>
        </w:rPr>
        <w:t xml:space="preserve">, </w:t>
      </w:r>
      <w:r w:rsidRPr="00F32228">
        <w:rPr>
          <w:rFonts w:ascii="Tahoma" w:hAnsi="Tahoma" w:cs="Tahoma"/>
          <w:sz w:val="28"/>
          <w:szCs w:val="28"/>
        </w:rPr>
        <w:t>a veniturilor din contribu</w:t>
      </w:r>
      <w:r w:rsidR="00987133" w:rsidRPr="00F32228">
        <w:rPr>
          <w:rFonts w:ascii="Tahoma" w:hAnsi="Tahoma" w:cs="Tahoma"/>
          <w:sz w:val="28"/>
          <w:szCs w:val="28"/>
        </w:rPr>
        <w:t>ț</w:t>
      </w:r>
      <w:r w:rsidRPr="00F32228">
        <w:rPr>
          <w:rFonts w:ascii="Tahoma" w:hAnsi="Tahoma" w:cs="Tahoma"/>
          <w:sz w:val="28"/>
          <w:szCs w:val="28"/>
        </w:rPr>
        <w:t>ia datorat</w:t>
      </w:r>
      <w:r w:rsidR="00987133" w:rsidRPr="00F32228">
        <w:rPr>
          <w:rFonts w:ascii="Tahoma" w:hAnsi="Tahoma" w:cs="Tahoma"/>
          <w:sz w:val="28"/>
          <w:szCs w:val="28"/>
        </w:rPr>
        <w:t>ă</w:t>
      </w:r>
      <w:r w:rsidRPr="00F32228">
        <w:rPr>
          <w:rFonts w:ascii="Tahoma" w:hAnsi="Tahoma" w:cs="Tahoma"/>
          <w:sz w:val="28"/>
          <w:szCs w:val="28"/>
        </w:rPr>
        <w:t xml:space="preserve"> pentru contractele cost-volum/cost-volum-rezultatșia veniturilor din contribu</w:t>
      </w:r>
      <w:r w:rsidR="00987133" w:rsidRPr="00F32228">
        <w:rPr>
          <w:rFonts w:ascii="Tahoma" w:hAnsi="Tahoma" w:cs="Tahoma"/>
          <w:sz w:val="28"/>
          <w:szCs w:val="28"/>
        </w:rPr>
        <w:t>ț</w:t>
      </w:r>
      <w:r w:rsidRPr="00F32228">
        <w:rPr>
          <w:rFonts w:ascii="Tahoma" w:hAnsi="Tahoma" w:cs="Tahoma"/>
          <w:sz w:val="28"/>
          <w:szCs w:val="28"/>
        </w:rPr>
        <w:t>ia datorat</w:t>
      </w:r>
      <w:r w:rsidR="00987133" w:rsidRPr="00F32228">
        <w:rPr>
          <w:rFonts w:ascii="Tahoma" w:hAnsi="Tahoma" w:cs="Tahoma"/>
          <w:sz w:val="28"/>
          <w:szCs w:val="28"/>
        </w:rPr>
        <w:t>ă</w:t>
      </w:r>
      <w:r w:rsidRPr="00F32228">
        <w:rPr>
          <w:rFonts w:ascii="Tahoma" w:hAnsi="Tahoma" w:cs="Tahoma"/>
          <w:sz w:val="28"/>
          <w:szCs w:val="28"/>
        </w:rPr>
        <w:t xml:space="preserve"> pentru volume de medicamente consumate care dep</w:t>
      </w:r>
      <w:r w:rsidR="00987133" w:rsidRPr="00F32228">
        <w:rPr>
          <w:rFonts w:ascii="Tahoma" w:hAnsi="Tahoma" w:cs="Tahoma"/>
          <w:sz w:val="28"/>
          <w:szCs w:val="28"/>
        </w:rPr>
        <w:t>ăș</w:t>
      </w:r>
      <w:r w:rsidRPr="00F32228">
        <w:rPr>
          <w:rFonts w:ascii="Tahoma" w:hAnsi="Tahoma" w:cs="Tahoma"/>
          <w:sz w:val="28"/>
          <w:szCs w:val="28"/>
        </w:rPr>
        <w:t>esc volumele stabilite prin contracte</w:t>
      </w:r>
      <w:r w:rsidR="00987133" w:rsidRPr="00F32228">
        <w:rPr>
          <w:rFonts w:ascii="Tahoma" w:hAnsi="Tahoma" w:cs="Tahoma"/>
          <w:sz w:val="28"/>
          <w:szCs w:val="28"/>
        </w:rPr>
        <w:t>.</w:t>
      </w:r>
    </w:p>
    <w:p w:rsidR="00DD52A5" w:rsidRPr="00F32228" w:rsidRDefault="00DD52A5" w:rsidP="00662746">
      <w:pPr>
        <w:shd w:val="clear" w:color="auto" w:fill="FFFFFF"/>
        <w:tabs>
          <w:tab w:val="left" w:pos="810"/>
          <w:tab w:val="left" w:pos="1710"/>
        </w:tabs>
        <w:suppressAutoHyphens/>
        <w:autoSpaceDE w:val="0"/>
        <w:autoSpaceDN w:val="0"/>
        <w:adjustRightInd w:val="0"/>
        <w:spacing w:before="120" w:after="120" w:line="276" w:lineRule="auto"/>
        <w:ind w:firstLine="720"/>
        <w:jc w:val="both"/>
        <w:rPr>
          <w:rFonts w:ascii="Tahoma" w:hAnsi="Tahoma" w:cs="Tahoma"/>
          <w:sz w:val="28"/>
          <w:szCs w:val="28"/>
        </w:rPr>
      </w:pPr>
      <w:r w:rsidRPr="00F32228">
        <w:rPr>
          <w:rFonts w:ascii="Tahoma" w:hAnsi="Tahoma" w:cs="Tahoma"/>
          <w:b/>
          <w:sz w:val="28"/>
          <w:szCs w:val="28"/>
        </w:rPr>
        <w:t>Încasările din</w:t>
      </w:r>
      <w:r w:rsidRPr="00F32228">
        <w:rPr>
          <w:rFonts w:ascii="Tahoma" w:hAnsi="Tahoma" w:cs="Tahoma"/>
          <w:b/>
          <w:bCs/>
          <w:sz w:val="28"/>
          <w:szCs w:val="28"/>
        </w:rPr>
        <w:t xml:space="preserve"> impozitul pe comerț exterior </w:t>
      </w:r>
      <w:r w:rsidR="00640FBB" w:rsidRPr="00F32228">
        <w:rPr>
          <w:rFonts w:ascii="Tahoma" w:hAnsi="Tahoma" w:cs="Tahoma"/>
          <w:b/>
          <w:bCs/>
          <w:sz w:val="28"/>
          <w:szCs w:val="28"/>
        </w:rPr>
        <w:t>și</w:t>
      </w:r>
      <w:r w:rsidRPr="00F32228">
        <w:rPr>
          <w:rFonts w:ascii="Tahoma" w:hAnsi="Tahoma" w:cs="Tahoma"/>
          <w:b/>
          <w:bCs/>
          <w:sz w:val="28"/>
          <w:szCs w:val="28"/>
        </w:rPr>
        <w:t xml:space="preserve"> tranzacțiile internaționale</w:t>
      </w:r>
      <w:r w:rsidR="007369A7">
        <w:rPr>
          <w:rFonts w:ascii="Tahoma" w:hAnsi="Tahoma" w:cs="Tahoma"/>
          <w:b/>
          <w:bCs/>
          <w:sz w:val="28"/>
          <w:szCs w:val="28"/>
        </w:rPr>
        <w:t xml:space="preserve"> </w:t>
      </w:r>
      <w:r w:rsidRPr="00F32228">
        <w:rPr>
          <w:rFonts w:ascii="Tahoma" w:hAnsi="Tahoma" w:cs="Tahoma"/>
          <w:sz w:val="28"/>
          <w:szCs w:val="28"/>
        </w:rPr>
        <w:t xml:space="preserve">s-au realizat în proporție de </w:t>
      </w:r>
      <w:r w:rsidR="00662746" w:rsidRPr="00F32228">
        <w:rPr>
          <w:rFonts w:ascii="Tahoma" w:hAnsi="Tahoma" w:cs="Tahoma"/>
          <w:sz w:val="28"/>
          <w:szCs w:val="28"/>
        </w:rPr>
        <w:t>103,8</w:t>
      </w:r>
      <w:r w:rsidRPr="00F32228">
        <w:rPr>
          <w:rFonts w:ascii="Tahoma" w:hAnsi="Tahoma" w:cs="Tahoma"/>
          <w:sz w:val="28"/>
          <w:szCs w:val="28"/>
        </w:rPr>
        <w:t xml:space="preserve">%, pe fondul </w:t>
      </w:r>
      <w:r w:rsidR="00662746" w:rsidRPr="00F32228">
        <w:rPr>
          <w:rFonts w:ascii="Tahoma" w:hAnsi="Tahoma" w:cs="Tahoma"/>
          <w:sz w:val="28"/>
          <w:szCs w:val="28"/>
        </w:rPr>
        <w:t>scăderii</w:t>
      </w:r>
      <w:r w:rsidRPr="00F32228">
        <w:rPr>
          <w:rFonts w:ascii="Tahoma" w:hAnsi="Tahoma" w:cs="Tahoma"/>
          <w:sz w:val="28"/>
          <w:szCs w:val="28"/>
        </w:rPr>
        <w:t xml:space="preserve"> importurilor extra comunitare de bunuri din primele </w:t>
      </w:r>
      <w:r w:rsidR="00662746" w:rsidRPr="00F32228">
        <w:rPr>
          <w:rFonts w:ascii="Tahoma" w:hAnsi="Tahoma" w:cs="Tahoma"/>
          <w:sz w:val="28"/>
          <w:szCs w:val="28"/>
        </w:rPr>
        <w:t>5</w:t>
      </w:r>
      <w:r w:rsidRPr="00F32228">
        <w:rPr>
          <w:rFonts w:ascii="Tahoma" w:hAnsi="Tahoma" w:cs="Tahoma"/>
          <w:sz w:val="28"/>
          <w:szCs w:val="28"/>
        </w:rPr>
        <w:t xml:space="preserve"> luni ale anului 2020 cu </w:t>
      </w:r>
      <w:r w:rsidR="00662746" w:rsidRPr="00F32228">
        <w:rPr>
          <w:rFonts w:ascii="Tahoma" w:hAnsi="Tahoma" w:cs="Tahoma"/>
          <w:sz w:val="28"/>
          <w:szCs w:val="28"/>
        </w:rPr>
        <w:t>12,3</w:t>
      </w:r>
      <w:r w:rsidRPr="00F32228">
        <w:rPr>
          <w:rFonts w:ascii="Tahoma" w:hAnsi="Tahoma" w:cs="Tahoma"/>
          <w:sz w:val="28"/>
          <w:szCs w:val="28"/>
        </w:rPr>
        <w:t>%.</w:t>
      </w:r>
    </w:p>
    <w:p w:rsidR="00DD52A5" w:rsidRPr="00F32228" w:rsidRDefault="00662746" w:rsidP="00DD52A5">
      <w:pPr>
        <w:pStyle w:val="ListParagraph"/>
        <w:spacing w:before="240"/>
        <w:ind w:left="1276" w:hanging="1276"/>
        <w:jc w:val="both"/>
        <w:rPr>
          <w:rFonts w:ascii="Tahoma" w:hAnsi="Tahoma" w:cs="Tahoma"/>
          <w:sz w:val="24"/>
          <w:szCs w:val="24"/>
        </w:rPr>
      </w:pPr>
      <w:r w:rsidRPr="00F32228">
        <w:rPr>
          <w:rFonts w:ascii="Tahoma" w:hAnsi="Tahoma" w:cs="Tahoma"/>
          <w:noProof/>
          <w:sz w:val="24"/>
          <w:szCs w:val="24"/>
          <w:lang w:eastAsia="ro-RO"/>
        </w:rPr>
        <w:drawing>
          <wp:inline distT="0" distB="0" distL="0" distR="0">
            <wp:extent cx="6113721" cy="316420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5631" cy="3170369"/>
                    </a:xfrm>
                    <a:prstGeom prst="rect">
                      <a:avLst/>
                    </a:prstGeom>
                    <a:noFill/>
                  </pic:spPr>
                </pic:pic>
              </a:graphicData>
            </a:graphic>
          </wp:inline>
        </w:drawing>
      </w:r>
    </w:p>
    <w:p w:rsidR="006E321D" w:rsidRPr="00F32228" w:rsidRDefault="00DD52A5" w:rsidP="006E321D">
      <w:pPr>
        <w:shd w:val="clear" w:color="auto" w:fill="FFFFFF"/>
        <w:spacing w:before="240" w:after="120" w:line="276" w:lineRule="auto"/>
        <w:ind w:firstLine="720"/>
        <w:jc w:val="both"/>
        <w:rPr>
          <w:rFonts w:ascii="Tahoma" w:hAnsi="Tahoma" w:cs="Tahoma"/>
          <w:sz w:val="28"/>
          <w:szCs w:val="28"/>
          <w:lang w:eastAsia="ro-RO"/>
        </w:rPr>
      </w:pPr>
      <w:r w:rsidRPr="00F32228">
        <w:rPr>
          <w:rFonts w:ascii="Tahoma" w:hAnsi="Tahoma" w:cs="Tahoma"/>
          <w:b/>
          <w:sz w:val="28"/>
          <w:szCs w:val="28"/>
          <w:lang w:eastAsia="ro-RO"/>
        </w:rPr>
        <w:t>Încasările din contribuții de asigurări</w:t>
      </w:r>
      <w:r w:rsidR="00502B73" w:rsidRPr="00F32228">
        <w:rPr>
          <w:rFonts w:ascii="Tahoma" w:hAnsi="Tahoma" w:cs="Tahoma"/>
          <w:sz w:val="28"/>
          <w:szCs w:val="28"/>
          <w:lang w:eastAsia="ro-RO"/>
        </w:rPr>
        <w:t xml:space="preserve"> au însumat 27,</w:t>
      </w:r>
      <w:r w:rsidR="00662746" w:rsidRPr="00F32228">
        <w:rPr>
          <w:rFonts w:ascii="Tahoma" w:hAnsi="Tahoma" w:cs="Tahoma"/>
          <w:sz w:val="28"/>
          <w:szCs w:val="28"/>
          <w:lang w:eastAsia="ro-RO"/>
        </w:rPr>
        <w:t>5</w:t>
      </w:r>
      <w:r w:rsidR="00502B73" w:rsidRPr="00F32228">
        <w:rPr>
          <w:rFonts w:ascii="Tahoma" w:hAnsi="Tahoma" w:cs="Tahoma"/>
          <w:sz w:val="28"/>
          <w:szCs w:val="28"/>
          <w:lang w:eastAsia="ro-RO"/>
        </w:rPr>
        <w:t>m</w:t>
      </w:r>
      <w:r w:rsidR="00713D80" w:rsidRPr="00F32228">
        <w:rPr>
          <w:rFonts w:ascii="Tahoma" w:hAnsi="Tahoma" w:cs="Tahoma"/>
          <w:sz w:val="28"/>
          <w:szCs w:val="28"/>
          <w:lang w:eastAsia="ro-RO"/>
        </w:rPr>
        <w:t>l</w:t>
      </w:r>
      <w:r w:rsidR="00502B73" w:rsidRPr="00F32228">
        <w:rPr>
          <w:rFonts w:ascii="Tahoma" w:hAnsi="Tahoma" w:cs="Tahoma"/>
          <w:sz w:val="28"/>
          <w:szCs w:val="28"/>
          <w:lang w:eastAsia="ro-RO"/>
        </w:rPr>
        <w:t>d.</w:t>
      </w:r>
      <w:r w:rsidRPr="00F32228">
        <w:rPr>
          <w:rFonts w:ascii="Tahoma" w:hAnsi="Tahoma" w:cs="Tahoma"/>
          <w:sz w:val="28"/>
          <w:szCs w:val="28"/>
          <w:lang w:eastAsia="ro-RO"/>
        </w:rPr>
        <w:t>lei</w:t>
      </w:r>
      <w:r w:rsidR="00233AC4" w:rsidRPr="00F32228">
        <w:rPr>
          <w:rFonts w:ascii="Tahoma" w:hAnsi="Tahoma" w:cs="Tahoma"/>
          <w:sz w:val="28"/>
          <w:szCs w:val="28"/>
          <w:lang w:eastAsia="ro-RO"/>
        </w:rPr>
        <w:t xml:space="preserve"> (</w:t>
      </w:r>
      <w:r w:rsidRPr="00F32228">
        <w:rPr>
          <w:rFonts w:ascii="Tahoma" w:hAnsi="Tahoma" w:cs="Tahoma"/>
          <w:sz w:val="28"/>
          <w:szCs w:val="28"/>
          <w:lang w:eastAsia="ro-RO"/>
        </w:rPr>
        <w:t>2,5% din PIB</w:t>
      </w:r>
      <w:r w:rsidR="00233AC4" w:rsidRPr="00F32228">
        <w:rPr>
          <w:rFonts w:ascii="Tahoma" w:hAnsi="Tahoma" w:cs="Tahoma"/>
          <w:sz w:val="28"/>
          <w:szCs w:val="28"/>
          <w:lang w:eastAsia="ro-RO"/>
        </w:rPr>
        <w:t xml:space="preserve">), </w:t>
      </w:r>
      <w:r w:rsidR="00662746" w:rsidRPr="00F32228">
        <w:rPr>
          <w:rFonts w:ascii="Tahoma" w:hAnsi="Tahoma" w:cs="Tahoma"/>
          <w:sz w:val="28"/>
          <w:szCs w:val="28"/>
          <w:lang w:eastAsia="ro-RO"/>
        </w:rPr>
        <w:t xml:space="preserve">în scădere </w:t>
      </w:r>
      <w:r w:rsidR="00233AC4" w:rsidRPr="00F32228">
        <w:rPr>
          <w:rFonts w:ascii="Tahoma" w:hAnsi="Tahoma" w:cs="Tahoma"/>
          <w:sz w:val="28"/>
          <w:szCs w:val="28"/>
          <w:lang w:eastAsia="ro-RO"/>
        </w:rPr>
        <w:t xml:space="preserve">cu </w:t>
      </w:r>
      <w:r w:rsidR="00662746" w:rsidRPr="00F32228">
        <w:rPr>
          <w:rFonts w:ascii="Tahoma" w:hAnsi="Tahoma" w:cs="Tahoma"/>
          <w:sz w:val="28"/>
          <w:szCs w:val="28"/>
          <w:lang w:eastAsia="ro-RO"/>
        </w:rPr>
        <w:t>1,8</w:t>
      </w:r>
      <w:r w:rsidR="00233AC4" w:rsidRPr="00F32228">
        <w:rPr>
          <w:rFonts w:ascii="Tahoma" w:hAnsi="Tahoma" w:cs="Tahoma"/>
          <w:sz w:val="28"/>
          <w:szCs w:val="28"/>
          <w:lang w:eastAsia="ro-RO"/>
        </w:rPr>
        <w:t xml:space="preserve">% </w:t>
      </w:r>
      <w:r w:rsidR="00662746" w:rsidRPr="00F32228">
        <w:rPr>
          <w:rFonts w:ascii="Tahoma" w:hAnsi="Tahoma" w:cs="Tahoma"/>
          <w:sz w:val="28"/>
          <w:szCs w:val="28"/>
          <w:lang w:eastAsia="ro-RO"/>
        </w:rPr>
        <w:t>comparativ cu</w:t>
      </w:r>
      <w:r w:rsidR="00233AC4" w:rsidRPr="00F32228">
        <w:rPr>
          <w:rFonts w:ascii="Tahoma" w:hAnsi="Tahoma" w:cs="Tahoma"/>
          <w:sz w:val="28"/>
          <w:szCs w:val="28"/>
          <w:lang w:eastAsia="ro-RO"/>
        </w:rPr>
        <w:t xml:space="preserve"> nivelul înregistrat în </w:t>
      </w:r>
      <w:r w:rsidR="00662746" w:rsidRPr="00F32228">
        <w:rPr>
          <w:rFonts w:ascii="Tahoma" w:eastAsia="Calibri" w:hAnsi="Tahoma" w:cs="Tahoma"/>
          <w:sz w:val="28"/>
          <w:szCs w:val="28"/>
        </w:rPr>
        <w:t>aceeași perioadă a anului precedent, iar gradul de realizare al acestora este de 98,2% (-0,5 mld. lei), în condi</w:t>
      </w:r>
      <w:r w:rsidR="00987133" w:rsidRPr="00F32228">
        <w:rPr>
          <w:rFonts w:ascii="Tahoma" w:eastAsia="Calibri" w:hAnsi="Tahoma" w:cs="Tahoma"/>
          <w:sz w:val="28"/>
          <w:szCs w:val="28"/>
        </w:rPr>
        <w:t>ț</w:t>
      </w:r>
      <w:r w:rsidR="00662746" w:rsidRPr="00F32228">
        <w:rPr>
          <w:rFonts w:ascii="Tahoma" w:eastAsia="Calibri" w:hAnsi="Tahoma" w:cs="Tahoma"/>
          <w:sz w:val="28"/>
          <w:szCs w:val="28"/>
        </w:rPr>
        <w:t xml:space="preserve">iile în care evoluția fondului de salarii a fost de 2,5%. </w:t>
      </w:r>
    </w:p>
    <w:p w:rsidR="006E321D" w:rsidRPr="00F32228" w:rsidRDefault="006E321D" w:rsidP="006E321D">
      <w:pPr>
        <w:tabs>
          <w:tab w:val="left" w:pos="284"/>
        </w:tabs>
        <w:suppressAutoHyphens/>
        <w:autoSpaceDE w:val="0"/>
        <w:autoSpaceDN w:val="0"/>
        <w:adjustRightInd w:val="0"/>
        <w:spacing w:after="120" w:line="276" w:lineRule="auto"/>
        <w:ind w:firstLine="720"/>
        <w:jc w:val="both"/>
        <w:rPr>
          <w:rFonts w:ascii="Tahoma" w:eastAsia="Calibri" w:hAnsi="Tahoma" w:cs="Tahoma"/>
          <w:sz w:val="28"/>
          <w:szCs w:val="28"/>
        </w:rPr>
      </w:pPr>
      <w:r w:rsidRPr="00F32228">
        <w:rPr>
          <w:rFonts w:ascii="Tahoma" w:eastAsia="Calibri" w:hAnsi="Tahoma" w:cs="Tahoma"/>
          <w:kern w:val="1"/>
          <w:sz w:val="28"/>
          <w:szCs w:val="28"/>
        </w:rPr>
        <w:lastRenderedPageBreak/>
        <w:t xml:space="preserve">Nerealizarea programului contribuțiilor sociale se datorează, </w:t>
      </w:r>
      <w:r w:rsidRPr="00F32228">
        <w:rPr>
          <w:rFonts w:ascii="Tahoma" w:eastAsia="Calibri" w:hAnsi="Tahoma" w:cs="Tahoma"/>
          <w:sz w:val="28"/>
          <w:szCs w:val="28"/>
        </w:rPr>
        <w:t>în principal,</w:t>
      </w:r>
      <w:r w:rsidRPr="00F32228">
        <w:rPr>
          <w:rFonts w:ascii="Tahoma" w:eastAsia="Calibri" w:hAnsi="Tahoma" w:cs="Tahoma"/>
          <w:kern w:val="1"/>
          <w:sz w:val="28"/>
          <w:szCs w:val="28"/>
        </w:rPr>
        <w:t xml:space="preserve"> amânării  la plată a obliga</w:t>
      </w:r>
      <w:r w:rsidRPr="00F32228">
        <w:rPr>
          <w:rFonts w:ascii="Tahoma" w:eastAsia="Calibri" w:hAnsi="Tahoma" w:cs="Tahoma"/>
          <w:sz w:val="28"/>
          <w:szCs w:val="28"/>
        </w:rPr>
        <w:t>ț</w:t>
      </w:r>
      <w:r w:rsidRPr="00F32228">
        <w:rPr>
          <w:rFonts w:ascii="Tahoma" w:eastAsia="Calibri" w:hAnsi="Tahoma" w:cs="Tahoma"/>
          <w:kern w:val="1"/>
          <w:sz w:val="28"/>
          <w:szCs w:val="28"/>
        </w:rPr>
        <w:t xml:space="preserve">iilor fiscale din aceasta </w:t>
      </w:r>
      <w:r w:rsidRPr="00F32228">
        <w:rPr>
          <w:rFonts w:ascii="Tahoma" w:eastAsia="Calibri" w:hAnsi="Tahoma" w:cs="Tahoma"/>
          <w:sz w:val="28"/>
          <w:szCs w:val="28"/>
        </w:rPr>
        <w:t>perioadă șiscutirii de la plat</w:t>
      </w:r>
      <w:r w:rsidRPr="00F32228">
        <w:rPr>
          <w:rFonts w:ascii="Tahoma" w:eastAsia="Calibri" w:hAnsi="Tahoma" w:cs="Tahoma"/>
          <w:kern w:val="1"/>
          <w:sz w:val="28"/>
          <w:szCs w:val="28"/>
        </w:rPr>
        <w:t>ă</w:t>
      </w:r>
      <w:r w:rsidRPr="00F32228">
        <w:rPr>
          <w:rFonts w:ascii="Tahoma" w:eastAsia="Calibri" w:hAnsi="Tahoma" w:cs="Tahoma"/>
          <w:sz w:val="28"/>
          <w:szCs w:val="28"/>
        </w:rPr>
        <w:t xml:space="preserve"> a contribu</w:t>
      </w:r>
      <w:r w:rsidR="00987133" w:rsidRPr="00F32228">
        <w:rPr>
          <w:rFonts w:ascii="Tahoma" w:eastAsia="Calibri" w:hAnsi="Tahoma" w:cs="Tahoma"/>
          <w:sz w:val="28"/>
          <w:szCs w:val="28"/>
        </w:rPr>
        <w:t>ț</w:t>
      </w:r>
      <w:r w:rsidRPr="00F32228">
        <w:rPr>
          <w:rFonts w:ascii="Tahoma" w:eastAsia="Calibri" w:hAnsi="Tahoma" w:cs="Tahoma"/>
          <w:sz w:val="28"/>
          <w:szCs w:val="28"/>
        </w:rPr>
        <w:t xml:space="preserve">iei asiguratorii </w:t>
      </w:r>
      <w:r w:rsidR="00987133" w:rsidRPr="00F32228">
        <w:rPr>
          <w:rFonts w:ascii="Tahoma" w:eastAsia="Calibri" w:hAnsi="Tahoma" w:cs="Tahoma"/>
          <w:sz w:val="28"/>
          <w:szCs w:val="28"/>
        </w:rPr>
        <w:t>î</w:t>
      </w:r>
      <w:r w:rsidRPr="00F32228">
        <w:rPr>
          <w:rFonts w:ascii="Tahoma" w:eastAsia="Calibri" w:hAnsi="Tahoma" w:cs="Tahoma"/>
          <w:sz w:val="28"/>
          <w:szCs w:val="28"/>
        </w:rPr>
        <w:t>n munca a angajatorilor (șomajul tehnic</w:t>
      </w:r>
      <w:r w:rsidRPr="00F32228">
        <w:rPr>
          <w:rFonts w:ascii="Tahoma" w:eastAsia="SimSun" w:hAnsi="Tahoma" w:cs="Tahoma"/>
          <w:kern w:val="1"/>
          <w:sz w:val="28"/>
          <w:szCs w:val="28"/>
          <w:vertAlign w:val="superscript"/>
          <w:lang w:eastAsia="zh-CN"/>
        </w:rPr>
        <w:footnoteReference w:id="8"/>
      </w:r>
      <w:r w:rsidRPr="00F32228">
        <w:rPr>
          <w:rFonts w:ascii="Tahoma" w:eastAsia="SimSun" w:hAnsi="Tahoma" w:cs="Tahoma"/>
          <w:kern w:val="1"/>
          <w:sz w:val="28"/>
          <w:szCs w:val="28"/>
          <w:lang w:eastAsia="zh-CN"/>
        </w:rPr>
        <w:t>).</w:t>
      </w:r>
    </w:p>
    <w:p w:rsidR="006E321D" w:rsidRPr="00F32228" w:rsidRDefault="006E321D" w:rsidP="006E321D">
      <w:pPr>
        <w:tabs>
          <w:tab w:val="left" w:pos="284"/>
        </w:tabs>
        <w:suppressAutoHyphens/>
        <w:autoSpaceDE w:val="0"/>
        <w:autoSpaceDN w:val="0"/>
        <w:adjustRightInd w:val="0"/>
        <w:spacing w:after="120" w:line="276" w:lineRule="auto"/>
        <w:ind w:firstLine="720"/>
        <w:jc w:val="both"/>
        <w:rPr>
          <w:rFonts w:ascii="Tahoma" w:eastAsia="Calibri" w:hAnsi="Tahoma" w:cs="Tahoma"/>
          <w:sz w:val="28"/>
          <w:szCs w:val="28"/>
        </w:rPr>
      </w:pPr>
      <w:r w:rsidRPr="00F32228">
        <w:rPr>
          <w:rFonts w:ascii="Tahoma" w:eastAsia="Calibri" w:hAnsi="Tahoma" w:cs="Tahoma"/>
          <w:sz w:val="28"/>
          <w:szCs w:val="28"/>
        </w:rPr>
        <w:t>Pe bugete componente, gradul de realizare al programului de încasări stabilit pentru trimestrul II 2020, se prezintă astfel : bugetul de stat (103,4%), bugetul asigurărilor sociale de stat (97,9%), bugetul fondului național unic de asigurări sociale de sănătate (97,5%) și bugetul asigurărilor pentru șomaj (95,4%).</w:t>
      </w:r>
    </w:p>
    <w:p w:rsidR="006E321D" w:rsidRPr="00F32228" w:rsidRDefault="006E321D" w:rsidP="006E321D">
      <w:pPr>
        <w:autoSpaceDE w:val="0"/>
        <w:autoSpaceDN w:val="0"/>
        <w:adjustRightInd w:val="0"/>
        <w:spacing w:after="120" w:line="276" w:lineRule="auto"/>
        <w:ind w:firstLine="720"/>
        <w:jc w:val="both"/>
        <w:rPr>
          <w:rFonts w:ascii="Tahoma" w:eastAsia="Calibri" w:hAnsi="Tahoma" w:cs="Tahoma"/>
          <w:sz w:val="28"/>
          <w:szCs w:val="28"/>
        </w:rPr>
      </w:pPr>
      <w:r w:rsidRPr="00F32228">
        <w:rPr>
          <w:rFonts w:ascii="Tahoma" w:eastAsia="Calibri" w:hAnsi="Tahoma" w:cs="Tahoma"/>
          <w:sz w:val="28"/>
          <w:szCs w:val="28"/>
        </w:rPr>
        <w:t>Comparativ cu aceeași perioadă a anului 2019, s-au înregistrat creșteri ale contribuțiilor sociale încasate la bugetul de stat (4,4%) și scăderi ale încasărilor la bugetul asigurărilor sociale de stat (-2,3%) , bugetul Fondului național unic de asigurări sociale de sănătate (-2,4%) și bugetul asigurărilor pentru șomaj (-3,8%).</w:t>
      </w:r>
    </w:p>
    <w:p w:rsidR="00DD52A5" w:rsidRPr="00F32228" w:rsidRDefault="00DD52A5" w:rsidP="00C670D8">
      <w:pPr>
        <w:shd w:val="clear" w:color="auto" w:fill="FFFFFF"/>
        <w:spacing w:after="120" w:line="276" w:lineRule="auto"/>
        <w:ind w:firstLine="720"/>
        <w:jc w:val="both"/>
        <w:rPr>
          <w:rFonts w:ascii="Tahoma" w:hAnsi="Tahoma" w:cs="Tahoma"/>
          <w:sz w:val="28"/>
          <w:szCs w:val="28"/>
        </w:rPr>
      </w:pPr>
      <w:r w:rsidRPr="00F32228">
        <w:rPr>
          <w:rFonts w:ascii="Tahoma" w:hAnsi="Tahoma" w:cs="Tahoma"/>
          <w:b/>
          <w:sz w:val="28"/>
          <w:szCs w:val="28"/>
        </w:rPr>
        <w:t>Veniturile nefiscale</w:t>
      </w:r>
      <w:r w:rsidRPr="00F32228">
        <w:rPr>
          <w:rFonts w:ascii="Tahoma" w:hAnsi="Tahoma" w:cs="Tahoma"/>
          <w:sz w:val="28"/>
          <w:szCs w:val="28"/>
        </w:rPr>
        <w:t xml:space="preserve"> au fost în sumă de </w:t>
      </w:r>
      <w:r w:rsidR="006E321D" w:rsidRPr="00F32228">
        <w:rPr>
          <w:rFonts w:ascii="Tahoma" w:hAnsi="Tahoma" w:cs="Tahoma"/>
          <w:bCs/>
          <w:sz w:val="28"/>
          <w:szCs w:val="28"/>
        </w:rPr>
        <w:t>6,2</w:t>
      </w:r>
      <w:r w:rsidR="00713D80" w:rsidRPr="00F32228">
        <w:rPr>
          <w:rFonts w:ascii="Tahoma" w:hAnsi="Tahoma" w:cs="Tahoma"/>
          <w:bCs/>
          <w:sz w:val="28"/>
          <w:szCs w:val="28"/>
        </w:rPr>
        <w:t>ml</w:t>
      </w:r>
      <w:r w:rsidR="00502B73" w:rsidRPr="00F32228">
        <w:rPr>
          <w:rFonts w:ascii="Tahoma" w:hAnsi="Tahoma" w:cs="Tahoma"/>
          <w:bCs/>
          <w:sz w:val="28"/>
          <w:szCs w:val="28"/>
        </w:rPr>
        <w:t>d.</w:t>
      </w:r>
      <w:r w:rsidRPr="00F32228">
        <w:rPr>
          <w:rFonts w:ascii="Tahoma" w:hAnsi="Tahoma" w:cs="Tahoma"/>
          <w:bCs/>
          <w:sz w:val="28"/>
          <w:szCs w:val="28"/>
        </w:rPr>
        <w:t xml:space="preserve">lei </w:t>
      </w:r>
      <w:r w:rsidRPr="00F32228">
        <w:rPr>
          <w:rFonts w:ascii="Tahoma" w:hAnsi="Tahoma" w:cs="Tahoma"/>
          <w:sz w:val="28"/>
          <w:szCs w:val="28"/>
        </w:rPr>
        <w:t>(0,</w:t>
      </w:r>
      <w:r w:rsidR="006E321D" w:rsidRPr="00F32228">
        <w:rPr>
          <w:rFonts w:ascii="Tahoma" w:hAnsi="Tahoma" w:cs="Tahoma"/>
          <w:sz w:val="28"/>
          <w:szCs w:val="28"/>
        </w:rPr>
        <w:t>6</w:t>
      </w:r>
      <w:r w:rsidRPr="00F32228">
        <w:rPr>
          <w:rFonts w:ascii="Tahoma" w:hAnsi="Tahoma" w:cs="Tahoma"/>
          <w:sz w:val="28"/>
          <w:szCs w:val="28"/>
        </w:rPr>
        <w:t xml:space="preserve">%din PIB), gradul de realizare al programului trimestrial fiind de </w:t>
      </w:r>
      <w:r w:rsidR="006E321D" w:rsidRPr="00F32228">
        <w:rPr>
          <w:rFonts w:ascii="Tahoma" w:hAnsi="Tahoma" w:cs="Tahoma"/>
          <w:sz w:val="28"/>
          <w:szCs w:val="28"/>
        </w:rPr>
        <w:t>91,6</w:t>
      </w:r>
      <w:r w:rsidRPr="00F32228">
        <w:rPr>
          <w:rFonts w:ascii="Tahoma" w:hAnsi="Tahoma" w:cs="Tahoma"/>
          <w:sz w:val="28"/>
          <w:szCs w:val="28"/>
        </w:rPr>
        <w:t>%.</w:t>
      </w:r>
      <w:r w:rsidR="006E321D" w:rsidRPr="00F32228">
        <w:rPr>
          <w:rFonts w:ascii="Tahoma" w:hAnsi="Tahoma" w:cs="Tahoma"/>
          <w:sz w:val="28"/>
          <w:szCs w:val="28"/>
        </w:rPr>
        <w:t xml:space="preserve"> Nerealizarea programului d</w:t>
      </w:r>
      <w:r w:rsidR="00987133" w:rsidRPr="00F32228">
        <w:rPr>
          <w:rFonts w:ascii="Tahoma" w:hAnsi="Tahoma" w:cs="Tahoma"/>
          <w:sz w:val="28"/>
          <w:szCs w:val="28"/>
        </w:rPr>
        <w:t>e</w:t>
      </w:r>
      <w:r w:rsidR="006E321D" w:rsidRPr="00F32228">
        <w:rPr>
          <w:rFonts w:ascii="Tahoma" w:hAnsi="Tahoma" w:cs="Tahoma"/>
          <w:sz w:val="28"/>
          <w:szCs w:val="28"/>
        </w:rPr>
        <w:t xml:space="preserve"> încasări s-a datorat în principal nerealizării programului la bugetele locale si bugetele instituțiilor finanțate integral sau parțial din venituri proprii.</w:t>
      </w:r>
    </w:p>
    <w:p w:rsidR="00E15D34" w:rsidRPr="00F32228" w:rsidRDefault="00DD52A5" w:rsidP="00C670D8">
      <w:pPr>
        <w:pStyle w:val="NormalWeb"/>
        <w:spacing w:before="120" w:after="120"/>
        <w:ind w:firstLine="720"/>
        <w:rPr>
          <w:rFonts w:ascii="Tahoma" w:hAnsi="Tahoma" w:cs="Tahoma"/>
          <w:sz w:val="28"/>
          <w:szCs w:val="28"/>
          <w:lang w:val="ro-RO" w:eastAsia="ro-RO"/>
        </w:rPr>
      </w:pPr>
      <w:r w:rsidRPr="00F32228">
        <w:rPr>
          <w:rFonts w:ascii="Tahoma" w:hAnsi="Tahoma" w:cs="Tahoma"/>
          <w:b/>
          <w:bCs/>
          <w:sz w:val="28"/>
          <w:szCs w:val="28"/>
          <w:lang w:val="ro-RO" w:eastAsia="ro-RO"/>
        </w:rPr>
        <w:t>Sumele primite de la Uniunea Europeană</w:t>
      </w:r>
      <w:r w:rsidR="007369A7">
        <w:rPr>
          <w:rFonts w:ascii="Tahoma" w:hAnsi="Tahoma" w:cs="Tahoma"/>
          <w:b/>
          <w:bCs/>
          <w:sz w:val="28"/>
          <w:szCs w:val="28"/>
          <w:lang w:val="ro-RO" w:eastAsia="ro-RO"/>
        </w:rPr>
        <w:t xml:space="preserve"> </w:t>
      </w:r>
      <w:r w:rsidR="006E321D" w:rsidRPr="00F32228">
        <w:rPr>
          <w:rFonts w:ascii="Tahoma" w:hAnsi="Tahoma" w:cs="Tahoma"/>
          <w:b/>
          <w:sz w:val="28"/>
          <w:szCs w:val="28"/>
          <w:lang w:val="ro-RO" w:eastAsia="ro-RO"/>
        </w:rPr>
        <w:t>și donații</w:t>
      </w:r>
      <w:r w:rsidR="007369A7">
        <w:rPr>
          <w:rFonts w:ascii="Tahoma" w:hAnsi="Tahoma" w:cs="Tahoma"/>
          <w:b/>
          <w:sz w:val="28"/>
          <w:szCs w:val="28"/>
          <w:lang w:val="ro-RO" w:eastAsia="ro-RO"/>
        </w:rPr>
        <w:t xml:space="preserve"> </w:t>
      </w:r>
      <w:r w:rsidRPr="00F32228">
        <w:rPr>
          <w:rFonts w:ascii="Tahoma" w:hAnsi="Tahoma" w:cs="Tahoma"/>
          <w:sz w:val="28"/>
          <w:szCs w:val="28"/>
          <w:lang w:val="ro-RO" w:eastAsia="ro-RO"/>
        </w:rPr>
        <w:t>aferente proiectelor finanțate atât din cadrul financiar 2007-2013, cât și din noul cadru financiar 2014-2020, încasate în trimestru</w:t>
      </w:r>
      <w:r w:rsidR="006E321D" w:rsidRPr="00F32228">
        <w:rPr>
          <w:rFonts w:ascii="Tahoma" w:hAnsi="Tahoma" w:cs="Tahoma"/>
          <w:sz w:val="28"/>
          <w:szCs w:val="28"/>
          <w:lang w:val="ro-RO" w:eastAsia="ro-RO"/>
        </w:rPr>
        <w:t>l al II-lea</w:t>
      </w:r>
      <w:r w:rsidRPr="00F32228">
        <w:rPr>
          <w:rFonts w:ascii="Tahoma" w:hAnsi="Tahoma" w:cs="Tahoma"/>
          <w:sz w:val="28"/>
          <w:szCs w:val="28"/>
          <w:lang w:val="ro-RO" w:eastAsia="ro-RO"/>
        </w:rPr>
        <w:t xml:space="preserve"> al anului 2020, au reprezentat 0,</w:t>
      </w:r>
      <w:r w:rsidR="006E321D" w:rsidRPr="00F32228">
        <w:rPr>
          <w:rFonts w:ascii="Tahoma" w:hAnsi="Tahoma" w:cs="Tahoma"/>
          <w:sz w:val="28"/>
          <w:szCs w:val="28"/>
          <w:lang w:val="ro-RO" w:eastAsia="ro-RO"/>
        </w:rPr>
        <w:t>5</w:t>
      </w:r>
      <w:r w:rsidRPr="00F32228">
        <w:rPr>
          <w:rFonts w:ascii="Tahoma" w:hAnsi="Tahoma" w:cs="Tahoma"/>
          <w:sz w:val="28"/>
          <w:szCs w:val="28"/>
          <w:lang w:val="ro-RO" w:eastAsia="ro-RO"/>
        </w:rPr>
        <w:t>% din PIB</w:t>
      </w:r>
      <w:r w:rsidR="0097352C" w:rsidRPr="00F32228">
        <w:rPr>
          <w:rFonts w:ascii="Tahoma" w:hAnsi="Tahoma" w:cs="Tahoma"/>
          <w:sz w:val="28"/>
          <w:szCs w:val="28"/>
          <w:lang w:val="ro-RO" w:eastAsia="ro-RO"/>
        </w:rPr>
        <w:t>, corespunzător</w:t>
      </w:r>
      <w:r w:rsidRPr="00F32228">
        <w:rPr>
          <w:rFonts w:ascii="Tahoma" w:hAnsi="Tahoma" w:cs="Tahoma"/>
          <w:sz w:val="28"/>
          <w:szCs w:val="28"/>
          <w:lang w:val="ro-RO" w:eastAsia="ro-RO"/>
        </w:rPr>
        <w:t xml:space="preserve"> un</w:t>
      </w:r>
      <w:r w:rsidR="0097352C" w:rsidRPr="00F32228">
        <w:rPr>
          <w:rFonts w:ascii="Tahoma" w:hAnsi="Tahoma" w:cs="Tahoma"/>
          <w:sz w:val="28"/>
          <w:szCs w:val="28"/>
          <w:lang w:val="ro-RO" w:eastAsia="ro-RO"/>
        </w:rPr>
        <w:t>ui</w:t>
      </w:r>
      <w:r w:rsidRPr="00F32228">
        <w:rPr>
          <w:rFonts w:ascii="Tahoma" w:hAnsi="Tahoma" w:cs="Tahoma"/>
          <w:sz w:val="28"/>
          <w:szCs w:val="28"/>
          <w:lang w:val="ro-RO" w:eastAsia="ro-RO"/>
        </w:rPr>
        <w:t xml:space="preserve"> grad de realizare</w:t>
      </w:r>
      <w:r w:rsidR="00E001D0" w:rsidRPr="00F32228">
        <w:rPr>
          <w:rFonts w:ascii="Tahoma" w:hAnsi="Tahoma" w:cs="Tahoma"/>
          <w:sz w:val="28"/>
          <w:szCs w:val="28"/>
          <w:lang w:val="ro-RO" w:eastAsia="ro-RO"/>
        </w:rPr>
        <w:t xml:space="preserve"> de </w:t>
      </w:r>
      <w:r w:rsidR="006E321D" w:rsidRPr="00F32228">
        <w:rPr>
          <w:rFonts w:ascii="Tahoma" w:hAnsi="Tahoma" w:cs="Tahoma"/>
          <w:sz w:val="28"/>
          <w:szCs w:val="28"/>
          <w:lang w:val="ro-RO" w:eastAsia="ro-RO"/>
        </w:rPr>
        <w:t>55,4</w:t>
      </w:r>
      <w:r w:rsidR="00E001D0" w:rsidRPr="00F32228">
        <w:rPr>
          <w:rFonts w:ascii="Tahoma" w:hAnsi="Tahoma" w:cs="Tahoma"/>
          <w:sz w:val="28"/>
          <w:szCs w:val="28"/>
          <w:lang w:val="ro-RO" w:eastAsia="ro-RO"/>
        </w:rPr>
        <w:t>%</w:t>
      </w:r>
      <w:r w:rsidR="0079445D" w:rsidRPr="00F32228">
        <w:rPr>
          <w:rFonts w:ascii="Tahoma" w:hAnsi="Tahoma" w:cs="Tahoma"/>
          <w:sz w:val="28"/>
          <w:szCs w:val="28"/>
          <w:lang w:val="ro-RO" w:eastAsia="ro-RO"/>
        </w:rPr>
        <w:t>a</w:t>
      </w:r>
      <w:r w:rsidRPr="00F32228">
        <w:rPr>
          <w:rFonts w:ascii="Tahoma" w:hAnsi="Tahoma" w:cs="Tahoma"/>
          <w:sz w:val="28"/>
          <w:szCs w:val="28"/>
          <w:lang w:val="ro-RO" w:eastAsia="ro-RO"/>
        </w:rPr>
        <w:t xml:space="preserve"> programului trimestrial</w:t>
      </w:r>
      <w:r w:rsidR="00E001D0" w:rsidRPr="00F32228">
        <w:rPr>
          <w:rFonts w:ascii="Tahoma" w:hAnsi="Tahoma" w:cs="Tahoma"/>
          <w:sz w:val="28"/>
          <w:szCs w:val="28"/>
          <w:lang w:val="ro-RO" w:eastAsia="ro-RO"/>
        </w:rPr>
        <w:t>.</w:t>
      </w:r>
    </w:p>
    <w:p w:rsidR="001968BB" w:rsidRPr="00F32228" w:rsidRDefault="006E321D" w:rsidP="001968BB">
      <w:pPr>
        <w:spacing w:line="276" w:lineRule="auto"/>
        <w:jc w:val="both"/>
        <w:rPr>
          <w:rFonts w:ascii="Tahoma" w:eastAsia="Times New Roman" w:hAnsi="Tahoma" w:cs="Tahoma"/>
          <w:b/>
          <w:bCs/>
          <w:sz w:val="28"/>
          <w:szCs w:val="28"/>
        </w:rPr>
      </w:pPr>
      <w:r w:rsidRPr="00F32228">
        <w:rPr>
          <w:rFonts w:ascii="Tahoma" w:hAnsi="Tahoma" w:cs="Tahoma"/>
          <w:sz w:val="28"/>
          <w:szCs w:val="28"/>
          <w:lang w:eastAsia="ro-RO"/>
        </w:rPr>
        <w:t>Din</w:t>
      </w:r>
      <w:r w:rsidR="001968BB" w:rsidRPr="00F32228">
        <w:rPr>
          <w:rFonts w:ascii="Tahoma" w:hAnsi="Tahoma" w:cs="Tahoma"/>
          <w:sz w:val="28"/>
          <w:szCs w:val="28"/>
          <w:lang w:eastAsia="ro-RO"/>
        </w:rPr>
        <w:t xml:space="preserve"> suma totală înc</w:t>
      </w:r>
      <w:r w:rsidRPr="00F32228">
        <w:rPr>
          <w:rFonts w:ascii="Tahoma" w:hAnsi="Tahoma" w:cs="Tahoma"/>
          <w:sz w:val="28"/>
          <w:szCs w:val="28"/>
          <w:lang w:eastAsia="ro-RO"/>
        </w:rPr>
        <w:t>asată în perioada analizată</w:t>
      </w:r>
      <w:r w:rsidR="009F6CC3" w:rsidRPr="00F32228">
        <w:rPr>
          <w:rFonts w:ascii="Tahoma" w:hAnsi="Tahoma" w:cs="Tahoma"/>
          <w:sz w:val="28"/>
          <w:szCs w:val="28"/>
          <w:lang w:eastAsia="ro-RO"/>
        </w:rPr>
        <w:t>,</w:t>
      </w:r>
      <w:r w:rsidR="001968BB" w:rsidRPr="00F32228">
        <w:rPr>
          <w:rFonts w:ascii="Tahoma" w:hAnsi="Tahoma" w:cs="Tahoma"/>
          <w:sz w:val="28"/>
          <w:szCs w:val="28"/>
          <w:lang w:eastAsia="ro-RO"/>
        </w:rPr>
        <w:t>sumele aferente cadrului financiar 2014 2020</w:t>
      </w:r>
      <w:r w:rsidR="009F6CC3" w:rsidRPr="00F32228">
        <w:rPr>
          <w:rFonts w:ascii="Tahoma" w:hAnsi="Tahoma" w:cs="Tahoma"/>
          <w:sz w:val="28"/>
          <w:szCs w:val="28"/>
          <w:lang w:eastAsia="ro-RO"/>
        </w:rPr>
        <w:t>,</w:t>
      </w:r>
      <w:r w:rsidR="001968BB" w:rsidRPr="00F32228">
        <w:rPr>
          <w:rFonts w:ascii="Tahoma" w:hAnsi="Tahoma" w:cs="Tahoma"/>
          <w:sz w:val="28"/>
          <w:szCs w:val="28"/>
          <w:lang w:eastAsia="ro-RO"/>
        </w:rPr>
        <w:t xml:space="preserve"> dețin ponderea cea mai mare de 99,5% acestea înregistrând un grad de realizare de </w:t>
      </w:r>
      <w:r w:rsidR="001968BB" w:rsidRPr="00F32228">
        <w:rPr>
          <w:rFonts w:ascii="Tahoma" w:eastAsia="Times New Roman" w:hAnsi="Tahoma" w:cs="Tahoma"/>
          <w:bCs/>
          <w:sz w:val="28"/>
          <w:szCs w:val="28"/>
        </w:rPr>
        <w:t>96</w:t>
      </w:r>
      <w:r w:rsidR="00C670D8" w:rsidRPr="00F32228">
        <w:rPr>
          <w:rFonts w:ascii="Tahoma" w:eastAsia="Times New Roman" w:hAnsi="Tahoma" w:cs="Tahoma"/>
          <w:bCs/>
          <w:sz w:val="28"/>
          <w:szCs w:val="28"/>
        </w:rPr>
        <w:t>,</w:t>
      </w:r>
      <w:r w:rsidR="001968BB" w:rsidRPr="00F32228">
        <w:rPr>
          <w:rFonts w:ascii="Tahoma" w:eastAsia="Times New Roman" w:hAnsi="Tahoma" w:cs="Tahoma"/>
          <w:bCs/>
          <w:sz w:val="28"/>
          <w:szCs w:val="28"/>
        </w:rPr>
        <w:t>3%.</w:t>
      </w:r>
    </w:p>
    <w:p w:rsidR="00E15D34" w:rsidRPr="00F32228" w:rsidRDefault="00E15D34" w:rsidP="001968BB">
      <w:pPr>
        <w:spacing w:line="276" w:lineRule="auto"/>
        <w:rPr>
          <w:rFonts w:ascii="Tahoma" w:eastAsia="Times New Roman" w:hAnsi="Tahoma" w:cs="Tahoma"/>
          <w:color w:val="000000"/>
          <w:sz w:val="28"/>
          <w:szCs w:val="28"/>
          <w:lang w:eastAsia="ro-RO"/>
        </w:rPr>
      </w:pPr>
      <w:r w:rsidRPr="00F32228">
        <w:rPr>
          <w:rFonts w:ascii="Tahoma" w:hAnsi="Tahoma" w:cs="Tahoma"/>
          <w:sz w:val="28"/>
          <w:szCs w:val="28"/>
          <w:lang w:eastAsia="ro-RO"/>
        </w:rPr>
        <w:br w:type="page"/>
      </w:r>
    </w:p>
    <w:p w:rsidR="007D0985" w:rsidRPr="00F32228" w:rsidRDefault="007D0985" w:rsidP="007D0985">
      <w:pPr>
        <w:pStyle w:val="ListParagraph"/>
        <w:numPr>
          <w:ilvl w:val="0"/>
          <w:numId w:val="2"/>
        </w:numPr>
        <w:shd w:val="clear" w:color="auto" w:fill="D9D9D9" w:themeFill="background1" w:themeFillShade="D9"/>
        <w:spacing w:after="120" w:line="360" w:lineRule="auto"/>
        <w:ind w:hanging="1080"/>
        <w:jc w:val="both"/>
        <w:rPr>
          <w:rFonts w:ascii="Tahoma" w:hAnsi="Tahoma" w:cs="Tahoma"/>
          <w:b/>
          <w:caps/>
          <w:color w:val="0070C0"/>
          <w:sz w:val="28"/>
          <w:szCs w:val="28"/>
        </w:rPr>
      </w:pPr>
      <w:r w:rsidRPr="00F32228">
        <w:rPr>
          <w:rFonts w:ascii="Tahoma" w:hAnsi="Tahoma" w:cs="Tahoma"/>
          <w:b/>
          <w:caps/>
          <w:color w:val="0070C0"/>
          <w:sz w:val="28"/>
          <w:szCs w:val="28"/>
        </w:rPr>
        <w:lastRenderedPageBreak/>
        <w:t>CHELTUIELILE bugetului general consolidat</w:t>
      </w:r>
    </w:p>
    <w:p w:rsidR="007D0985" w:rsidRPr="00F32228" w:rsidRDefault="00950B7A" w:rsidP="003C71AA">
      <w:pPr>
        <w:shd w:val="clear" w:color="auto" w:fill="D9D9D9" w:themeFill="background1" w:themeFillShade="D9"/>
        <w:spacing w:after="120" w:line="276" w:lineRule="auto"/>
        <w:ind w:firstLine="720"/>
        <w:jc w:val="both"/>
        <w:rPr>
          <w:rFonts w:ascii="Tahoma" w:hAnsi="Tahoma" w:cs="Tahoma"/>
          <w:sz w:val="28"/>
          <w:szCs w:val="28"/>
        </w:rPr>
      </w:pPr>
      <w:r w:rsidRPr="00F32228">
        <w:rPr>
          <w:rFonts w:ascii="Tahoma" w:hAnsi="Tahoma" w:cs="Tahoma"/>
          <w:b/>
          <w:sz w:val="28"/>
          <w:szCs w:val="28"/>
        </w:rPr>
        <w:t>Cheltuielile bugetului general consolidat</w:t>
      </w:r>
      <w:r w:rsidR="003C4703" w:rsidRPr="00F32228">
        <w:rPr>
          <w:rFonts w:ascii="Tahoma" w:hAnsi="Tahoma" w:cs="Tahoma"/>
          <w:sz w:val="28"/>
          <w:szCs w:val="28"/>
        </w:rPr>
        <w:t xml:space="preserve"> au fost în sumă de </w:t>
      </w:r>
      <w:r w:rsidR="001968BB" w:rsidRPr="00F32228">
        <w:rPr>
          <w:rFonts w:ascii="Tahoma" w:hAnsi="Tahoma" w:cs="Tahoma"/>
          <w:sz w:val="28"/>
          <w:szCs w:val="28"/>
        </w:rPr>
        <w:t>101,1</w:t>
      </w:r>
      <w:r w:rsidR="003C4703" w:rsidRPr="00F32228">
        <w:rPr>
          <w:rFonts w:ascii="Tahoma" w:hAnsi="Tahoma" w:cs="Tahoma"/>
          <w:sz w:val="28"/>
          <w:szCs w:val="28"/>
        </w:rPr>
        <w:t>m</w:t>
      </w:r>
      <w:r w:rsidR="00713D80" w:rsidRPr="00F32228">
        <w:rPr>
          <w:rFonts w:ascii="Tahoma" w:hAnsi="Tahoma" w:cs="Tahoma"/>
          <w:sz w:val="28"/>
          <w:szCs w:val="28"/>
        </w:rPr>
        <w:t>l</w:t>
      </w:r>
      <w:r w:rsidR="003C4703" w:rsidRPr="00F32228">
        <w:rPr>
          <w:rFonts w:ascii="Tahoma" w:hAnsi="Tahoma" w:cs="Tahoma"/>
          <w:sz w:val="28"/>
          <w:szCs w:val="28"/>
        </w:rPr>
        <w:t>d</w:t>
      </w:r>
      <w:r w:rsidRPr="00F32228">
        <w:rPr>
          <w:rFonts w:ascii="Tahoma" w:hAnsi="Tahoma" w:cs="Tahoma"/>
          <w:sz w:val="28"/>
          <w:szCs w:val="28"/>
        </w:rPr>
        <w:t xml:space="preserve">lei, au reprezentat </w:t>
      </w:r>
      <w:r w:rsidR="001968BB" w:rsidRPr="00F32228">
        <w:rPr>
          <w:rFonts w:ascii="Tahoma" w:hAnsi="Tahoma" w:cs="Tahoma"/>
          <w:sz w:val="28"/>
          <w:szCs w:val="28"/>
        </w:rPr>
        <w:t>9</w:t>
      </w:r>
      <w:r w:rsidRPr="00F32228">
        <w:rPr>
          <w:rFonts w:ascii="Tahoma" w:hAnsi="Tahoma" w:cs="Tahoma"/>
          <w:sz w:val="28"/>
          <w:szCs w:val="28"/>
        </w:rPr>
        <w:t xml:space="preserve">,3% ca pondere în PIB și s-au efectuat în proporție de </w:t>
      </w:r>
      <w:r w:rsidR="001968BB" w:rsidRPr="00F32228">
        <w:rPr>
          <w:rFonts w:ascii="Tahoma" w:hAnsi="Tahoma" w:cs="Tahoma"/>
          <w:sz w:val="28"/>
          <w:szCs w:val="28"/>
        </w:rPr>
        <w:t>88,4</w:t>
      </w:r>
      <w:r w:rsidRPr="00F32228">
        <w:rPr>
          <w:rFonts w:ascii="Tahoma" w:hAnsi="Tahoma" w:cs="Tahoma"/>
          <w:sz w:val="28"/>
          <w:szCs w:val="28"/>
        </w:rPr>
        <w:t>% comparativ cu programul pentru trimestrul I</w:t>
      </w:r>
      <w:r w:rsidR="001968BB" w:rsidRPr="00F32228">
        <w:rPr>
          <w:rFonts w:ascii="Tahoma" w:hAnsi="Tahoma" w:cs="Tahoma"/>
          <w:sz w:val="28"/>
          <w:szCs w:val="28"/>
        </w:rPr>
        <w:t>I</w:t>
      </w:r>
      <w:r w:rsidRPr="00F32228">
        <w:rPr>
          <w:rFonts w:ascii="Tahoma" w:hAnsi="Tahoma" w:cs="Tahoma"/>
          <w:sz w:val="28"/>
          <w:szCs w:val="28"/>
        </w:rPr>
        <w:t xml:space="preserve"> 2020.</w:t>
      </w:r>
    </w:p>
    <w:p w:rsidR="00B10206" w:rsidRPr="00F32228" w:rsidRDefault="00B10206" w:rsidP="003C71AA">
      <w:pPr>
        <w:tabs>
          <w:tab w:val="left" w:pos="567"/>
        </w:tabs>
        <w:spacing w:after="0" w:line="276" w:lineRule="auto"/>
        <w:ind w:right="6" w:firstLine="720"/>
        <w:jc w:val="both"/>
        <w:rPr>
          <w:rFonts w:ascii="Tahoma" w:hAnsi="Tahoma" w:cs="Tahoma"/>
          <w:sz w:val="28"/>
          <w:szCs w:val="28"/>
        </w:rPr>
      </w:pPr>
      <w:r w:rsidRPr="00F32228">
        <w:rPr>
          <w:rFonts w:ascii="Tahoma" w:hAnsi="Tahoma" w:cs="Tahoma"/>
          <w:sz w:val="28"/>
          <w:szCs w:val="28"/>
        </w:rPr>
        <w:t xml:space="preserve">Față de nivelul înregistrat în </w:t>
      </w:r>
      <w:r w:rsidR="001968BB" w:rsidRPr="00F32228">
        <w:rPr>
          <w:rFonts w:ascii="Tahoma" w:hAnsi="Tahoma" w:cs="Tahoma"/>
          <w:sz w:val="28"/>
          <w:szCs w:val="28"/>
        </w:rPr>
        <w:t xml:space="preserve">cel de al II-lea </w:t>
      </w:r>
      <w:r w:rsidRPr="00F32228">
        <w:rPr>
          <w:rFonts w:ascii="Tahoma" w:hAnsi="Tahoma" w:cs="Tahoma"/>
          <w:sz w:val="28"/>
          <w:szCs w:val="28"/>
        </w:rPr>
        <w:t xml:space="preserve">trimestru al anului 2019, cheltuielile bugetare au fost mai mari cu </w:t>
      </w:r>
      <w:r w:rsidR="001968BB" w:rsidRPr="00F32228">
        <w:rPr>
          <w:rFonts w:ascii="Tahoma" w:hAnsi="Tahoma" w:cs="Tahoma"/>
          <w:sz w:val="28"/>
          <w:szCs w:val="28"/>
        </w:rPr>
        <w:t>14,4</w:t>
      </w:r>
      <w:r w:rsidRPr="00F32228">
        <w:rPr>
          <w:rFonts w:ascii="Tahoma" w:hAnsi="Tahoma" w:cs="Tahoma"/>
          <w:sz w:val="28"/>
          <w:szCs w:val="28"/>
        </w:rPr>
        <w:t>%.</w:t>
      </w:r>
    </w:p>
    <w:p w:rsidR="00B10206" w:rsidRPr="00F32228" w:rsidRDefault="00B10206" w:rsidP="00B10206">
      <w:pPr>
        <w:tabs>
          <w:tab w:val="left" w:pos="567"/>
        </w:tabs>
        <w:spacing w:after="0"/>
        <w:ind w:right="6" w:firstLine="567"/>
        <w:jc w:val="both"/>
        <w:rPr>
          <w:rFonts w:ascii="Tahoma" w:hAnsi="Tahoma" w:cs="Tahoma"/>
          <w:sz w:val="24"/>
          <w:szCs w:val="24"/>
        </w:rPr>
      </w:pPr>
    </w:p>
    <w:p w:rsidR="00B10206" w:rsidRPr="00F32228" w:rsidRDefault="001968BB" w:rsidP="00B10206">
      <w:pPr>
        <w:tabs>
          <w:tab w:val="left" w:pos="567"/>
        </w:tabs>
        <w:ind w:right="6"/>
        <w:jc w:val="both"/>
        <w:rPr>
          <w:rFonts w:ascii="Tahoma" w:hAnsi="Tahoma" w:cs="Tahoma"/>
          <w:sz w:val="24"/>
          <w:szCs w:val="24"/>
        </w:rPr>
      </w:pPr>
      <w:r w:rsidRPr="00F32228">
        <w:rPr>
          <w:rFonts w:ascii="Tahoma" w:hAnsi="Tahoma" w:cs="Tahoma"/>
          <w:noProof/>
          <w:sz w:val="24"/>
          <w:szCs w:val="24"/>
          <w:lang w:eastAsia="ro-RO"/>
        </w:rPr>
        <w:drawing>
          <wp:inline distT="0" distB="0" distL="0" distR="0">
            <wp:extent cx="5956300" cy="3194685"/>
            <wp:effectExtent l="0" t="0" r="635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56300" cy="3194685"/>
                    </a:xfrm>
                    <a:prstGeom prst="rect">
                      <a:avLst/>
                    </a:prstGeom>
                    <a:noFill/>
                  </pic:spPr>
                </pic:pic>
              </a:graphicData>
            </a:graphic>
          </wp:inline>
        </w:drawing>
      </w:r>
    </w:p>
    <w:p w:rsidR="00BA678C" w:rsidRPr="00F32228" w:rsidRDefault="00BA678C" w:rsidP="00620B19">
      <w:pPr>
        <w:spacing w:after="0"/>
        <w:jc w:val="both"/>
        <w:rPr>
          <w:rFonts w:ascii="Tahoma" w:hAnsi="Tahoma" w:cs="Tahoma"/>
          <w:b/>
          <w:i/>
          <w:sz w:val="24"/>
          <w:szCs w:val="24"/>
        </w:rPr>
      </w:pPr>
    </w:p>
    <w:p w:rsidR="00B10206" w:rsidRPr="00F32228" w:rsidRDefault="00B10206" w:rsidP="003C71AA">
      <w:pPr>
        <w:spacing w:after="0" w:line="276" w:lineRule="auto"/>
        <w:ind w:firstLine="720"/>
        <w:jc w:val="both"/>
        <w:rPr>
          <w:rFonts w:ascii="Tahoma" w:hAnsi="Tahoma" w:cs="Tahoma"/>
          <w:sz w:val="28"/>
          <w:szCs w:val="28"/>
        </w:rPr>
      </w:pPr>
      <w:r w:rsidRPr="00F32228">
        <w:rPr>
          <w:rFonts w:ascii="Tahoma" w:hAnsi="Tahoma" w:cs="Tahoma"/>
          <w:b/>
          <w:sz w:val="28"/>
          <w:szCs w:val="28"/>
        </w:rPr>
        <w:t>Cheltuielile de personal</w:t>
      </w:r>
      <w:r w:rsidRPr="00F32228">
        <w:rPr>
          <w:rFonts w:ascii="Tahoma" w:hAnsi="Tahoma" w:cs="Tahoma"/>
          <w:sz w:val="28"/>
          <w:szCs w:val="28"/>
        </w:rPr>
        <w:t>, prezentate detaliat în Anexele n</w:t>
      </w:r>
      <w:r w:rsidR="003C4703" w:rsidRPr="00F32228">
        <w:rPr>
          <w:rFonts w:ascii="Tahoma" w:hAnsi="Tahoma" w:cs="Tahoma"/>
          <w:sz w:val="28"/>
          <w:szCs w:val="28"/>
        </w:rPr>
        <w:t xml:space="preserve">r. 3 </w:t>
      </w:r>
      <w:r w:rsidR="005B36B4" w:rsidRPr="00F32228">
        <w:rPr>
          <w:rFonts w:ascii="Tahoma" w:hAnsi="Tahoma" w:cs="Tahoma"/>
          <w:sz w:val="28"/>
          <w:szCs w:val="28"/>
        </w:rPr>
        <w:t>și</w:t>
      </w:r>
      <w:r w:rsidR="003C4703" w:rsidRPr="00F32228">
        <w:rPr>
          <w:rFonts w:ascii="Tahoma" w:hAnsi="Tahoma" w:cs="Tahoma"/>
          <w:sz w:val="28"/>
          <w:szCs w:val="28"/>
        </w:rPr>
        <w:t xml:space="preserve"> 4 au fost în sumă de </w:t>
      </w:r>
      <w:r w:rsidR="001968BB" w:rsidRPr="00F32228">
        <w:rPr>
          <w:rFonts w:ascii="Tahoma" w:hAnsi="Tahoma" w:cs="Tahoma"/>
          <w:sz w:val="28"/>
          <w:szCs w:val="28"/>
        </w:rPr>
        <w:t>27,08</w:t>
      </w:r>
      <w:r w:rsidR="003C4703" w:rsidRPr="00F32228">
        <w:rPr>
          <w:rFonts w:ascii="Tahoma" w:hAnsi="Tahoma" w:cs="Tahoma"/>
          <w:sz w:val="28"/>
          <w:szCs w:val="28"/>
        </w:rPr>
        <w:t xml:space="preserve"> mld.</w:t>
      </w:r>
      <w:r w:rsidRPr="00F32228">
        <w:rPr>
          <w:rFonts w:ascii="Tahoma" w:hAnsi="Tahoma" w:cs="Tahoma"/>
          <w:sz w:val="28"/>
          <w:szCs w:val="28"/>
        </w:rPr>
        <w:t xml:space="preserve"> lei (2,</w:t>
      </w:r>
      <w:r w:rsidR="001968BB" w:rsidRPr="00F32228">
        <w:rPr>
          <w:rFonts w:ascii="Tahoma" w:hAnsi="Tahoma" w:cs="Tahoma"/>
          <w:sz w:val="28"/>
          <w:szCs w:val="28"/>
        </w:rPr>
        <w:t>5</w:t>
      </w:r>
      <w:r w:rsidRPr="00F32228">
        <w:rPr>
          <w:rFonts w:ascii="Tahoma" w:hAnsi="Tahoma" w:cs="Tahoma"/>
          <w:sz w:val="28"/>
          <w:szCs w:val="28"/>
        </w:rPr>
        <w:t xml:space="preserve">% din PIB) și s-au efectuat în proporție de </w:t>
      </w:r>
      <w:r w:rsidR="001968BB" w:rsidRPr="00F32228">
        <w:rPr>
          <w:rFonts w:ascii="Tahoma" w:hAnsi="Tahoma" w:cs="Tahoma"/>
          <w:sz w:val="28"/>
          <w:szCs w:val="28"/>
        </w:rPr>
        <w:t>93,2</w:t>
      </w:r>
      <w:r w:rsidRPr="00F32228">
        <w:rPr>
          <w:rFonts w:ascii="Tahoma" w:hAnsi="Tahoma" w:cs="Tahoma"/>
          <w:sz w:val="28"/>
          <w:szCs w:val="28"/>
        </w:rPr>
        <w:t>% față de nivelul estimat a se efectua în trimestrul I</w:t>
      </w:r>
      <w:r w:rsidR="001968BB" w:rsidRPr="00F32228">
        <w:rPr>
          <w:rFonts w:ascii="Tahoma" w:hAnsi="Tahoma" w:cs="Tahoma"/>
          <w:sz w:val="28"/>
          <w:szCs w:val="28"/>
        </w:rPr>
        <w:t>I</w:t>
      </w:r>
      <w:r w:rsidRPr="00F32228">
        <w:rPr>
          <w:rFonts w:ascii="Tahoma" w:hAnsi="Tahoma" w:cs="Tahoma"/>
          <w:sz w:val="28"/>
          <w:szCs w:val="28"/>
        </w:rPr>
        <w:t xml:space="preserve"> 2020. </w:t>
      </w:r>
    </w:p>
    <w:p w:rsidR="00B62D63" w:rsidRPr="00F32228" w:rsidRDefault="00B62D63" w:rsidP="001968BB">
      <w:pPr>
        <w:spacing w:after="240" w:line="276" w:lineRule="auto"/>
        <w:ind w:right="-58" w:firstLine="720"/>
        <w:jc w:val="both"/>
        <w:rPr>
          <w:rFonts w:ascii="Tahoma" w:hAnsi="Tahoma" w:cs="Tahoma"/>
          <w:bCs/>
          <w:sz w:val="28"/>
          <w:szCs w:val="28"/>
        </w:rPr>
      </w:pPr>
      <w:r w:rsidRPr="00F32228">
        <w:rPr>
          <w:rFonts w:ascii="Tahoma" w:hAnsi="Tahoma" w:cs="Tahoma"/>
          <w:bCs/>
          <w:sz w:val="28"/>
          <w:szCs w:val="28"/>
        </w:rPr>
        <w:t>Comparativ cu aceeași perioadă a anului anterior cheltuielile de personal s-au majorat cu 0.2%.</w:t>
      </w:r>
    </w:p>
    <w:p w:rsidR="001968BB" w:rsidRPr="00F32228" w:rsidRDefault="00B10206" w:rsidP="001968BB">
      <w:pPr>
        <w:spacing w:after="240" w:line="276" w:lineRule="auto"/>
        <w:ind w:right="-58" w:firstLine="720"/>
        <w:jc w:val="both"/>
        <w:rPr>
          <w:rFonts w:ascii="Tahoma" w:hAnsi="Tahoma" w:cs="Tahoma"/>
          <w:bCs/>
          <w:sz w:val="28"/>
          <w:szCs w:val="28"/>
        </w:rPr>
      </w:pPr>
      <w:r w:rsidRPr="00F32228">
        <w:rPr>
          <w:rFonts w:ascii="Tahoma" w:hAnsi="Tahoma" w:cs="Tahoma"/>
          <w:bCs/>
          <w:sz w:val="28"/>
          <w:szCs w:val="28"/>
        </w:rPr>
        <w:t>Cheltuielile de personal au fost influențate de majorările salariale acordate în temeiul Legii cadru nr. 153/2017</w:t>
      </w:r>
      <w:r w:rsidR="001968BB" w:rsidRPr="00F32228">
        <w:rPr>
          <w:rFonts w:ascii="Tahoma" w:hAnsi="Tahoma" w:cs="Tahoma"/>
          <w:bCs/>
          <w:sz w:val="28"/>
          <w:szCs w:val="28"/>
        </w:rPr>
        <w:t>,</w:t>
      </w:r>
      <w:r w:rsidRPr="00F32228">
        <w:rPr>
          <w:rFonts w:ascii="Tahoma" w:hAnsi="Tahoma" w:cs="Tahoma"/>
          <w:bCs/>
          <w:sz w:val="28"/>
          <w:szCs w:val="28"/>
        </w:rPr>
        <w:t xml:space="preserve"> privind salarizarea personalului plătit din fonduri publice</w:t>
      </w:r>
      <w:r w:rsidR="009F6CC3" w:rsidRPr="00F32228">
        <w:rPr>
          <w:rFonts w:ascii="Tahoma" w:hAnsi="Tahoma" w:cs="Tahoma"/>
          <w:bCs/>
          <w:sz w:val="28"/>
          <w:szCs w:val="28"/>
        </w:rPr>
        <w:t>, precum ș</w:t>
      </w:r>
      <w:r w:rsidR="001968BB" w:rsidRPr="00F32228">
        <w:rPr>
          <w:rFonts w:ascii="Tahoma" w:hAnsi="Tahoma" w:cs="Tahoma"/>
          <w:bCs/>
          <w:sz w:val="28"/>
          <w:szCs w:val="28"/>
        </w:rPr>
        <w:t>i de acordarea un</w:t>
      </w:r>
      <w:r w:rsidR="009F6CC3" w:rsidRPr="00F32228">
        <w:rPr>
          <w:rFonts w:ascii="Tahoma" w:hAnsi="Tahoma" w:cs="Tahoma"/>
          <w:bCs/>
          <w:sz w:val="28"/>
          <w:szCs w:val="28"/>
        </w:rPr>
        <w:t xml:space="preserve">or stimulente salariale pentru </w:t>
      </w:r>
      <w:r w:rsidR="001968BB" w:rsidRPr="00F32228">
        <w:rPr>
          <w:rFonts w:ascii="Tahoma" w:hAnsi="Tahoma" w:cs="Tahoma"/>
          <w:bCs/>
          <w:sz w:val="28"/>
          <w:szCs w:val="28"/>
        </w:rPr>
        <w:t xml:space="preserve">medici, personalul medico-sanitar, personalul paramedical, inclusiv </w:t>
      </w:r>
      <w:r w:rsidR="001968BB" w:rsidRPr="00F32228">
        <w:rPr>
          <w:rFonts w:ascii="Tahoma" w:hAnsi="Tahoma" w:cs="Tahoma"/>
          <w:bCs/>
          <w:sz w:val="28"/>
          <w:szCs w:val="28"/>
        </w:rPr>
        <w:lastRenderedPageBreak/>
        <w:t xml:space="preserve">personalului auxiliar, implicat direct in transportul, echiparea, evaluarea, diagnosticarea și tratamentul </w:t>
      </w:r>
      <w:r w:rsidR="00F32228" w:rsidRPr="00F32228">
        <w:rPr>
          <w:rFonts w:ascii="Tahoma" w:hAnsi="Tahoma" w:cs="Tahoma"/>
          <w:bCs/>
          <w:sz w:val="28"/>
          <w:szCs w:val="28"/>
        </w:rPr>
        <w:t>paciențilorinfectați</w:t>
      </w:r>
      <w:r w:rsidR="001968BB" w:rsidRPr="00F32228">
        <w:rPr>
          <w:rFonts w:ascii="Tahoma" w:hAnsi="Tahoma" w:cs="Tahoma"/>
          <w:bCs/>
          <w:sz w:val="28"/>
          <w:szCs w:val="28"/>
        </w:rPr>
        <w:t xml:space="preserve"> cu COVID-19.</w:t>
      </w:r>
    </w:p>
    <w:p w:rsidR="00B10206" w:rsidRPr="00F32228" w:rsidRDefault="00B10206" w:rsidP="00B62D63">
      <w:pPr>
        <w:spacing w:before="120" w:after="120"/>
        <w:ind w:firstLine="720"/>
        <w:jc w:val="both"/>
        <w:rPr>
          <w:rFonts w:ascii="Tahoma" w:hAnsi="Tahoma" w:cs="Tahoma"/>
          <w:sz w:val="28"/>
          <w:szCs w:val="28"/>
        </w:rPr>
      </w:pPr>
      <w:r w:rsidRPr="00F32228">
        <w:rPr>
          <w:rFonts w:ascii="Tahoma" w:hAnsi="Tahoma" w:cs="Tahoma"/>
          <w:b/>
          <w:bCs/>
          <w:sz w:val="28"/>
          <w:szCs w:val="28"/>
        </w:rPr>
        <w:t>Cheltuielile cu bunuri și servicii</w:t>
      </w:r>
      <w:r w:rsidR="007369A7">
        <w:rPr>
          <w:rFonts w:ascii="Tahoma" w:hAnsi="Tahoma" w:cs="Tahoma"/>
          <w:b/>
          <w:bCs/>
          <w:sz w:val="28"/>
          <w:szCs w:val="28"/>
        </w:rPr>
        <w:t xml:space="preserve"> </w:t>
      </w:r>
      <w:r w:rsidR="003C4703" w:rsidRPr="00F32228">
        <w:rPr>
          <w:rFonts w:ascii="Tahoma" w:hAnsi="Tahoma" w:cs="Tahoma"/>
          <w:sz w:val="28"/>
          <w:szCs w:val="28"/>
        </w:rPr>
        <w:t xml:space="preserve">au însumat </w:t>
      </w:r>
      <w:r w:rsidR="00B62D63" w:rsidRPr="00F32228">
        <w:rPr>
          <w:rFonts w:ascii="Tahoma" w:hAnsi="Tahoma" w:cs="Tahoma"/>
          <w:sz w:val="28"/>
          <w:szCs w:val="28"/>
        </w:rPr>
        <w:t>13,17</w:t>
      </w:r>
      <w:r w:rsidRPr="00F32228">
        <w:rPr>
          <w:rFonts w:ascii="Tahoma" w:hAnsi="Tahoma" w:cs="Tahoma"/>
          <w:sz w:val="28"/>
          <w:szCs w:val="28"/>
        </w:rPr>
        <w:t xml:space="preserve"> m</w:t>
      </w:r>
      <w:r w:rsidR="003C4703" w:rsidRPr="00F32228">
        <w:rPr>
          <w:rFonts w:ascii="Tahoma" w:hAnsi="Tahoma" w:cs="Tahoma"/>
          <w:sz w:val="28"/>
          <w:szCs w:val="28"/>
        </w:rPr>
        <w:t>ld</w:t>
      </w:r>
      <w:r w:rsidR="005B36B4" w:rsidRPr="00F32228">
        <w:rPr>
          <w:rFonts w:ascii="Tahoma" w:hAnsi="Tahoma" w:cs="Tahoma"/>
          <w:sz w:val="28"/>
          <w:szCs w:val="28"/>
        </w:rPr>
        <w:t>.</w:t>
      </w:r>
      <w:r w:rsidRPr="00F32228">
        <w:rPr>
          <w:rFonts w:ascii="Tahoma" w:hAnsi="Tahoma" w:cs="Tahoma"/>
          <w:sz w:val="28"/>
          <w:szCs w:val="28"/>
        </w:rPr>
        <w:t xml:space="preserve"> lei (1,</w:t>
      </w:r>
      <w:r w:rsidR="00B62D63" w:rsidRPr="00F32228">
        <w:rPr>
          <w:rFonts w:ascii="Tahoma" w:hAnsi="Tahoma" w:cs="Tahoma"/>
          <w:sz w:val="28"/>
          <w:szCs w:val="28"/>
        </w:rPr>
        <w:t>2</w:t>
      </w:r>
      <w:r w:rsidRPr="00F32228">
        <w:rPr>
          <w:rFonts w:ascii="Tahoma" w:hAnsi="Tahoma" w:cs="Tahoma"/>
          <w:sz w:val="28"/>
          <w:szCs w:val="28"/>
        </w:rPr>
        <w:t xml:space="preserve">% din PIB) și s-au efectuat în proporție de </w:t>
      </w:r>
      <w:r w:rsidR="00B62D63" w:rsidRPr="00F32228">
        <w:rPr>
          <w:rFonts w:ascii="Tahoma" w:hAnsi="Tahoma" w:cs="Tahoma"/>
          <w:sz w:val="28"/>
          <w:szCs w:val="28"/>
        </w:rPr>
        <w:t>90,8</w:t>
      </w:r>
      <w:r w:rsidRPr="00F32228">
        <w:rPr>
          <w:rFonts w:ascii="Tahoma" w:hAnsi="Tahoma" w:cs="Tahoma"/>
          <w:sz w:val="28"/>
          <w:szCs w:val="28"/>
        </w:rPr>
        <w:t xml:space="preserve">% comparativ cu programul trimestrial. </w:t>
      </w:r>
      <w:r w:rsidR="00B62D63" w:rsidRPr="00F32228">
        <w:rPr>
          <w:rFonts w:ascii="Tahoma" w:hAnsi="Tahoma" w:cs="Tahoma"/>
          <w:sz w:val="28"/>
          <w:szCs w:val="28"/>
        </w:rPr>
        <w:t>Neefectuarea cheltuielilor la nivelul programului stabilit pentru trimestrul II s-a datorat evoluției cheltuielilor la bugetul de stat unde gradul de realizare a fost de 57,9%.Niveluri peste cel programat s-a</w:t>
      </w:r>
      <w:r w:rsidR="009F6CC3" w:rsidRPr="00F32228">
        <w:rPr>
          <w:rFonts w:ascii="Tahoma" w:hAnsi="Tahoma" w:cs="Tahoma"/>
          <w:sz w:val="28"/>
          <w:szCs w:val="28"/>
        </w:rPr>
        <w:t>u</w:t>
      </w:r>
      <w:r w:rsidR="00B62D63" w:rsidRPr="00F32228">
        <w:rPr>
          <w:rFonts w:ascii="Tahoma" w:hAnsi="Tahoma" w:cs="Tahoma"/>
          <w:sz w:val="28"/>
          <w:szCs w:val="28"/>
        </w:rPr>
        <w:t xml:space="preserve"> înregistrat la buget</w:t>
      </w:r>
      <w:r w:rsidR="009F6CC3" w:rsidRPr="00F32228">
        <w:rPr>
          <w:rFonts w:ascii="Tahoma" w:hAnsi="Tahoma" w:cs="Tahoma"/>
          <w:sz w:val="28"/>
          <w:szCs w:val="28"/>
        </w:rPr>
        <w:t>e</w:t>
      </w:r>
      <w:r w:rsidR="00B62D63" w:rsidRPr="00F32228">
        <w:rPr>
          <w:rFonts w:ascii="Tahoma" w:hAnsi="Tahoma" w:cs="Tahoma"/>
          <w:sz w:val="28"/>
          <w:szCs w:val="28"/>
        </w:rPr>
        <w:t>l</w:t>
      </w:r>
      <w:r w:rsidR="009F6CC3" w:rsidRPr="00F32228">
        <w:rPr>
          <w:rFonts w:ascii="Tahoma" w:hAnsi="Tahoma" w:cs="Tahoma"/>
          <w:sz w:val="28"/>
          <w:szCs w:val="28"/>
        </w:rPr>
        <w:t xml:space="preserve">e componente ale unităților </w:t>
      </w:r>
      <w:r w:rsidR="00B62D63" w:rsidRPr="00F32228">
        <w:rPr>
          <w:rFonts w:ascii="Tahoma" w:hAnsi="Tahoma" w:cs="Tahoma"/>
          <w:sz w:val="28"/>
          <w:szCs w:val="28"/>
        </w:rPr>
        <w:t xml:space="preserve">administrativ </w:t>
      </w:r>
      <w:r w:rsidR="009F6CC3" w:rsidRPr="00F32228">
        <w:rPr>
          <w:rFonts w:ascii="Tahoma" w:hAnsi="Tahoma" w:cs="Tahoma"/>
          <w:sz w:val="28"/>
          <w:szCs w:val="28"/>
        </w:rPr>
        <w:t xml:space="preserve">– </w:t>
      </w:r>
      <w:r w:rsidR="00B62D63" w:rsidRPr="00F32228">
        <w:rPr>
          <w:rFonts w:ascii="Tahoma" w:hAnsi="Tahoma" w:cs="Tahoma"/>
          <w:sz w:val="28"/>
          <w:szCs w:val="28"/>
        </w:rPr>
        <w:t>teritoriale</w:t>
      </w:r>
      <w:r w:rsidR="009F6CC3" w:rsidRPr="00F32228">
        <w:rPr>
          <w:rFonts w:ascii="Tahoma" w:hAnsi="Tahoma" w:cs="Tahoma"/>
          <w:sz w:val="28"/>
          <w:szCs w:val="28"/>
        </w:rPr>
        <w:t xml:space="preserve">, unde </w:t>
      </w:r>
      <w:r w:rsidR="00B62D63" w:rsidRPr="00F32228">
        <w:rPr>
          <w:rFonts w:ascii="Tahoma" w:hAnsi="Tahoma" w:cs="Tahoma"/>
          <w:sz w:val="28"/>
          <w:szCs w:val="28"/>
        </w:rPr>
        <w:t xml:space="preserve">gradul de efectuare a fost de 107,3%, </w:t>
      </w:r>
      <w:r w:rsidR="005B36B4" w:rsidRPr="00F32228">
        <w:rPr>
          <w:rFonts w:ascii="Tahoma" w:hAnsi="Tahoma" w:cs="Tahoma"/>
          <w:sz w:val="28"/>
          <w:szCs w:val="28"/>
        </w:rPr>
        <w:t xml:space="preserve">în special </w:t>
      </w:r>
      <w:r w:rsidRPr="00F32228">
        <w:rPr>
          <w:rFonts w:ascii="Tahoma" w:hAnsi="Tahoma" w:cs="Tahoma"/>
          <w:sz w:val="28"/>
          <w:szCs w:val="28"/>
        </w:rPr>
        <w:t>ca urmare a plăților suplimentare realizate pentru prevenirea și combaterea pandemiei cu coronavirusul SARS-CoV-2.</w:t>
      </w:r>
    </w:p>
    <w:p w:rsidR="00B10206" w:rsidRPr="00F32228" w:rsidRDefault="00B10206" w:rsidP="00B62D63">
      <w:pPr>
        <w:ind w:firstLine="720"/>
        <w:jc w:val="both"/>
        <w:rPr>
          <w:rFonts w:ascii="Tahoma" w:hAnsi="Tahoma" w:cs="Tahoma"/>
          <w:sz w:val="28"/>
          <w:szCs w:val="28"/>
        </w:rPr>
      </w:pPr>
      <w:r w:rsidRPr="00F32228">
        <w:rPr>
          <w:rFonts w:ascii="Tahoma" w:hAnsi="Tahoma" w:cs="Tahoma"/>
          <w:b/>
          <w:bCs/>
          <w:sz w:val="28"/>
          <w:szCs w:val="28"/>
        </w:rPr>
        <w:t>Cheltuielile cu dobânzile</w:t>
      </w:r>
      <w:r w:rsidRPr="00F32228">
        <w:rPr>
          <w:rFonts w:ascii="Tahoma" w:hAnsi="Tahoma" w:cs="Tahoma"/>
          <w:sz w:val="28"/>
          <w:szCs w:val="28"/>
        </w:rPr>
        <w:t xml:space="preserve"> a</w:t>
      </w:r>
      <w:r w:rsidR="003C4703" w:rsidRPr="00F32228">
        <w:rPr>
          <w:rFonts w:ascii="Tahoma" w:hAnsi="Tahoma" w:cs="Tahoma"/>
          <w:sz w:val="28"/>
          <w:szCs w:val="28"/>
        </w:rPr>
        <w:t xml:space="preserve">u fost în termeni nominali de </w:t>
      </w:r>
      <w:r w:rsidR="00B62D63" w:rsidRPr="00F32228">
        <w:rPr>
          <w:rFonts w:ascii="Tahoma" w:hAnsi="Tahoma" w:cs="Tahoma"/>
          <w:sz w:val="28"/>
          <w:szCs w:val="28"/>
        </w:rPr>
        <w:t>5,13</w:t>
      </w:r>
      <w:r w:rsidRPr="00F32228">
        <w:rPr>
          <w:rFonts w:ascii="Tahoma" w:hAnsi="Tahoma" w:cs="Tahoma"/>
          <w:sz w:val="28"/>
          <w:szCs w:val="28"/>
        </w:rPr>
        <w:t xml:space="preserve"> m</w:t>
      </w:r>
      <w:r w:rsidR="003C4703" w:rsidRPr="00F32228">
        <w:rPr>
          <w:rFonts w:ascii="Tahoma" w:hAnsi="Tahoma" w:cs="Tahoma"/>
          <w:sz w:val="28"/>
          <w:szCs w:val="28"/>
        </w:rPr>
        <w:t>ld.</w:t>
      </w:r>
      <w:r w:rsidRPr="00F32228">
        <w:rPr>
          <w:rFonts w:ascii="Tahoma" w:hAnsi="Tahoma" w:cs="Tahoma"/>
          <w:sz w:val="28"/>
          <w:szCs w:val="28"/>
        </w:rPr>
        <w:t xml:space="preserve"> lei (0,</w:t>
      </w:r>
      <w:r w:rsidR="00B62D63" w:rsidRPr="00F32228">
        <w:rPr>
          <w:rFonts w:ascii="Tahoma" w:hAnsi="Tahoma" w:cs="Tahoma"/>
          <w:sz w:val="28"/>
          <w:szCs w:val="28"/>
        </w:rPr>
        <w:t>5</w:t>
      </w:r>
      <w:r w:rsidRPr="00F32228">
        <w:rPr>
          <w:rFonts w:ascii="Tahoma" w:hAnsi="Tahoma" w:cs="Tahoma"/>
          <w:sz w:val="28"/>
          <w:szCs w:val="28"/>
        </w:rPr>
        <w:t xml:space="preserve">% din PIB) și s-au efectuat în proporție de </w:t>
      </w:r>
      <w:r w:rsidR="00B62D63" w:rsidRPr="00F32228">
        <w:rPr>
          <w:rFonts w:ascii="Tahoma" w:hAnsi="Tahoma" w:cs="Tahoma"/>
          <w:sz w:val="28"/>
          <w:szCs w:val="28"/>
        </w:rPr>
        <w:t>97,6</w:t>
      </w:r>
      <w:r w:rsidRPr="00F32228">
        <w:rPr>
          <w:rFonts w:ascii="Tahoma" w:hAnsi="Tahoma" w:cs="Tahoma"/>
          <w:sz w:val="28"/>
          <w:szCs w:val="28"/>
        </w:rPr>
        <w:t xml:space="preserve">% din programul trimestrial. </w:t>
      </w:r>
    </w:p>
    <w:p w:rsidR="00F12863" w:rsidRPr="00F32228" w:rsidRDefault="00B10206" w:rsidP="003C71AA">
      <w:pPr>
        <w:spacing w:line="276" w:lineRule="auto"/>
        <w:ind w:firstLine="720"/>
        <w:jc w:val="both"/>
        <w:rPr>
          <w:rFonts w:ascii="Tahoma" w:hAnsi="Tahoma" w:cs="Tahoma"/>
          <w:bCs/>
          <w:color w:val="000000"/>
          <w:sz w:val="28"/>
          <w:szCs w:val="28"/>
        </w:rPr>
      </w:pPr>
      <w:r w:rsidRPr="00F32228">
        <w:rPr>
          <w:rFonts w:ascii="Tahoma" w:hAnsi="Tahoma" w:cs="Tahoma"/>
          <w:b/>
          <w:bCs/>
          <w:color w:val="000000"/>
          <w:sz w:val="28"/>
          <w:szCs w:val="28"/>
        </w:rPr>
        <w:t>Cheltuielile cu subvențiile</w:t>
      </w:r>
      <w:r w:rsidR="003C4703" w:rsidRPr="00F32228">
        <w:rPr>
          <w:rFonts w:ascii="Tahoma" w:hAnsi="Tahoma" w:cs="Tahoma"/>
          <w:bCs/>
          <w:color w:val="000000"/>
          <w:sz w:val="28"/>
          <w:szCs w:val="28"/>
        </w:rPr>
        <w:t xml:space="preserve"> au fost în sumă de </w:t>
      </w:r>
      <w:r w:rsidR="003C71AA" w:rsidRPr="00F32228">
        <w:rPr>
          <w:rFonts w:ascii="Tahoma" w:hAnsi="Tahoma" w:cs="Tahoma"/>
          <w:bCs/>
          <w:color w:val="000000"/>
          <w:sz w:val="28"/>
          <w:szCs w:val="28"/>
        </w:rPr>
        <w:t>1,25</w:t>
      </w:r>
      <w:r w:rsidR="003C4703" w:rsidRPr="00F32228">
        <w:rPr>
          <w:rFonts w:ascii="Tahoma" w:hAnsi="Tahoma" w:cs="Tahoma"/>
          <w:bCs/>
          <w:color w:val="000000"/>
          <w:sz w:val="28"/>
          <w:szCs w:val="28"/>
        </w:rPr>
        <w:t xml:space="preserve"> mld.</w:t>
      </w:r>
      <w:r w:rsidRPr="00F32228">
        <w:rPr>
          <w:rFonts w:ascii="Tahoma" w:hAnsi="Tahoma" w:cs="Tahoma"/>
          <w:bCs/>
          <w:color w:val="000000"/>
          <w:sz w:val="28"/>
          <w:szCs w:val="28"/>
        </w:rPr>
        <w:t xml:space="preserve"> lei, au reprezentat 0,</w:t>
      </w:r>
      <w:r w:rsidR="003C71AA" w:rsidRPr="00F32228">
        <w:rPr>
          <w:rFonts w:ascii="Tahoma" w:hAnsi="Tahoma" w:cs="Tahoma"/>
          <w:bCs/>
          <w:color w:val="000000"/>
          <w:sz w:val="28"/>
          <w:szCs w:val="28"/>
        </w:rPr>
        <w:t>1</w:t>
      </w:r>
      <w:r w:rsidRPr="00F32228">
        <w:rPr>
          <w:rFonts w:ascii="Tahoma" w:hAnsi="Tahoma" w:cs="Tahoma"/>
          <w:bCs/>
          <w:color w:val="000000"/>
          <w:sz w:val="28"/>
          <w:szCs w:val="28"/>
        </w:rPr>
        <w:t>% din PIB și s-au efectuat în proporție de 8</w:t>
      </w:r>
      <w:r w:rsidR="003C71AA" w:rsidRPr="00F32228">
        <w:rPr>
          <w:rFonts w:ascii="Tahoma" w:hAnsi="Tahoma" w:cs="Tahoma"/>
          <w:bCs/>
          <w:color w:val="000000"/>
          <w:sz w:val="28"/>
          <w:szCs w:val="28"/>
        </w:rPr>
        <w:t>3</w:t>
      </w:r>
      <w:r w:rsidRPr="00F32228">
        <w:rPr>
          <w:rFonts w:ascii="Tahoma" w:hAnsi="Tahoma" w:cs="Tahoma"/>
          <w:bCs/>
          <w:color w:val="000000"/>
          <w:sz w:val="28"/>
          <w:szCs w:val="28"/>
        </w:rPr>
        <w:t>,7% comparativ cu programul trimestrial</w:t>
      </w:r>
      <w:r w:rsidR="003C71AA" w:rsidRPr="00F32228">
        <w:rPr>
          <w:rFonts w:ascii="Tahoma" w:hAnsi="Tahoma" w:cs="Tahoma"/>
          <w:bCs/>
          <w:color w:val="000000"/>
          <w:sz w:val="28"/>
          <w:szCs w:val="28"/>
        </w:rPr>
        <w:t>.</w:t>
      </w:r>
      <w:r w:rsidR="00F12863" w:rsidRPr="00F32228">
        <w:rPr>
          <w:rFonts w:ascii="Tahoma" w:hAnsi="Tahoma" w:cs="Tahoma"/>
          <w:bCs/>
          <w:color w:val="000000"/>
          <w:sz w:val="28"/>
          <w:szCs w:val="28"/>
        </w:rPr>
        <w:t>Nerealizarea pl</w:t>
      </w:r>
      <w:r w:rsidR="009F6CC3" w:rsidRPr="00F32228">
        <w:rPr>
          <w:rFonts w:ascii="Tahoma" w:hAnsi="Tahoma" w:cs="Tahoma"/>
          <w:bCs/>
          <w:color w:val="000000"/>
          <w:sz w:val="28"/>
          <w:szCs w:val="28"/>
        </w:rPr>
        <w:t>ăț</w:t>
      </w:r>
      <w:r w:rsidR="00F12863" w:rsidRPr="00F32228">
        <w:rPr>
          <w:rFonts w:ascii="Tahoma" w:hAnsi="Tahoma" w:cs="Tahoma"/>
          <w:bCs/>
          <w:color w:val="000000"/>
          <w:sz w:val="28"/>
          <w:szCs w:val="28"/>
        </w:rPr>
        <w:t>ilor programate pentru trimestru</w:t>
      </w:r>
      <w:r w:rsidR="003C71AA" w:rsidRPr="00F32228">
        <w:rPr>
          <w:rFonts w:ascii="Tahoma" w:hAnsi="Tahoma" w:cs="Tahoma"/>
          <w:bCs/>
          <w:color w:val="000000"/>
          <w:sz w:val="28"/>
          <w:szCs w:val="28"/>
        </w:rPr>
        <w:t>l II</w:t>
      </w:r>
      <w:r w:rsidR="00F12863" w:rsidRPr="00F32228">
        <w:rPr>
          <w:rFonts w:ascii="Tahoma" w:hAnsi="Tahoma" w:cs="Tahoma"/>
          <w:bCs/>
          <w:color w:val="000000"/>
          <w:sz w:val="28"/>
          <w:szCs w:val="28"/>
        </w:rPr>
        <w:t xml:space="preserve"> se datoreaz</w:t>
      </w:r>
      <w:r w:rsidR="009F6CC3" w:rsidRPr="00F32228">
        <w:rPr>
          <w:rFonts w:ascii="Tahoma" w:hAnsi="Tahoma" w:cs="Tahoma"/>
          <w:bCs/>
          <w:color w:val="000000"/>
          <w:sz w:val="28"/>
          <w:szCs w:val="28"/>
        </w:rPr>
        <w:t>ă</w:t>
      </w:r>
      <w:r w:rsidR="00F12863" w:rsidRPr="00F32228">
        <w:rPr>
          <w:rFonts w:ascii="Tahoma" w:hAnsi="Tahoma" w:cs="Tahoma"/>
          <w:bCs/>
          <w:color w:val="000000"/>
          <w:sz w:val="28"/>
          <w:szCs w:val="28"/>
        </w:rPr>
        <w:t xml:space="preserve">, </w:t>
      </w:r>
      <w:r w:rsidR="009F6CC3" w:rsidRPr="00F32228">
        <w:rPr>
          <w:rFonts w:ascii="Tahoma" w:hAnsi="Tahoma" w:cs="Tahoma"/>
          <w:bCs/>
          <w:color w:val="000000"/>
          <w:sz w:val="28"/>
          <w:szCs w:val="28"/>
        </w:rPr>
        <w:t>î</w:t>
      </w:r>
      <w:r w:rsidR="00F12863" w:rsidRPr="00F32228">
        <w:rPr>
          <w:rFonts w:ascii="Tahoma" w:hAnsi="Tahoma" w:cs="Tahoma"/>
          <w:bCs/>
          <w:color w:val="000000"/>
          <w:sz w:val="28"/>
          <w:szCs w:val="28"/>
        </w:rPr>
        <w:t>n principal, cheltuielilor cu subven</w:t>
      </w:r>
      <w:r w:rsidR="009F6CC3" w:rsidRPr="00F32228">
        <w:rPr>
          <w:rFonts w:ascii="Tahoma" w:hAnsi="Tahoma" w:cs="Tahoma"/>
          <w:bCs/>
          <w:color w:val="000000"/>
          <w:sz w:val="28"/>
          <w:szCs w:val="28"/>
        </w:rPr>
        <w:t>ț</w:t>
      </w:r>
      <w:r w:rsidR="00F12863" w:rsidRPr="00F32228">
        <w:rPr>
          <w:rFonts w:ascii="Tahoma" w:hAnsi="Tahoma" w:cs="Tahoma"/>
          <w:bCs/>
          <w:color w:val="000000"/>
          <w:sz w:val="28"/>
          <w:szCs w:val="28"/>
        </w:rPr>
        <w:t xml:space="preserve">iile </w:t>
      </w:r>
      <w:r w:rsidR="009F6CC3" w:rsidRPr="00F32228">
        <w:rPr>
          <w:rFonts w:ascii="Tahoma" w:hAnsi="Tahoma" w:cs="Tahoma"/>
          <w:bCs/>
          <w:color w:val="000000"/>
          <w:sz w:val="28"/>
          <w:szCs w:val="28"/>
        </w:rPr>
        <w:t xml:space="preserve">de </w:t>
      </w:r>
      <w:r w:rsidR="00F12863" w:rsidRPr="00F32228">
        <w:rPr>
          <w:rFonts w:ascii="Tahoma" w:hAnsi="Tahoma" w:cs="Tahoma"/>
          <w:bCs/>
          <w:color w:val="000000"/>
          <w:sz w:val="28"/>
          <w:szCs w:val="28"/>
        </w:rPr>
        <w:t xml:space="preserve">la bugetul de stat unde gradul de efectuare a fost de </w:t>
      </w:r>
      <w:r w:rsidR="003C71AA" w:rsidRPr="00F32228">
        <w:rPr>
          <w:rFonts w:ascii="Tahoma" w:hAnsi="Tahoma" w:cs="Tahoma"/>
          <w:bCs/>
          <w:color w:val="000000"/>
          <w:sz w:val="28"/>
          <w:szCs w:val="28"/>
        </w:rPr>
        <w:t>78,4</w:t>
      </w:r>
      <w:r w:rsidR="00F12863" w:rsidRPr="00F32228">
        <w:rPr>
          <w:rFonts w:ascii="Tahoma" w:hAnsi="Tahoma" w:cs="Tahoma"/>
          <w:bCs/>
          <w:color w:val="000000"/>
          <w:sz w:val="28"/>
          <w:szCs w:val="28"/>
        </w:rPr>
        <w:t>%</w:t>
      </w:r>
      <w:r w:rsidR="003C71AA" w:rsidRPr="00F32228">
        <w:rPr>
          <w:rFonts w:ascii="Tahoma" w:hAnsi="Tahoma" w:cs="Tahoma"/>
          <w:bCs/>
          <w:color w:val="000000"/>
          <w:sz w:val="28"/>
          <w:szCs w:val="28"/>
        </w:rPr>
        <w:t>.</w:t>
      </w:r>
    </w:p>
    <w:p w:rsidR="003C71AA" w:rsidRPr="00F32228" w:rsidRDefault="00B10206" w:rsidP="001B6FA2">
      <w:pPr>
        <w:spacing w:before="240" w:after="240" w:line="276" w:lineRule="auto"/>
        <w:ind w:firstLine="720"/>
        <w:jc w:val="both"/>
        <w:rPr>
          <w:rFonts w:ascii="Tahoma" w:hAnsi="Tahoma" w:cs="Tahoma"/>
          <w:bCs/>
          <w:sz w:val="28"/>
          <w:szCs w:val="28"/>
        </w:rPr>
      </w:pPr>
      <w:r w:rsidRPr="00F32228">
        <w:rPr>
          <w:rFonts w:ascii="Tahoma" w:hAnsi="Tahoma" w:cs="Tahoma"/>
          <w:b/>
          <w:bCs/>
          <w:sz w:val="28"/>
          <w:szCs w:val="28"/>
        </w:rPr>
        <w:t>Cheltuielile cu asistența socială</w:t>
      </w:r>
      <w:r w:rsidR="003C4703" w:rsidRPr="00F32228">
        <w:rPr>
          <w:rFonts w:ascii="Tahoma" w:hAnsi="Tahoma" w:cs="Tahoma"/>
          <w:sz w:val="28"/>
          <w:szCs w:val="28"/>
        </w:rPr>
        <w:t xml:space="preserve"> au fost în sumă de </w:t>
      </w:r>
      <w:r w:rsidR="003C71AA" w:rsidRPr="00F32228">
        <w:rPr>
          <w:rFonts w:ascii="Tahoma" w:hAnsi="Tahoma" w:cs="Tahoma"/>
          <w:sz w:val="28"/>
          <w:szCs w:val="28"/>
        </w:rPr>
        <w:t>36,45</w:t>
      </w:r>
      <w:r w:rsidR="003C4703" w:rsidRPr="00F32228">
        <w:rPr>
          <w:rFonts w:ascii="Tahoma" w:hAnsi="Tahoma" w:cs="Tahoma"/>
          <w:sz w:val="28"/>
          <w:szCs w:val="28"/>
        </w:rPr>
        <w:t xml:space="preserve"> mld</w:t>
      </w:r>
      <w:r w:rsidR="005B36B4" w:rsidRPr="00F32228">
        <w:rPr>
          <w:rFonts w:ascii="Tahoma" w:hAnsi="Tahoma" w:cs="Tahoma"/>
          <w:sz w:val="28"/>
          <w:szCs w:val="28"/>
        </w:rPr>
        <w:t>.</w:t>
      </w:r>
      <w:r w:rsidRPr="00F32228">
        <w:rPr>
          <w:rFonts w:ascii="Tahoma" w:hAnsi="Tahoma" w:cs="Tahoma"/>
          <w:sz w:val="28"/>
          <w:szCs w:val="28"/>
        </w:rPr>
        <w:t xml:space="preserve"> lei, au reprezentat 3,</w:t>
      </w:r>
      <w:r w:rsidR="003C71AA" w:rsidRPr="00F32228">
        <w:rPr>
          <w:rFonts w:ascii="Tahoma" w:hAnsi="Tahoma" w:cs="Tahoma"/>
          <w:sz w:val="28"/>
          <w:szCs w:val="28"/>
        </w:rPr>
        <w:t>4</w:t>
      </w:r>
      <w:r w:rsidRPr="00F32228">
        <w:rPr>
          <w:rFonts w:ascii="Tahoma" w:hAnsi="Tahoma" w:cs="Tahoma"/>
          <w:sz w:val="28"/>
          <w:szCs w:val="28"/>
        </w:rPr>
        <w:t xml:space="preserve">% din PIB </w:t>
      </w:r>
      <w:r w:rsidR="00F32228" w:rsidRPr="00F32228">
        <w:rPr>
          <w:rFonts w:ascii="Tahoma" w:hAnsi="Tahoma" w:cs="Tahoma"/>
          <w:sz w:val="28"/>
          <w:szCs w:val="28"/>
        </w:rPr>
        <w:t>și</w:t>
      </w:r>
      <w:r w:rsidRPr="00F32228">
        <w:rPr>
          <w:rFonts w:ascii="Tahoma" w:hAnsi="Tahoma" w:cs="Tahoma"/>
          <w:sz w:val="28"/>
          <w:szCs w:val="28"/>
        </w:rPr>
        <w:t xml:space="preserve"> s-au efectuat în proporție de </w:t>
      </w:r>
      <w:r w:rsidR="003C71AA" w:rsidRPr="00F32228">
        <w:rPr>
          <w:rFonts w:ascii="Tahoma" w:hAnsi="Tahoma" w:cs="Tahoma"/>
          <w:sz w:val="28"/>
          <w:szCs w:val="28"/>
        </w:rPr>
        <w:t>94,9</w:t>
      </w:r>
      <w:r w:rsidRPr="00F32228">
        <w:rPr>
          <w:rFonts w:ascii="Tahoma" w:hAnsi="Tahoma" w:cs="Tahoma"/>
          <w:sz w:val="28"/>
          <w:szCs w:val="28"/>
        </w:rPr>
        <w:t>% față de programul trimestrial.</w:t>
      </w:r>
      <w:r w:rsidR="006737B0" w:rsidRPr="00F32228">
        <w:rPr>
          <w:rFonts w:ascii="Tahoma" w:hAnsi="Tahoma" w:cs="Tahoma"/>
          <w:sz w:val="28"/>
          <w:szCs w:val="28"/>
        </w:rPr>
        <w:t xml:space="preserve"> Evoluția cheltuielilor cu asistența socială a fost influențată, în principal, de majorarea punctului de pensie, începând cu 1 septembrie 2019, cu 15%, respectiv de la 1.100 lei la 1.265 lei, a îndemnizației sociale pentru pensionari garantată cu 10%, majorarea alocațiilor de stat pentru copii începând cu 1 mai 2019, precum și indexarea acestora cu rata inflației din anul 2019, începând cu 1 ianuarie 2020. </w:t>
      </w:r>
      <w:r w:rsidR="003C71AA" w:rsidRPr="00F32228">
        <w:rPr>
          <w:rFonts w:ascii="Tahoma" w:hAnsi="Tahoma" w:cs="Tahoma"/>
          <w:bCs/>
          <w:sz w:val="28"/>
          <w:szCs w:val="28"/>
        </w:rPr>
        <w:t>Totodată, începând cu luna aprilie s-au realizat plăți determinate de măsurile care au fost luate cu caracter excepțional, în domeniul social și economic, pentru diminuarea efectelor negative generate de pandemia de COVID 19, cum ar fi plata pentru indemnizații acordate pe perioada suspendării temporare a contractului individual de muncă din inițiativa angajatorului în valoare de 3</w:t>
      </w:r>
      <w:r w:rsidR="001B6FA2" w:rsidRPr="00F32228">
        <w:rPr>
          <w:rFonts w:ascii="Tahoma" w:hAnsi="Tahoma" w:cs="Tahoma"/>
          <w:bCs/>
          <w:sz w:val="28"/>
          <w:szCs w:val="28"/>
        </w:rPr>
        <w:t>,7miliarde</w:t>
      </w:r>
      <w:r w:rsidR="003C71AA" w:rsidRPr="00F32228">
        <w:rPr>
          <w:rFonts w:ascii="Tahoma" w:hAnsi="Tahoma" w:cs="Tahoma"/>
          <w:bCs/>
          <w:sz w:val="28"/>
          <w:szCs w:val="28"/>
        </w:rPr>
        <w:t xml:space="preserve"> lei și </w:t>
      </w:r>
      <w:r w:rsidR="003C71AA" w:rsidRPr="00F32228">
        <w:rPr>
          <w:rFonts w:ascii="Tahoma" w:hAnsi="Tahoma" w:cs="Tahoma"/>
          <w:bCs/>
          <w:sz w:val="28"/>
          <w:szCs w:val="28"/>
        </w:rPr>
        <w:lastRenderedPageBreak/>
        <w:t xml:space="preserve">pentru indemnizații acordate pentru alți profesioniștii, precum și pentru persoanele care au încheiate convenții individuale de muncă care întrerup activitatea ca urmare a efectelor SARS-CoV-2 în valoare de </w:t>
      </w:r>
      <w:r w:rsidR="001B6FA2" w:rsidRPr="00F32228">
        <w:rPr>
          <w:rFonts w:ascii="Tahoma" w:hAnsi="Tahoma" w:cs="Tahoma"/>
          <w:bCs/>
          <w:sz w:val="28"/>
          <w:szCs w:val="28"/>
        </w:rPr>
        <w:t>0,7 miliarde</w:t>
      </w:r>
      <w:r w:rsidR="003C71AA" w:rsidRPr="00F32228">
        <w:rPr>
          <w:rFonts w:ascii="Tahoma" w:hAnsi="Tahoma" w:cs="Tahoma"/>
          <w:bCs/>
          <w:sz w:val="28"/>
          <w:szCs w:val="28"/>
        </w:rPr>
        <w:t xml:space="preserve"> lei. De asemenea, se continuă ritmul accelerat de decontări ale indemnizațiilor de asigurări sociale de sănătate pentru concedii medicale în scopul diminuării stocului de plăți restante aferente acestora, astfel că dintr-un total de </w:t>
      </w:r>
      <w:r w:rsidR="00957E45" w:rsidRPr="00F32228">
        <w:rPr>
          <w:rFonts w:ascii="Tahoma" w:hAnsi="Tahoma" w:cs="Tahoma"/>
          <w:bCs/>
          <w:sz w:val="28"/>
          <w:szCs w:val="28"/>
        </w:rPr>
        <w:t>2</w:t>
      </w:r>
      <w:r w:rsidR="003C71AA" w:rsidRPr="00F32228">
        <w:rPr>
          <w:rFonts w:ascii="Tahoma" w:hAnsi="Tahoma" w:cs="Tahoma"/>
          <w:bCs/>
          <w:sz w:val="28"/>
          <w:szCs w:val="28"/>
        </w:rPr>
        <w:t>,</w:t>
      </w:r>
      <w:r w:rsidR="00957E45" w:rsidRPr="00F32228">
        <w:rPr>
          <w:rFonts w:ascii="Tahoma" w:hAnsi="Tahoma" w:cs="Tahoma"/>
          <w:bCs/>
          <w:sz w:val="28"/>
          <w:szCs w:val="28"/>
        </w:rPr>
        <w:t>28</w:t>
      </w:r>
      <w:r w:rsidR="003C71AA" w:rsidRPr="00F32228">
        <w:rPr>
          <w:rFonts w:ascii="Tahoma" w:hAnsi="Tahoma" w:cs="Tahoma"/>
          <w:bCs/>
          <w:sz w:val="28"/>
          <w:szCs w:val="28"/>
        </w:rPr>
        <w:t xml:space="preserve"> miliarde</w:t>
      </w:r>
      <w:r w:rsidR="00957E45" w:rsidRPr="00F32228">
        <w:rPr>
          <w:rFonts w:ascii="Tahoma" w:hAnsi="Tahoma" w:cs="Tahoma"/>
          <w:bCs/>
          <w:sz w:val="28"/>
          <w:szCs w:val="28"/>
        </w:rPr>
        <w:t xml:space="preserve"> la finele lunii iunie,</w:t>
      </w:r>
      <w:r w:rsidR="003C71AA" w:rsidRPr="00F32228">
        <w:rPr>
          <w:rFonts w:ascii="Tahoma" w:hAnsi="Tahoma" w:cs="Tahoma"/>
          <w:bCs/>
          <w:sz w:val="28"/>
          <w:szCs w:val="28"/>
        </w:rPr>
        <w:t xml:space="preserve"> plăți</w:t>
      </w:r>
      <w:r w:rsidR="00957E45" w:rsidRPr="00F32228">
        <w:rPr>
          <w:rFonts w:ascii="Tahoma" w:hAnsi="Tahoma" w:cs="Tahoma"/>
          <w:bCs/>
          <w:sz w:val="28"/>
          <w:szCs w:val="28"/>
        </w:rPr>
        <w:t>le</w:t>
      </w:r>
      <w:r w:rsidR="003C71AA" w:rsidRPr="00F32228">
        <w:rPr>
          <w:rFonts w:ascii="Tahoma" w:hAnsi="Tahoma" w:cs="Tahoma"/>
          <w:bCs/>
          <w:sz w:val="28"/>
          <w:szCs w:val="28"/>
        </w:rPr>
        <w:t xml:space="preserve"> efectuate în trimestrul al II-lea al anului 2020</w:t>
      </w:r>
      <w:r w:rsidR="00957E45" w:rsidRPr="00F32228">
        <w:rPr>
          <w:rFonts w:ascii="Tahoma" w:hAnsi="Tahoma" w:cs="Tahoma"/>
          <w:bCs/>
          <w:sz w:val="28"/>
          <w:szCs w:val="28"/>
        </w:rPr>
        <w:t xml:space="preserve"> au totalizat 1,55 miliarde lei</w:t>
      </w:r>
      <w:r w:rsidR="003C71AA" w:rsidRPr="00F32228">
        <w:rPr>
          <w:rFonts w:ascii="Tahoma" w:hAnsi="Tahoma" w:cs="Tahoma"/>
          <w:bCs/>
          <w:sz w:val="28"/>
          <w:szCs w:val="28"/>
        </w:rPr>
        <w:t xml:space="preserve">. </w:t>
      </w:r>
    </w:p>
    <w:p w:rsidR="006737B0" w:rsidRPr="00F32228" w:rsidRDefault="006737B0" w:rsidP="00942AC8">
      <w:pPr>
        <w:spacing w:before="240"/>
        <w:ind w:firstLine="720"/>
        <w:jc w:val="both"/>
        <w:rPr>
          <w:rFonts w:ascii="Tahoma" w:hAnsi="Tahoma" w:cs="Tahoma"/>
          <w:bCs/>
          <w:sz w:val="28"/>
          <w:szCs w:val="28"/>
        </w:rPr>
      </w:pPr>
      <w:r w:rsidRPr="00F32228">
        <w:rPr>
          <w:rFonts w:ascii="Tahoma" w:hAnsi="Tahoma" w:cs="Tahoma"/>
          <w:b/>
          <w:bCs/>
          <w:sz w:val="28"/>
          <w:szCs w:val="28"/>
        </w:rPr>
        <w:t>Alte cheltuieli</w:t>
      </w:r>
      <w:r w:rsidRPr="00F32228">
        <w:rPr>
          <w:rFonts w:ascii="Tahoma" w:hAnsi="Tahoma" w:cs="Tahoma"/>
          <w:bCs/>
          <w:sz w:val="28"/>
          <w:szCs w:val="28"/>
        </w:rPr>
        <w:t xml:space="preserve"> reprezentând, în principal, sume aferente titlurilor de plată emise de Autoritatea Națională pentru Restituirea Proprietăților, conform legislației în vigoare, burse pentru elevi și studenți, precum și alte despăgubiri civile, acestea au însumat </w:t>
      </w:r>
      <w:r w:rsidR="00942AC8" w:rsidRPr="00F32228">
        <w:rPr>
          <w:rFonts w:ascii="Tahoma" w:hAnsi="Tahoma" w:cs="Tahoma"/>
          <w:bCs/>
          <w:sz w:val="28"/>
          <w:szCs w:val="28"/>
        </w:rPr>
        <w:t>1,65</w:t>
      </w:r>
      <w:r w:rsidRPr="00F32228">
        <w:rPr>
          <w:rFonts w:ascii="Tahoma" w:hAnsi="Tahoma" w:cs="Tahoma"/>
          <w:bCs/>
          <w:sz w:val="28"/>
          <w:szCs w:val="28"/>
        </w:rPr>
        <w:t xml:space="preserve"> mld lei</w:t>
      </w:r>
      <w:r w:rsidR="004260FF" w:rsidRPr="00F32228">
        <w:rPr>
          <w:rFonts w:ascii="Tahoma" w:hAnsi="Tahoma" w:cs="Tahoma"/>
          <w:bCs/>
          <w:sz w:val="28"/>
          <w:szCs w:val="28"/>
        </w:rPr>
        <w:t xml:space="preserve">, reprezentând </w:t>
      </w:r>
      <w:r w:rsidR="00942AC8" w:rsidRPr="00F32228">
        <w:rPr>
          <w:rFonts w:ascii="Tahoma" w:hAnsi="Tahoma" w:cs="Tahoma"/>
          <w:bCs/>
          <w:sz w:val="28"/>
          <w:szCs w:val="28"/>
        </w:rPr>
        <w:t>49,7</w:t>
      </w:r>
      <w:r w:rsidRPr="00F32228">
        <w:rPr>
          <w:rFonts w:ascii="Tahoma" w:hAnsi="Tahoma" w:cs="Tahoma"/>
          <w:bCs/>
          <w:sz w:val="28"/>
          <w:szCs w:val="28"/>
        </w:rPr>
        <w:t>% din programul estimat pe</w:t>
      </w:r>
      <w:r w:rsidR="00DB3A55" w:rsidRPr="00F32228">
        <w:rPr>
          <w:rFonts w:ascii="Tahoma" w:hAnsi="Tahoma" w:cs="Tahoma"/>
          <w:bCs/>
          <w:sz w:val="28"/>
          <w:szCs w:val="28"/>
        </w:rPr>
        <w:t xml:space="preserve"> trimestru</w:t>
      </w:r>
      <w:r w:rsidR="00942AC8" w:rsidRPr="00F32228">
        <w:rPr>
          <w:rFonts w:ascii="Tahoma" w:hAnsi="Tahoma" w:cs="Tahoma"/>
          <w:bCs/>
          <w:sz w:val="28"/>
          <w:szCs w:val="28"/>
        </w:rPr>
        <w:t>l II</w:t>
      </w:r>
      <w:r w:rsidR="00DB3A55" w:rsidRPr="00F32228">
        <w:rPr>
          <w:rFonts w:ascii="Tahoma" w:hAnsi="Tahoma" w:cs="Tahoma"/>
          <w:bCs/>
          <w:sz w:val="28"/>
          <w:szCs w:val="28"/>
        </w:rPr>
        <w:t xml:space="preserve"> a</w:t>
      </w:r>
      <w:r w:rsidR="00942AC8" w:rsidRPr="00F32228">
        <w:rPr>
          <w:rFonts w:ascii="Tahoma" w:hAnsi="Tahoma" w:cs="Tahoma"/>
          <w:bCs/>
          <w:sz w:val="28"/>
          <w:szCs w:val="28"/>
        </w:rPr>
        <w:t>l</w:t>
      </w:r>
      <w:r w:rsidR="00DB3A55" w:rsidRPr="00F32228">
        <w:rPr>
          <w:rFonts w:ascii="Tahoma" w:hAnsi="Tahoma" w:cs="Tahoma"/>
          <w:bCs/>
          <w:sz w:val="28"/>
          <w:szCs w:val="28"/>
        </w:rPr>
        <w:t xml:space="preserve"> anului 2020</w:t>
      </w:r>
      <w:r w:rsidRPr="00F32228">
        <w:rPr>
          <w:rFonts w:ascii="Tahoma" w:hAnsi="Tahoma" w:cs="Tahoma"/>
          <w:bCs/>
          <w:sz w:val="28"/>
          <w:szCs w:val="28"/>
        </w:rPr>
        <w:t>.</w:t>
      </w:r>
    </w:p>
    <w:p w:rsidR="00942AC8" w:rsidRPr="00F32228" w:rsidRDefault="00942AC8" w:rsidP="00942AC8">
      <w:pPr>
        <w:spacing w:before="240"/>
        <w:ind w:firstLine="720"/>
        <w:jc w:val="both"/>
        <w:rPr>
          <w:rFonts w:ascii="Tahoma" w:hAnsi="Tahoma" w:cs="Tahoma"/>
          <w:bCs/>
          <w:sz w:val="28"/>
          <w:szCs w:val="28"/>
        </w:rPr>
      </w:pPr>
      <w:r w:rsidRPr="00F32228">
        <w:rPr>
          <w:rFonts w:ascii="Tahoma" w:hAnsi="Tahoma" w:cs="Tahoma"/>
          <w:bCs/>
          <w:sz w:val="28"/>
          <w:szCs w:val="28"/>
        </w:rPr>
        <w:t>Neefectuarea cheltuielilor programate la nivelul programului trimestrial s-a datorat evoluției acestora la bugetul asigurărilor pentru șomaj unde plățile s-au efectuat la un nivel de 2,4% din totalul programat în perioada analizată.</w:t>
      </w:r>
    </w:p>
    <w:p w:rsidR="00942AC8" w:rsidRPr="00F32228" w:rsidRDefault="00B10206" w:rsidP="00942AC8">
      <w:pPr>
        <w:spacing w:before="240" w:line="276" w:lineRule="auto"/>
        <w:ind w:firstLine="720"/>
        <w:jc w:val="both"/>
        <w:rPr>
          <w:rFonts w:ascii="Tahoma" w:hAnsi="Tahoma" w:cs="Tahoma"/>
          <w:sz w:val="28"/>
          <w:szCs w:val="28"/>
        </w:rPr>
      </w:pPr>
      <w:r w:rsidRPr="00F32228">
        <w:rPr>
          <w:rFonts w:ascii="Tahoma" w:hAnsi="Tahoma" w:cs="Tahoma"/>
          <w:b/>
          <w:bCs/>
          <w:sz w:val="28"/>
          <w:szCs w:val="28"/>
        </w:rPr>
        <w:t xml:space="preserve">Plățile pentru proiectele cu finanțare din fonduri UE </w:t>
      </w:r>
      <w:r w:rsidRPr="00F32228">
        <w:rPr>
          <w:rFonts w:ascii="Tahoma" w:hAnsi="Tahoma" w:cs="Tahoma"/>
          <w:sz w:val="28"/>
          <w:szCs w:val="28"/>
        </w:rPr>
        <w:t>au reprezentat 0,</w:t>
      </w:r>
      <w:r w:rsidR="00942AC8" w:rsidRPr="00F32228">
        <w:rPr>
          <w:rFonts w:ascii="Tahoma" w:hAnsi="Tahoma" w:cs="Tahoma"/>
          <w:sz w:val="28"/>
          <w:szCs w:val="28"/>
        </w:rPr>
        <w:t>5</w:t>
      </w:r>
      <w:r w:rsidRPr="00F32228">
        <w:rPr>
          <w:rFonts w:ascii="Tahoma" w:hAnsi="Tahoma" w:cs="Tahoma"/>
          <w:sz w:val="28"/>
          <w:szCs w:val="28"/>
        </w:rPr>
        <w:t xml:space="preserve">% din PIB </w:t>
      </w:r>
      <w:r w:rsidR="00F32228" w:rsidRPr="00F32228">
        <w:rPr>
          <w:rFonts w:ascii="Tahoma" w:hAnsi="Tahoma" w:cs="Tahoma"/>
          <w:sz w:val="28"/>
          <w:szCs w:val="28"/>
        </w:rPr>
        <w:t>și</w:t>
      </w:r>
      <w:r w:rsidRPr="00F32228">
        <w:rPr>
          <w:rFonts w:ascii="Tahoma" w:hAnsi="Tahoma" w:cs="Tahoma"/>
          <w:sz w:val="28"/>
          <w:szCs w:val="28"/>
        </w:rPr>
        <w:t xml:space="preserve"> s-au efectuat în proporție de </w:t>
      </w:r>
      <w:r w:rsidR="00942AC8" w:rsidRPr="00F32228">
        <w:rPr>
          <w:rFonts w:ascii="Tahoma" w:hAnsi="Tahoma" w:cs="Tahoma"/>
          <w:sz w:val="28"/>
          <w:szCs w:val="28"/>
        </w:rPr>
        <w:t>81,2</w:t>
      </w:r>
      <w:r w:rsidRPr="00F32228">
        <w:rPr>
          <w:rFonts w:ascii="Tahoma" w:hAnsi="Tahoma" w:cs="Tahoma"/>
          <w:sz w:val="28"/>
          <w:szCs w:val="28"/>
        </w:rPr>
        <w:t xml:space="preserve">%, majoritatea plăților realizate fiind pentru proiectele finanțate din cadrul bugetar 2014-2020. </w:t>
      </w:r>
    </w:p>
    <w:p w:rsidR="00942AC8" w:rsidRPr="00F32228" w:rsidRDefault="00B10206" w:rsidP="00512912">
      <w:pPr>
        <w:spacing w:before="240" w:line="276" w:lineRule="auto"/>
        <w:ind w:firstLine="720"/>
        <w:jc w:val="both"/>
        <w:rPr>
          <w:rFonts w:ascii="Tahoma" w:hAnsi="Tahoma" w:cs="Tahoma"/>
          <w:sz w:val="28"/>
          <w:szCs w:val="28"/>
        </w:rPr>
      </w:pPr>
      <w:r w:rsidRPr="00F32228">
        <w:rPr>
          <w:rFonts w:ascii="Tahoma" w:hAnsi="Tahoma" w:cs="Tahoma"/>
          <w:b/>
          <w:sz w:val="28"/>
          <w:szCs w:val="28"/>
        </w:rPr>
        <w:t xml:space="preserve">Cheltuielile de capital </w:t>
      </w:r>
      <w:r w:rsidRPr="00F32228">
        <w:rPr>
          <w:rFonts w:ascii="Tahoma" w:hAnsi="Tahoma" w:cs="Tahoma"/>
          <w:sz w:val="28"/>
          <w:szCs w:val="28"/>
        </w:rPr>
        <w:t>au reprezentat 0,</w:t>
      </w:r>
      <w:r w:rsidR="00942AC8" w:rsidRPr="00F32228">
        <w:rPr>
          <w:rFonts w:ascii="Tahoma" w:hAnsi="Tahoma" w:cs="Tahoma"/>
          <w:sz w:val="28"/>
          <w:szCs w:val="28"/>
        </w:rPr>
        <w:t>6</w:t>
      </w:r>
      <w:r w:rsidRPr="00F32228">
        <w:rPr>
          <w:rFonts w:ascii="Tahoma" w:hAnsi="Tahoma" w:cs="Tahoma"/>
          <w:sz w:val="28"/>
          <w:szCs w:val="28"/>
        </w:rPr>
        <w:t xml:space="preserve">% din PIB și s-au efectuat în proporție de </w:t>
      </w:r>
      <w:r w:rsidR="00942AC8" w:rsidRPr="00F32228">
        <w:rPr>
          <w:rFonts w:ascii="Tahoma" w:hAnsi="Tahoma" w:cs="Tahoma"/>
          <w:sz w:val="28"/>
          <w:szCs w:val="28"/>
        </w:rPr>
        <w:t>76,3</w:t>
      </w:r>
      <w:r w:rsidRPr="00F32228">
        <w:rPr>
          <w:rFonts w:ascii="Tahoma" w:hAnsi="Tahoma" w:cs="Tahoma"/>
          <w:sz w:val="28"/>
          <w:szCs w:val="28"/>
        </w:rPr>
        <w:t>% comparativ cu programul trimestrial.</w:t>
      </w:r>
      <w:r w:rsidR="00BA678C" w:rsidRPr="00F32228">
        <w:rPr>
          <w:rFonts w:ascii="Tahoma" w:hAnsi="Tahoma" w:cs="Tahoma"/>
          <w:sz w:val="28"/>
          <w:szCs w:val="28"/>
        </w:rPr>
        <w:t>Cheltuielile</w:t>
      </w:r>
      <w:r w:rsidR="000D317D" w:rsidRPr="00F32228">
        <w:rPr>
          <w:rFonts w:ascii="Tahoma" w:hAnsi="Tahoma" w:cs="Tahoma"/>
          <w:sz w:val="28"/>
          <w:szCs w:val="28"/>
        </w:rPr>
        <w:t xml:space="preserve"> de ca</w:t>
      </w:r>
      <w:r w:rsidR="00733B62" w:rsidRPr="00F32228">
        <w:rPr>
          <w:rFonts w:ascii="Tahoma" w:hAnsi="Tahoma" w:cs="Tahoma"/>
          <w:sz w:val="28"/>
          <w:szCs w:val="28"/>
        </w:rPr>
        <w:t xml:space="preserve">pital </w:t>
      </w:r>
      <w:r w:rsidR="00942AC8" w:rsidRPr="00F32228">
        <w:rPr>
          <w:rFonts w:ascii="Tahoma" w:hAnsi="Tahoma" w:cs="Tahoma"/>
          <w:sz w:val="28"/>
          <w:szCs w:val="28"/>
        </w:rPr>
        <w:t>au fost cu 31,1% mai mari comparativ cu trimestrul al II-lea al anului 2019.</w:t>
      </w:r>
    </w:p>
    <w:p w:rsidR="00B10206" w:rsidRPr="00F32228" w:rsidRDefault="00B10206" w:rsidP="00512912">
      <w:pPr>
        <w:spacing w:before="240" w:line="276" w:lineRule="auto"/>
        <w:ind w:firstLine="720"/>
        <w:jc w:val="both"/>
        <w:rPr>
          <w:rFonts w:ascii="Tahoma" w:hAnsi="Tahoma" w:cs="Tahoma"/>
          <w:bCs/>
          <w:sz w:val="28"/>
          <w:szCs w:val="28"/>
        </w:rPr>
      </w:pPr>
      <w:r w:rsidRPr="00F32228">
        <w:rPr>
          <w:rFonts w:ascii="Tahoma" w:hAnsi="Tahoma" w:cs="Tahoma"/>
          <w:b/>
          <w:sz w:val="28"/>
          <w:szCs w:val="28"/>
        </w:rPr>
        <w:t>Cheltuielile pentru investiții</w:t>
      </w:r>
      <w:r w:rsidRPr="00F32228">
        <w:rPr>
          <w:rFonts w:ascii="Tahoma" w:hAnsi="Tahoma" w:cs="Tahoma"/>
          <w:sz w:val="28"/>
          <w:szCs w:val="28"/>
        </w:rPr>
        <w:t xml:space="preserve"> (includ cheltuielile de capital, precum </w:t>
      </w:r>
      <w:r w:rsidR="00F32228" w:rsidRPr="00F32228">
        <w:rPr>
          <w:rFonts w:ascii="Tahoma" w:hAnsi="Tahoma" w:cs="Tahoma"/>
          <w:sz w:val="28"/>
          <w:szCs w:val="28"/>
        </w:rPr>
        <w:t>și</w:t>
      </w:r>
      <w:r w:rsidRPr="00F32228">
        <w:rPr>
          <w:rFonts w:ascii="Tahoma" w:hAnsi="Tahoma" w:cs="Tahoma"/>
          <w:sz w:val="28"/>
          <w:szCs w:val="28"/>
        </w:rPr>
        <w:t xml:space="preserve"> cele aferente programelor de dezvoltare finanțate din surse interne </w:t>
      </w:r>
      <w:r w:rsidR="00F32228" w:rsidRPr="00F32228">
        <w:rPr>
          <w:rFonts w:ascii="Tahoma" w:hAnsi="Tahoma" w:cs="Tahoma"/>
          <w:sz w:val="28"/>
          <w:szCs w:val="28"/>
        </w:rPr>
        <w:t>și</w:t>
      </w:r>
      <w:bookmarkStart w:id="0" w:name="_GoBack"/>
      <w:bookmarkEnd w:id="0"/>
      <w:r w:rsidRPr="00F32228">
        <w:rPr>
          <w:rFonts w:ascii="Tahoma" w:hAnsi="Tahoma" w:cs="Tahoma"/>
          <w:sz w:val="28"/>
          <w:szCs w:val="28"/>
        </w:rPr>
        <w:t xml:space="preserve"> externe) în trimestru</w:t>
      </w:r>
      <w:r w:rsidR="001C6114" w:rsidRPr="00F32228">
        <w:rPr>
          <w:rFonts w:ascii="Tahoma" w:hAnsi="Tahoma" w:cs="Tahoma"/>
          <w:sz w:val="28"/>
          <w:szCs w:val="28"/>
        </w:rPr>
        <w:t xml:space="preserve">l al II-lea </w:t>
      </w:r>
      <w:r w:rsidRPr="00F32228">
        <w:rPr>
          <w:rFonts w:ascii="Tahoma" w:hAnsi="Tahoma" w:cs="Tahoma"/>
          <w:sz w:val="28"/>
          <w:szCs w:val="28"/>
        </w:rPr>
        <w:t xml:space="preserve">al anului 2020 au totalizat în termeni nominali </w:t>
      </w:r>
      <w:r w:rsidR="001C6114" w:rsidRPr="00F32228">
        <w:rPr>
          <w:rFonts w:ascii="Tahoma" w:hAnsi="Tahoma" w:cs="Tahoma"/>
          <w:bCs/>
          <w:sz w:val="28"/>
          <w:szCs w:val="28"/>
        </w:rPr>
        <w:t>10,3</w:t>
      </w:r>
      <w:r w:rsidR="003C4703" w:rsidRPr="00F32228">
        <w:rPr>
          <w:rFonts w:ascii="Tahoma" w:hAnsi="Tahoma" w:cs="Tahoma"/>
          <w:bCs/>
          <w:sz w:val="28"/>
          <w:szCs w:val="28"/>
        </w:rPr>
        <w:t xml:space="preserve"> mld.</w:t>
      </w:r>
      <w:r w:rsidRPr="00F32228">
        <w:rPr>
          <w:rFonts w:ascii="Tahoma" w:hAnsi="Tahoma" w:cs="Tahoma"/>
          <w:bCs/>
          <w:sz w:val="28"/>
          <w:szCs w:val="28"/>
        </w:rPr>
        <w:t xml:space="preserve"> lei (0,</w:t>
      </w:r>
      <w:r w:rsidR="001C6114" w:rsidRPr="00F32228">
        <w:rPr>
          <w:rFonts w:ascii="Tahoma" w:hAnsi="Tahoma" w:cs="Tahoma"/>
          <w:bCs/>
          <w:sz w:val="28"/>
          <w:szCs w:val="28"/>
        </w:rPr>
        <w:t>95</w:t>
      </w:r>
      <w:r w:rsidRPr="00F32228">
        <w:rPr>
          <w:rFonts w:ascii="Tahoma" w:hAnsi="Tahoma" w:cs="Tahoma"/>
          <w:bCs/>
          <w:sz w:val="28"/>
          <w:szCs w:val="28"/>
        </w:rPr>
        <w:t xml:space="preserve"> % din PIB). Comparativ cu aceeași perioadă a anului 2019 cheltuielile pentru investiții s-au majorat cu </w:t>
      </w:r>
      <w:r w:rsidR="001C6114" w:rsidRPr="00F32228">
        <w:rPr>
          <w:rFonts w:ascii="Tahoma" w:hAnsi="Tahoma" w:cs="Tahoma"/>
          <w:bCs/>
          <w:sz w:val="28"/>
          <w:szCs w:val="28"/>
        </w:rPr>
        <w:t>37,5</w:t>
      </w:r>
      <w:r w:rsidRPr="00F32228">
        <w:rPr>
          <w:rFonts w:ascii="Tahoma" w:hAnsi="Tahoma" w:cs="Tahoma"/>
          <w:bCs/>
          <w:sz w:val="28"/>
          <w:szCs w:val="28"/>
        </w:rPr>
        <w:t>%, iar ca procent în PIB cu aproximativ 0,</w:t>
      </w:r>
      <w:r w:rsidR="001C6114" w:rsidRPr="00F32228">
        <w:rPr>
          <w:rFonts w:ascii="Tahoma" w:hAnsi="Tahoma" w:cs="Tahoma"/>
          <w:bCs/>
          <w:sz w:val="28"/>
          <w:szCs w:val="28"/>
        </w:rPr>
        <w:t>2</w:t>
      </w:r>
      <w:r w:rsidRPr="00F32228">
        <w:rPr>
          <w:rFonts w:ascii="Tahoma" w:hAnsi="Tahoma" w:cs="Tahoma"/>
          <w:bCs/>
          <w:sz w:val="28"/>
          <w:szCs w:val="28"/>
        </w:rPr>
        <w:t xml:space="preserve"> puncte procentuale. </w:t>
      </w:r>
    </w:p>
    <w:p w:rsidR="00373FDE" w:rsidRPr="00F32228" w:rsidRDefault="00373FDE" w:rsidP="005E607E">
      <w:pPr>
        <w:spacing w:before="240"/>
        <w:ind w:right="6"/>
        <w:jc w:val="both"/>
        <w:rPr>
          <w:rFonts w:ascii="Tahoma" w:hAnsi="Tahoma" w:cs="Tahoma"/>
          <w:bCs/>
          <w:sz w:val="24"/>
          <w:szCs w:val="24"/>
        </w:rPr>
      </w:pPr>
    </w:p>
    <w:p w:rsidR="00373FDE" w:rsidRPr="00F32228" w:rsidRDefault="00373FDE" w:rsidP="00152E04">
      <w:pPr>
        <w:pStyle w:val="ListParagraph"/>
        <w:pageBreakBefore/>
        <w:numPr>
          <w:ilvl w:val="0"/>
          <w:numId w:val="2"/>
        </w:numPr>
        <w:shd w:val="clear" w:color="auto" w:fill="D9D9D9" w:themeFill="background1" w:themeFillShade="D9"/>
        <w:spacing w:after="120" w:line="360" w:lineRule="auto"/>
        <w:ind w:hanging="1080"/>
        <w:rPr>
          <w:rFonts w:ascii="Tahoma" w:hAnsi="Tahoma" w:cs="Tahoma"/>
          <w:b/>
          <w:caps/>
          <w:color w:val="0070C0"/>
          <w:sz w:val="28"/>
          <w:szCs w:val="28"/>
        </w:rPr>
      </w:pPr>
      <w:r w:rsidRPr="00F32228">
        <w:rPr>
          <w:rFonts w:ascii="Tahoma" w:hAnsi="Tahoma" w:cs="Tahoma"/>
          <w:b/>
          <w:caps/>
          <w:color w:val="0070C0"/>
          <w:sz w:val="28"/>
          <w:szCs w:val="28"/>
        </w:rPr>
        <w:lastRenderedPageBreak/>
        <w:t>CONCLUZII</w:t>
      </w:r>
    </w:p>
    <w:p w:rsidR="00415B7E" w:rsidRPr="00F32228" w:rsidRDefault="001C6114" w:rsidP="00152E04">
      <w:pPr>
        <w:spacing w:before="240" w:line="276" w:lineRule="auto"/>
        <w:ind w:firstLine="720"/>
        <w:jc w:val="both"/>
        <w:rPr>
          <w:rFonts w:ascii="Tahoma" w:hAnsi="Tahoma" w:cs="Tahoma"/>
          <w:bCs/>
          <w:sz w:val="28"/>
          <w:szCs w:val="28"/>
        </w:rPr>
      </w:pPr>
      <w:r w:rsidRPr="00F32228">
        <w:rPr>
          <w:rFonts w:ascii="Tahoma" w:hAnsi="Tahoma" w:cs="Tahoma"/>
          <w:bCs/>
          <w:sz w:val="28"/>
          <w:szCs w:val="28"/>
        </w:rPr>
        <w:t xml:space="preserve">Deși în perioada analizată atât veniturile cât și cheltuielile bugetului general consolidat au fost afectate de instituirea stării de urgență și </w:t>
      </w:r>
      <w:r w:rsidR="00512912" w:rsidRPr="00F32228">
        <w:rPr>
          <w:rFonts w:ascii="Tahoma" w:hAnsi="Tahoma" w:cs="Tahoma"/>
          <w:bCs/>
          <w:sz w:val="28"/>
          <w:szCs w:val="28"/>
        </w:rPr>
        <w:t xml:space="preserve">de </w:t>
      </w:r>
      <w:r w:rsidRPr="00F32228">
        <w:rPr>
          <w:rFonts w:ascii="Tahoma" w:hAnsi="Tahoma" w:cs="Tahoma"/>
          <w:bCs/>
          <w:sz w:val="28"/>
          <w:szCs w:val="28"/>
        </w:rPr>
        <w:t xml:space="preserve">alertă </w:t>
      </w:r>
      <w:r w:rsidR="00512912" w:rsidRPr="00F32228">
        <w:rPr>
          <w:rFonts w:ascii="Tahoma" w:hAnsi="Tahoma" w:cs="Tahoma"/>
          <w:bCs/>
          <w:sz w:val="28"/>
          <w:szCs w:val="28"/>
        </w:rPr>
        <w:t xml:space="preserve">pe teritoriul național </w:t>
      </w:r>
      <w:r w:rsidRPr="00F32228">
        <w:rPr>
          <w:rFonts w:ascii="Tahoma" w:hAnsi="Tahoma" w:cs="Tahoma"/>
          <w:bCs/>
          <w:sz w:val="28"/>
          <w:szCs w:val="28"/>
        </w:rPr>
        <w:t xml:space="preserve">și de o serie de măsuri adoptate atât pe partea de venituri cât și pe partea de cheltuieli bugetare de susținere în această perioadă a mediului de afaceri </w:t>
      </w:r>
      <w:r w:rsidR="00646F86" w:rsidRPr="00F32228">
        <w:rPr>
          <w:rFonts w:ascii="Tahoma" w:hAnsi="Tahoma" w:cs="Tahoma"/>
          <w:bCs/>
          <w:sz w:val="28"/>
          <w:szCs w:val="28"/>
        </w:rPr>
        <w:t>și a forței de muncă</w:t>
      </w:r>
      <w:r w:rsidR="00415B7E" w:rsidRPr="00F32228">
        <w:rPr>
          <w:rFonts w:ascii="Tahoma" w:hAnsi="Tahoma" w:cs="Tahoma"/>
          <w:bCs/>
          <w:sz w:val="28"/>
          <w:szCs w:val="28"/>
        </w:rPr>
        <w:t xml:space="preserve">, soldul bugetar </w:t>
      </w:r>
      <w:r w:rsidR="00315666" w:rsidRPr="00F32228">
        <w:rPr>
          <w:rFonts w:ascii="Tahoma" w:hAnsi="Tahoma" w:cs="Tahoma"/>
          <w:bCs/>
          <w:sz w:val="28"/>
          <w:szCs w:val="28"/>
        </w:rPr>
        <w:t>aferent</w:t>
      </w:r>
      <w:r w:rsidRPr="00F32228">
        <w:rPr>
          <w:rFonts w:ascii="Tahoma" w:hAnsi="Tahoma" w:cs="Tahoma"/>
          <w:bCs/>
          <w:sz w:val="28"/>
          <w:szCs w:val="28"/>
        </w:rPr>
        <w:t xml:space="preserve">trimestrului II s-a situat sub ținta stabilită </w:t>
      </w:r>
      <w:r w:rsidR="00646F86" w:rsidRPr="00F32228">
        <w:rPr>
          <w:rFonts w:ascii="Tahoma" w:hAnsi="Tahoma" w:cs="Tahoma"/>
          <w:bCs/>
          <w:sz w:val="28"/>
          <w:szCs w:val="28"/>
        </w:rPr>
        <w:t>cu 6,1 mld. lei.</w:t>
      </w:r>
    </w:p>
    <w:p w:rsidR="005E607E" w:rsidRPr="00F32228" w:rsidRDefault="00512912" w:rsidP="00152E04">
      <w:pPr>
        <w:spacing w:before="240" w:line="276" w:lineRule="auto"/>
        <w:ind w:right="6" w:firstLine="720"/>
        <w:jc w:val="both"/>
        <w:rPr>
          <w:rFonts w:ascii="Tahoma" w:hAnsi="Tahoma" w:cs="Tahoma"/>
          <w:bCs/>
          <w:sz w:val="28"/>
          <w:szCs w:val="28"/>
        </w:rPr>
      </w:pPr>
      <w:r w:rsidRPr="00F32228">
        <w:rPr>
          <w:rFonts w:ascii="Tahoma" w:hAnsi="Tahoma" w:cs="Tahoma"/>
          <w:bCs/>
          <w:sz w:val="28"/>
          <w:szCs w:val="28"/>
        </w:rPr>
        <w:t>N</w:t>
      </w:r>
      <w:r w:rsidR="005E607E" w:rsidRPr="00F32228">
        <w:rPr>
          <w:rFonts w:ascii="Tahoma" w:hAnsi="Tahoma" w:cs="Tahoma"/>
          <w:bCs/>
          <w:sz w:val="28"/>
          <w:szCs w:val="28"/>
        </w:rPr>
        <w:t xml:space="preserve">ivelul încasărilor bugetare </w:t>
      </w:r>
      <w:r w:rsidRPr="00F32228">
        <w:rPr>
          <w:rFonts w:ascii="Tahoma" w:hAnsi="Tahoma" w:cs="Tahoma"/>
          <w:bCs/>
          <w:sz w:val="28"/>
          <w:szCs w:val="28"/>
        </w:rPr>
        <w:t xml:space="preserve">în perioada analizată a fost </w:t>
      </w:r>
      <w:r w:rsidR="005E607E" w:rsidRPr="00F32228">
        <w:rPr>
          <w:rFonts w:ascii="Tahoma" w:hAnsi="Tahoma" w:cs="Tahoma"/>
          <w:bCs/>
          <w:sz w:val="28"/>
          <w:szCs w:val="28"/>
        </w:rPr>
        <w:t>sub cel al programului trimestrial, ca urmare a nerealizării veniturilor programate a fi încasate din economia internă</w:t>
      </w:r>
      <w:r w:rsidR="00415B7E" w:rsidRPr="00F32228">
        <w:rPr>
          <w:rFonts w:ascii="Tahoma" w:hAnsi="Tahoma" w:cs="Tahoma"/>
          <w:bCs/>
          <w:sz w:val="28"/>
          <w:szCs w:val="28"/>
        </w:rPr>
        <w:t>,</w:t>
      </w:r>
      <w:r w:rsidR="005E607E" w:rsidRPr="00F32228">
        <w:rPr>
          <w:rFonts w:ascii="Tahoma" w:hAnsi="Tahoma" w:cs="Tahoma"/>
          <w:bCs/>
          <w:sz w:val="28"/>
          <w:szCs w:val="28"/>
        </w:rPr>
        <w:t xml:space="preserve"> pe fondul instituirii stării de urgentă și adoptării unor măsuri fiscale pentru sprijinirea pieței muncii și a mediului de afaceri, măsuri ce au</w:t>
      </w:r>
      <w:r w:rsidR="00712127" w:rsidRPr="00F32228">
        <w:rPr>
          <w:rFonts w:ascii="Tahoma" w:hAnsi="Tahoma" w:cs="Tahoma"/>
          <w:bCs/>
          <w:sz w:val="28"/>
          <w:szCs w:val="28"/>
        </w:rPr>
        <w:t xml:space="preserve"> pe termen scurt</w:t>
      </w:r>
      <w:r w:rsidR="005E607E" w:rsidRPr="00F32228">
        <w:rPr>
          <w:rFonts w:ascii="Tahoma" w:hAnsi="Tahoma" w:cs="Tahoma"/>
          <w:bCs/>
          <w:sz w:val="28"/>
          <w:szCs w:val="28"/>
        </w:rPr>
        <w:t xml:space="preserve"> un </w:t>
      </w:r>
      <w:r w:rsidR="00315666" w:rsidRPr="00F32228">
        <w:rPr>
          <w:rFonts w:ascii="Tahoma" w:hAnsi="Tahoma" w:cs="Tahoma"/>
          <w:bCs/>
          <w:sz w:val="28"/>
          <w:szCs w:val="28"/>
        </w:rPr>
        <w:t xml:space="preserve">impact </w:t>
      </w:r>
      <w:r w:rsidR="005E607E" w:rsidRPr="00F32228">
        <w:rPr>
          <w:rFonts w:ascii="Tahoma" w:hAnsi="Tahoma" w:cs="Tahoma"/>
          <w:bCs/>
          <w:sz w:val="28"/>
          <w:szCs w:val="28"/>
        </w:rPr>
        <w:t>negativ asupra veniturilor bugetare</w:t>
      </w:r>
      <w:r w:rsidR="00DF30BA" w:rsidRPr="00F32228">
        <w:rPr>
          <w:rFonts w:ascii="Tahoma" w:hAnsi="Tahoma" w:cs="Tahoma"/>
          <w:bCs/>
          <w:sz w:val="28"/>
          <w:szCs w:val="28"/>
        </w:rPr>
        <w:t>,</w:t>
      </w:r>
      <w:r w:rsidR="00521A6E" w:rsidRPr="00F32228">
        <w:rPr>
          <w:rFonts w:ascii="Tahoma" w:hAnsi="Tahoma" w:cs="Tahoma"/>
          <w:bCs/>
          <w:sz w:val="28"/>
          <w:szCs w:val="28"/>
        </w:rPr>
        <w:t xml:space="preserve"> dar și a nerealizării veniturilor pr</w:t>
      </w:r>
      <w:r w:rsidR="00152E04" w:rsidRPr="00F32228">
        <w:rPr>
          <w:rFonts w:ascii="Tahoma" w:hAnsi="Tahoma" w:cs="Tahoma"/>
          <w:bCs/>
          <w:sz w:val="28"/>
          <w:szCs w:val="28"/>
        </w:rPr>
        <w:t>ogramate a se încasa din</w:t>
      </w:r>
      <w:r w:rsidR="00521A6E" w:rsidRPr="00F32228">
        <w:rPr>
          <w:rFonts w:ascii="Tahoma" w:hAnsi="Tahoma" w:cs="Tahoma"/>
          <w:bCs/>
          <w:sz w:val="28"/>
          <w:szCs w:val="28"/>
        </w:rPr>
        <w:t xml:space="preserve"> fonduri externe nerambursabile</w:t>
      </w:r>
      <w:r w:rsidR="005E607E" w:rsidRPr="00F32228">
        <w:rPr>
          <w:rFonts w:ascii="Tahoma" w:hAnsi="Tahoma" w:cs="Tahoma"/>
          <w:bCs/>
          <w:sz w:val="28"/>
          <w:szCs w:val="28"/>
        </w:rPr>
        <w:t xml:space="preserve">. </w:t>
      </w:r>
    </w:p>
    <w:p w:rsidR="005E607E" w:rsidRPr="00F32228" w:rsidRDefault="005E607E" w:rsidP="00152E04">
      <w:pPr>
        <w:spacing w:before="240" w:line="276" w:lineRule="auto"/>
        <w:ind w:right="6" w:firstLine="720"/>
        <w:jc w:val="both"/>
        <w:rPr>
          <w:rFonts w:ascii="Tahoma" w:hAnsi="Tahoma" w:cs="Tahoma"/>
          <w:bCs/>
          <w:sz w:val="28"/>
          <w:szCs w:val="28"/>
        </w:rPr>
      </w:pPr>
      <w:r w:rsidRPr="00F32228">
        <w:rPr>
          <w:rFonts w:ascii="Tahoma" w:hAnsi="Tahoma" w:cs="Tahoma"/>
          <w:bCs/>
          <w:sz w:val="28"/>
          <w:szCs w:val="28"/>
        </w:rPr>
        <w:t xml:space="preserve">Cheltuielile bugetare efectuate în </w:t>
      </w:r>
      <w:r w:rsidR="00521A6E" w:rsidRPr="00F32228">
        <w:rPr>
          <w:rFonts w:ascii="Tahoma" w:hAnsi="Tahoma" w:cs="Tahoma"/>
          <w:bCs/>
          <w:sz w:val="28"/>
          <w:szCs w:val="28"/>
        </w:rPr>
        <w:t>al doilea trimestru al anului 2020</w:t>
      </w:r>
      <w:r w:rsidRPr="00F32228">
        <w:rPr>
          <w:rFonts w:ascii="Tahoma" w:hAnsi="Tahoma" w:cs="Tahoma"/>
          <w:bCs/>
          <w:sz w:val="28"/>
          <w:szCs w:val="28"/>
        </w:rPr>
        <w:t xml:space="preserve"> s-au situat sub nivelul programat în cazul </w:t>
      </w:r>
      <w:r w:rsidR="00521A6E" w:rsidRPr="00F32228">
        <w:rPr>
          <w:rFonts w:ascii="Tahoma" w:hAnsi="Tahoma" w:cs="Tahoma"/>
          <w:bCs/>
          <w:sz w:val="28"/>
          <w:szCs w:val="28"/>
        </w:rPr>
        <w:t xml:space="preserve">tuturor </w:t>
      </w:r>
      <w:r w:rsidRPr="00F32228">
        <w:rPr>
          <w:rFonts w:ascii="Tahoma" w:hAnsi="Tahoma" w:cs="Tahoma"/>
          <w:bCs/>
          <w:sz w:val="28"/>
          <w:szCs w:val="28"/>
        </w:rPr>
        <w:t>titlurilor de cheltuieli</w:t>
      </w:r>
      <w:r w:rsidR="00DF30BA" w:rsidRPr="00F32228">
        <w:rPr>
          <w:rFonts w:ascii="Tahoma" w:hAnsi="Tahoma" w:cs="Tahoma"/>
          <w:bCs/>
          <w:sz w:val="28"/>
          <w:szCs w:val="28"/>
        </w:rPr>
        <w:t>,</w:t>
      </w:r>
      <w:r w:rsidR="00521A6E" w:rsidRPr="00F32228">
        <w:rPr>
          <w:rFonts w:ascii="Tahoma" w:hAnsi="Tahoma" w:cs="Tahoma"/>
          <w:bCs/>
          <w:sz w:val="28"/>
          <w:szCs w:val="28"/>
        </w:rPr>
        <w:t>deși în această perioadă acestea au crescut cu 14,4 % comparativ cu trimestrul II 2019 ca urmare a</w:t>
      </w:r>
      <w:r w:rsidR="004746C8" w:rsidRPr="00F32228">
        <w:rPr>
          <w:rFonts w:ascii="Tahoma" w:hAnsi="Tahoma" w:cs="Tahoma"/>
          <w:bCs/>
          <w:sz w:val="28"/>
          <w:szCs w:val="28"/>
        </w:rPr>
        <w:t xml:space="preserve"> plăților </w:t>
      </w:r>
      <w:r w:rsidR="004746C8" w:rsidRPr="00F32228">
        <w:rPr>
          <w:rFonts w:ascii="Tahoma" w:hAnsi="Tahoma" w:cs="Tahoma"/>
          <w:sz w:val="28"/>
          <w:szCs w:val="28"/>
        </w:rPr>
        <w:t>cu caracter excepțional generate de epidemia COVID-19</w:t>
      </w:r>
      <w:r w:rsidR="004746C8" w:rsidRPr="00F32228">
        <w:rPr>
          <w:rFonts w:ascii="Tahoma" w:hAnsi="Tahoma" w:cs="Tahoma"/>
          <w:bCs/>
          <w:sz w:val="28"/>
          <w:szCs w:val="28"/>
        </w:rPr>
        <w:t>și a creșterii cheltuielilor pentru investiții.</w:t>
      </w:r>
    </w:p>
    <w:p w:rsidR="004746C8" w:rsidRPr="00F32228" w:rsidRDefault="005E607E" w:rsidP="00152E04">
      <w:pPr>
        <w:spacing w:before="240" w:line="276" w:lineRule="auto"/>
        <w:ind w:right="6" w:firstLine="720"/>
        <w:jc w:val="both"/>
        <w:rPr>
          <w:rFonts w:ascii="Tahoma" w:hAnsi="Tahoma" w:cs="Tahoma"/>
          <w:bCs/>
          <w:sz w:val="28"/>
          <w:szCs w:val="28"/>
        </w:rPr>
      </w:pPr>
      <w:r w:rsidRPr="00F32228">
        <w:rPr>
          <w:rFonts w:ascii="Tahoma" w:hAnsi="Tahoma" w:cs="Tahoma"/>
          <w:bCs/>
          <w:sz w:val="28"/>
          <w:szCs w:val="28"/>
        </w:rPr>
        <w:t xml:space="preserve">Este de așteptat ca în perioada imediat următoare presiunea pe cheltuielile bugetare să </w:t>
      </w:r>
      <w:r w:rsidR="004746C8" w:rsidRPr="00F32228">
        <w:rPr>
          <w:rFonts w:ascii="Tahoma" w:hAnsi="Tahoma" w:cs="Tahoma"/>
          <w:bCs/>
          <w:sz w:val="28"/>
          <w:szCs w:val="28"/>
        </w:rPr>
        <w:t xml:space="preserve">rămână accentuată în condițiile în care pandemia generată de noul coronavirus nu se află </w:t>
      </w:r>
      <w:r w:rsidR="00152E04" w:rsidRPr="00F32228">
        <w:rPr>
          <w:rFonts w:ascii="Tahoma" w:hAnsi="Tahoma" w:cs="Tahoma"/>
          <w:bCs/>
          <w:sz w:val="28"/>
          <w:szCs w:val="28"/>
        </w:rPr>
        <w:t>î</w:t>
      </w:r>
      <w:r w:rsidR="004746C8" w:rsidRPr="00F32228">
        <w:rPr>
          <w:rFonts w:ascii="Tahoma" w:hAnsi="Tahoma" w:cs="Tahoma"/>
          <w:bCs/>
          <w:sz w:val="28"/>
          <w:szCs w:val="28"/>
        </w:rPr>
        <w:t>ntr-o perioadă de regres</w:t>
      </w:r>
      <w:r w:rsidR="00DF30BA" w:rsidRPr="00F32228">
        <w:rPr>
          <w:rFonts w:ascii="Tahoma" w:hAnsi="Tahoma" w:cs="Tahoma"/>
          <w:bCs/>
          <w:sz w:val="28"/>
          <w:szCs w:val="28"/>
        </w:rPr>
        <w:t>,</w:t>
      </w:r>
      <w:r w:rsidR="004746C8" w:rsidRPr="00F32228">
        <w:rPr>
          <w:rFonts w:ascii="Tahoma" w:hAnsi="Tahoma" w:cs="Tahoma"/>
          <w:bCs/>
          <w:sz w:val="28"/>
          <w:szCs w:val="28"/>
        </w:rPr>
        <w:t xml:space="preserve"> iar pentru perioada următoare trebuie </w:t>
      </w:r>
      <w:r w:rsidR="00152E04" w:rsidRPr="00F32228">
        <w:rPr>
          <w:rFonts w:ascii="Tahoma" w:hAnsi="Tahoma" w:cs="Tahoma"/>
          <w:bCs/>
          <w:sz w:val="28"/>
          <w:szCs w:val="28"/>
        </w:rPr>
        <w:t>puse în aplicare</w:t>
      </w:r>
      <w:r w:rsidR="004746C8" w:rsidRPr="00F32228">
        <w:rPr>
          <w:rFonts w:ascii="Tahoma" w:hAnsi="Tahoma" w:cs="Tahoma"/>
          <w:bCs/>
          <w:sz w:val="28"/>
          <w:szCs w:val="28"/>
        </w:rPr>
        <w:t xml:space="preserve"> o serie de măsuri legislative cu impact direct asupra cheltuielilor bugetare.</w:t>
      </w:r>
    </w:p>
    <w:p w:rsidR="005E607E" w:rsidRPr="00F32228" w:rsidRDefault="00415B7E" w:rsidP="00152E04">
      <w:pPr>
        <w:spacing w:before="240" w:line="276" w:lineRule="auto"/>
        <w:ind w:right="6" w:firstLine="720"/>
        <w:jc w:val="both"/>
        <w:rPr>
          <w:rFonts w:ascii="Tahoma" w:hAnsi="Tahoma" w:cs="Tahoma"/>
          <w:bCs/>
          <w:sz w:val="28"/>
          <w:szCs w:val="28"/>
        </w:rPr>
      </w:pPr>
      <w:r w:rsidRPr="00F32228">
        <w:rPr>
          <w:rFonts w:ascii="Tahoma" w:hAnsi="Tahoma" w:cs="Tahoma"/>
          <w:bCs/>
          <w:sz w:val="28"/>
          <w:szCs w:val="28"/>
        </w:rPr>
        <w:t>În aceste condiții</w:t>
      </w:r>
      <w:r w:rsidR="005E607E" w:rsidRPr="00F32228">
        <w:rPr>
          <w:rFonts w:ascii="Tahoma" w:hAnsi="Tahoma" w:cs="Tahoma"/>
          <w:bCs/>
          <w:sz w:val="28"/>
          <w:szCs w:val="28"/>
        </w:rPr>
        <w:t xml:space="preserve">, pentru a nu afecta </w:t>
      </w:r>
      <w:r w:rsidR="00315666" w:rsidRPr="00F32228">
        <w:rPr>
          <w:rFonts w:ascii="Tahoma" w:hAnsi="Tahoma" w:cs="Tahoma"/>
          <w:bCs/>
          <w:sz w:val="28"/>
          <w:szCs w:val="28"/>
        </w:rPr>
        <w:t xml:space="preserve">semnificativ </w:t>
      </w:r>
      <w:r w:rsidR="005E607E" w:rsidRPr="00F32228">
        <w:rPr>
          <w:rFonts w:ascii="Tahoma" w:hAnsi="Tahoma" w:cs="Tahoma"/>
          <w:bCs/>
          <w:sz w:val="28"/>
          <w:szCs w:val="28"/>
        </w:rPr>
        <w:t xml:space="preserve">soldul bugetar anual la nivelul ordonatorilor principali de credite, ar trebui să se efectueze o analiză cât mai riguroasă a cheltuielilor pentru următoarele trimestre. </w:t>
      </w:r>
    </w:p>
    <w:p w:rsidR="0043013B" w:rsidRPr="00F32228" w:rsidRDefault="00315666" w:rsidP="00152E04">
      <w:pPr>
        <w:spacing w:before="240" w:line="276" w:lineRule="auto"/>
        <w:ind w:right="6" w:firstLine="720"/>
        <w:jc w:val="both"/>
        <w:rPr>
          <w:rFonts w:ascii="Tahoma" w:hAnsi="Tahoma" w:cs="Tahoma"/>
          <w:sz w:val="28"/>
          <w:szCs w:val="28"/>
        </w:rPr>
      </w:pPr>
      <w:r w:rsidRPr="00F32228">
        <w:rPr>
          <w:rFonts w:ascii="Tahoma" w:hAnsi="Tahoma" w:cs="Tahoma"/>
          <w:bCs/>
          <w:sz w:val="28"/>
          <w:szCs w:val="28"/>
        </w:rPr>
        <w:lastRenderedPageBreak/>
        <w:t>Totodată, î</w:t>
      </w:r>
      <w:r w:rsidR="005E607E" w:rsidRPr="00F32228">
        <w:rPr>
          <w:rFonts w:ascii="Tahoma" w:hAnsi="Tahoma" w:cs="Tahoma"/>
          <w:bCs/>
          <w:sz w:val="28"/>
          <w:szCs w:val="28"/>
        </w:rPr>
        <w:t xml:space="preserve">n </w:t>
      </w:r>
      <w:r w:rsidR="00415B7E" w:rsidRPr="00F32228">
        <w:rPr>
          <w:rFonts w:ascii="Tahoma" w:hAnsi="Tahoma" w:cs="Tahoma"/>
          <w:bCs/>
          <w:sz w:val="28"/>
          <w:szCs w:val="28"/>
        </w:rPr>
        <w:t>privința</w:t>
      </w:r>
      <w:r w:rsidR="007369A7">
        <w:rPr>
          <w:rFonts w:ascii="Tahoma" w:hAnsi="Tahoma" w:cs="Tahoma"/>
          <w:bCs/>
          <w:sz w:val="28"/>
          <w:szCs w:val="28"/>
        </w:rPr>
        <w:t xml:space="preserve"> </w:t>
      </w:r>
      <w:r w:rsidR="00415B7E" w:rsidRPr="00F32228">
        <w:rPr>
          <w:rFonts w:ascii="Tahoma" w:hAnsi="Tahoma" w:cs="Tahoma"/>
          <w:bCs/>
          <w:sz w:val="28"/>
          <w:szCs w:val="28"/>
        </w:rPr>
        <w:t>venituril</w:t>
      </w:r>
      <w:r w:rsidR="00152E04" w:rsidRPr="00F32228">
        <w:rPr>
          <w:rFonts w:ascii="Tahoma" w:hAnsi="Tahoma" w:cs="Tahoma"/>
          <w:bCs/>
          <w:sz w:val="28"/>
          <w:szCs w:val="28"/>
        </w:rPr>
        <w:t>or</w:t>
      </w:r>
      <w:r w:rsidR="007369A7">
        <w:rPr>
          <w:rFonts w:ascii="Tahoma" w:hAnsi="Tahoma" w:cs="Tahoma"/>
          <w:bCs/>
          <w:sz w:val="28"/>
          <w:szCs w:val="28"/>
        </w:rPr>
        <w:t xml:space="preserve"> </w:t>
      </w:r>
      <w:r w:rsidR="005E607E" w:rsidRPr="00F32228">
        <w:rPr>
          <w:rFonts w:ascii="Tahoma" w:hAnsi="Tahoma" w:cs="Tahoma"/>
          <w:bCs/>
          <w:sz w:val="28"/>
          <w:szCs w:val="28"/>
        </w:rPr>
        <w:t xml:space="preserve">bugetare, </w:t>
      </w:r>
      <w:r w:rsidR="00415B7E" w:rsidRPr="00F32228">
        <w:rPr>
          <w:rFonts w:ascii="Tahoma" w:hAnsi="Tahoma" w:cs="Tahoma"/>
          <w:bCs/>
          <w:sz w:val="28"/>
          <w:szCs w:val="28"/>
        </w:rPr>
        <w:t xml:space="preserve">se recomandă </w:t>
      </w:r>
      <w:r w:rsidR="005E607E" w:rsidRPr="00F32228">
        <w:rPr>
          <w:rFonts w:ascii="Tahoma" w:hAnsi="Tahoma" w:cs="Tahoma"/>
          <w:bCs/>
          <w:sz w:val="28"/>
          <w:szCs w:val="28"/>
        </w:rPr>
        <w:t>intensifica</w:t>
      </w:r>
      <w:r w:rsidR="00415B7E" w:rsidRPr="00F32228">
        <w:rPr>
          <w:rFonts w:ascii="Tahoma" w:hAnsi="Tahoma" w:cs="Tahoma"/>
          <w:bCs/>
          <w:sz w:val="28"/>
          <w:szCs w:val="28"/>
        </w:rPr>
        <w:t>rea</w:t>
      </w:r>
      <w:r w:rsidR="005E607E" w:rsidRPr="00F32228">
        <w:rPr>
          <w:rFonts w:ascii="Tahoma" w:hAnsi="Tahoma" w:cs="Tahoma"/>
          <w:bCs/>
          <w:sz w:val="28"/>
          <w:szCs w:val="28"/>
        </w:rPr>
        <w:t xml:space="preserve"> eforturile de absorbție a fondurilor europene</w:t>
      </w:r>
      <w:r w:rsidR="00DF30BA" w:rsidRPr="00F32228">
        <w:rPr>
          <w:rFonts w:ascii="Tahoma" w:hAnsi="Tahoma" w:cs="Tahoma"/>
          <w:bCs/>
          <w:sz w:val="28"/>
          <w:szCs w:val="28"/>
        </w:rPr>
        <w:t>,</w:t>
      </w:r>
      <w:r w:rsidR="005E607E" w:rsidRPr="00F32228">
        <w:rPr>
          <w:rFonts w:ascii="Tahoma" w:hAnsi="Tahoma" w:cs="Tahoma"/>
          <w:bCs/>
          <w:sz w:val="28"/>
          <w:szCs w:val="28"/>
        </w:rPr>
        <w:t xml:space="preserve"> concomitent cu eforturilor de îmbunătățire a colectării în următoarele trimestre.</w:t>
      </w:r>
    </w:p>
    <w:sectPr w:rsidR="0043013B" w:rsidRPr="00F32228" w:rsidSect="005E607E">
      <w:footerReference w:type="default" r:id="rId12"/>
      <w:pgSz w:w="12240" w:h="15840"/>
      <w:pgMar w:top="1166" w:right="1253" w:bottom="1440" w:left="1166" w:header="720" w:footer="5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A4E" w:rsidRDefault="00425A4E" w:rsidP="006704C5">
      <w:pPr>
        <w:spacing w:after="0" w:line="240" w:lineRule="auto"/>
      </w:pPr>
      <w:r>
        <w:separator/>
      </w:r>
    </w:p>
  </w:endnote>
  <w:endnote w:type="continuationSeparator" w:id="1">
    <w:p w:rsidR="00425A4E" w:rsidRDefault="00425A4E" w:rsidP="00670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8714"/>
      <w:gridCol w:w="1337"/>
    </w:tblGrid>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trHeight w:hRule="exact" w:val="115"/>
        <w:jc w:val="center"/>
      </w:trPr>
      <w:tc>
        <w:tcPr>
          <w:tcW w:w="8505" w:type="dxa"/>
          <w:shd w:val="clear" w:color="auto" w:fill="5B9BD5" w:themeFill="accent1"/>
          <w:tcMar>
            <w:top w:w="0" w:type="dxa"/>
            <w:bottom w:w="0" w:type="dxa"/>
          </w:tcMar>
        </w:tcPr>
        <w:p w:rsidR="0090217B" w:rsidRDefault="0090217B" w:rsidP="005E607E">
          <w:pPr>
            <w:pStyle w:val="Header"/>
            <w:tabs>
              <w:tab w:val="clear" w:pos="4680"/>
              <w:tab w:val="clear" w:pos="9360"/>
            </w:tabs>
            <w:rPr>
              <w:caps/>
              <w:sz w:val="18"/>
            </w:rPr>
          </w:pPr>
        </w:p>
      </w:tc>
      <w:tc>
        <w:tcPr>
          <w:tcW w:w="1305" w:type="dxa"/>
          <w:shd w:val="clear" w:color="auto" w:fill="5B9BD5" w:themeFill="accent1"/>
          <w:tcMar>
            <w:top w:w="0" w:type="dxa"/>
            <w:bottom w:w="0" w:type="dxa"/>
          </w:tcMar>
        </w:tcPr>
        <w:p w:rsidR="0090217B" w:rsidRDefault="0090217B" w:rsidP="005E607E">
          <w:pPr>
            <w:pStyle w:val="Header"/>
            <w:tabs>
              <w:tab w:val="clear" w:pos="4680"/>
              <w:tab w:val="clear" w:pos="9360"/>
            </w:tabs>
            <w:jc w:val="right"/>
            <w:rPr>
              <w:caps/>
              <w:sz w:val="18"/>
            </w:rPr>
          </w:pPr>
        </w:p>
      </w:tc>
    </w:tr>
    <w:tr w:rsidR="0090217B" w:rsidTr="0090217B">
      <w:trPr>
        <w:jc w:val="center"/>
      </w:trPr>
      <w:sdt>
        <w:sdtPr>
          <w:rPr>
            <w:rFonts w:ascii="Tahoma" w:hAnsi="Tahoma" w:cs="Tahoma"/>
            <w:caps/>
            <w:color w:val="808080" w:themeColor="background1" w:themeShade="80"/>
            <w:sz w:val="18"/>
            <w:szCs w:val="18"/>
          </w:rPr>
          <w:alias w:val="Author"/>
          <w:tag w:val=""/>
          <w:id w:val="1892612453"/>
          <w:placeholder>
            <w:docPart w:val="6BF091545DF5430EA6AAEAE65AB5A483"/>
          </w:placeholder>
          <w:dataBinding w:prefixMappings="xmlns:ns0='http://purl.org/dc/elements/1.1/' xmlns:ns1='http://schemas.openxmlformats.org/package/2006/metadata/core-properties' " w:xpath="/ns1:coreProperties[1]/ns0:creator[1]" w:storeItemID="{6C3C8BC8-F283-45AE-878A-BAB7291924A1}"/>
          <w:text/>
        </w:sdtPr>
        <w:sdtContent>
          <w:tc>
            <w:tcPr>
              <w:tcW w:w="8505" w:type="dxa"/>
              <w:shd w:val="clear" w:color="auto" w:fill="auto"/>
              <w:vAlign w:val="center"/>
            </w:tcPr>
            <w:p w:rsidR="0090217B" w:rsidRPr="00CA4A92" w:rsidRDefault="0090217B" w:rsidP="008761BB">
              <w:pPr>
                <w:pStyle w:val="Footer"/>
                <w:tabs>
                  <w:tab w:val="clear" w:pos="4680"/>
                  <w:tab w:val="clear" w:pos="9360"/>
                </w:tabs>
                <w:rPr>
                  <w:rFonts w:ascii="Tahoma" w:hAnsi="Tahoma" w:cs="Tahoma"/>
                  <w:caps/>
                  <w:color w:val="808080" w:themeColor="background1" w:themeShade="80"/>
                  <w:sz w:val="18"/>
                  <w:szCs w:val="18"/>
                </w:rPr>
              </w:pPr>
              <w:r>
                <w:rPr>
                  <w:rFonts w:ascii="Tahoma" w:hAnsi="Tahoma" w:cs="Tahoma"/>
                  <w:caps/>
                  <w:color w:val="808080" w:themeColor="background1" w:themeShade="80"/>
                  <w:sz w:val="18"/>
                  <w:szCs w:val="18"/>
                </w:rPr>
                <w:t xml:space="preserve">RAPORT PRIVIND EXECUȚIA BUGETARĂ PE </w:t>
              </w:r>
              <w:r w:rsidR="008761BB">
                <w:rPr>
                  <w:rFonts w:ascii="Tahoma" w:hAnsi="Tahoma" w:cs="Tahoma"/>
                  <w:caps/>
                  <w:color w:val="808080" w:themeColor="background1" w:themeShade="80"/>
                  <w:sz w:val="18"/>
                  <w:szCs w:val="18"/>
                </w:rPr>
                <w:t xml:space="preserve">TRIMESTRUL AL ii-LEA </w:t>
              </w:r>
              <w:r>
                <w:rPr>
                  <w:rFonts w:ascii="Tahoma" w:hAnsi="Tahoma" w:cs="Tahoma"/>
                  <w:caps/>
                  <w:color w:val="808080" w:themeColor="background1" w:themeShade="80"/>
                  <w:sz w:val="18"/>
                  <w:szCs w:val="18"/>
                </w:rPr>
                <w:t>AL ANULUI 2020</w:t>
              </w:r>
            </w:p>
          </w:tc>
        </w:sdtContent>
      </w:sdt>
      <w:tc>
        <w:tcPr>
          <w:tcW w:w="1305" w:type="dxa"/>
          <w:shd w:val="clear" w:color="auto" w:fill="auto"/>
          <w:vAlign w:val="center"/>
        </w:tcPr>
        <w:p w:rsidR="0090217B" w:rsidRPr="00CA4A92" w:rsidRDefault="00681401" w:rsidP="005E607E">
          <w:pPr>
            <w:pStyle w:val="Footer"/>
            <w:tabs>
              <w:tab w:val="clear" w:pos="4680"/>
              <w:tab w:val="clear" w:pos="9360"/>
            </w:tabs>
            <w:jc w:val="right"/>
            <w:rPr>
              <w:rFonts w:ascii="Tahoma" w:hAnsi="Tahoma" w:cs="Tahoma"/>
              <w:caps/>
              <w:color w:val="808080" w:themeColor="background1" w:themeShade="80"/>
              <w:sz w:val="18"/>
              <w:szCs w:val="18"/>
            </w:rPr>
          </w:pPr>
          <w:r w:rsidRPr="00CA4A92">
            <w:rPr>
              <w:rFonts w:ascii="Tahoma" w:hAnsi="Tahoma" w:cs="Tahoma"/>
              <w:caps/>
              <w:color w:val="808080" w:themeColor="background1" w:themeShade="80"/>
              <w:sz w:val="18"/>
              <w:szCs w:val="18"/>
            </w:rPr>
            <w:fldChar w:fldCharType="begin"/>
          </w:r>
          <w:r w:rsidR="0090217B" w:rsidRPr="00CA4A92">
            <w:rPr>
              <w:rFonts w:ascii="Tahoma" w:hAnsi="Tahoma" w:cs="Tahoma"/>
              <w:caps/>
              <w:color w:val="808080" w:themeColor="background1" w:themeShade="80"/>
              <w:sz w:val="18"/>
              <w:szCs w:val="18"/>
            </w:rPr>
            <w:instrText xml:space="preserve"> PAGE   \* MERGEFORMAT </w:instrText>
          </w:r>
          <w:r w:rsidRPr="00CA4A92">
            <w:rPr>
              <w:rFonts w:ascii="Tahoma" w:hAnsi="Tahoma" w:cs="Tahoma"/>
              <w:caps/>
              <w:color w:val="808080" w:themeColor="background1" w:themeShade="80"/>
              <w:sz w:val="18"/>
              <w:szCs w:val="18"/>
            </w:rPr>
            <w:fldChar w:fldCharType="separate"/>
          </w:r>
          <w:r w:rsidR="007369A7">
            <w:rPr>
              <w:rFonts w:ascii="Tahoma" w:hAnsi="Tahoma" w:cs="Tahoma"/>
              <w:caps/>
              <w:noProof/>
              <w:color w:val="808080" w:themeColor="background1" w:themeShade="80"/>
              <w:sz w:val="18"/>
              <w:szCs w:val="18"/>
            </w:rPr>
            <w:t>13</w:t>
          </w:r>
          <w:r w:rsidRPr="00CA4A92">
            <w:rPr>
              <w:rFonts w:ascii="Tahoma" w:hAnsi="Tahoma" w:cs="Tahoma"/>
              <w:caps/>
              <w:noProof/>
              <w:color w:val="808080" w:themeColor="background1" w:themeShade="80"/>
              <w:sz w:val="18"/>
              <w:szCs w:val="18"/>
            </w:rPr>
            <w:fldChar w:fldCharType="end"/>
          </w:r>
        </w:p>
      </w:tc>
    </w:tr>
  </w:tbl>
  <w:p w:rsidR="0090217B" w:rsidRDefault="0090217B" w:rsidP="005E607E">
    <w:pPr>
      <w:pStyle w:val="Footer"/>
    </w:pPr>
  </w:p>
  <w:p w:rsidR="0090217B" w:rsidRDefault="00902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A4E" w:rsidRDefault="00425A4E" w:rsidP="006704C5">
      <w:pPr>
        <w:spacing w:after="0" w:line="240" w:lineRule="auto"/>
      </w:pPr>
      <w:r>
        <w:separator/>
      </w:r>
    </w:p>
  </w:footnote>
  <w:footnote w:type="continuationSeparator" w:id="1">
    <w:p w:rsidR="00425A4E" w:rsidRDefault="00425A4E" w:rsidP="006704C5">
      <w:pPr>
        <w:spacing w:after="0" w:line="240" w:lineRule="auto"/>
      </w:pPr>
      <w:r>
        <w:continuationSeparator/>
      </w:r>
    </w:p>
  </w:footnote>
  <w:footnote w:id="2">
    <w:p w:rsidR="00EE29D6" w:rsidRPr="00373877" w:rsidRDefault="00EE29D6" w:rsidP="00EE29D6">
      <w:pPr>
        <w:pStyle w:val="FootnoteText"/>
        <w:jc w:val="both"/>
      </w:pPr>
      <w:r w:rsidRPr="00373877">
        <w:rPr>
          <w:rStyle w:val="FootnoteReference"/>
        </w:rPr>
        <w:footnoteRef/>
      </w:r>
      <w:r w:rsidRPr="00373877">
        <w:t xml:space="preserve"> Impozit pe profit de la </w:t>
      </w:r>
      <w:r w:rsidR="00F32228" w:rsidRPr="00373877">
        <w:t>agenții</w:t>
      </w:r>
      <w:r w:rsidRPr="00373877">
        <w:t xml:space="preserve"> economici reprezintă </w:t>
      </w:r>
      <w:r>
        <w:t>94,5</w:t>
      </w:r>
      <w:r w:rsidRPr="00373877">
        <w:t xml:space="preserve">% din totalul </w:t>
      </w:r>
      <w:r w:rsidR="00F32228" w:rsidRPr="00373877">
        <w:t>încasărilor</w:t>
      </w:r>
      <w:r w:rsidRPr="00373877">
        <w:t xml:space="preserve"> din impozitul pe profit</w:t>
      </w:r>
    </w:p>
  </w:footnote>
  <w:footnote w:id="3">
    <w:p w:rsidR="00EE29D6" w:rsidRPr="00373877" w:rsidRDefault="00EE29D6" w:rsidP="00EE29D6">
      <w:pPr>
        <w:pStyle w:val="FootnoteText"/>
        <w:jc w:val="both"/>
      </w:pPr>
      <w:r w:rsidRPr="00373877">
        <w:rPr>
          <w:rStyle w:val="FootnoteReference"/>
        </w:rPr>
        <w:footnoteRef/>
      </w:r>
      <w:r w:rsidRPr="00373877">
        <w:t xml:space="preserve">Impozit pe profit de la </w:t>
      </w:r>
      <w:r w:rsidR="00F32228" w:rsidRPr="00373877">
        <w:t>băncile</w:t>
      </w:r>
      <w:r w:rsidRPr="00373877">
        <w:t xml:space="preserve"> comerciale reprezintă </w:t>
      </w:r>
      <w:r>
        <w:t>5,5</w:t>
      </w:r>
      <w:r w:rsidRPr="00373877">
        <w:t xml:space="preserve">% din totalul </w:t>
      </w:r>
      <w:r w:rsidR="00F32228" w:rsidRPr="00373877">
        <w:t>încasărilor</w:t>
      </w:r>
      <w:r w:rsidRPr="00373877">
        <w:t xml:space="preserve"> din impozitul pe profit</w:t>
      </w:r>
    </w:p>
  </w:footnote>
  <w:footnote w:id="4">
    <w:p w:rsidR="00EE29D6" w:rsidRPr="0029019F" w:rsidRDefault="00EE29D6" w:rsidP="00EE29D6">
      <w:pPr>
        <w:pStyle w:val="FootnoteText"/>
      </w:pPr>
      <w:r>
        <w:rPr>
          <w:rStyle w:val="FootnoteReference"/>
        </w:rPr>
        <w:footnoteRef/>
      </w:r>
      <w:r w:rsidR="00F32228" w:rsidRPr="0029019F">
        <w:t>Hotărâre</w:t>
      </w:r>
      <w:r w:rsidRPr="0029019F">
        <w:t xml:space="preserve"> CA a BNR pe problem</w:t>
      </w:r>
      <w:r>
        <w:t>e</w:t>
      </w:r>
      <w:r w:rsidRPr="0029019F">
        <w:t xml:space="preserve"> de politica monetara</w:t>
      </w:r>
      <w:r>
        <w:t>, comunicat de presa 20.03.2020</w:t>
      </w:r>
    </w:p>
  </w:footnote>
  <w:footnote w:id="5">
    <w:p w:rsidR="00EE29D6" w:rsidRPr="0029019F" w:rsidRDefault="00EE29D6" w:rsidP="00EE29D6">
      <w:pPr>
        <w:pStyle w:val="FootnoteText"/>
      </w:pPr>
      <w:r>
        <w:rPr>
          <w:rStyle w:val="FootnoteReference"/>
        </w:rPr>
        <w:footnoteRef/>
      </w:r>
      <w:r w:rsidR="00F32228" w:rsidRPr="0029019F">
        <w:t>Hotărâre</w:t>
      </w:r>
      <w:r w:rsidRPr="0029019F">
        <w:t xml:space="preserve"> CA a BNR pe problem</w:t>
      </w:r>
      <w:r>
        <w:t>e</w:t>
      </w:r>
      <w:r w:rsidRPr="0029019F">
        <w:t xml:space="preserve"> de politica monetara</w:t>
      </w:r>
      <w:r>
        <w:t>, comunicat de presa 29.05.2020</w:t>
      </w:r>
    </w:p>
  </w:footnote>
  <w:footnote w:id="6">
    <w:p w:rsidR="00DF4DFB" w:rsidRPr="006D0B78" w:rsidRDefault="00DF4DFB" w:rsidP="00DF4DFB">
      <w:pPr>
        <w:pStyle w:val="FootnoteText"/>
      </w:pPr>
      <w:r>
        <w:rPr>
          <w:rStyle w:val="FootnoteReference"/>
        </w:rPr>
        <w:footnoteRef/>
      </w:r>
      <w:r>
        <w:t xml:space="preserve"> scăderea</w:t>
      </w:r>
      <w:r w:rsidRPr="006D0B78">
        <w:t xml:space="preserve"> numărului mediu de salariați cu </w:t>
      </w:r>
      <w:r>
        <w:t>1,1</w:t>
      </w:r>
      <w:r w:rsidRPr="006D0B78">
        <w:t>% și</w:t>
      </w:r>
      <w:r>
        <w:t xml:space="preserve"> creșterea</w:t>
      </w:r>
      <w:r w:rsidRPr="006D0B78">
        <w:t xml:space="preserve"> salariului mediu brut la nivelul economiei cu </w:t>
      </w:r>
      <w:r>
        <w:t>3,6</w:t>
      </w:r>
      <w:r w:rsidRPr="006D0B78">
        <w:t>%</w:t>
      </w:r>
      <w:r>
        <w:t xml:space="preserve"> (martie-mai 2020/martie-mai 2019)</w:t>
      </w:r>
    </w:p>
  </w:footnote>
  <w:footnote w:id="7">
    <w:p w:rsidR="00F62AA6" w:rsidRPr="007E3301" w:rsidRDefault="00F62AA6" w:rsidP="00F62AA6">
      <w:pPr>
        <w:pStyle w:val="FootnoteText"/>
      </w:pPr>
      <w:r>
        <w:rPr>
          <w:rStyle w:val="FootnoteReference"/>
        </w:rPr>
        <w:footnoteRef/>
      </w:r>
      <w:r>
        <w:t xml:space="preserve"> e</w:t>
      </w:r>
      <w:r w:rsidRPr="007E3301">
        <w:t xml:space="preserve">xclusiv </w:t>
      </w:r>
      <w:r>
        <w:t>restituiri</w:t>
      </w:r>
      <w:r w:rsidRPr="006D0B78">
        <w:t>și</w:t>
      </w:r>
      <w:r w:rsidRPr="007E3301">
        <w:t>majorări de întârziere</w:t>
      </w:r>
    </w:p>
  </w:footnote>
  <w:footnote w:id="8">
    <w:p w:rsidR="006E321D" w:rsidRDefault="006E321D" w:rsidP="006E321D">
      <w:pPr>
        <w:pStyle w:val="FootnoteText"/>
      </w:pPr>
      <w:r>
        <w:rPr>
          <w:rStyle w:val="FootnoteReference"/>
        </w:rPr>
        <w:footnoteRef/>
      </w:r>
      <w:r>
        <w:t xml:space="preserve"> OUG nr. 30/2020, modificata prin OUG nr. 32/2020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5743"/>
    <w:multiLevelType w:val="hybridMultilevel"/>
    <w:tmpl w:val="74EE5078"/>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0C3341D3"/>
    <w:multiLevelType w:val="hybridMultilevel"/>
    <w:tmpl w:val="EDF43B16"/>
    <w:lvl w:ilvl="0" w:tplc="0409000D">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nsid w:val="17474559"/>
    <w:multiLevelType w:val="hybridMultilevel"/>
    <w:tmpl w:val="60F623AE"/>
    <w:lvl w:ilvl="0" w:tplc="A59CE0C4">
      <w:numFmt w:val="bullet"/>
      <w:lvlText w:val="-"/>
      <w:lvlJc w:val="left"/>
      <w:pPr>
        <w:ind w:left="10080" w:hanging="720"/>
      </w:pPr>
      <w:rPr>
        <w:rFonts w:ascii="Tahoma" w:eastAsiaTheme="minorHAnsi" w:hAnsi="Tahoma" w:cs="Tahoma"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3">
    <w:nsid w:val="19AE6EB8"/>
    <w:multiLevelType w:val="hybridMultilevel"/>
    <w:tmpl w:val="A8B84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4956CA"/>
    <w:multiLevelType w:val="hybridMultilevel"/>
    <w:tmpl w:val="EC2CF88E"/>
    <w:lvl w:ilvl="0" w:tplc="3BFA61DA">
      <w:start w:val="1"/>
      <w:numFmt w:val="bullet"/>
      <w:lvlText w:val=""/>
      <w:lvlJc w:val="left"/>
      <w:pPr>
        <w:ind w:left="1987" w:hanging="360"/>
      </w:pPr>
      <w:rPr>
        <w:rFonts w:ascii="Wingdings" w:hAnsi="Wingdings" w:hint="default"/>
        <w:color w:val="auto"/>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5">
    <w:nsid w:val="37131563"/>
    <w:multiLevelType w:val="hybridMultilevel"/>
    <w:tmpl w:val="D0501A9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0D316B"/>
    <w:multiLevelType w:val="hybridMultilevel"/>
    <w:tmpl w:val="AC76A1EE"/>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053E09"/>
    <w:multiLevelType w:val="hybridMultilevel"/>
    <w:tmpl w:val="E67E2118"/>
    <w:lvl w:ilvl="0" w:tplc="04180001">
      <w:start w:val="1"/>
      <w:numFmt w:val="bullet"/>
      <w:lvlText w:val=""/>
      <w:lvlJc w:val="left"/>
      <w:pPr>
        <w:ind w:left="2201" w:hanging="360"/>
      </w:pPr>
      <w:rPr>
        <w:rFonts w:ascii="Symbol" w:hAnsi="Symbol" w:hint="default"/>
      </w:rPr>
    </w:lvl>
    <w:lvl w:ilvl="1" w:tplc="04180003" w:tentative="1">
      <w:start w:val="1"/>
      <w:numFmt w:val="bullet"/>
      <w:lvlText w:val="o"/>
      <w:lvlJc w:val="left"/>
      <w:pPr>
        <w:ind w:left="2921" w:hanging="360"/>
      </w:pPr>
      <w:rPr>
        <w:rFonts w:ascii="Courier New" w:hAnsi="Courier New" w:cs="Courier New" w:hint="default"/>
      </w:rPr>
    </w:lvl>
    <w:lvl w:ilvl="2" w:tplc="04180005" w:tentative="1">
      <w:start w:val="1"/>
      <w:numFmt w:val="bullet"/>
      <w:lvlText w:val=""/>
      <w:lvlJc w:val="left"/>
      <w:pPr>
        <w:ind w:left="3641" w:hanging="360"/>
      </w:pPr>
      <w:rPr>
        <w:rFonts w:ascii="Wingdings" w:hAnsi="Wingdings" w:hint="default"/>
      </w:rPr>
    </w:lvl>
    <w:lvl w:ilvl="3" w:tplc="04180001" w:tentative="1">
      <w:start w:val="1"/>
      <w:numFmt w:val="bullet"/>
      <w:lvlText w:val=""/>
      <w:lvlJc w:val="left"/>
      <w:pPr>
        <w:ind w:left="4361" w:hanging="360"/>
      </w:pPr>
      <w:rPr>
        <w:rFonts w:ascii="Symbol" w:hAnsi="Symbol" w:hint="default"/>
      </w:rPr>
    </w:lvl>
    <w:lvl w:ilvl="4" w:tplc="04180003" w:tentative="1">
      <w:start w:val="1"/>
      <w:numFmt w:val="bullet"/>
      <w:lvlText w:val="o"/>
      <w:lvlJc w:val="left"/>
      <w:pPr>
        <w:ind w:left="5081" w:hanging="360"/>
      </w:pPr>
      <w:rPr>
        <w:rFonts w:ascii="Courier New" w:hAnsi="Courier New" w:cs="Courier New" w:hint="default"/>
      </w:rPr>
    </w:lvl>
    <w:lvl w:ilvl="5" w:tplc="04180005" w:tentative="1">
      <w:start w:val="1"/>
      <w:numFmt w:val="bullet"/>
      <w:lvlText w:val=""/>
      <w:lvlJc w:val="left"/>
      <w:pPr>
        <w:ind w:left="5801" w:hanging="360"/>
      </w:pPr>
      <w:rPr>
        <w:rFonts w:ascii="Wingdings" w:hAnsi="Wingdings" w:hint="default"/>
      </w:rPr>
    </w:lvl>
    <w:lvl w:ilvl="6" w:tplc="04180001" w:tentative="1">
      <w:start w:val="1"/>
      <w:numFmt w:val="bullet"/>
      <w:lvlText w:val=""/>
      <w:lvlJc w:val="left"/>
      <w:pPr>
        <w:ind w:left="6521" w:hanging="360"/>
      </w:pPr>
      <w:rPr>
        <w:rFonts w:ascii="Symbol" w:hAnsi="Symbol" w:hint="default"/>
      </w:rPr>
    </w:lvl>
    <w:lvl w:ilvl="7" w:tplc="04180003" w:tentative="1">
      <w:start w:val="1"/>
      <w:numFmt w:val="bullet"/>
      <w:lvlText w:val="o"/>
      <w:lvlJc w:val="left"/>
      <w:pPr>
        <w:ind w:left="7241" w:hanging="360"/>
      </w:pPr>
      <w:rPr>
        <w:rFonts w:ascii="Courier New" w:hAnsi="Courier New" w:cs="Courier New" w:hint="default"/>
      </w:rPr>
    </w:lvl>
    <w:lvl w:ilvl="8" w:tplc="04180005" w:tentative="1">
      <w:start w:val="1"/>
      <w:numFmt w:val="bullet"/>
      <w:lvlText w:val=""/>
      <w:lvlJc w:val="left"/>
      <w:pPr>
        <w:ind w:left="7961" w:hanging="360"/>
      </w:pPr>
      <w:rPr>
        <w:rFonts w:ascii="Wingdings" w:hAnsi="Wingdings" w:hint="default"/>
      </w:rPr>
    </w:lvl>
  </w:abstractNum>
  <w:abstractNum w:abstractNumId="8">
    <w:nsid w:val="45C017D1"/>
    <w:multiLevelType w:val="hybridMultilevel"/>
    <w:tmpl w:val="E0D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4B1D8C"/>
    <w:multiLevelType w:val="hybridMultilevel"/>
    <w:tmpl w:val="A3C410EA"/>
    <w:lvl w:ilvl="0" w:tplc="6F76A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968D3"/>
    <w:multiLevelType w:val="hybridMultilevel"/>
    <w:tmpl w:val="B202A21C"/>
    <w:lvl w:ilvl="0" w:tplc="731EB554">
      <w:start w:val="1"/>
      <w:numFmt w:val="bullet"/>
      <w:lvlText w:val=""/>
      <w:lvlJc w:val="left"/>
      <w:pPr>
        <w:ind w:left="1080" w:hanging="72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073916"/>
    <w:multiLevelType w:val="hybridMultilevel"/>
    <w:tmpl w:val="7480F156"/>
    <w:lvl w:ilvl="0" w:tplc="30126C2E">
      <w:numFmt w:val="bullet"/>
      <w:lvlText w:val="-"/>
      <w:lvlJc w:val="left"/>
      <w:pPr>
        <w:ind w:left="750" w:hanging="39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897CC7"/>
    <w:multiLevelType w:val="hybridMultilevel"/>
    <w:tmpl w:val="C51EB1E6"/>
    <w:lvl w:ilvl="0" w:tplc="52C60E8E">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F200E5"/>
    <w:multiLevelType w:val="multilevel"/>
    <w:tmpl w:val="0F52F7EE"/>
    <w:lvl w:ilvl="0">
      <w:start w:val="1"/>
      <w:numFmt w:val="bullet"/>
      <w:lvlText w:val=""/>
      <w:lvlJc w:val="left"/>
      <w:pPr>
        <w:ind w:left="1260" w:hanging="360"/>
      </w:pPr>
      <w:rPr>
        <w:rFonts w:ascii="Wingdings" w:hAnsi="Wingdings" w:cs="Wingdings" w:hint="default"/>
        <w:color w:val="00000A"/>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nsid w:val="7A420761"/>
    <w:multiLevelType w:val="multilevel"/>
    <w:tmpl w:val="7D20951A"/>
    <w:lvl w:ilvl="0">
      <w:start w:val="1"/>
      <w:numFmt w:val="bullet"/>
      <w:lvlText w:val=""/>
      <w:lvlJc w:val="left"/>
      <w:pPr>
        <w:ind w:left="1996" w:hanging="360"/>
      </w:pPr>
      <w:rPr>
        <w:rFonts w:ascii="Wingdings" w:hAnsi="Wingdings" w:cs="Wingdings"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15">
    <w:nsid w:val="7BB8284D"/>
    <w:multiLevelType w:val="hybridMultilevel"/>
    <w:tmpl w:val="0B0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6"/>
  </w:num>
  <w:num w:numId="5">
    <w:abstractNumId w:val="11"/>
  </w:num>
  <w:num w:numId="6">
    <w:abstractNumId w:val="2"/>
  </w:num>
  <w:num w:numId="7">
    <w:abstractNumId w:val="10"/>
  </w:num>
  <w:num w:numId="8">
    <w:abstractNumId w:val="13"/>
  </w:num>
  <w:num w:numId="9">
    <w:abstractNumId w:val="14"/>
  </w:num>
  <w:num w:numId="10">
    <w:abstractNumId w:val="7"/>
  </w:num>
  <w:num w:numId="11">
    <w:abstractNumId w:val="4"/>
  </w:num>
  <w:num w:numId="12">
    <w:abstractNumId w:val="5"/>
  </w:num>
  <w:num w:numId="13">
    <w:abstractNumId w:val="0"/>
  </w:num>
  <w:num w:numId="14">
    <w:abstractNumId w:val="1"/>
  </w:num>
  <w:num w:numId="15">
    <w:abstractNumId w:val="1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910F23"/>
    <w:rsid w:val="00001E8C"/>
    <w:rsid w:val="00005729"/>
    <w:rsid w:val="00011138"/>
    <w:rsid w:val="00012C3B"/>
    <w:rsid w:val="000141BF"/>
    <w:rsid w:val="00016F63"/>
    <w:rsid w:val="00017361"/>
    <w:rsid w:val="00020D5F"/>
    <w:rsid w:val="00021A38"/>
    <w:rsid w:val="000248D3"/>
    <w:rsid w:val="00026DEC"/>
    <w:rsid w:val="00032A05"/>
    <w:rsid w:val="00041D0D"/>
    <w:rsid w:val="000434BF"/>
    <w:rsid w:val="00052351"/>
    <w:rsid w:val="000557D4"/>
    <w:rsid w:val="00056BE3"/>
    <w:rsid w:val="000573AD"/>
    <w:rsid w:val="0005779D"/>
    <w:rsid w:val="00061787"/>
    <w:rsid w:val="00062A56"/>
    <w:rsid w:val="0008264F"/>
    <w:rsid w:val="000842A5"/>
    <w:rsid w:val="0008642C"/>
    <w:rsid w:val="00086871"/>
    <w:rsid w:val="000916B5"/>
    <w:rsid w:val="000923D7"/>
    <w:rsid w:val="000942F8"/>
    <w:rsid w:val="000951A2"/>
    <w:rsid w:val="00095242"/>
    <w:rsid w:val="000A2574"/>
    <w:rsid w:val="000A25FA"/>
    <w:rsid w:val="000A3B0F"/>
    <w:rsid w:val="000A4203"/>
    <w:rsid w:val="000A48D8"/>
    <w:rsid w:val="000A62E1"/>
    <w:rsid w:val="000A7436"/>
    <w:rsid w:val="000B579B"/>
    <w:rsid w:val="000C30DF"/>
    <w:rsid w:val="000C5478"/>
    <w:rsid w:val="000C7AF8"/>
    <w:rsid w:val="000D293A"/>
    <w:rsid w:val="000D2B64"/>
    <w:rsid w:val="000D317D"/>
    <w:rsid w:val="000D50FF"/>
    <w:rsid w:val="000D5417"/>
    <w:rsid w:val="000D653B"/>
    <w:rsid w:val="000D6F9B"/>
    <w:rsid w:val="000D7561"/>
    <w:rsid w:val="000F0A63"/>
    <w:rsid w:val="000F10A9"/>
    <w:rsid w:val="000F1E3F"/>
    <w:rsid w:val="000F48B4"/>
    <w:rsid w:val="000F62DB"/>
    <w:rsid w:val="001005D0"/>
    <w:rsid w:val="00107875"/>
    <w:rsid w:val="001176FC"/>
    <w:rsid w:val="00122DF5"/>
    <w:rsid w:val="001236DE"/>
    <w:rsid w:val="00125818"/>
    <w:rsid w:val="00141717"/>
    <w:rsid w:val="00142FC5"/>
    <w:rsid w:val="00145872"/>
    <w:rsid w:val="001506F4"/>
    <w:rsid w:val="00152E04"/>
    <w:rsid w:val="00153418"/>
    <w:rsid w:val="001535C1"/>
    <w:rsid w:val="001546A2"/>
    <w:rsid w:val="00155AFB"/>
    <w:rsid w:val="00156388"/>
    <w:rsid w:val="00163874"/>
    <w:rsid w:val="001648BC"/>
    <w:rsid w:val="00170657"/>
    <w:rsid w:val="001707DC"/>
    <w:rsid w:val="00175AD6"/>
    <w:rsid w:val="0017667A"/>
    <w:rsid w:val="0018055E"/>
    <w:rsid w:val="00180AC2"/>
    <w:rsid w:val="00182B0D"/>
    <w:rsid w:val="00187781"/>
    <w:rsid w:val="001915F6"/>
    <w:rsid w:val="00191CC0"/>
    <w:rsid w:val="001968BB"/>
    <w:rsid w:val="001A2254"/>
    <w:rsid w:val="001B13BC"/>
    <w:rsid w:val="001B1E6F"/>
    <w:rsid w:val="001B20A6"/>
    <w:rsid w:val="001B435B"/>
    <w:rsid w:val="001B60DA"/>
    <w:rsid w:val="001B6FA2"/>
    <w:rsid w:val="001B70D2"/>
    <w:rsid w:val="001C52B3"/>
    <w:rsid w:val="001C5C1A"/>
    <w:rsid w:val="001C6114"/>
    <w:rsid w:val="001C6E10"/>
    <w:rsid w:val="001D03AF"/>
    <w:rsid w:val="001D06A7"/>
    <w:rsid w:val="001D29DC"/>
    <w:rsid w:val="001D44C7"/>
    <w:rsid w:val="001D65FC"/>
    <w:rsid w:val="001D6927"/>
    <w:rsid w:val="001E4EAE"/>
    <w:rsid w:val="001E6762"/>
    <w:rsid w:val="001F1E8A"/>
    <w:rsid w:val="001F36DD"/>
    <w:rsid w:val="00202269"/>
    <w:rsid w:val="00206989"/>
    <w:rsid w:val="00207E04"/>
    <w:rsid w:val="00210FCE"/>
    <w:rsid w:val="00212F98"/>
    <w:rsid w:val="00214764"/>
    <w:rsid w:val="00217F5C"/>
    <w:rsid w:val="002200B1"/>
    <w:rsid w:val="00220A5A"/>
    <w:rsid w:val="00222906"/>
    <w:rsid w:val="00223065"/>
    <w:rsid w:val="00225829"/>
    <w:rsid w:val="0022634D"/>
    <w:rsid w:val="00231361"/>
    <w:rsid w:val="00231AE5"/>
    <w:rsid w:val="00232E16"/>
    <w:rsid w:val="00233AC4"/>
    <w:rsid w:val="0023449A"/>
    <w:rsid w:val="00237850"/>
    <w:rsid w:val="00241CAA"/>
    <w:rsid w:val="00244ACB"/>
    <w:rsid w:val="0025301D"/>
    <w:rsid w:val="00253FAE"/>
    <w:rsid w:val="00256949"/>
    <w:rsid w:val="00267D26"/>
    <w:rsid w:val="00272B9B"/>
    <w:rsid w:val="00273697"/>
    <w:rsid w:val="00274B69"/>
    <w:rsid w:val="00274F7D"/>
    <w:rsid w:val="00290A07"/>
    <w:rsid w:val="002914A1"/>
    <w:rsid w:val="002915B1"/>
    <w:rsid w:val="0029776C"/>
    <w:rsid w:val="002A0EF1"/>
    <w:rsid w:val="002A7F1B"/>
    <w:rsid w:val="002B01DC"/>
    <w:rsid w:val="002B0F64"/>
    <w:rsid w:val="002B3CC9"/>
    <w:rsid w:val="002B64BB"/>
    <w:rsid w:val="002C1755"/>
    <w:rsid w:val="002C17E1"/>
    <w:rsid w:val="002C3B7D"/>
    <w:rsid w:val="002C50FD"/>
    <w:rsid w:val="002C7C10"/>
    <w:rsid w:val="002D304B"/>
    <w:rsid w:val="002D4811"/>
    <w:rsid w:val="002E36A6"/>
    <w:rsid w:val="002E4DC6"/>
    <w:rsid w:val="002E5330"/>
    <w:rsid w:val="002E593E"/>
    <w:rsid w:val="002E7628"/>
    <w:rsid w:val="002F2CFC"/>
    <w:rsid w:val="002F44EA"/>
    <w:rsid w:val="002F4790"/>
    <w:rsid w:val="00302BA3"/>
    <w:rsid w:val="00311431"/>
    <w:rsid w:val="00313230"/>
    <w:rsid w:val="00315666"/>
    <w:rsid w:val="00322A56"/>
    <w:rsid w:val="003308B1"/>
    <w:rsid w:val="0033447D"/>
    <w:rsid w:val="00335354"/>
    <w:rsid w:val="0033573F"/>
    <w:rsid w:val="00344677"/>
    <w:rsid w:val="003477B4"/>
    <w:rsid w:val="00353276"/>
    <w:rsid w:val="003565E1"/>
    <w:rsid w:val="00356F6A"/>
    <w:rsid w:val="00360906"/>
    <w:rsid w:val="003700C3"/>
    <w:rsid w:val="0037130B"/>
    <w:rsid w:val="00373FDE"/>
    <w:rsid w:val="00374899"/>
    <w:rsid w:val="003773F4"/>
    <w:rsid w:val="003836BC"/>
    <w:rsid w:val="00391CC2"/>
    <w:rsid w:val="00392457"/>
    <w:rsid w:val="00392E3D"/>
    <w:rsid w:val="0039710E"/>
    <w:rsid w:val="003A18B2"/>
    <w:rsid w:val="003A4F72"/>
    <w:rsid w:val="003A6D4C"/>
    <w:rsid w:val="003B44A7"/>
    <w:rsid w:val="003C25D1"/>
    <w:rsid w:val="003C28B1"/>
    <w:rsid w:val="003C4703"/>
    <w:rsid w:val="003C5108"/>
    <w:rsid w:val="003C663D"/>
    <w:rsid w:val="003C71AA"/>
    <w:rsid w:val="003D2A0E"/>
    <w:rsid w:val="003E621C"/>
    <w:rsid w:val="003F0AE0"/>
    <w:rsid w:val="003F37F1"/>
    <w:rsid w:val="003F4337"/>
    <w:rsid w:val="003F4E84"/>
    <w:rsid w:val="00400409"/>
    <w:rsid w:val="004071E1"/>
    <w:rsid w:val="00407EFE"/>
    <w:rsid w:val="004108CF"/>
    <w:rsid w:val="00410E69"/>
    <w:rsid w:val="00411D71"/>
    <w:rsid w:val="00414D79"/>
    <w:rsid w:val="00415B7E"/>
    <w:rsid w:val="00423CAE"/>
    <w:rsid w:val="004246D1"/>
    <w:rsid w:val="00425A4E"/>
    <w:rsid w:val="004260FF"/>
    <w:rsid w:val="00426972"/>
    <w:rsid w:val="0043013B"/>
    <w:rsid w:val="004320A1"/>
    <w:rsid w:val="00432FF1"/>
    <w:rsid w:val="00434C82"/>
    <w:rsid w:val="00452843"/>
    <w:rsid w:val="00452ACC"/>
    <w:rsid w:val="004546CE"/>
    <w:rsid w:val="004746C8"/>
    <w:rsid w:val="0048352B"/>
    <w:rsid w:val="00484DB4"/>
    <w:rsid w:val="0048518E"/>
    <w:rsid w:val="004901E4"/>
    <w:rsid w:val="004A1E84"/>
    <w:rsid w:val="004A31C5"/>
    <w:rsid w:val="004B3151"/>
    <w:rsid w:val="004B7A33"/>
    <w:rsid w:val="004C373B"/>
    <w:rsid w:val="004C3A0E"/>
    <w:rsid w:val="004C5DB9"/>
    <w:rsid w:val="004C6D1D"/>
    <w:rsid w:val="004D1156"/>
    <w:rsid w:val="004D5422"/>
    <w:rsid w:val="004D6936"/>
    <w:rsid w:val="004E0E38"/>
    <w:rsid w:val="004E0EDE"/>
    <w:rsid w:val="004E126B"/>
    <w:rsid w:val="004E13C1"/>
    <w:rsid w:val="004E2A7B"/>
    <w:rsid w:val="004E3BAE"/>
    <w:rsid w:val="004F2959"/>
    <w:rsid w:val="004F35DA"/>
    <w:rsid w:val="00502B73"/>
    <w:rsid w:val="00503F46"/>
    <w:rsid w:val="0050613A"/>
    <w:rsid w:val="00506D31"/>
    <w:rsid w:val="00506ECF"/>
    <w:rsid w:val="005072F2"/>
    <w:rsid w:val="00511104"/>
    <w:rsid w:val="00512912"/>
    <w:rsid w:val="00521A6E"/>
    <w:rsid w:val="005233AC"/>
    <w:rsid w:val="00526E8B"/>
    <w:rsid w:val="00527A5F"/>
    <w:rsid w:val="005316E8"/>
    <w:rsid w:val="005458DC"/>
    <w:rsid w:val="00547F5F"/>
    <w:rsid w:val="0056110C"/>
    <w:rsid w:val="005623F6"/>
    <w:rsid w:val="00565196"/>
    <w:rsid w:val="005656AD"/>
    <w:rsid w:val="00565CBB"/>
    <w:rsid w:val="00571D08"/>
    <w:rsid w:val="00573703"/>
    <w:rsid w:val="00573953"/>
    <w:rsid w:val="00581AF2"/>
    <w:rsid w:val="005842BD"/>
    <w:rsid w:val="0058551F"/>
    <w:rsid w:val="005879EE"/>
    <w:rsid w:val="005922C0"/>
    <w:rsid w:val="005927B9"/>
    <w:rsid w:val="00595DE7"/>
    <w:rsid w:val="005964AB"/>
    <w:rsid w:val="005A2C17"/>
    <w:rsid w:val="005A37CF"/>
    <w:rsid w:val="005A4448"/>
    <w:rsid w:val="005B36B4"/>
    <w:rsid w:val="005C04F8"/>
    <w:rsid w:val="005C1DD0"/>
    <w:rsid w:val="005C32C7"/>
    <w:rsid w:val="005D07BD"/>
    <w:rsid w:val="005D3714"/>
    <w:rsid w:val="005D3A4C"/>
    <w:rsid w:val="005D6D51"/>
    <w:rsid w:val="005E58C4"/>
    <w:rsid w:val="005E5AB8"/>
    <w:rsid w:val="005E607E"/>
    <w:rsid w:val="005F3004"/>
    <w:rsid w:val="00601884"/>
    <w:rsid w:val="0060609A"/>
    <w:rsid w:val="006165B6"/>
    <w:rsid w:val="00620465"/>
    <w:rsid w:val="00620B19"/>
    <w:rsid w:val="00622AC2"/>
    <w:rsid w:val="00622B86"/>
    <w:rsid w:val="00622EAC"/>
    <w:rsid w:val="00623A5E"/>
    <w:rsid w:val="00625493"/>
    <w:rsid w:val="006254C8"/>
    <w:rsid w:val="006306E1"/>
    <w:rsid w:val="006326E1"/>
    <w:rsid w:val="00633E45"/>
    <w:rsid w:val="0063711C"/>
    <w:rsid w:val="00640FBB"/>
    <w:rsid w:val="00646F86"/>
    <w:rsid w:val="006477A6"/>
    <w:rsid w:val="00647AE3"/>
    <w:rsid w:val="006523E6"/>
    <w:rsid w:val="00660290"/>
    <w:rsid w:val="00660554"/>
    <w:rsid w:val="00661A38"/>
    <w:rsid w:val="00661C32"/>
    <w:rsid w:val="00662746"/>
    <w:rsid w:val="00666D81"/>
    <w:rsid w:val="00667C1C"/>
    <w:rsid w:val="006704C5"/>
    <w:rsid w:val="00671CB8"/>
    <w:rsid w:val="00672393"/>
    <w:rsid w:val="006730CA"/>
    <w:rsid w:val="006737B0"/>
    <w:rsid w:val="006741FB"/>
    <w:rsid w:val="00675166"/>
    <w:rsid w:val="00675E23"/>
    <w:rsid w:val="00681401"/>
    <w:rsid w:val="006815B0"/>
    <w:rsid w:val="00682712"/>
    <w:rsid w:val="00682DEE"/>
    <w:rsid w:val="0069273C"/>
    <w:rsid w:val="00692AF8"/>
    <w:rsid w:val="00692B95"/>
    <w:rsid w:val="00692CE7"/>
    <w:rsid w:val="00694A9A"/>
    <w:rsid w:val="00696A35"/>
    <w:rsid w:val="00696BE5"/>
    <w:rsid w:val="006A012D"/>
    <w:rsid w:val="006A0560"/>
    <w:rsid w:val="006A2FAF"/>
    <w:rsid w:val="006A3329"/>
    <w:rsid w:val="006B3457"/>
    <w:rsid w:val="006B50AB"/>
    <w:rsid w:val="006C0750"/>
    <w:rsid w:val="006C1BA2"/>
    <w:rsid w:val="006C31A6"/>
    <w:rsid w:val="006C76FA"/>
    <w:rsid w:val="006C7DA9"/>
    <w:rsid w:val="006E2931"/>
    <w:rsid w:val="006E321D"/>
    <w:rsid w:val="006E331D"/>
    <w:rsid w:val="006E734C"/>
    <w:rsid w:val="006F3F63"/>
    <w:rsid w:val="006F6BF2"/>
    <w:rsid w:val="00703ACE"/>
    <w:rsid w:val="0070453D"/>
    <w:rsid w:val="007108BD"/>
    <w:rsid w:val="00712127"/>
    <w:rsid w:val="007121BE"/>
    <w:rsid w:val="00712417"/>
    <w:rsid w:val="00713D80"/>
    <w:rsid w:val="00717788"/>
    <w:rsid w:val="00721CAF"/>
    <w:rsid w:val="0072241B"/>
    <w:rsid w:val="00731902"/>
    <w:rsid w:val="00733B62"/>
    <w:rsid w:val="00733F08"/>
    <w:rsid w:val="00734D13"/>
    <w:rsid w:val="0073637C"/>
    <w:rsid w:val="007369A7"/>
    <w:rsid w:val="0073781B"/>
    <w:rsid w:val="00740BCB"/>
    <w:rsid w:val="00740FA8"/>
    <w:rsid w:val="00741961"/>
    <w:rsid w:val="00742502"/>
    <w:rsid w:val="00742F88"/>
    <w:rsid w:val="00744377"/>
    <w:rsid w:val="00744E04"/>
    <w:rsid w:val="00746D5E"/>
    <w:rsid w:val="007507EE"/>
    <w:rsid w:val="00751BF9"/>
    <w:rsid w:val="007536F7"/>
    <w:rsid w:val="00754831"/>
    <w:rsid w:val="00771F9D"/>
    <w:rsid w:val="00782EB2"/>
    <w:rsid w:val="00790ED9"/>
    <w:rsid w:val="00791FEB"/>
    <w:rsid w:val="0079445D"/>
    <w:rsid w:val="007A0DDC"/>
    <w:rsid w:val="007A23F1"/>
    <w:rsid w:val="007A3AFD"/>
    <w:rsid w:val="007A5BD6"/>
    <w:rsid w:val="007B4E71"/>
    <w:rsid w:val="007B5527"/>
    <w:rsid w:val="007C1785"/>
    <w:rsid w:val="007C6A86"/>
    <w:rsid w:val="007D0985"/>
    <w:rsid w:val="007D381A"/>
    <w:rsid w:val="007D76CC"/>
    <w:rsid w:val="007D782E"/>
    <w:rsid w:val="007E2111"/>
    <w:rsid w:val="007E48B7"/>
    <w:rsid w:val="007E6BCA"/>
    <w:rsid w:val="007F440C"/>
    <w:rsid w:val="007F4FE7"/>
    <w:rsid w:val="00800AC8"/>
    <w:rsid w:val="00804263"/>
    <w:rsid w:val="008045BB"/>
    <w:rsid w:val="00807885"/>
    <w:rsid w:val="00811D17"/>
    <w:rsid w:val="00812166"/>
    <w:rsid w:val="00813B4C"/>
    <w:rsid w:val="008154B0"/>
    <w:rsid w:val="008160DE"/>
    <w:rsid w:val="008201C6"/>
    <w:rsid w:val="0082174B"/>
    <w:rsid w:val="0082715B"/>
    <w:rsid w:val="0082791D"/>
    <w:rsid w:val="0083203F"/>
    <w:rsid w:val="008343FE"/>
    <w:rsid w:val="008365AB"/>
    <w:rsid w:val="00845E89"/>
    <w:rsid w:val="00854A05"/>
    <w:rsid w:val="00856530"/>
    <w:rsid w:val="00860E4A"/>
    <w:rsid w:val="0086613A"/>
    <w:rsid w:val="008761BB"/>
    <w:rsid w:val="00877230"/>
    <w:rsid w:val="00883977"/>
    <w:rsid w:val="0088400F"/>
    <w:rsid w:val="008841E4"/>
    <w:rsid w:val="008849D9"/>
    <w:rsid w:val="00885473"/>
    <w:rsid w:val="00886DFA"/>
    <w:rsid w:val="00895655"/>
    <w:rsid w:val="00896686"/>
    <w:rsid w:val="008A2ED1"/>
    <w:rsid w:val="008A34D2"/>
    <w:rsid w:val="008A3F97"/>
    <w:rsid w:val="008A6AFE"/>
    <w:rsid w:val="008B1FD4"/>
    <w:rsid w:val="008B44CC"/>
    <w:rsid w:val="008D4EFA"/>
    <w:rsid w:val="008D5E65"/>
    <w:rsid w:val="008E2FC1"/>
    <w:rsid w:val="008E39D6"/>
    <w:rsid w:val="008E6500"/>
    <w:rsid w:val="008F1328"/>
    <w:rsid w:val="008F6106"/>
    <w:rsid w:val="008F636D"/>
    <w:rsid w:val="008F735B"/>
    <w:rsid w:val="009008DE"/>
    <w:rsid w:val="0090217B"/>
    <w:rsid w:val="0090243B"/>
    <w:rsid w:val="00907645"/>
    <w:rsid w:val="00910F23"/>
    <w:rsid w:val="0092174A"/>
    <w:rsid w:val="009300C7"/>
    <w:rsid w:val="0093341F"/>
    <w:rsid w:val="00933946"/>
    <w:rsid w:val="00934745"/>
    <w:rsid w:val="00934D73"/>
    <w:rsid w:val="0093611B"/>
    <w:rsid w:val="00936318"/>
    <w:rsid w:val="00936B61"/>
    <w:rsid w:val="00942AC8"/>
    <w:rsid w:val="00943365"/>
    <w:rsid w:val="00943E38"/>
    <w:rsid w:val="00944C2A"/>
    <w:rsid w:val="00950B7A"/>
    <w:rsid w:val="00957E45"/>
    <w:rsid w:val="00964866"/>
    <w:rsid w:val="00964CBD"/>
    <w:rsid w:val="009714B3"/>
    <w:rsid w:val="009723DE"/>
    <w:rsid w:val="0097352C"/>
    <w:rsid w:val="00973651"/>
    <w:rsid w:val="009746E7"/>
    <w:rsid w:val="00974E99"/>
    <w:rsid w:val="00975E6F"/>
    <w:rsid w:val="009775C3"/>
    <w:rsid w:val="009833EE"/>
    <w:rsid w:val="0098348D"/>
    <w:rsid w:val="00987133"/>
    <w:rsid w:val="00993264"/>
    <w:rsid w:val="009A25BD"/>
    <w:rsid w:val="009A2E62"/>
    <w:rsid w:val="009A2FA1"/>
    <w:rsid w:val="009A3E60"/>
    <w:rsid w:val="009A4D06"/>
    <w:rsid w:val="009A5714"/>
    <w:rsid w:val="009A5F48"/>
    <w:rsid w:val="009A6166"/>
    <w:rsid w:val="009A7463"/>
    <w:rsid w:val="009B4EFE"/>
    <w:rsid w:val="009B5876"/>
    <w:rsid w:val="009B7E76"/>
    <w:rsid w:val="009C2214"/>
    <w:rsid w:val="009C3388"/>
    <w:rsid w:val="009C3BE1"/>
    <w:rsid w:val="009C614B"/>
    <w:rsid w:val="009C6F20"/>
    <w:rsid w:val="009C72B0"/>
    <w:rsid w:val="009D16DA"/>
    <w:rsid w:val="009D71C3"/>
    <w:rsid w:val="009D729F"/>
    <w:rsid w:val="009E35E8"/>
    <w:rsid w:val="009E4B9C"/>
    <w:rsid w:val="009F6CC3"/>
    <w:rsid w:val="00A02EF0"/>
    <w:rsid w:val="00A13FDB"/>
    <w:rsid w:val="00A15402"/>
    <w:rsid w:val="00A21C68"/>
    <w:rsid w:val="00A263BF"/>
    <w:rsid w:val="00A44D76"/>
    <w:rsid w:val="00A45580"/>
    <w:rsid w:val="00A45C4C"/>
    <w:rsid w:val="00A46A47"/>
    <w:rsid w:val="00A5347B"/>
    <w:rsid w:val="00A725CE"/>
    <w:rsid w:val="00A73F57"/>
    <w:rsid w:val="00A811A1"/>
    <w:rsid w:val="00A819BB"/>
    <w:rsid w:val="00A86B38"/>
    <w:rsid w:val="00A95591"/>
    <w:rsid w:val="00AA06C8"/>
    <w:rsid w:val="00AA6EE5"/>
    <w:rsid w:val="00AB7B38"/>
    <w:rsid w:val="00AC33D2"/>
    <w:rsid w:val="00AC4064"/>
    <w:rsid w:val="00AC5273"/>
    <w:rsid w:val="00AD433F"/>
    <w:rsid w:val="00AD661E"/>
    <w:rsid w:val="00AD74AC"/>
    <w:rsid w:val="00AE5117"/>
    <w:rsid w:val="00AE54C4"/>
    <w:rsid w:val="00AE619D"/>
    <w:rsid w:val="00AF077A"/>
    <w:rsid w:val="00AF2145"/>
    <w:rsid w:val="00AF3117"/>
    <w:rsid w:val="00AF475F"/>
    <w:rsid w:val="00AF5A15"/>
    <w:rsid w:val="00AF7AEA"/>
    <w:rsid w:val="00B0181F"/>
    <w:rsid w:val="00B03261"/>
    <w:rsid w:val="00B06151"/>
    <w:rsid w:val="00B06A32"/>
    <w:rsid w:val="00B10206"/>
    <w:rsid w:val="00B14A5D"/>
    <w:rsid w:val="00B16FC7"/>
    <w:rsid w:val="00B17760"/>
    <w:rsid w:val="00B25F58"/>
    <w:rsid w:val="00B27620"/>
    <w:rsid w:val="00B3358B"/>
    <w:rsid w:val="00B339DC"/>
    <w:rsid w:val="00B37CEF"/>
    <w:rsid w:val="00B42D64"/>
    <w:rsid w:val="00B42F67"/>
    <w:rsid w:val="00B43EF4"/>
    <w:rsid w:val="00B44140"/>
    <w:rsid w:val="00B4588B"/>
    <w:rsid w:val="00B50A7D"/>
    <w:rsid w:val="00B519D8"/>
    <w:rsid w:val="00B55707"/>
    <w:rsid w:val="00B561AA"/>
    <w:rsid w:val="00B60435"/>
    <w:rsid w:val="00B62D63"/>
    <w:rsid w:val="00B6727A"/>
    <w:rsid w:val="00B67AE1"/>
    <w:rsid w:val="00B67E3C"/>
    <w:rsid w:val="00B734CD"/>
    <w:rsid w:val="00B87BDE"/>
    <w:rsid w:val="00B921B0"/>
    <w:rsid w:val="00B92CB3"/>
    <w:rsid w:val="00B92EB8"/>
    <w:rsid w:val="00BA152F"/>
    <w:rsid w:val="00BA17B1"/>
    <w:rsid w:val="00BA47F5"/>
    <w:rsid w:val="00BA63CD"/>
    <w:rsid w:val="00BA66BF"/>
    <w:rsid w:val="00BA678C"/>
    <w:rsid w:val="00BA7231"/>
    <w:rsid w:val="00BB1057"/>
    <w:rsid w:val="00BD4CA5"/>
    <w:rsid w:val="00BE168E"/>
    <w:rsid w:val="00BE3856"/>
    <w:rsid w:val="00BE4BB6"/>
    <w:rsid w:val="00BE4FC7"/>
    <w:rsid w:val="00BE5D00"/>
    <w:rsid w:val="00BE6357"/>
    <w:rsid w:val="00BE7B9B"/>
    <w:rsid w:val="00BF0246"/>
    <w:rsid w:val="00BF0415"/>
    <w:rsid w:val="00BF41BE"/>
    <w:rsid w:val="00C067B1"/>
    <w:rsid w:val="00C06FA2"/>
    <w:rsid w:val="00C12274"/>
    <w:rsid w:val="00C1370B"/>
    <w:rsid w:val="00C16D94"/>
    <w:rsid w:val="00C1718B"/>
    <w:rsid w:val="00C24803"/>
    <w:rsid w:val="00C267BD"/>
    <w:rsid w:val="00C361BA"/>
    <w:rsid w:val="00C447E9"/>
    <w:rsid w:val="00C50AC2"/>
    <w:rsid w:val="00C51147"/>
    <w:rsid w:val="00C51FB2"/>
    <w:rsid w:val="00C56676"/>
    <w:rsid w:val="00C6120B"/>
    <w:rsid w:val="00C624BA"/>
    <w:rsid w:val="00C670D8"/>
    <w:rsid w:val="00C7035B"/>
    <w:rsid w:val="00C7250A"/>
    <w:rsid w:val="00C728CC"/>
    <w:rsid w:val="00C76E83"/>
    <w:rsid w:val="00C77514"/>
    <w:rsid w:val="00C80231"/>
    <w:rsid w:val="00C83108"/>
    <w:rsid w:val="00C865DA"/>
    <w:rsid w:val="00C86C65"/>
    <w:rsid w:val="00C87154"/>
    <w:rsid w:val="00C8723C"/>
    <w:rsid w:val="00C87486"/>
    <w:rsid w:val="00C877EE"/>
    <w:rsid w:val="00C90455"/>
    <w:rsid w:val="00C92DEA"/>
    <w:rsid w:val="00C9325A"/>
    <w:rsid w:val="00C96474"/>
    <w:rsid w:val="00C9727F"/>
    <w:rsid w:val="00CA2A40"/>
    <w:rsid w:val="00CA3901"/>
    <w:rsid w:val="00CA4A92"/>
    <w:rsid w:val="00CA50CD"/>
    <w:rsid w:val="00CA52C0"/>
    <w:rsid w:val="00CA79E1"/>
    <w:rsid w:val="00CA7C81"/>
    <w:rsid w:val="00CB1087"/>
    <w:rsid w:val="00CB5101"/>
    <w:rsid w:val="00CB72EB"/>
    <w:rsid w:val="00CC03AF"/>
    <w:rsid w:val="00CC04B4"/>
    <w:rsid w:val="00CC1F6A"/>
    <w:rsid w:val="00CC402A"/>
    <w:rsid w:val="00CC4F2C"/>
    <w:rsid w:val="00CD33CA"/>
    <w:rsid w:val="00CD37CA"/>
    <w:rsid w:val="00CD3EBC"/>
    <w:rsid w:val="00CD578B"/>
    <w:rsid w:val="00CD7C03"/>
    <w:rsid w:val="00CE2B39"/>
    <w:rsid w:val="00CE54D7"/>
    <w:rsid w:val="00CE6770"/>
    <w:rsid w:val="00CE721E"/>
    <w:rsid w:val="00CF0B91"/>
    <w:rsid w:val="00CF1ED7"/>
    <w:rsid w:val="00CF55E5"/>
    <w:rsid w:val="00D05158"/>
    <w:rsid w:val="00D1037B"/>
    <w:rsid w:val="00D109D6"/>
    <w:rsid w:val="00D13094"/>
    <w:rsid w:val="00D13C76"/>
    <w:rsid w:val="00D16CCD"/>
    <w:rsid w:val="00D2421D"/>
    <w:rsid w:val="00D333E6"/>
    <w:rsid w:val="00D342AA"/>
    <w:rsid w:val="00D36298"/>
    <w:rsid w:val="00D374AE"/>
    <w:rsid w:val="00D37654"/>
    <w:rsid w:val="00D40303"/>
    <w:rsid w:val="00D43F8B"/>
    <w:rsid w:val="00D506AC"/>
    <w:rsid w:val="00D60BC0"/>
    <w:rsid w:val="00D61C8C"/>
    <w:rsid w:val="00D630AC"/>
    <w:rsid w:val="00D716F8"/>
    <w:rsid w:val="00D872D5"/>
    <w:rsid w:val="00D96816"/>
    <w:rsid w:val="00DA35E4"/>
    <w:rsid w:val="00DA4DCA"/>
    <w:rsid w:val="00DB3A55"/>
    <w:rsid w:val="00DB67BD"/>
    <w:rsid w:val="00DC09CB"/>
    <w:rsid w:val="00DD03A2"/>
    <w:rsid w:val="00DD1C70"/>
    <w:rsid w:val="00DD3FBA"/>
    <w:rsid w:val="00DD52A5"/>
    <w:rsid w:val="00DD5C43"/>
    <w:rsid w:val="00DE2EB1"/>
    <w:rsid w:val="00DE5601"/>
    <w:rsid w:val="00DF01F7"/>
    <w:rsid w:val="00DF30BA"/>
    <w:rsid w:val="00DF4DFB"/>
    <w:rsid w:val="00DF4F15"/>
    <w:rsid w:val="00DF5205"/>
    <w:rsid w:val="00DF6426"/>
    <w:rsid w:val="00DF707F"/>
    <w:rsid w:val="00DF73CB"/>
    <w:rsid w:val="00E001D0"/>
    <w:rsid w:val="00E0129F"/>
    <w:rsid w:val="00E01455"/>
    <w:rsid w:val="00E103A8"/>
    <w:rsid w:val="00E15D34"/>
    <w:rsid w:val="00E16164"/>
    <w:rsid w:val="00E21827"/>
    <w:rsid w:val="00E21979"/>
    <w:rsid w:val="00E23BE8"/>
    <w:rsid w:val="00E25FC5"/>
    <w:rsid w:val="00E261B4"/>
    <w:rsid w:val="00E27A1E"/>
    <w:rsid w:val="00E33517"/>
    <w:rsid w:val="00E42080"/>
    <w:rsid w:val="00E42AAB"/>
    <w:rsid w:val="00E42BEC"/>
    <w:rsid w:val="00E511C3"/>
    <w:rsid w:val="00E56254"/>
    <w:rsid w:val="00E74759"/>
    <w:rsid w:val="00E74A8C"/>
    <w:rsid w:val="00E75196"/>
    <w:rsid w:val="00E762E4"/>
    <w:rsid w:val="00E812EF"/>
    <w:rsid w:val="00E82CC6"/>
    <w:rsid w:val="00E87431"/>
    <w:rsid w:val="00E92C88"/>
    <w:rsid w:val="00E94D84"/>
    <w:rsid w:val="00EA7E68"/>
    <w:rsid w:val="00EB003F"/>
    <w:rsid w:val="00EB0ECB"/>
    <w:rsid w:val="00EB6BD9"/>
    <w:rsid w:val="00EB7155"/>
    <w:rsid w:val="00EC0E42"/>
    <w:rsid w:val="00EC3F79"/>
    <w:rsid w:val="00EC7BB5"/>
    <w:rsid w:val="00ED10AC"/>
    <w:rsid w:val="00ED2E0A"/>
    <w:rsid w:val="00ED2E85"/>
    <w:rsid w:val="00ED3C31"/>
    <w:rsid w:val="00ED6201"/>
    <w:rsid w:val="00EE29D6"/>
    <w:rsid w:val="00EE3559"/>
    <w:rsid w:val="00EE4334"/>
    <w:rsid w:val="00EE7641"/>
    <w:rsid w:val="00EF2503"/>
    <w:rsid w:val="00EF6134"/>
    <w:rsid w:val="00EF74C2"/>
    <w:rsid w:val="00F072D2"/>
    <w:rsid w:val="00F07738"/>
    <w:rsid w:val="00F12863"/>
    <w:rsid w:val="00F13D2C"/>
    <w:rsid w:val="00F14666"/>
    <w:rsid w:val="00F155D7"/>
    <w:rsid w:val="00F156D5"/>
    <w:rsid w:val="00F160D8"/>
    <w:rsid w:val="00F170F2"/>
    <w:rsid w:val="00F17FB9"/>
    <w:rsid w:val="00F228D9"/>
    <w:rsid w:val="00F22F81"/>
    <w:rsid w:val="00F24FA0"/>
    <w:rsid w:val="00F2551A"/>
    <w:rsid w:val="00F263F6"/>
    <w:rsid w:val="00F27AD3"/>
    <w:rsid w:val="00F30899"/>
    <w:rsid w:val="00F318A7"/>
    <w:rsid w:val="00F32228"/>
    <w:rsid w:val="00F34109"/>
    <w:rsid w:val="00F34894"/>
    <w:rsid w:val="00F405DB"/>
    <w:rsid w:val="00F42E28"/>
    <w:rsid w:val="00F46295"/>
    <w:rsid w:val="00F46722"/>
    <w:rsid w:val="00F51834"/>
    <w:rsid w:val="00F53291"/>
    <w:rsid w:val="00F5546F"/>
    <w:rsid w:val="00F5559E"/>
    <w:rsid w:val="00F578E9"/>
    <w:rsid w:val="00F62AA6"/>
    <w:rsid w:val="00F62C9A"/>
    <w:rsid w:val="00F7321C"/>
    <w:rsid w:val="00F7443E"/>
    <w:rsid w:val="00F8178B"/>
    <w:rsid w:val="00F83B9B"/>
    <w:rsid w:val="00F859E9"/>
    <w:rsid w:val="00F859F4"/>
    <w:rsid w:val="00F90F76"/>
    <w:rsid w:val="00F94C90"/>
    <w:rsid w:val="00F96070"/>
    <w:rsid w:val="00F972DC"/>
    <w:rsid w:val="00FA06A2"/>
    <w:rsid w:val="00FA10B7"/>
    <w:rsid w:val="00FA11D3"/>
    <w:rsid w:val="00FA1E35"/>
    <w:rsid w:val="00FA2524"/>
    <w:rsid w:val="00FB03C6"/>
    <w:rsid w:val="00FB49C7"/>
    <w:rsid w:val="00FB6A82"/>
    <w:rsid w:val="00FC0E54"/>
    <w:rsid w:val="00FC1C56"/>
    <w:rsid w:val="00FD1E06"/>
    <w:rsid w:val="00FD1F6D"/>
    <w:rsid w:val="00FE00AD"/>
    <w:rsid w:val="00FE0E8B"/>
    <w:rsid w:val="00FE1EA0"/>
    <w:rsid w:val="00FE57E7"/>
    <w:rsid w:val="00FE664F"/>
    <w:rsid w:val="00FF06B4"/>
    <w:rsid w:val="00FF15AC"/>
    <w:rsid w:val="00FF29DD"/>
    <w:rsid w:val="00FF60CF"/>
    <w:rsid w:val="00FF695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6D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F22F81"/>
    <w:pPr>
      <w:ind w:left="720"/>
      <w:contextualSpacing/>
    </w:pPr>
  </w:style>
  <w:style w:type="paragraph" w:styleId="Header">
    <w:name w:val="header"/>
    <w:basedOn w:val="Normal"/>
    <w:link w:val="HeaderChar"/>
    <w:uiPriority w:val="99"/>
    <w:unhideWhenUsed/>
    <w:rsid w:val="00670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4C5"/>
    <w:rPr>
      <w:lang w:val="ro-RO"/>
    </w:rPr>
  </w:style>
  <w:style w:type="paragraph" w:styleId="Footer">
    <w:name w:val="footer"/>
    <w:basedOn w:val="Normal"/>
    <w:link w:val="FooterChar"/>
    <w:uiPriority w:val="99"/>
    <w:unhideWhenUsed/>
    <w:rsid w:val="00670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4C5"/>
    <w:rPr>
      <w:lang w:val="ro-RO"/>
    </w:rPr>
  </w:style>
  <w:style w:type="character" w:styleId="CommentReference">
    <w:name w:val="annotation reference"/>
    <w:basedOn w:val="DefaultParagraphFont"/>
    <w:uiPriority w:val="99"/>
    <w:semiHidden/>
    <w:unhideWhenUsed/>
    <w:rsid w:val="005879EE"/>
    <w:rPr>
      <w:sz w:val="16"/>
      <w:szCs w:val="16"/>
    </w:rPr>
  </w:style>
  <w:style w:type="paragraph" w:styleId="CommentText">
    <w:name w:val="annotation text"/>
    <w:basedOn w:val="Normal"/>
    <w:link w:val="CommentTextChar"/>
    <w:uiPriority w:val="99"/>
    <w:semiHidden/>
    <w:unhideWhenUsed/>
    <w:rsid w:val="005879EE"/>
    <w:pPr>
      <w:spacing w:line="240" w:lineRule="auto"/>
    </w:pPr>
    <w:rPr>
      <w:sz w:val="20"/>
      <w:szCs w:val="20"/>
    </w:rPr>
  </w:style>
  <w:style w:type="character" w:customStyle="1" w:styleId="CommentTextChar">
    <w:name w:val="Comment Text Char"/>
    <w:basedOn w:val="DefaultParagraphFont"/>
    <w:link w:val="CommentText"/>
    <w:uiPriority w:val="99"/>
    <w:semiHidden/>
    <w:rsid w:val="005879EE"/>
    <w:rPr>
      <w:sz w:val="20"/>
      <w:szCs w:val="20"/>
      <w:lang w:val="ro-RO"/>
    </w:rPr>
  </w:style>
  <w:style w:type="paragraph" w:styleId="CommentSubject">
    <w:name w:val="annotation subject"/>
    <w:basedOn w:val="CommentText"/>
    <w:next w:val="CommentText"/>
    <w:link w:val="CommentSubjectChar"/>
    <w:uiPriority w:val="99"/>
    <w:semiHidden/>
    <w:unhideWhenUsed/>
    <w:rsid w:val="005879EE"/>
    <w:rPr>
      <w:b/>
      <w:bCs/>
    </w:rPr>
  </w:style>
  <w:style w:type="character" w:customStyle="1" w:styleId="CommentSubjectChar">
    <w:name w:val="Comment Subject Char"/>
    <w:basedOn w:val="CommentTextChar"/>
    <w:link w:val="CommentSubject"/>
    <w:uiPriority w:val="99"/>
    <w:semiHidden/>
    <w:rsid w:val="005879EE"/>
    <w:rPr>
      <w:b/>
      <w:bCs/>
      <w:sz w:val="20"/>
      <w:szCs w:val="20"/>
      <w:lang w:val="ro-RO"/>
    </w:rPr>
  </w:style>
  <w:style w:type="paragraph" w:styleId="BalloonText">
    <w:name w:val="Balloon Text"/>
    <w:basedOn w:val="Normal"/>
    <w:link w:val="BalloonTextChar"/>
    <w:uiPriority w:val="99"/>
    <w:semiHidden/>
    <w:unhideWhenUsed/>
    <w:rsid w:val="00587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EE"/>
    <w:rPr>
      <w:rFonts w:ascii="Segoe UI" w:hAnsi="Segoe UI" w:cs="Segoe UI"/>
      <w:sz w:val="18"/>
      <w:szCs w:val="18"/>
      <w:lang w:val="ro-RO"/>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nhideWhenUsed/>
    <w:rsid w:val="009746E7"/>
    <w:pPr>
      <w:spacing w:after="0" w:line="240" w:lineRule="auto"/>
    </w:pPr>
    <w:rPr>
      <w:sz w:val="20"/>
      <w:szCs w:val="20"/>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uiPriority w:val="99"/>
    <w:rsid w:val="009746E7"/>
    <w:rPr>
      <w:sz w:val="20"/>
      <w:szCs w:val="20"/>
      <w:lang w:val="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BVI,SUPERS"/>
    <w:basedOn w:val="DefaultParagraphFont"/>
    <w:link w:val="SUPERSChar1"/>
    <w:unhideWhenUsed/>
    <w:rsid w:val="009746E7"/>
    <w:rPr>
      <w:vertAlign w:val="superscript"/>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locked/>
    <w:rsid w:val="00DB67BD"/>
    <w:rPr>
      <w:rFonts w:eastAsia="Calibri"/>
      <w:lang w:val="en-GB"/>
    </w:rPr>
  </w:style>
  <w:style w:type="character" w:customStyle="1" w:styleId="ListParagraphChar">
    <w:name w:val="List Paragraph Char"/>
    <w:link w:val="ListParagraph"/>
    <w:uiPriority w:val="99"/>
    <w:locked/>
    <w:rsid w:val="00DB67BD"/>
    <w:rPr>
      <w:lang w:val="ro-RO"/>
    </w:rPr>
  </w:style>
  <w:style w:type="paragraph" w:customStyle="1" w:styleId="SUPERSChar1">
    <w:name w:val="SUPERS Char1"/>
    <w:basedOn w:val="Normal"/>
    <w:next w:val="Normal"/>
    <w:link w:val="FootnoteReference"/>
    <w:rsid w:val="00DB67BD"/>
    <w:pPr>
      <w:suppressAutoHyphens/>
      <w:spacing w:line="240" w:lineRule="exact"/>
    </w:pPr>
    <w:rPr>
      <w:vertAlign w:val="superscript"/>
      <w:lang w:val="en-US"/>
    </w:rPr>
  </w:style>
  <w:style w:type="paragraph" w:styleId="NormalWeb">
    <w:name w:val="Normal (Web)"/>
    <w:basedOn w:val="Normal"/>
    <w:uiPriority w:val="99"/>
    <w:rsid w:val="00DD52A5"/>
    <w:pPr>
      <w:suppressAutoHyphens/>
      <w:spacing w:after="280" w:line="276" w:lineRule="auto"/>
      <w:ind w:firstLine="709"/>
      <w:jc w:val="both"/>
    </w:pPr>
    <w:rPr>
      <w:rFonts w:ascii="Arial" w:eastAsia="Times New Roman"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49637782">
      <w:bodyDiv w:val="1"/>
      <w:marLeft w:val="0"/>
      <w:marRight w:val="0"/>
      <w:marTop w:val="0"/>
      <w:marBottom w:val="0"/>
      <w:divBdr>
        <w:top w:val="none" w:sz="0" w:space="0" w:color="auto"/>
        <w:left w:val="none" w:sz="0" w:space="0" w:color="auto"/>
        <w:bottom w:val="none" w:sz="0" w:space="0" w:color="auto"/>
        <w:right w:val="none" w:sz="0" w:space="0" w:color="auto"/>
      </w:divBdr>
    </w:div>
    <w:div w:id="381489058">
      <w:bodyDiv w:val="1"/>
      <w:marLeft w:val="0"/>
      <w:marRight w:val="0"/>
      <w:marTop w:val="0"/>
      <w:marBottom w:val="0"/>
      <w:divBdr>
        <w:top w:val="none" w:sz="0" w:space="0" w:color="auto"/>
        <w:left w:val="none" w:sz="0" w:space="0" w:color="auto"/>
        <w:bottom w:val="none" w:sz="0" w:space="0" w:color="auto"/>
        <w:right w:val="none" w:sz="0" w:space="0" w:color="auto"/>
      </w:divBdr>
    </w:div>
    <w:div w:id="408188320">
      <w:bodyDiv w:val="1"/>
      <w:marLeft w:val="0"/>
      <w:marRight w:val="0"/>
      <w:marTop w:val="0"/>
      <w:marBottom w:val="0"/>
      <w:divBdr>
        <w:top w:val="none" w:sz="0" w:space="0" w:color="auto"/>
        <w:left w:val="none" w:sz="0" w:space="0" w:color="auto"/>
        <w:bottom w:val="none" w:sz="0" w:space="0" w:color="auto"/>
        <w:right w:val="none" w:sz="0" w:space="0" w:color="auto"/>
      </w:divBdr>
      <w:divsChild>
        <w:div w:id="647828452">
          <w:marLeft w:val="0"/>
          <w:marRight w:val="0"/>
          <w:marTop w:val="0"/>
          <w:marBottom w:val="0"/>
          <w:divBdr>
            <w:top w:val="none" w:sz="0" w:space="0" w:color="auto"/>
            <w:left w:val="none" w:sz="0" w:space="0" w:color="auto"/>
            <w:bottom w:val="none" w:sz="0" w:space="0" w:color="auto"/>
            <w:right w:val="none" w:sz="0" w:space="0" w:color="auto"/>
          </w:divBdr>
          <w:divsChild>
            <w:div w:id="1462655684">
              <w:marLeft w:val="0"/>
              <w:marRight w:val="0"/>
              <w:marTop w:val="0"/>
              <w:marBottom w:val="0"/>
              <w:divBdr>
                <w:top w:val="none" w:sz="0" w:space="0" w:color="auto"/>
                <w:left w:val="none" w:sz="0" w:space="0" w:color="auto"/>
                <w:bottom w:val="none" w:sz="0" w:space="0" w:color="auto"/>
                <w:right w:val="none" w:sz="0" w:space="0" w:color="auto"/>
              </w:divBdr>
              <w:divsChild>
                <w:div w:id="58552840">
                  <w:marLeft w:val="0"/>
                  <w:marRight w:val="0"/>
                  <w:marTop w:val="0"/>
                  <w:marBottom w:val="0"/>
                  <w:divBdr>
                    <w:top w:val="none" w:sz="0" w:space="0" w:color="auto"/>
                    <w:left w:val="none" w:sz="0" w:space="0" w:color="auto"/>
                    <w:bottom w:val="none" w:sz="0" w:space="0" w:color="auto"/>
                    <w:right w:val="none" w:sz="0" w:space="0" w:color="auto"/>
                  </w:divBdr>
                  <w:divsChild>
                    <w:div w:id="14544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576813">
      <w:bodyDiv w:val="1"/>
      <w:marLeft w:val="0"/>
      <w:marRight w:val="0"/>
      <w:marTop w:val="0"/>
      <w:marBottom w:val="0"/>
      <w:divBdr>
        <w:top w:val="none" w:sz="0" w:space="0" w:color="auto"/>
        <w:left w:val="none" w:sz="0" w:space="0" w:color="auto"/>
        <w:bottom w:val="none" w:sz="0" w:space="0" w:color="auto"/>
        <w:right w:val="none" w:sz="0" w:space="0" w:color="auto"/>
      </w:divBdr>
      <w:divsChild>
        <w:div w:id="1433161564">
          <w:marLeft w:val="0"/>
          <w:marRight w:val="0"/>
          <w:marTop w:val="0"/>
          <w:marBottom w:val="0"/>
          <w:divBdr>
            <w:top w:val="none" w:sz="0" w:space="0" w:color="auto"/>
            <w:left w:val="none" w:sz="0" w:space="0" w:color="auto"/>
            <w:bottom w:val="none" w:sz="0" w:space="0" w:color="auto"/>
            <w:right w:val="none" w:sz="0" w:space="0" w:color="auto"/>
          </w:divBdr>
          <w:divsChild>
            <w:div w:id="746417412">
              <w:marLeft w:val="0"/>
              <w:marRight w:val="0"/>
              <w:marTop w:val="0"/>
              <w:marBottom w:val="0"/>
              <w:divBdr>
                <w:top w:val="none" w:sz="0" w:space="0" w:color="auto"/>
                <w:left w:val="none" w:sz="0" w:space="0" w:color="auto"/>
                <w:bottom w:val="none" w:sz="0" w:space="0" w:color="auto"/>
                <w:right w:val="none" w:sz="0" w:space="0" w:color="auto"/>
              </w:divBdr>
              <w:divsChild>
                <w:div w:id="1749644067">
                  <w:marLeft w:val="0"/>
                  <w:marRight w:val="0"/>
                  <w:marTop w:val="0"/>
                  <w:marBottom w:val="0"/>
                  <w:divBdr>
                    <w:top w:val="none" w:sz="0" w:space="0" w:color="auto"/>
                    <w:left w:val="none" w:sz="0" w:space="0" w:color="auto"/>
                    <w:bottom w:val="none" w:sz="0" w:space="0" w:color="auto"/>
                    <w:right w:val="none" w:sz="0" w:space="0" w:color="auto"/>
                  </w:divBdr>
                  <w:divsChild>
                    <w:div w:id="13880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472528">
      <w:bodyDiv w:val="1"/>
      <w:marLeft w:val="0"/>
      <w:marRight w:val="0"/>
      <w:marTop w:val="0"/>
      <w:marBottom w:val="0"/>
      <w:divBdr>
        <w:top w:val="none" w:sz="0" w:space="0" w:color="auto"/>
        <w:left w:val="none" w:sz="0" w:space="0" w:color="auto"/>
        <w:bottom w:val="none" w:sz="0" w:space="0" w:color="auto"/>
        <w:right w:val="none" w:sz="0" w:space="0" w:color="auto"/>
      </w:divBdr>
    </w:div>
    <w:div w:id="768162832">
      <w:bodyDiv w:val="1"/>
      <w:marLeft w:val="0"/>
      <w:marRight w:val="0"/>
      <w:marTop w:val="0"/>
      <w:marBottom w:val="0"/>
      <w:divBdr>
        <w:top w:val="none" w:sz="0" w:space="0" w:color="auto"/>
        <w:left w:val="none" w:sz="0" w:space="0" w:color="auto"/>
        <w:bottom w:val="none" w:sz="0" w:space="0" w:color="auto"/>
        <w:right w:val="none" w:sz="0" w:space="0" w:color="auto"/>
      </w:divBdr>
    </w:div>
    <w:div w:id="873730224">
      <w:bodyDiv w:val="1"/>
      <w:marLeft w:val="0"/>
      <w:marRight w:val="0"/>
      <w:marTop w:val="0"/>
      <w:marBottom w:val="0"/>
      <w:divBdr>
        <w:top w:val="none" w:sz="0" w:space="0" w:color="auto"/>
        <w:left w:val="none" w:sz="0" w:space="0" w:color="auto"/>
        <w:bottom w:val="none" w:sz="0" w:space="0" w:color="auto"/>
        <w:right w:val="none" w:sz="0" w:space="0" w:color="auto"/>
      </w:divBdr>
    </w:div>
    <w:div w:id="924998957">
      <w:bodyDiv w:val="1"/>
      <w:marLeft w:val="0"/>
      <w:marRight w:val="0"/>
      <w:marTop w:val="0"/>
      <w:marBottom w:val="0"/>
      <w:divBdr>
        <w:top w:val="none" w:sz="0" w:space="0" w:color="auto"/>
        <w:left w:val="none" w:sz="0" w:space="0" w:color="auto"/>
        <w:bottom w:val="none" w:sz="0" w:space="0" w:color="auto"/>
        <w:right w:val="none" w:sz="0" w:space="0" w:color="auto"/>
      </w:divBdr>
    </w:div>
    <w:div w:id="1019239907">
      <w:bodyDiv w:val="1"/>
      <w:marLeft w:val="0"/>
      <w:marRight w:val="0"/>
      <w:marTop w:val="0"/>
      <w:marBottom w:val="0"/>
      <w:divBdr>
        <w:top w:val="none" w:sz="0" w:space="0" w:color="auto"/>
        <w:left w:val="none" w:sz="0" w:space="0" w:color="auto"/>
        <w:bottom w:val="none" w:sz="0" w:space="0" w:color="auto"/>
        <w:right w:val="none" w:sz="0" w:space="0" w:color="auto"/>
      </w:divBdr>
    </w:div>
    <w:div w:id="1175341421">
      <w:bodyDiv w:val="1"/>
      <w:marLeft w:val="0"/>
      <w:marRight w:val="0"/>
      <w:marTop w:val="0"/>
      <w:marBottom w:val="0"/>
      <w:divBdr>
        <w:top w:val="none" w:sz="0" w:space="0" w:color="auto"/>
        <w:left w:val="none" w:sz="0" w:space="0" w:color="auto"/>
        <w:bottom w:val="none" w:sz="0" w:space="0" w:color="auto"/>
        <w:right w:val="none" w:sz="0" w:space="0" w:color="auto"/>
      </w:divBdr>
    </w:div>
    <w:div w:id="1431007916">
      <w:bodyDiv w:val="1"/>
      <w:marLeft w:val="0"/>
      <w:marRight w:val="0"/>
      <w:marTop w:val="0"/>
      <w:marBottom w:val="0"/>
      <w:divBdr>
        <w:top w:val="none" w:sz="0" w:space="0" w:color="auto"/>
        <w:left w:val="none" w:sz="0" w:space="0" w:color="auto"/>
        <w:bottom w:val="none" w:sz="0" w:space="0" w:color="auto"/>
        <w:right w:val="none" w:sz="0" w:space="0" w:color="auto"/>
      </w:divBdr>
    </w:div>
    <w:div w:id="1521580310">
      <w:bodyDiv w:val="1"/>
      <w:marLeft w:val="0"/>
      <w:marRight w:val="0"/>
      <w:marTop w:val="0"/>
      <w:marBottom w:val="0"/>
      <w:divBdr>
        <w:top w:val="none" w:sz="0" w:space="0" w:color="auto"/>
        <w:left w:val="none" w:sz="0" w:space="0" w:color="auto"/>
        <w:bottom w:val="none" w:sz="0" w:space="0" w:color="auto"/>
        <w:right w:val="none" w:sz="0" w:space="0" w:color="auto"/>
      </w:divBdr>
    </w:div>
    <w:div w:id="1778670762">
      <w:bodyDiv w:val="1"/>
      <w:marLeft w:val="0"/>
      <w:marRight w:val="0"/>
      <w:marTop w:val="0"/>
      <w:marBottom w:val="0"/>
      <w:divBdr>
        <w:top w:val="none" w:sz="0" w:space="0" w:color="auto"/>
        <w:left w:val="none" w:sz="0" w:space="0" w:color="auto"/>
        <w:bottom w:val="none" w:sz="0" w:space="0" w:color="auto"/>
        <w:right w:val="none" w:sz="0" w:space="0" w:color="auto"/>
      </w:divBdr>
    </w:div>
    <w:div w:id="1824615786">
      <w:bodyDiv w:val="1"/>
      <w:marLeft w:val="0"/>
      <w:marRight w:val="0"/>
      <w:marTop w:val="0"/>
      <w:marBottom w:val="0"/>
      <w:divBdr>
        <w:top w:val="none" w:sz="0" w:space="0" w:color="auto"/>
        <w:left w:val="none" w:sz="0" w:space="0" w:color="auto"/>
        <w:bottom w:val="none" w:sz="0" w:space="0" w:color="auto"/>
        <w:right w:val="none" w:sz="0" w:space="0" w:color="auto"/>
      </w:divBdr>
    </w:div>
    <w:div w:id="1905142466">
      <w:bodyDiv w:val="1"/>
      <w:marLeft w:val="0"/>
      <w:marRight w:val="0"/>
      <w:marTop w:val="0"/>
      <w:marBottom w:val="0"/>
      <w:divBdr>
        <w:top w:val="none" w:sz="0" w:space="0" w:color="auto"/>
        <w:left w:val="none" w:sz="0" w:space="0" w:color="auto"/>
        <w:bottom w:val="none" w:sz="0" w:space="0" w:color="auto"/>
        <w:right w:val="none" w:sz="0" w:space="0" w:color="auto"/>
      </w:divBdr>
    </w:div>
    <w:div w:id="1907298014">
      <w:bodyDiv w:val="1"/>
      <w:marLeft w:val="0"/>
      <w:marRight w:val="0"/>
      <w:marTop w:val="0"/>
      <w:marBottom w:val="0"/>
      <w:divBdr>
        <w:top w:val="none" w:sz="0" w:space="0" w:color="auto"/>
        <w:left w:val="none" w:sz="0" w:space="0" w:color="auto"/>
        <w:bottom w:val="none" w:sz="0" w:space="0" w:color="auto"/>
        <w:right w:val="none" w:sz="0" w:space="0" w:color="auto"/>
      </w:divBdr>
    </w:div>
    <w:div w:id="19118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F091545DF5430EA6AAEAE65AB5A483"/>
        <w:category>
          <w:name w:val="General"/>
          <w:gallery w:val="placeholder"/>
        </w:category>
        <w:types>
          <w:type w:val="bbPlcHdr"/>
        </w:types>
        <w:behaviors>
          <w:behavior w:val="content"/>
        </w:behaviors>
        <w:guid w:val="{828B5E21-1880-46AD-86CB-EBC6EFD5E32A}"/>
      </w:docPartPr>
      <w:docPartBody>
        <w:p w:rsidR="00ED5B3A" w:rsidRDefault="005F4EA3" w:rsidP="005F4EA3">
          <w:pPr>
            <w:pStyle w:val="6BF091545DF5430EA6AAEAE65AB5A483"/>
          </w:pPr>
          <w:r>
            <w:rPr>
              <w:rStyle w:val="PlaceholderText"/>
            </w:rPr>
            <w:t>[Author]</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EC30AA"/>
    <w:rsid w:val="000069C4"/>
    <w:rsid w:val="00380767"/>
    <w:rsid w:val="003A3581"/>
    <w:rsid w:val="003C565D"/>
    <w:rsid w:val="004C41A1"/>
    <w:rsid w:val="004D7935"/>
    <w:rsid w:val="00521A6A"/>
    <w:rsid w:val="005F4EA3"/>
    <w:rsid w:val="005F5A98"/>
    <w:rsid w:val="006569BF"/>
    <w:rsid w:val="007260C7"/>
    <w:rsid w:val="007E2DAF"/>
    <w:rsid w:val="00A6098D"/>
    <w:rsid w:val="00AA72C7"/>
    <w:rsid w:val="00B34C2B"/>
    <w:rsid w:val="00D35A8A"/>
    <w:rsid w:val="00DC6C38"/>
    <w:rsid w:val="00DF7914"/>
    <w:rsid w:val="00E41BD3"/>
    <w:rsid w:val="00EC30AA"/>
    <w:rsid w:val="00ED5B3A"/>
    <w:rsid w:val="00F46396"/>
    <w:rsid w:val="00F876AA"/>
    <w:rsid w:val="00FD75F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EA3"/>
    <w:rPr>
      <w:color w:val="808080"/>
    </w:rPr>
  </w:style>
  <w:style w:type="paragraph" w:customStyle="1" w:styleId="F8C64A9800D0422085EDA2283C482DCF">
    <w:name w:val="F8C64A9800D0422085EDA2283C482DCF"/>
    <w:rsid w:val="00EC30AA"/>
  </w:style>
  <w:style w:type="paragraph" w:customStyle="1" w:styleId="6BF091545DF5430EA6AAEAE65AB5A483">
    <w:name w:val="6BF091545DF5430EA6AAEAE65AB5A483"/>
    <w:rsid w:val="005F4EA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E1EEC-E2EE-4E29-BD42-F197447A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13</Pages>
  <Words>2900</Words>
  <Characters>16820</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Finantelor Publice</Company>
  <LinksUpToDate>false</LinksUpToDate>
  <CharactersWithSpaces>19681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RAPORT PRIVIND EXECUȚIA BUGETARĂ PE TRIMESTRUL AL ii-LEA AL ANULUI 2020</dc:creator>
  <cp:lastModifiedBy>74608387</cp:lastModifiedBy>
  <cp:revision>17</cp:revision>
  <cp:lastPrinted>2020-02-25T14:57:00Z</cp:lastPrinted>
  <dcterms:created xsi:type="dcterms:W3CDTF">2020-05-14T07:31:00Z</dcterms:created>
  <dcterms:modified xsi:type="dcterms:W3CDTF">2020-08-15T06:49:00Z</dcterms:modified>
</cp:coreProperties>
</file>