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61BB" w:rsidRPr="00942843" w:rsidRDefault="00CF55E5" w:rsidP="003F4E84">
      <w:pPr>
        <w:pBdr>
          <w:top w:val="single" w:sz="4" w:space="1" w:color="auto"/>
          <w:bottom w:val="single" w:sz="4" w:space="1" w:color="auto"/>
        </w:pBdr>
        <w:spacing w:after="120" w:line="240" w:lineRule="auto"/>
        <w:jc w:val="right"/>
        <w:rPr>
          <w:rFonts w:ascii="Tahoma" w:hAnsi="Tahoma" w:cs="Tahoma"/>
          <w:b/>
          <w:caps/>
          <w:color w:val="0070C0"/>
          <w:sz w:val="24"/>
          <w:szCs w:val="24"/>
        </w:rPr>
      </w:pPr>
      <w:r w:rsidRPr="00942843">
        <w:rPr>
          <w:rFonts w:ascii="Tahoma" w:hAnsi="Tahoma" w:cs="Tahoma"/>
          <w:b/>
          <w:caps/>
          <w:color w:val="0070C0"/>
          <w:sz w:val="24"/>
          <w:szCs w:val="24"/>
        </w:rPr>
        <w:t>RAPORT PRIVIND EXECU</w:t>
      </w:r>
      <w:r w:rsidR="003F4E84" w:rsidRPr="00942843">
        <w:rPr>
          <w:rFonts w:ascii="Tahoma" w:hAnsi="Tahoma" w:cs="Tahoma"/>
          <w:b/>
          <w:caps/>
          <w:color w:val="0070C0"/>
          <w:sz w:val="24"/>
          <w:szCs w:val="24"/>
        </w:rPr>
        <w:t>ția buget</w:t>
      </w:r>
      <w:r w:rsidRPr="00942843">
        <w:rPr>
          <w:rFonts w:ascii="Tahoma" w:hAnsi="Tahoma" w:cs="Tahoma"/>
          <w:b/>
          <w:caps/>
          <w:color w:val="0070C0"/>
          <w:sz w:val="24"/>
          <w:szCs w:val="24"/>
        </w:rPr>
        <w:t xml:space="preserve">ARĂ PE </w:t>
      </w:r>
    </w:p>
    <w:p w:rsidR="003F4E84" w:rsidRPr="00942843" w:rsidRDefault="00CF55E5" w:rsidP="003F4E84">
      <w:pPr>
        <w:pBdr>
          <w:top w:val="single" w:sz="4" w:space="1" w:color="auto"/>
          <w:bottom w:val="single" w:sz="4" w:space="1" w:color="auto"/>
        </w:pBdr>
        <w:spacing w:after="120" w:line="240" w:lineRule="auto"/>
        <w:jc w:val="right"/>
        <w:rPr>
          <w:rFonts w:ascii="Tahoma" w:hAnsi="Tahoma" w:cs="Tahoma"/>
          <w:b/>
          <w:caps/>
          <w:color w:val="0070C0"/>
          <w:sz w:val="24"/>
          <w:szCs w:val="24"/>
        </w:rPr>
      </w:pPr>
      <w:r w:rsidRPr="00942843">
        <w:rPr>
          <w:rFonts w:ascii="Tahoma" w:hAnsi="Tahoma" w:cs="Tahoma"/>
          <w:b/>
          <w:caps/>
          <w:color w:val="0070C0"/>
          <w:sz w:val="24"/>
          <w:szCs w:val="24"/>
        </w:rPr>
        <w:t>TRIMESTRU</w:t>
      </w:r>
      <w:r w:rsidR="008761BB" w:rsidRPr="00942843">
        <w:rPr>
          <w:rFonts w:ascii="Tahoma" w:hAnsi="Tahoma" w:cs="Tahoma"/>
          <w:b/>
          <w:caps/>
          <w:color w:val="0070C0"/>
          <w:sz w:val="24"/>
          <w:szCs w:val="24"/>
        </w:rPr>
        <w:t xml:space="preserve">L </w:t>
      </w:r>
      <w:r w:rsidRPr="00942843">
        <w:rPr>
          <w:rFonts w:ascii="Tahoma" w:hAnsi="Tahoma" w:cs="Tahoma"/>
          <w:b/>
          <w:caps/>
          <w:color w:val="0070C0"/>
          <w:sz w:val="24"/>
          <w:szCs w:val="24"/>
        </w:rPr>
        <w:t>AL</w:t>
      </w:r>
      <w:r w:rsidR="008761BB" w:rsidRPr="00942843">
        <w:rPr>
          <w:rFonts w:ascii="Tahoma" w:hAnsi="Tahoma" w:cs="Tahoma"/>
          <w:b/>
          <w:caps/>
          <w:color w:val="0070C0"/>
          <w:sz w:val="24"/>
          <w:szCs w:val="24"/>
        </w:rPr>
        <w:t xml:space="preserve"> II</w:t>
      </w:r>
      <w:r w:rsidR="00D057D9" w:rsidRPr="00942843">
        <w:rPr>
          <w:rFonts w:ascii="Tahoma" w:hAnsi="Tahoma" w:cs="Tahoma"/>
          <w:b/>
          <w:caps/>
          <w:color w:val="0070C0"/>
          <w:sz w:val="24"/>
          <w:szCs w:val="24"/>
        </w:rPr>
        <w:t>I</w:t>
      </w:r>
      <w:r w:rsidR="008761BB" w:rsidRPr="00942843">
        <w:rPr>
          <w:rFonts w:ascii="Tahoma" w:hAnsi="Tahoma" w:cs="Tahoma"/>
          <w:b/>
          <w:caps/>
          <w:color w:val="0070C0"/>
          <w:sz w:val="24"/>
          <w:szCs w:val="24"/>
        </w:rPr>
        <w:t>-lea al</w:t>
      </w:r>
      <w:r w:rsidRPr="00942843">
        <w:rPr>
          <w:rFonts w:ascii="Tahoma" w:hAnsi="Tahoma" w:cs="Tahoma"/>
          <w:b/>
          <w:caps/>
          <w:color w:val="0070C0"/>
          <w:sz w:val="24"/>
          <w:szCs w:val="24"/>
        </w:rPr>
        <w:t xml:space="preserve"> ANULUI 2020</w:t>
      </w:r>
    </w:p>
    <w:p w:rsidR="003F4E84" w:rsidRPr="00F32228" w:rsidRDefault="00526E8B" w:rsidP="00C9727F">
      <w:pPr>
        <w:spacing w:after="120" w:line="240" w:lineRule="auto"/>
        <w:jc w:val="right"/>
        <w:rPr>
          <w:rFonts w:ascii="Tahoma" w:hAnsi="Tahoma" w:cs="Tahoma"/>
          <w:b/>
          <w:color w:val="0070C0"/>
          <w:sz w:val="24"/>
          <w:szCs w:val="24"/>
        </w:rPr>
      </w:pPr>
      <w:r w:rsidRPr="00F32228">
        <w:rPr>
          <w:rFonts w:ascii="Tahoma" w:hAnsi="Tahoma" w:cs="Tahoma"/>
          <w:b/>
          <w:color w:val="0070C0"/>
          <w:sz w:val="24"/>
          <w:szCs w:val="24"/>
        </w:rPr>
        <w:br/>
      </w:r>
    </w:p>
    <w:p w:rsidR="00061787" w:rsidRPr="00942843" w:rsidRDefault="005D6D51" w:rsidP="00D475BB">
      <w:pPr>
        <w:shd w:val="clear" w:color="auto" w:fill="DEEAF6" w:themeFill="accent1" w:themeFillTint="33"/>
        <w:spacing w:after="120" w:line="276" w:lineRule="auto"/>
        <w:jc w:val="both"/>
        <w:rPr>
          <w:rFonts w:ascii="Tahoma" w:hAnsi="Tahoma" w:cs="Tahoma"/>
          <w:bCs/>
          <w:sz w:val="24"/>
          <w:szCs w:val="24"/>
        </w:rPr>
      </w:pPr>
      <w:r w:rsidRPr="00942843">
        <w:rPr>
          <w:rFonts w:ascii="Tahoma" w:hAnsi="Tahoma" w:cs="Tahoma"/>
          <w:bCs/>
          <w:sz w:val="24"/>
          <w:szCs w:val="24"/>
        </w:rPr>
        <w:t xml:space="preserve">În </w:t>
      </w:r>
      <w:r w:rsidR="00B37CEF" w:rsidRPr="00942843">
        <w:rPr>
          <w:rFonts w:ascii="Tahoma" w:hAnsi="Tahoma" w:cs="Tahoma"/>
          <w:bCs/>
          <w:sz w:val="24"/>
          <w:szCs w:val="24"/>
        </w:rPr>
        <w:t xml:space="preserve">al </w:t>
      </w:r>
      <w:r w:rsidR="00D057D9" w:rsidRPr="00942843">
        <w:rPr>
          <w:rFonts w:ascii="Tahoma" w:hAnsi="Tahoma" w:cs="Tahoma"/>
          <w:bCs/>
          <w:sz w:val="24"/>
          <w:szCs w:val="24"/>
        </w:rPr>
        <w:t xml:space="preserve">treilea </w:t>
      </w:r>
      <w:r w:rsidRPr="00942843">
        <w:rPr>
          <w:rFonts w:ascii="Tahoma" w:hAnsi="Tahoma" w:cs="Tahoma"/>
          <w:bCs/>
          <w:sz w:val="24"/>
          <w:szCs w:val="24"/>
        </w:rPr>
        <w:t>trimestru al anului 2020</w:t>
      </w:r>
      <w:r w:rsidR="002F2CFC" w:rsidRPr="00942843">
        <w:rPr>
          <w:rFonts w:ascii="Tahoma" w:hAnsi="Tahoma" w:cs="Tahoma"/>
          <w:bCs/>
          <w:sz w:val="24"/>
          <w:szCs w:val="24"/>
        </w:rPr>
        <w:t>,</w:t>
      </w:r>
      <w:r w:rsidRPr="00942843">
        <w:rPr>
          <w:rFonts w:ascii="Tahoma" w:hAnsi="Tahoma" w:cs="Tahoma"/>
          <w:bCs/>
          <w:sz w:val="24"/>
          <w:szCs w:val="24"/>
        </w:rPr>
        <w:t xml:space="preserve"> bugetul general consolidat a înregistrat un </w:t>
      </w:r>
      <w:r w:rsidRPr="00942843">
        <w:rPr>
          <w:rFonts w:ascii="Tahoma" w:hAnsi="Tahoma" w:cs="Tahoma"/>
          <w:b/>
          <w:bCs/>
          <w:sz w:val="24"/>
          <w:szCs w:val="24"/>
        </w:rPr>
        <w:t>deficit</w:t>
      </w:r>
      <w:r w:rsidRPr="00942843">
        <w:rPr>
          <w:rFonts w:ascii="Tahoma" w:hAnsi="Tahoma" w:cs="Tahoma"/>
          <w:bCs/>
          <w:sz w:val="24"/>
          <w:szCs w:val="24"/>
        </w:rPr>
        <w:t xml:space="preserve"> în valoare de </w:t>
      </w:r>
      <w:r w:rsidR="009C4F5E" w:rsidRPr="00942843">
        <w:rPr>
          <w:rFonts w:ascii="Tahoma" w:hAnsi="Tahoma" w:cs="Tahoma"/>
          <w:b/>
          <w:bCs/>
          <w:sz w:val="24"/>
          <w:szCs w:val="24"/>
        </w:rPr>
        <w:t>22</w:t>
      </w:r>
      <w:r w:rsidR="00B37CEF" w:rsidRPr="00942843">
        <w:rPr>
          <w:rFonts w:ascii="Tahoma" w:hAnsi="Tahoma" w:cs="Tahoma"/>
          <w:b/>
          <w:bCs/>
          <w:sz w:val="24"/>
          <w:szCs w:val="24"/>
        </w:rPr>
        <w:t>,1</w:t>
      </w:r>
      <w:r w:rsidR="009C4F5E" w:rsidRPr="00942843">
        <w:rPr>
          <w:rFonts w:ascii="Tahoma" w:hAnsi="Tahoma" w:cs="Tahoma"/>
          <w:b/>
          <w:bCs/>
          <w:sz w:val="24"/>
          <w:szCs w:val="24"/>
        </w:rPr>
        <w:t>2</w:t>
      </w:r>
      <w:r w:rsidR="007369A7" w:rsidRPr="00942843">
        <w:rPr>
          <w:rFonts w:ascii="Tahoma" w:hAnsi="Tahoma" w:cs="Tahoma"/>
          <w:b/>
          <w:bCs/>
          <w:sz w:val="24"/>
          <w:szCs w:val="24"/>
        </w:rPr>
        <w:t xml:space="preserve"> </w:t>
      </w:r>
      <w:r w:rsidR="007C6A86" w:rsidRPr="00942843">
        <w:rPr>
          <w:rFonts w:ascii="Tahoma" w:hAnsi="Tahoma" w:cs="Tahoma"/>
          <w:b/>
          <w:bCs/>
          <w:sz w:val="24"/>
          <w:szCs w:val="24"/>
        </w:rPr>
        <w:t>m</w:t>
      </w:r>
      <w:r w:rsidR="00713D80" w:rsidRPr="00942843">
        <w:rPr>
          <w:rFonts w:ascii="Tahoma" w:hAnsi="Tahoma" w:cs="Tahoma"/>
          <w:b/>
          <w:bCs/>
          <w:sz w:val="24"/>
          <w:szCs w:val="24"/>
        </w:rPr>
        <w:t>l</w:t>
      </w:r>
      <w:r w:rsidR="007C6A86" w:rsidRPr="00942843">
        <w:rPr>
          <w:rFonts w:ascii="Tahoma" w:hAnsi="Tahoma" w:cs="Tahoma"/>
          <w:b/>
          <w:bCs/>
          <w:sz w:val="24"/>
          <w:szCs w:val="24"/>
        </w:rPr>
        <w:t>d</w:t>
      </w:r>
      <w:r w:rsidR="00D475BB">
        <w:rPr>
          <w:rFonts w:ascii="Tahoma" w:hAnsi="Tahoma" w:cs="Tahoma"/>
          <w:b/>
          <w:bCs/>
          <w:sz w:val="24"/>
          <w:szCs w:val="24"/>
        </w:rPr>
        <w:t xml:space="preserve"> </w:t>
      </w:r>
      <w:r w:rsidRPr="00942843">
        <w:rPr>
          <w:rFonts w:ascii="Tahoma" w:hAnsi="Tahoma" w:cs="Tahoma"/>
          <w:b/>
          <w:bCs/>
          <w:sz w:val="24"/>
          <w:szCs w:val="24"/>
        </w:rPr>
        <w:t>lei (</w:t>
      </w:r>
      <w:r w:rsidR="00B37CEF" w:rsidRPr="00942843">
        <w:rPr>
          <w:rFonts w:ascii="Tahoma" w:hAnsi="Tahoma" w:cs="Tahoma"/>
          <w:b/>
          <w:bCs/>
          <w:sz w:val="24"/>
          <w:szCs w:val="24"/>
        </w:rPr>
        <w:t>2,</w:t>
      </w:r>
      <w:r w:rsidR="00D057D9" w:rsidRPr="00942843">
        <w:rPr>
          <w:rFonts w:ascii="Tahoma" w:hAnsi="Tahoma" w:cs="Tahoma"/>
          <w:b/>
          <w:bCs/>
          <w:sz w:val="24"/>
          <w:szCs w:val="24"/>
        </w:rPr>
        <w:t>09</w:t>
      </w:r>
      <w:r w:rsidRPr="00942843">
        <w:rPr>
          <w:rFonts w:ascii="Tahoma" w:hAnsi="Tahoma" w:cs="Tahoma"/>
          <w:b/>
          <w:bCs/>
          <w:sz w:val="24"/>
          <w:szCs w:val="24"/>
        </w:rPr>
        <w:t>% din PIB)</w:t>
      </w:r>
      <w:r w:rsidR="00C9727F" w:rsidRPr="00942843">
        <w:rPr>
          <w:rFonts w:ascii="Tahoma" w:hAnsi="Tahoma" w:cs="Tahoma"/>
          <w:bCs/>
          <w:sz w:val="24"/>
          <w:szCs w:val="24"/>
        </w:rPr>
        <w:t>,</w:t>
      </w:r>
      <w:r w:rsidR="007C6A86" w:rsidRPr="00942843">
        <w:rPr>
          <w:rFonts w:ascii="Tahoma" w:hAnsi="Tahoma" w:cs="Tahoma"/>
          <w:bCs/>
          <w:sz w:val="24"/>
          <w:szCs w:val="24"/>
        </w:rPr>
        <w:t xml:space="preserve"> cu </w:t>
      </w:r>
      <w:r w:rsidR="009C4F5E" w:rsidRPr="00942843">
        <w:rPr>
          <w:rFonts w:ascii="Tahoma" w:hAnsi="Tahoma" w:cs="Tahoma"/>
          <w:bCs/>
          <w:sz w:val="24"/>
          <w:szCs w:val="24"/>
        </w:rPr>
        <w:t>4</w:t>
      </w:r>
      <w:r w:rsidR="004108CF" w:rsidRPr="00942843">
        <w:rPr>
          <w:rFonts w:ascii="Tahoma" w:hAnsi="Tahoma" w:cs="Tahoma"/>
          <w:bCs/>
          <w:sz w:val="24"/>
          <w:szCs w:val="24"/>
        </w:rPr>
        <w:t>,</w:t>
      </w:r>
      <w:r w:rsidR="009C4F5E" w:rsidRPr="00942843">
        <w:rPr>
          <w:rFonts w:ascii="Tahoma" w:hAnsi="Tahoma" w:cs="Tahoma"/>
          <w:bCs/>
          <w:sz w:val="24"/>
          <w:szCs w:val="24"/>
        </w:rPr>
        <w:t xml:space="preserve">8 </w:t>
      </w:r>
      <w:r w:rsidR="007C6A86" w:rsidRPr="00942843">
        <w:rPr>
          <w:rFonts w:ascii="Tahoma" w:hAnsi="Tahoma" w:cs="Tahoma"/>
          <w:bCs/>
          <w:sz w:val="24"/>
          <w:szCs w:val="24"/>
        </w:rPr>
        <w:t>mld</w:t>
      </w:r>
      <w:r w:rsidR="00D475BB">
        <w:rPr>
          <w:rFonts w:ascii="Tahoma" w:hAnsi="Tahoma" w:cs="Tahoma"/>
          <w:bCs/>
          <w:sz w:val="24"/>
          <w:szCs w:val="24"/>
        </w:rPr>
        <w:t xml:space="preserve"> </w:t>
      </w:r>
      <w:r w:rsidRPr="00942843">
        <w:rPr>
          <w:rFonts w:ascii="Tahoma" w:hAnsi="Tahoma" w:cs="Tahoma"/>
          <w:bCs/>
          <w:sz w:val="24"/>
          <w:szCs w:val="24"/>
        </w:rPr>
        <w:t xml:space="preserve">lei </w:t>
      </w:r>
      <w:r w:rsidR="004108CF" w:rsidRPr="00942843">
        <w:rPr>
          <w:rFonts w:ascii="Tahoma" w:hAnsi="Tahoma" w:cs="Tahoma"/>
          <w:bCs/>
          <w:sz w:val="24"/>
          <w:szCs w:val="24"/>
        </w:rPr>
        <w:t>sub</w:t>
      </w:r>
      <w:r w:rsidRPr="00942843">
        <w:rPr>
          <w:rFonts w:ascii="Tahoma" w:hAnsi="Tahoma" w:cs="Tahoma"/>
          <w:bCs/>
          <w:sz w:val="24"/>
          <w:szCs w:val="24"/>
        </w:rPr>
        <w:t xml:space="preserve"> nivelul prognozat </w:t>
      </w:r>
      <w:r w:rsidR="007C6A86" w:rsidRPr="00942843">
        <w:rPr>
          <w:rFonts w:ascii="Tahoma" w:hAnsi="Tahoma" w:cs="Tahoma"/>
          <w:bCs/>
          <w:sz w:val="24"/>
          <w:szCs w:val="24"/>
        </w:rPr>
        <w:t xml:space="preserve">pentru perioada analizată de </w:t>
      </w:r>
      <w:r w:rsidR="009C4F5E" w:rsidRPr="00942843">
        <w:rPr>
          <w:rFonts w:ascii="Tahoma" w:hAnsi="Tahoma" w:cs="Tahoma"/>
          <w:bCs/>
          <w:sz w:val="24"/>
          <w:szCs w:val="24"/>
        </w:rPr>
        <w:t>26,96</w:t>
      </w:r>
      <w:r w:rsidR="007369A7" w:rsidRPr="00942843">
        <w:rPr>
          <w:rFonts w:ascii="Tahoma" w:hAnsi="Tahoma" w:cs="Tahoma"/>
          <w:bCs/>
          <w:sz w:val="24"/>
          <w:szCs w:val="24"/>
        </w:rPr>
        <w:t xml:space="preserve"> </w:t>
      </w:r>
      <w:r w:rsidR="007C6A86" w:rsidRPr="00942843">
        <w:rPr>
          <w:rFonts w:ascii="Tahoma" w:hAnsi="Tahoma" w:cs="Tahoma"/>
          <w:bCs/>
          <w:sz w:val="24"/>
          <w:szCs w:val="24"/>
        </w:rPr>
        <w:t>m</w:t>
      </w:r>
      <w:r w:rsidR="00713D80" w:rsidRPr="00942843">
        <w:rPr>
          <w:rFonts w:ascii="Tahoma" w:hAnsi="Tahoma" w:cs="Tahoma"/>
          <w:bCs/>
          <w:sz w:val="24"/>
          <w:szCs w:val="24"/>
        </w:rPr>
        <w:t>l</w:t>
      </w:r>
      <w:r w:rsidR="007C6A86" w:rsidRPr="00942843">
        <w:rPr>
          <w:rFonts w:ascii="Tahoma" w:hAnsi="Tahoma" w:cs="Tahoma"/>
          <w:bCs/>
          <w:sz w:val="24"/>
          <w:szCs w:val="24"/>
        </w:rPr>
        <w:t>d</w:t>
      </w:r>
      <w:r w:rsidR="007369A7" w:rsidRPr="00942843">
        <w:rPr>
          <w:rFonts w:ascii="Tahoma" w:hAnsi="Tahoma" w:cs="Tahoma"/>
          <w:bCs/>
          <w:sz w:val="24"/>
          <w:szCs w:val="24"/>
        </w:rPr>
        <w:t xml:space="preserve"> </w:t>
      </w:r>
      <w:r w:rsidRPr="00942843">
        <w:rPr>
          <w:rFonts w:ascii="Tahoma" w:hAnsi="Tahoma" w:cs="Tahoma"/>
          <w:bCs/>
          <w:sz w:val="24"/>
          <w:szCs w:val="24"/>
        </w:rPr>
        <w:t>lei (</w:t>
      </w:r>
      <w:r w:rsidR="009C4F5E" w:rsidRPr="00942843">
        <w:rPr>
          <w:rFonts w:ascii="Tahoma" w:hAnsi="Tahoma" w:cs="Tahoma"/>
          <w:bCs/>
          <w:sz w:val="24"/>
          <w:szCs w:val="24"/>
        </w:rPr>
        <w:t>2</w:t>
      </w:r>
      <w:r w:rsidR="004108CF" w:rsidRPr="00942843">
        <w:rPr>
          <w:rFonts w:ascii="Tahoma" w:hAnsi="Tahoma" w:cs="Tahoma"/>
          <w:bCs/>
          <w:sz w:val="24"/>
          <w:szCs w:val="24"/>
        </w:rPr>
        <w:t>,</w:t>
      </w:r>
      <w:r w:rsidR="009C4F5E" w:rsidRPr="00942843">
        <w:rPr>
          <w:rFonts w:ascii="Tahoma" w:hAnsi="Tahoma" w:cs="Tahoma"/>
          <w:bCs/>
          <w:sz w:val="24"/>
          <w:szCs w:val="24"/>
        </w:rPr>
        <w:t>55</w:t>
      </w:r>
      <w:r w:rsidRPr="00942843">
        <w:rPr>
          <w:rFonts w:ascii="Tahoma" w:hAnsi="Tahoma" w:cs="Tahoma"/>
          <w:bCs/>
          <w:sz w:val="24"/>
          <w:szCs w:val="24"/>
        </w:rPr>
        <w:t>% din PIB).</w:t>
      </w:r>
    </w:p>
    <w:p w:rsidR="00C670D8" w:rsidRPr="00942843" w:rsidRDefault="00C670D8" w:rsidP="00D475BB">
      <w:pPr>
        <w:shd w:val="clear" w:color="auto" w:fill="DEEAF6"/>
        <w:spacing w:after="120" w:line="276" w:lineRule="auto"/>
        <w:jc w:val="both"/>
        <w:rPr>
          <w:rFonts w:ascii="Tahoma" w:hAnsi="Tahoma" w:cs="Tahoma"/>
          <w:bCs/>
          <w:sz w:val="24"/>
          <w:szCs w:val="24"/>
        </w:rPr>
      </w:pPr>
      <w:r w:rsidRPr="00942843">
        <w:rPr>
          <w:rFonts w:ascii="Tahoma" w:hAnsi="Tahoma" w:cs="Tahoma"/>
          <w:bCs/>
          <w:sz w:val="24"/>
          <w:szCs w:val="24"/>
        </w:rPr>
        <w:t xml:space="preserve">Comparativ cu anul anterior deficitul bugetar a crescut în termeni nominali cu </w:t>
      </w:r>
      <w:r w:rsidR="009C4F5E" w:rsidRPr="00942843">
        <w:rPr>
          <w:rFonts w:ascii="Tahoma" w:hAnsi="Tahoma" w:cs="Tahoma"/>
          <w:bCs/>
          <w:sz w:val="24"/>
          <w:szCs w:val="24"/>
        </w:rPr>
        <w:t>15,1</w:t>
      </w:r>
      <w:r w:rsidRPr="00942843">
        <w:rPr>
          <w:rFonts w:ascii="Tahoma" w:hAnsi="Tahoma" w:cs="Tahoma"/>
          <w:bCs/>
          <w:sz w:val="24"/>
          <w:szCs w:val="24"/>
        </w:rPr>
        <w:t xml:space="preserve"> </w:t>
      </w:r>
      <w:r w:rsidR="00AC4186">
        <w:rPr>
          <w:rFonts w:ascii="Tahoma" w:hAnsi="Tahoma" w:cs="Tahoma"/>
          <w:bCs/>
          <w:sz w:val="24"/>
          <w:szCs w:val="24"/>
        </w:rPr>
        <w:t>mld</w:t>
      </w:r>
      <w:r w:rsidRPr="00942843">
        <w:rPr>
          <w:rFonts w:ascii="Tahoma" w:hAnsi="Tahoma" w:cs="Tahoma"/>
          <w:bCs/>
          <w:sz w:val="24"/>
          <w:szCs w:val="24"/>
        </w:rPr>
        <w:t xml:space="preserve"> lei</w:t>
      </w:r>
      <w:r w:rsidR="00F318A7" w:rsidRPr="00942843">
        <w:rPr>
          <w:rFonts w:ascii="Tahoma" w:hAnsi="Tahoma" w:cs="Tahoma"/>
          <w:bCs/>
          <w:sz w:val="24"/>
          <w:szCs w:val="24"/>
        </w:rPr>
        <w:t>,</w:t>
      </w:r>
      <w:r w:rsidRPr="00942843">
        <w:rPr>
          <w:rFonts w:ascii="Tahoma" w:hAnsi="Tahoma" w:cs="Tahoma"/>
          <w:bCs/>
          <w:sz w:val="24"/>
          <w:szCs w:val="24"/>
        </w:rPr>
        <w:t xml:space="preserve"> iar ca procent în PIB s-a majorat cu 1,</w:t>
      </w:r>
      <w:r w:rsidR="009C4F5E" w:rsidRPr="00942843">
        <w:rPr>
          <w:rFonts w:ascii="Tahoma" w:hAnsi="Tahoma" w:cs="Tahoma"/>
          <w:bCs/>
          <w:sz w:val="24"/>
          <w:szCs w:val="24"/>
        </w:rPr>
        <w:t>43</w:t>
      </w:r>
      <w:r w:rsidRPr="00942843">
        <w:rPr>
          <w:rFonts w:ascii="Tahoma" w:hAnsi="Tahoma" w:cs="Tahoma"/>
          <w:bCs/>
          <w:sz w:val="24"/>
          <w:szCs w:val="24"/>
        </w:rPr>
        <w:t xml:space="preserve"> puncte procentuale de la </w:t>
      </w:r>
      <w:r w:rsidR="009C4F5E" w:rsidRPr="00942843">
        <w:rPr>
          <w:rFonts w:ascii="Tahoma" w:hAnsi="Tahoma" w:cs="Tahoma"/>
          <w:bCs/>
          <w:sz w:val="24"/>
          <w:szCs w:val="24"/>
        </w:rPr>
        <w:t>0,66</w:t>
      </w:r>
      <w:r w:rsidRPr="00942843">
        <w:rPr>
          <w:rFonts w:ascii="Tahoma" w:hAnsi="Tahoma" w:cs="Tahoma"/>
          <w:bCs/>
          <w:sz w:val="24"/>
          <w:szCs w:val="24"/>
        </w:rPr>
        <w:t>% din PIB în trimestrul II</w:t>
      </w:r>
      <w:r w:rsidR="009C4F5E" w:rsidRPr="00942843">
        <w:rPr>
          <w:rFonts w:ascii="Tahoma" w:hAnsi="Tahoma" w:cs="Tahoma"/>
          <w:bCs/>
          <w:sz w:val="24"/>
          <w:szCs w:val="24"/>
        </w:rPr>
        <w:t>I</w:t>
      </w:r>
      <w:r w:rsidRPr="00942843">
        <w:rPr>
          <w:rFonts w:ascii="Tahoma" w:hAnsi="Tahoma" w:cs="Tahoma"/>
          <w:bCs/>
          <w:sz w:val="24"/>
          <w:szCs w:val="24"/>
        </w:rPr>
        <w:t xml:space="preserve"> 2019 la 2,</w:t>
      </w:r>
      <w:r w:rsidR="009C4F5E" w:rsidRPr="00942843">
        <w:rPr>
          <w:rFonts w:ascii="Tahoma" w:hAnsi="Tahoma" w:cs="Tahoma"/>
          <w:bCs/>
          <w:sz w:val="24"/>
          <w:szCs w:val="24"/>
        </w:rPr>
        <w:t>09</w:t>
      </w:r>
      <w:r w:rsidRPr="00942843">
        <w:rPr>
          <w:rFonts w:ascii="Tahoma" w:hAnsi="Tahoma" w:cs="Tahoma"/>
          <w:bCs/>
          <w:sz w:val="24"/>
          <w:szCs w:val="24"/>
        </w:rPr>
        <w:t>% din PIB în trimestrul II</w:t>
      </w:r>
      <w:r w:rsidR="009C4F5E" w:rsidRPr="00942843">
        <w:rPr>
          <w:rFonts w:ascii="Tahoma" w:hAnsi="Tahoma" w:cs="Tahoma"/>
          <w:bCs/>
          <w:sz w:val="24"/>
          <w:szCs w:val="24"/>
        </w:rPr>
        <w:t>I</w:t>
      </w:r>
      <w:r w:rsidRPr="00942843">
        <w:rPr>
          <w:rFonts w:ascii="Tahoma" w:hAnsi="Tahoma" w:cs="Tahoma"/>
          <w:bCs/>
          <w:sz w:val="24"/>
          <w:szCs w:val="24"/>
        </w:rPr>
        <w:t xml:space="preserve"> 2020.</w:t>
      </w:r>
    </w:p>
    <w:p w:rsidR="00D475BB" w:rsidRDefault="00F24FA0" w:rsidP="00D475BB">
      <w:pPr>
        <w:shd w:val="clear" w:color="auto" w:fill="DEEAF6"/>
        <w:spacing w:after="120" w:line="276" w:lineRule="auto"/>
        <w:jc w:val="both"/>
        <w:rPr>
          <w:rFonts w:ascii="Tahoma" w:hAnsi="Tahoma" w:cs="Tahoma"/>
          <w:sz w:val="24"/>
          <w:szCs w:val="24"/>
        </w:rPr>
      </w:pPr>
      <w:r w:rsidRPr="00942843">
        <w:rPr>
          <w:rFonts w:ascii="Tahoma" w:hAnsi="Tahoma" w:cs="Tahoma"/>
          <w:bCs/>
          <w:sz w:val="24"/>
          <w:szCs w:val="24"/>
        </w:rPr>
        <w:t>Adânci</w:t>
      </w:r>
      <w:r w:rsidR="00FB49C7" w:rsidRPr="00942843">
        <w:rPr>
          <w:rFonts w:ascii="Tahoma" w:hAnsi="Tahoma" w:cs="Tahoma"/>
          <w:bCs/>
          <w:sz w:val="24"/>
          <w:szCs w:val="24"/>
        </w:rPr>
        <w:t>rea deficitului bugetar aferent</w:t>
      </w:r>
      <w:r w:rsidRPr="00942843">
        <w:rPr>
          <w:rFonts w:ascii="Tahoma" w:hAnsi="Tahoma" w:cs="Tahoma"/>
          <w:bCs/>
          <w:sz w:val="24"/>
          <w:szCs w:val="24"/>
        </w:rPr>
        <w:t xml:space="preserve"> trimestru</w:t>
      </w:r>
      <w:r w:rsidR="00FB49C7" w:rsidRPr="00942843">
        <w:rPr>
          <w:rFonts w:ascii="Tahoma" w:hAnsi="Tahoma" w:cs="Tahoma"/>
          <w:bCs/>
          <w:sz w:val="24"/>
          <w:szCs w:val="24"/>
        </w:rPr>
        <w:t xml:space="preserve">lui </w:t>
      </w:r>
      <w:r w:rsidR="00DB11FA">
        <w:rPr>
          <w:rFonts w:ascii="Tahoma" w:hAnsi="Tahoma" w:cs="Tahoma"/>
          <w:bCs/>
          <w:sz w:val="24"/>
          <w:szCs w:val="24"/>
        </w:rPr>
        <w:t xml:space="preserve">al </w:t>
      </w:r>
      <w:r w:rsidR="00FB49C7" w:rsidRPr="00942843">
        <w:rPr>
          <w:rFonts w:ascii="Tahoma" w:hAnsi="Tahoma" w:cs="Tahoma"/>
          <w:bCs/>
          <w:sz w:val="24"/>
          <w:szCs w:val="24"/>
        </w:rPr>
        <w:t>II</w:t>
      </w:r>
      <w:r w:rsidR="009765E0" w:rsidRPr="00942843">
        <w:rPr>
          <w:rFonts w:ascii="Tahoma" w:hAnsi="Tahoma" w:cs="Tahoma"/>
          <w:bCs/>
          <w:sz w:val="24"/>
          <w:szCs w:val="24"/>
        </w:rPr>
        <w:t>I</w:t>
      </w:r>
      <w:r w:rsidR="00D475BB">
        <w:rPr>
          <w:rFonts w:ascii="Tahoma" w:hAnsi="Tahoma" w:cs="Tahoma"/>
          <w:bCs/>
          <w:sz w:val="24"/>
          <w:szCs w:val="24"/>
        </w:rPr>
        <w:t>-</w:t>
      </w:r>
      <w:r w:rsidR="00DB11FA">
        <w:rPr>
          <w:rFonts w:ascii="Tahoma" w:hAnsi="Tahoma" w:cs="Tahoma"/>
          <w:bCs/>
          <w:sz w:val="24"/>
          <w:szCs w:val="24"/>
        </w:rPr>
        <w:t>lea al anului</w:t>
      </w:r>
      <w:r w:rsidR="00FB49C7" w:rsidRPr="00942843">
        <w:rPr>
          <w:rFonts w:ascii="Tahoma" w:hAnsi="Tahoma" w:cs="Tahoma"/>
          <w:bCs/>
          <w:sz w:val="24"/>
          <w:szCs w:val="24"/>
        </w:rPr>
        <w:t xml:space="preserve"> 2020</w:t>
      </w:r>
      <w:r w:rsidRPr="00942843">
        <w:rPr>
          <w:rFonts w:ascii="Tahoma" w:hAnsi="Tahoma" w:cs="Tahoma"/>
          <w:bCs/>
          <w:sz w:val="24"/>
          <w:szCs w:val="24"/>
        </w:rPr>
        <w:t xml:space="preserve"> comparativ cu perioada similară a anului trecut este explicată în primul rând de evoluția nefavorabilă a veniturilor bugetare </w:t>
      </w:r>
      <w:r w:rsidR="00FB49C7" w:rsidRPr="00942843">
        <w:rPr>
          <w:rFonts w:ascii="Tahoma" w:hAnsi="Tahoma" w:cs="Tahoma"/>
          <w:sz w:val="24"/>
          <w:szCs w:val="24"/>
        </w:rPr>
        <w:t>ca urmare a amânării plății unor obligații fiscale de către agenții economici pe perioada crizei</w:t>
      </w:r>
      <w:r w:rsidR="00F318A7" w:rsidRPr="00942843">
        <w:rPr>
          <w:rFonts w:ascii="Tahoma" w:hAnsi="Tahoma" w:cs="Tahoma"/>
          <w:sz w:val="24"/>
          <w:szCs w:val="24"/>
        </w:rPr>
        <w:t>,</w:t>
      </w:r>
      <w:r w:rsidR="00FB49C7" w:rsidRPr="00942843">
        <w:rPr>
          <w:rFonts w:ascii="Tahoma" w:hAnsi="Tahoma" w:cs="Tahoma"/>
          <w:sz w:val="24"/>
          <w:szCs w:val="24"/>
        </w:rPr>
        <w:t xml:space="preserve"> de bonificațiile acordate pentru plata la scadență a </w:t>
      </w:r>
      <w:r w:rsidR="009765E0" w:rsidRPr="00942843">
        <w:rPr>
          <w:rFonts w:ascii="Tahoma" w:hAnsi="Tahoma" w:cs="Tahoma"/>
          <w:sz w:val="24"/>
          <w:szCs w:val="24"/>
        </w:rPr>
        <w:t>unor impozite</w:t>
      </w:r>
      <w:r w:rsidR="00A74EA3" w:rsidRPr="00942843">
        <w:rPr>
          <w:rFonts w:ascii="Tahoma" w:hAnsi="Tahoma" w:cs="Tahoma"/>
          <w:sz w:val="24"/>
          <w:szCs w:val="24"/>
        </w:rPr>
        <w:t xml:space="preserve"> precum și de creșterea restituirilor de taxa pe valoarea adăugată pentru susținerea lichidității în sectorul privat.</w:t>
      </w:r>
      <w:r w:rsidR="00FB49C7" w:rsidRPr="00942843">
        <w:rPr>
          <w:rFonts w:ascii="Tahoma" w:hAnsi="Tahoma" w:cs="Tahoma"/>
          <w:sz w:val="24"/>
          <w:szCs w:val="24"/>
        </w:rPr>
        <w:t xml:space="preserve"> </w:t>
      </w:r>
    </w:p>
    <w:p w:rsidR="00FB49C7" w:rsidRPr="00942843" w:rsidRDefault="00FB49C7" w:rsidP="00D475BB">
      <w:pPr>
        <w:shd w:val="clear" w:color="auto" w:fill="DEEAF6"/>
        <w:spacing w:after="120" w:line="276" w:lineRule="auto"/>
        <w:jc w:val="both"/>
        <w:rPr>
          <w:rFonts w:ascii="Tahoma" w:hAnsi="Tahoma" w:cs="Tahoma"/>
          <w:sz w:val="24"/>
          <w:szCs w:val="24"/>
        </w:rPr>
      </w:pPr>
      <w:r w:rsidRPr="00942843">
        <w:rPr>
          <w:rFonts w:ascii="Tahoma" w:hAnsi="Tahoma" w:cs="Tahoma"/>
          <w:bCs/>
          <w:sz w:val="24"/>
          <w:szCs w:val="24"/>
        </w:rPr>
        <w:t>Totodată, pe partea de cheltuieli, majorarea cheltuielilor de investiții (+</w:t>
      </w:r>
      <w:r w:rsidR="00D475BB">
        <w:rPr>
          <w:rFonts w:ascii="Tahoma" w:hAnsi="Tahoma" w:cs="Tahoma"/>
          <w:bCs/>
          <w:sz w:val="24"/>
          <w:szCs w:val="24"/>
        </w:rPr>
        <w:t>3,1</w:t>
      </w:r>
      <w:r w:rsidR="00C670D8" w:rsidRPr="00942843">
        <w:rPr>
          <w:rFonts w:ascii="Tahoma" w:hAnsi="Tahoma" w:cs="Tahoma"/>
          <w:bCs/>
          <w:sz w:val="24"/>
          <w:szCs w:val="24"/>
        </w:rPr>
        <w:t xml:space="preserve"> </w:t>
      </w:r>
      <w:r w:rsidR="00D475BB">
        <w:rPr>
          <w:rFonts w:ascii="Tahoma" w:hAnsi="Tahoma" w:cs="Tahoma"/>
          <w:bCs/>
          <w:sz w:val="24"/>
          <w:szCs w:val="24"/>
        </w:rPr>
        <w:t>mld</w:t>
      </w:r>
      <w:r w:rsidRPr="00942843">
        <w:rPr>
          <w:rFonts w:ascii="Tahoma" w:hAnsi="Tahoma" w:cs="Tahoma"/>
          <w:bCs/>
          <w:sz w:val="24"/>
          <w:szCs w:val="24"/>
        </w:rPr>
        <w:t xml:space="preserve"> lei) față de trimestrul I</w:t>
      </w:r>
      <w:r w:rsidR="00C670D8" w:rsidRPr="00942843">
        <w:rPr>
          <w:rFonts w:ascii="Tahoma" w:hAnsi="Tahoma" w:cs="Tahoma"/>
          <w:bCs/>
          <w:sz w:val="24"/>
          <w:szCs w:val="24"/>
        </w:rPr>
        <w:t>I</w:t>
      </w:r>
      <w:r w:rsidR="00A74EA3" w:rsidRPr="00942843">
        <w:rPr>
          <w:rFonts w:ascii="Tahoma" w:hAnsi="Tahoma" w:cs="Tahoma"/>
          <w:bCs/>
          <w:sz w:val="24"/>
          <w:szCs w:val="24"/>
        </w:rPr>
        <w:t>I</w:t>
      </w:r>
      <w:r w:rsidR="00DB11FA">
        <w:rPr>
          <w:rFonts w:ascii="Tahoma" w:hAnsi="Tahoma" w:cs="Tahoma"/>
          <w:bCs/>
          <w:sz w:val="24"/>
          <w:szCs w:val="24"/>
        </w:rPr>
        <w:t xml:space="preserve"> </w:t>
      </w:r>
      <w:r w:rsidRPr="00942843">
        <w:rPr>
          <w:rFonts w:ascii="Tahoma" w:hAnsi="Tahoma" w:cs="Tahoma"/>
          <w:bCs/>
          <w:sz w:val="24"/>
          <w:szCs w:val="24"/>
        </w:rPr>
        <w:t>2019</w:t>
      </w:r>
      <w:r w:rsidR="00F32228" w:rsidRPr="00942843">
        <w:rPr>
          <w:rFonts w:ascii="Tahoma" w:hAnsi="Tahoma" w:cs="Tahoma"/>
          <w:bCs/>
          <w:sz w:val="24"/>
          <w:szCs w:val="24"/>
        </w:rPr>
        <w:t>,</w:t>
      </w:r>
      <w:r w:rsidRPr="00942843">
        <w:rPr>
          <w:rFonts w:ascii="Tahoma" w:hAnsi="Tahoma" w:cs="Tahoma"/>
          <w:sz w:val="24"/>
          <w:szCs w:val="24"/>
        </w:rPr>
        <w:t xml:space="preserve"> precum și plăți</w:t>
      </w:r>
      <w:r w:rsidR="00C670D8" w:rsidRPr="00942843">
        <w:rPr>
          <w:rFonts w:ascii="Tahoma" w:hAnsi="Tahoma" w:cs="Tahoma"/>
          <w:sz w:val="24"/>
          <w:szCs w:val="24"/>
        </w:rPr>
        <w:t>le</w:t>
      </w:r>
      <w:r w:rsidRPr="00942843">
        <w:rPr>
          <w:rFonts w:ascii="Tahoma" w:hAnsi="Tahoma" w:cs="Tahoma"/>
          <w:sz w:val="24"/>
          <w:szCs w:val="24"/>
        </w:rPr>
        <w:t xml:space="preserve"> cu caracter excepțional generate de epidemia COVID-19 de aproximativ </w:t>
      </w:r>
      <w:r w:rsidR="00D475BB">
        <w:rPr>
          <w:rFonts w:ascii="Tahoma" w:hAnsi="Tahoma" w:cs="Tahoma"/>
          <w:sz w:val="24"/>
          <w:szCs w:val="24"/>
        </w:rPr>
        <w:t>3</w:t>
      </w:r>
      <w:r w:rsidR="00A74EA3" w:rsidRPr="00942843">
        <w:rPr>
          <w:rFonts w:ascii="Tahoma" w:hAnsi="Tahoma" w:cs="Tahoma"/>
          <w:sz w:val="24"/>
          <w:szCs w:val="24"/>
        </w:rPr>
        <w:t>,</w:t>
      </w:r>
      <w:r w:rsidR="00D475BB">
        <w:rPr>
          <w:rFonts w:ascii="Tahoma" w:hAnsi="Tahoma" w:cs="Tahoma"/>
          <w:sz w:val="24"/>
          <w:szCs w:val="24"/>
        </w:rPr>
        <w:t>55</w:t>
      </w:r>
      <w:r w:rsidRPr="00942843">
        <w:rPr>
          <w:rFonts w:ascii="Tahoma" w:hAnsi="Tahoma" w:cs="Tahoma"/>
          <w:sz w:val="24"/>
          <w:szCs w:val="24"/>
        </w:rPr>
        <w:t xml:space="preserve"> mld lei</w:t>
      </w:r>
      <w:r w:rsidRPr="00942843">
        <w:rPr>
          <w:rFonts w:ascii="Tahoma" w:hAnsi="Tahoma" w:cs="Tahoma"/>
          <w:bCs/>
          <w:sz w:val="24"/>
          <w:szCs w:val="24"/>
        </w:rPr>
        <w:t xml:space="preserve"> au contribuit la adâncirea deficitului. </w:t>
      </w:r>
    </w:p>
    <w:p w:rsidR="00F24FA0" w:rsidRPr="00942843" w:rsidRDefault="00F24FA0" w:rsidP="00942843">
      <w:pPr>
        <w:spacing w:line="276" w:lineRule="auto"/>
        <w:jc w:val="both"/>
        <w:rPr>
          <w:rFonts w:ascii="Tahoma" w:hAnsi="Tahoma" w:cs="Tahoma"/>
          <w:b/>
          <w:color w:val="767171" w:themeColor="background2" w:themeShade="80"/>
          <w:sz w:val="24"/>
          <w:szCs w:val="24"/>
        </w:rPr>
      </w:pPr>
    </w:p>
    <w:p w:rsidR="00F972DC" w:rsidRPr="00942843" w:rsidRDefault="00F972DC" w:rsidP="00942843">
      <w:pPr>
        <w:pStyle w:val="ListParagraph"/>
        <w:numPr>
          <w:ilvl w:val="0"/>
          <w:numId w:val="2"/>
        </w:numPr>
        <w:shd w:val="clear" w:color="auto" w:fill="D9D9D9" w:themeFill="background1" w:themeFillShade="D9"/>
        <w:spacing w:after="120" w:line="276" w:lineRule="auto"/>
        <w:ind w:hanging="1080"/>
        <w:jc w:val="both"/>
        <w:rPr>
          <w:rFonts w:ascii="Tahoma" w:hAnsi="Tahoma" w:cs="Tahoma"/>
          <w:b/>
          <w:caps/>
          <w:color w:val="0070C0"/>
          <w:sz w:val="24"/>
          <w:szCs w:val="24"/>
        </w:rPr>
      </w:pPr>
      <w:r w:rsidRPr="00942843">
        <w:rPr>
          <w:rFonts w:ascii="Tahoma" w:hAnsi="Tahoma" w:cs="Tahoma"/>
          <w:b/>
          <w:caps/>
          <w:color w:val="0070C0"/>
          <w:sz w:val="24"/>
          <w:szCs w:val="24"/>
        </w:rPr>
        <w:t>veniturile bugetului general consolidat</w:t>
      </w:r>
    </w:p>
    <w:p w:rsidR="000F1E3F" w:rsidRPr="00942843" w:rsidRDefault="000F1E3F" w:rsidP="00942843">
      <w:pPr>
        <w:spacing w:after="120" w:line="276" w:lineRule="auto"/>
        <w:rPr>
          <w:rFonts w:ascii="Tahoma" w:hAnsi="Tahoma" w:cs="Tahoma"/>
          <w:b/>
          <w:color w:val="0070C0"/>
          <w:sz w:val="24"/>
          <w:szCs w:val="24"/>
        </w:rPr>
      </w:pPr>
    </w:p>
    <w:p w:rsidR="00141717" w:rsidRPr="00942843" w:rsidRDefault="00CF55E5" w:rsidP="00CF0789">
      <w:pPr>
        <w:shd w:val="clear" w:color="auto" w:fill="D9D9D9" w:themeFill="background1" w:themeFillShade="D9"/>
        <w:spacing w:after="0" w:line="276" w:lineRule="auto"/>
        <w:jc w:val="both"/>
        <w:rPr>
          <w:rFonts w:ascii="Tahoma" w:hAnsi="Tahoma" w:cs="Tahoma"/>
          <w:sz w:val="24"/>
          <w:szCs w:val="24"/>
        </w:rPr>
      </w:pPr>
      <w:r w:rsidRPr="00942843">
        <w:rPr>
          <w:rFonts w:ascii="Tahoma" w:hAnsi="Tahoma" w:cs="Tahoma"/>
          <w:b/>
          <w:sz w:val="24"/>
          <w:szCs w:val="24"/>
        </w:rPr>
        <w:t>Veniturile bugetului general</w:t>
      </w:r>
      <w:r w:rsidR="009D16DA" w:rsidRPr="00942843">
        <w:rPr>
          <w:rFonts w:ascii="Tahoma" w:hAnsi="Tahoma" w:cs="Tahoma"/>
          <w:b/>
          <w:sz w:val="24"/>
          <w:szCs w:val="24"/>
        </w:rPr>
        <w:t xml:space="preserve"> consolidat</w:t>
      </w:r>
      <w:r w:rsidR="007A3AFD" w:rsidRPr="00942843">
        <w:rPr>
          <w:rFonts w:ascii="Tahoma" w:hAnsi="Tahoma" w:cs="Tahoma"/>
          <w:sz w:val="24"/>
          <w:szCs w:val="24"/>
        </w:rPr>
        <w:t xml:space="preserve"> au însumat </w:t>
      </w:r>
      <w:r w:rsidR="009C4F5E" w:rsidRPr="00942843">
        <w:rPr>
          <w:rFonts w:ascii="Tahoma" w:hAnsi="Tahoma" w:cs="Tahoma"/>
          <w:sz w:val="24"/>
          <w:szCs w:val="24"/>
        </w:rPr>
        <w:t>81,</w:t>
      </w:r>
      <w:r w:rsidR="00DB11FA">
        <w:rPr>
          <w:rFonts w:ascii="Tahoma" w:hAnsi="Tahoma" w:cs="Tahoma"/>
          <w:sz w:val="24"/>
          <w:szCs w:val="24"/>
        </w:rPr>
        <w:t>5</w:t>
      </w:r>
      <w:r w:rsidR="009C4F5E" w:rsidRPr="00942843">
        <w:rPr>
          <w:rFonts w:ascii="Tahoma" w:hAnsi="Tahoma" w:cs="Tahoma"/>
          <w:sz w:val="24"/>
          <w:szCs w:val="24"/>
        </w:rPr>
        <w:t xml:space="preserve"> </w:t>
      </w:r>
      <w:r w:rsidR="007A3AFD" w:rsidRPr="00942843">
        <w:rPr>
          <w:rFonts w:ascii="Tahoma" w:hAnsi="Tahoma" w:cs="Tahoma"/>
          <w:sz w:val="24"/>
          <w:szCs w:val="24"/>
        </w:rPr>
        <w:t>m</w:t>
      </w:r>
      <w:r w:rsidR="00713D80" w:rsidRPr="00942843">
        <w:rPr>
          <w:rFonts w:ascii="Tahoma" w:hAnsi="Tahoma" w:cs="Tahoma"/>
          <w:sz w:val="24"/>
          <w:szCs w:val="24"/>
        </w:rPr>
        <w:t>l</w:t>
      </w:r>
      <w:r w:rsidR="007A3AFD" w:rsidRPr="00942843">
        <w:rPr>
          <w:rFonts w:ascii="Tahoma" w:hAnsi="Tahoma" w:cs="Tahoma"/>
          <w:sz w:val="24"/>
          <w:szCs w:val="24"/>
        </w:rPr>
        <w:t>d</w:t>
      </w:r>
      <w:r w:rsidR="00D475BB">
        <w:rPr>
          <w:rFonts w:ascii="Tahoma" w:hAnsi="Tahoma" w:cs="Tahoma"/>
          <w:sz w:val="24"/>
          <w:szCs w:val="24"/>
        </w:rPr>
        <w:t xml:space="preserve"> </w:t>
      </w:r>
      <w:r w:rsidR="009D16DA" w:rsidRPr="00942843">
        <w:rPr>
          <w:rFonts w:ascii="Tahoma" w:hAnsi="Tahoma" w:cs="Tahoma"/>
          <w:sz w:val="24"/>
          <w:szCs w:val="24"/>
        </w:rPr>
        <w:t>lei (</w:t>
      </w:r>
      <w:r w:rsidR="009C4F5E" w:rsidRPr="00942843">
        <w:rPr>
          <w:rFonts w:ascii="Tahoma" w:hAnsi="Tahoma" w:cs="Tahoma"/>
          <w:sz w:val="24"/>
          <w:szCs w:val="24"/>
        </w:rPr>
        <w:t>7,7</w:t>
      </w:r>
      <w:r w:rsidR="009D16DA" w:rsidRPr="00942843">
        <w:rPr>
          <w:rFonts w:ascii="Tahoma" w:hAnsi="Tahoma" w:cs="Tahoma"/>
          <w:sz w:val="24"/>
          <w:szCs w:val="24"/>
        </w:rPr>
        <w:t>% din PIB)</w:t>
      </w:r>
      <w:r w:rsidR="002F2CFC" w:rsidRPr="00942843">
        <w:rPr>
          <w:rFonts w:ascii="Tahoma" w:hAnsi="Tahoma" w:cs="Tahoma"/>
          <w:sz w:val="24"/>
          <w:szCs w:val="24"/>
        </w:rPr>
        <w:t xml:space="preserve"> în </w:t>
      </w:r>
      <w:r w:rsidR="00FE664F" w:rsidRPr="00942843">
        <w:rPr>
          <w:rFonts w:ascii="Tahoma" w:hAnsi="Tahoma" w:cs="Tahoma"/>
          <w:sz w:val="24"/>
          <w:szCs w:val="24"/>
        </w:rPr>
        <w:t>perioada analizată</w:t>
      </w:r>
      <w:r w:rsidR="002F2CFC" w:rsidRPr="00942843">
        <w:rPr>
          <w:rFonts w:ascii="Tahoma" w:hAnsi="Tahoma" w:cs="Tahoma"/>
          <w:sz w:val="24"/>
          <w:szCs w:val="24"/>
        </w:rPr>
        <w:t>,</w:t>
      </w:r>
      <w:r w:rsidR="007A3AFD" w:rsidRPr="00942843">
        <w:rPr>
          <w:rFonts w:ascii="Tahoma" w:hAnsi="Tahoma" w:cs="Tahoma"/>
          <w:sz w:val="24"/>
          <w:szCs w:val="24"/>
        </w:rPr>
        <w:t xml:space="preserve"> cu </w:t>
      </w:r>
      <w:r w:rsidR="009C4F5E" w:rsidRPr="00942843">
        <w:rPr>
          <w:rFonts w:ascii="Tahoma" w:hAnsi="Tahoma" w:cs="Tahoma"/>
          <w:sz w:val="24"/>
          <w:szCs w:val="24"/>
        </w:rPr>
        <w:t>6,</w:t>
      </w:r>
      <w:r w:rsidR="00DB11FA">
        <w:rPr>
          <w:rFonts w:ascii="Tahoma" w:hAnsi="Tahoma" w:cs="Tahoma"/>
          <w:sz w:val="24"/>
          <w:szCs w:val="24"/>
        </w:rPr>
        <w:t>9</w:t>
      </w:r>
      <w:r w:rsidR="009C4F5E" w:rsidRPr="00942843">
        <w:rPr>
          <w:rFonts w:ascii="Tahoma" w:hAnsi="Tahoma" w:cs="Tahoma"/>
          <w:sz w:val="24"/>
          <w:szCs w:val="24"/>
        </w:rPr>
        <w:t xml:space="preserve"> </w:t>
      </w:r>
      <w:r w:rsidR="007A3AFD" w:rsidRPr="00942843">
        <w:rPr>
          <w:rFonts w:ascii="Tahoma" w:hAnsi="Tahoma" w:cs="Tahoma"/>
          <w:sz w:val="24"/>
          <w:szCs w:val="24"/>
        </w:rPr>
        <w:t>m</w:t>
      </w:r>
      <w:r w:rsidR="00713D80" w:rsidRPr="00942843">
        <w:rPr>
          <w:rFonts w:ascii="Tahoma" w:hAnsi="Tahoma" w:cs="Tahoma"/>
          <w:sz w:val="24"/>
          <w:szCs w:val="24"/>
        </w:rPr>
        <w:t>l</w:t>
      </w:r>
      <w:r w:rsidR="007A3AFD" w:rsidRPr="00942843">
        <w:rPr>
          <w:rFonts w:ascii="Tahoma" w:hAnsi="Tahoma" w:cs="Tahoma"/>
          <w:sz w:val="24"/>
          <w:szCs w:val="24"/>
        </w:rPr>
        <w:t>d</w:t>
      </w:r>
      <w:r w:rsidR="00D475BB">
        <w:rPr>
          <w:rFonts w:ascii="Tahoma" w:hAnsi="Tahoma" w:cs="Tahoma"/>
          <w:sz w:val="24"/>
          <w:szCs w:val="24"/>
        </w:rPr>
        <w:t xml:space="preserve"> </w:t>
      </w:r>
      <w:r w:rsidR="009D16DA" w:rsidRPr="00942843">
        <w:rPr>
          <w:rFonts w:ascii="Tahoma" w:hAnsi="Tahoma" w:cs="Tahoma"/>
          <w:sz w:val="24"/>
          <w:szCs w:val="24"/>
        </w:rPr>
        <w:t xml:space="preserve">lei sub nivelul prognozat, </w:t>
      </w:r>
      <w:r w:rsidR="00733F08" w:rsidRPr="00942843">
        <w:rPr>
          <w:rFonts w:ascii="Tahoma" w:hAnsi="Tahoma" w:cs="Tahoma"/>
          <w:sz w:val="24"/>
          <w:szCs w:val="24"/>
        </w:rPr>
        <w:t xml:space="preserve">reflectând un </w:t>
      </w:r>
      <w:r w:rsidR="009D16DA" w:rsidRPr="00942843">
        <w:rPr>
          <w:rFonts w:ascii="Tahoma" w:hAnsi="Tahoma" w:cs="Tahoma"/>
          <w:sz w:val="24"/>
          <w:szCs w:val="24"/>
        </w:rPr>
        <w:t xml:space="preserve">grad de realizare a programului </w:t>
      </w:r>
      <w:r w:rsidR="00DB11FA">
        <w:rPr>
          <w:rFonts w:ascii="Tahoma" w:hAnsi="Tahoma" w:cs="Tahoma"/>
          <w:sz w:val="24"/>
          <w:szCs w:val="24"/>
        </w:rPr>
        <w:t>trimestrial</w:t>
      </w:r>
      <w:r w:rsidR="009D16DA" w:rsidRPr="00942843">
        <w:rPr>
          <w:rFonts w:ascii="Tahoma" w:hAnsi="Tahoma" w:cs="Tahoma"/>
          <w:sz w:val="24"/>
          <w:szCs w:val="24"/>
        </w:rPr>
        <w:t xml:space="preserve"> de </w:t>
      </w:r>
      <w:r w:rsidR="009C4F5E" w:rsidRPr="00942843">
        <w:rPr>
          <w:rFonts w:ascii="Tahoma" w:hAnsi="Tahoma" w:cs="Tahoma"/>
          <w:sz w:val="24"/>
          <w:szCs w:val="24"/>
        </w:rPr>
        <w:t>92</w:t>
      </w:r>
      <w:r w:rsidR="00FE664F" w:rsidRPr="00942843">
        <w:rPr>
          <w:rFonts w:ascii="Tahoma" w:hAnsi="Tahoma" w:cs="Tahoma"/>
          <w:sz w:val="24"/>
          <w:szCs w:val="24"/>
        </w:rPr>
        <w:t>,2</w:t>
      </w:r>
      <w:r w:rsidR="009D16DA" w:rsidRPr="00942843">
        <w:rPr>
          <w:rFonts w:ascii="Tahoma" w:hAnsi="Tahoma" w:cs="Tahoma"/>
          <w:sz w:val="24"/>
          <w:szCs w:val="24"/>
        </w:rPr>
        <w:t>%</w:t>
      </w:r>
      <w:r w:rsidR="002F2CFC" w:rsidRPr="00942843">
        <w:rPr>
          <w:rFonts w:ascii="Tahoma" w:hAnsi="Tahoma" w:cs="Tahoma"/>
          <w:sz w:val="24"/>
          <w:szCs w:val="24"/>
        </w:rPr>
        <w:t>.</w:t>
      </w:r>
    </w:p>
    <w:p w:rsidR="001623A7" w:rsidRDefault="00DD52A5" w:rsidP="00CF0789">
      <w:pPr>
        <w:tabs>
          <w:tab w:val="left" w:pos="810"/>
          <w:tab w:val="left" w:pos="1134"/>
        </w:tabs>
        <w:spacing w:before="120" w:after="120" w:line="276" w:lineRule="auto"/>
        <w:jc w:val="both"/>
        <w:rPr>
          <w:rFonts w:ascii="Tahoma" w:hAnsi="Tahoma" w:cs="Tahoma"/>
          <w:bCs/>
          <w:color w:val="000000"/>
          <w:sz w:val="24"/>
          <w:szCs w:val="24"/>
        </w:rPr>
      </w:pPr>
      <w:r w:rsidRPr="00942843">
        <w:rPr>
          <w:rFonts w:ascii="Tahoma" w:hAnsi="Tahoma" w:cs="Tahoma"/>
          <w:bCs/>
          <w:color w:val="000000"/>
          <w:sz w:val="24"/>
          <w:szCs w:val="24"/>
        </w:rPr>
        <w:t>Comparativ cu încasările trimestru</w:t>
      </w:r>
      <w:r w:rsidR="00C51FB2" w:rsidRPr="00942843">
        <w:rPr>
          <w:rFonts w:ascii="Tahoma" w:hAnsi="Tahoma" w:cs="Tahoma"/>
          <w:bCs/>
          <w:color w:val="000000"/>
          <w:sz w:val="24"/>
          <w:szCs w:val="24"/>
        </w:rPr>
        <w:t>lui al II</w:t>
      </w:r>
      <w:r w:rsidR="00F84A41" w:rsidRPr="00942843">
        <w:rPr>
          <w:rFonts w:ascii="Tahoma" w:hAnsi="Tahoma" w:cs="Tahoma"/>
          <w:bCs/>
          <w:color w:val="000000"/>
          <w:sz w:val="24"/>
          <w:szCs w:val="24"/>
        </w:rPr>
        <w:t>I</w:t>
      </w:r>
      <w:r w:rsidR="00C51FB2" w:rsidRPr="00942843">
        <w:rPr>
          <w:rFonts w:ascii="Tahoma" w:hAnsi="Tahoma" w:cs="Tahoma"/>
          <w:bCs/>
          <w:color w:val="000000"/>
          <w:sz w:val="24"/>
          <w:szCs w:val="24"/>
        </w:rPr>
        <w:t xml:space="preserve">-lea </w:t>
      </w:r>
      <w:r w:rsidRPr="00942843">
        <w:rPr>
          <w:rFonts w:ascii="Tahoma" w:hAnsi="Tahoma" w:cs="Tahoma"/>
          <w:bCs/>
          <w:color w:val="000000"/>
          <w:sz w:val="24"/>
          <w:szCs w:val="24"/>
        </w:rPr>
        <w:t xml:space="preserve">al anului 2019, </w:t>
      </w:r>
      <w:r w:rsidR="002F2CFC" w:rsidRPr="00942843">
        <w:rPr>
          <w:rFonts w:ascii="Tahoma" w:hAnsi="Tahoma" w:cs="Tahoma"/>
          <w:bCs/>
          <w:color w:val="000000"/>
          <w:sz w:val="24"/>
          <w:szCs w:val="24"/>
        </w:rPr>
        <w:t xml:space="preserve">veniturile totale au </w:t>
      </w:r>
      <w:r w:rsidR="00C51FB2" w:rsidRPr="00942843">
        <w:rPr>
          <w:rFonts w:ascii="Tahoma" w:hAnsi="Tahoma" w:cs="Tahoma"/>
          <w:bCs/>
          <w:color w:val="000000"/>
          <w:sz w:val="24"/>
          <w:szCs w:val="24"/>
        </w:rPr>
        <w:t xml:space="preserve">crescut </w:t>
      </w:r>
      <w:r w:rsidR="009D16DA" w:rsidRPr="00942843">
        <w:rPr>
          <w:rFonts w:ascii="Tahoma" w:hAnsi="Tahoma" w:cs="Tahoma"/>
          <w:bCs/>
          <w:color w:val="000000"/>
          <w:sz w:val="24"/>
          <w:szCs w:val="24"/>
        </w:rPr>
        <w:t xml:space="preserve">cu </w:t>
      </w:r>
      <w:r w:rsidR="009C4F5E" w:rsidRPr="00942843">
        <w:rPr>
          <w:rFonts w:ascii="Tahoma" w:hAnsi="Tahoma" w:cs="Tahoma"/>
          <w:bCs/>
          <w:color w:val="000000"/>
          <w:sz w:val="24"/>
          <w:szCs w:val="24"/>
        </w:rPr>
        <w:t>1,8</w:t>
      </w:r>
      <w:r w:rsidR="009D16DA" w:rsidRPr="00942843">
        <w:rPr>
          <w:rFonts w:ascii="Tahoma" w:hAnsi="Tahoma" w:cs="Tahoma"/>
          <w:bCs/>
          <w:color w:val="000000"/>
          <w:sz w:val="24"/>
          <w:szCs w:val="24"/>
        </w:rPr>
        <w:t>%,</w:t>
      </w:r>
      <w:r w:rsidR="006C1BA2" w:rsidRPr="00942843">
        <w:rPr>
          <w:rFonts w:ascii="Tahoma" w:hAnsi="Tahoma" w:cs="Tahoma"/>
          <w:bCs/>
          <w:color w:val="000000"/>
          <w:sz w:val="24"/>
          <w:szCs w:val="24"/>
        </w:rPr>
        <w:t xml:space="preserve"> ace</w:t>
      </w:r>
      <w:r w:rsidR="003C5108" w:rsidRPr="00942843">
        <w:rPr>
          <w:rFonts w:ascii="Tahoma" w:hAnsi="Tahoma" w:cs="Tahoma"/>
          <w:bCs/>
          <w:color w:val="000000"/>
          <w:sz w:val="24"/>
          <w:szCs w:val="24"/>
        </w:rPr>
        <w:t>a</w:t>
      </w:r>
      <w:r w:rsidR="006C1BA2" w:rsidRPr="00942843">
        <w:rPr>
          <w:rFonts w:ascii="Tahoma" w:hAnsi="Tahoma" w:cs="Tahoma"/>
          <w:bCs/>
          <w:color w:val="000000"/>
          <w:sz w:val="24"/>
          <w:szCs w:val="24"/>
        </w:rPr>
        <w:t xml:space="preserve">stă evoluție fiind realizată </w:t>
      </w:r>
      <w:r w:rsidR="00F84A41" w:rsidRPr="00942843">
        <w:rPr>
          <w:rFonts w:ascii="Tahoma" w:hAnsi="Tahoma" w:cs="Tahoma"/>
          <w:bCs/>
          <w:color w:val="000000"/>
          <w:sz w:val="24"/>
          <w:szCs w:val="24"/>
        </w:rPr>
        <w:t xml:space="preserve">pe fondul creșterii absorbției fondurilor externe nerambursabile și </w:t>
      </w:r>
      <w:r w:rsidR="006C1BA2" w:rsidRPr="00942843">
        <w:rPr>
          <w:rFonts w:ascii="Tahoma" w:hAnsi="Tahoma" w:cs="Tahoma"/>
          <w:bCs/>
          <w:color w:val="000000"/>
          <w:sz w:val="24"/>
          <w:szCs w:val="24"/>
        </w:rPr>
        <w:t xml:space="preserve">în contextul în care de la instituirea, începând cu luna martie, </w:t>
      </w:r>
      <w:r w:rsidR="00F318A7" w:rsidRPr="00942843">
        <w:rPr>
          <w:rFonts w:ascii="Tahoma" w:hAnsi="Tahoma" w:cs="Tahoma"/>
          <w:bCs/>
          <w:color w:val="000000"/>
          <w:sz w:val="24"/>
          <w:szCs w:val="24"/>
        </w:rPr>
        <w:t xml:space="preserve">a </w:t>
      </w:r>
      <w:r w:rsidR="006C1BA2" w:rsidRPr="00942843">
        <w:rPr>
          <w:rFonts w:ascii="Tahoma" w:hAnsi="Tahoma" w:cs="Tahoma"/>
          <w:bCs/>
          <w:color w:val="000000"/>
          <w:sz w:val="24"/>
          <w:szCs w:val="24"/>
        </w:rPr>
        <w:t>stării de urgență</w:t>
      </w:r>
      <w:r w:rsidR="00F318A7" w:rsidRPr="00942843">
        <w:rPr>
          <w:rFonts w:ascii="Tahoma" w:hAnsi="Tahoma" w:cs="Tahoma"/>
          <w:bCs/>
          <w:color w:val="000000"/>
          <w:sz w:val="24"/>
          <w:szCs w:val="24"/>
        </w:rPr>
        <w:t>,</w:t>
      </w:r>
      <w:r w:rsidR="006C1BA2" w:rsidRPr="00942843">
        <w:rPr>
          <w:rFonts w:ascii="Tahoma" w:hAnsi="Tahoma" w:cs="Tahoma"/>
          <w:bCs/>
          <w:color w:val="000000"/>
          <w:sz w:val="24"/>
          <w:szCs w:val="24"/>
        </w:rPr>
        <w:t xml:space="preserve"> respectiv a stării de alertă se poate observa un efect negativ asupra colectării veniturilor</w:t>
      </w:r>
      <w:r w:rsidR="00F318A7" w:rsidRPr="00942843">
        <w:rPr>
          <w:rFonts w:ascii="Tahoma" w:hAnsi="Tahoma" w:cs="Tahoma"/>
          <w:bCs/>
          <w:color w:val="000000"/>
          <w:sz w:val="24"/>
          <w:szCs w:val="24"/>
        </w:rPr>
        <w:t>,</w:t>
      </w:r>
      <w:r w:rsidR="006C1BA2" w:rsidRPr="00942843">
        <w:rPr>
          <w:rFonts w:ascii="Tahoma" w:hAnsi="Tahoma" w:cs="Tahoma"/>
          <w:bCs/>
          <w:color w:val="000000"/>
          <w:sz w:val="24"/>
          <w:szCs w:val="24"/>
        </w:rPr>
        <w:t xml:space="preserve"> urmare a aprobării unor măsuri fiscale menite să îi sprijine pe contribuabili în contextul efectelor generate de pandemia COVID-19 (amânarea unor termene de plată, bonificații sau scutiri pentru anumite obligații fiscale).</w:t>
      </w:r>
    </w:p>
    <w:p w:rsidR="00DD52A5" w:rsidRPr="00942843" w:rsidRDefault="00DD52A5" w:rsidP="00CF0789">
      <w:pPr>
        <w:tabs>
          <w:tab w:val="left" w:pos="810"/>
          <w:tab w:val="left" w:pos="1134"/>
        </w:tabs>
        <w:spacing w:before="120" w:after="120" w:line="276" w:lineRule="auto"/>
        <w:jc w:val="both"/>
        <w:rPr>
          <w:rFonts w:ascii="Tahoma" w:hAnsi="Tahoma" w:cs="Tahoma"/>
          <w:sz w:val="24"/>
          <w:szCs w:val="24"/>
        </w:rPr>
      </w:pPr>
      <w:r w:rsidRPr="00942843">
        <w:rPr>
          <w:rFonts w:ascii="Tahoma" w:hAnsi="Tahoma" w:cs="Tahoma"/>
          <w:b/>
          <w:bCs/>
          <w:sz w:val="24"/>
          <w:szCs w:val="24"/>
        </w:rPr>
        <w:lastRenderedPageBreak/>
        <w:t>Veniturile încasate</w:t>
      </w:r>
      <w:r w:rsidR="00903937" w:rsidRPr="00942843">
        <w:rPr>
          <w:rFonts w:ascii="Tahoma" w:hAnsi="Tahoma" w:cs="Tahoma"/>
          <w:b/>
          <w:bCs/>
          <w:sz w:val="24"/>
          <w:szCs w:val="24"/>
        </w:rPr>
        <w:t xml:space="preserve"> </w:t>
      </w:r>
      <w:r w:rsidRPr="00942843">
        <w:rPr>
          <w:rFonts w:ascii="Tahoma" w:hAnsi="Tahoma" w:cs="Tahoma"/>
          <w:b/>
          <w:bCs/>
          <w:sz w:val="24"/>
          <w:szCs w:val="24"/>
        </w:rPr>
        <w:t>din economia internă</w:t>
      </w:r>
      <w:r w:rsidRPr="00942843">
        <w:rPr>
          <w:rFonts w:ascii="Tahoma" w:hAnsi="Tahoma" w:cs="Tahoma"/>
          <w:sz w:val="24"/>
          <w:szCs w:val="24"/>
        </w:rPr>
        <w:t xml:space="preserve"> (fără fonduri de la Uniunea Europeană) au fost în sumă de </w:t>
      </w:r>
      <w:r w:rsidR="00F84A41" w:rsidRPr="00942843">
        <w:rPr>
          <w:rFonts w:ascii="Tahoma" w:hAnsi="Tahoma" w:cs="Tahoma"/>
          <w:bCs/>
          <w:sz w:val="24"/>
          <w:szCs w:val="24"/>
        </w:rPr>
        <w:t xml:space="preserve">74,4 </w:t>
      </w:r>
      <w:r w:rsidR="007A3AFD" w:rsidRPr="00942843">
        <w:rPr>
          <w:rFonts w:ascii="Tahoma" w:hAnsi="Tahoma" w:cs="Tahoma"/>
          <w:bCs/>
          <w:sz w:val="24"/>
          <w:szCs w:val="24"/>
        </w:rPr>
        <w:t>m</w:t>
      </w:r>
      <w:r w:rsidR="00713D80" w:rsidRPr="00942843">
        <w:rPr>
          <w:rFonts w:ascii="Tahoma" w:hAnsi="Tahoma" w:cs="Tahoma"/>
          <w:bCs/>
          <w:sz w:val="24"/>
          <w:szCs w:val="24"/>
        </w:rPr>
        <w:t>l</w:t>
      </w:r>
      <w:r w:rsidR="007A3AFD" w:rsidRPr="00942843">
        <w:rPr>
          <w:rFonts w:ascii="Tahoma" w:hAnsi="Tahoma" w:cs="Tahoma"/>
          <w:bCs/>
          <w:sz w:val="24"/>
          <w:szCs w:val="24"/>
        </w:rPr>
        <w:t>d</w:t>
      </w:r>
      <w:r w:rsidR="00D475BB">
        <w:rPr>
          <w:rFonts w:ascii="Tahoma" w:hAnsi="Tahoma" w:cs="Tahoma"/>
          <w:bCs/>
          <w:sz w:val="24"/>
          <w:szCs w:val="24"/>
        </w:rPr>
        <w:t xml:space="preserve"> </w:t>
      </w:r>
      <w:proofErr w:type="spellStart"/>
      <w:r w:rsidRPr="00942843">
        <w:rPr>
          <w:rFonts w:ascii="Tahoma" w:hAnsi="Tahoma" w:cs="Tahoma"/>
          <w:bCs/>
          <w:sz w:val="24"/>
          <w:szCs w:val="24"/>
        </w:rPr>
        <w:t>lei,</w:t>
      </w:r>
      <w:r w:rsidRPr="00942843">
        <w:rPr>
          <w:rFonts w:ascii="Tahoma" w:hAnsi="Tahoma" w:cs="Tahoma"/>
          <w:sz w:val="24"/>
          <w:szCs w:val="24"/>
        </w:rPr>
        <w:t>reprezentând</w:t>
      </w:r>
      <w:proofErr w:type="spellEnd"/>
      <w:r w:rsidRPr="00942843">
        <w:rPr>
          <w:rFonts w:ascii="Tahoma" w:hAnsi="Tahoma" w:cs="Tahoma"/>
          <w:sz w:val="24"/>
          <w:szCs w:val="24"/>
        </w:rPr>
        <w:t xml:space="preserve"> </w:t>
      </w:r>
      <w:r w:rsidR="00F84A41" w:rsidRPr="00942843">
        <w:rPr>
          <w:rFonts w:ascii="Tahoma" w:hAnsi="Tahoma" w:cs="Tahoma"/>
          <w:sz w:val="24"/>
          <w:szCs w:val="24"/>
        </w:rPr>
        <w:t>7,0</w:t>
      </w:r>
      <w:r w:rsidRPr="00942843">
        <w:rPr>
          <w:rFonts w:ascii="Tahoma" w:hAnsi="Tahoma" w:cs="Tahoma"/>
          <w:sz w:val="24"/>
          <w:szCs w:val="24"/>
        </w:rPr>
        <w:t xml:space="preserve">% ca pondere în PIB </w:t>
      </w:r>
      <w:r w:rsidR="009D16DA" w:rsidRPr="00942843">
        <w:rPr>
          <w:rFonts w:ascii="Tahoma" w:hAnsi="Tahoma" w:cs="Tahoma"/>
          <w:sz w:val="24"/>
          <w:szCs w:val="24"/>
        </w:rPr>
        <w:t>și</w:t>
      </w:r>
      <w:r w:rsidRPr="00942843">
        <w:rPr>
          <w:rFonts w:ascii="Tahoma" w:hAnsi="Tahoma" w:cs="Tahoma"/>
          <w:sz w:val="24"/>
          <w:szCs w:val="24"/>
        </w:rPr>
        <w:t xml:space="preserve"> un grad de realizare a programului trimestrial de </w:t>
      </w:r>
      <w:r w:rsidR="00F84A41" w:rsidRPr="00942843">
        <w:rPr>
          <w:rFonts w:ascii="Tahoma" w:hAnsi="Tahoma" w:cs="Tahoma"/>
          <w:sz w:val="24"/>
          <w:szCs w:val="24"/>
        </w:rPr>
        <w:t>98</w:t>
      </w:r>
      <w:r w:rsidR="006C1BA2" w:rsidRPr="00942843">
        <w:rPr>
          <w:rFonts w:ascii="Tahoma" w:hAnsi="Tahoma" w:cs="Tahoma"/>
          <w:sz w:val="24"/>
          <w:szCs w:val="24"/>
        </w:rPr>
        <w:t>,</w:t>
      </w:r>
      <w:r w:rsidR="00F84A41" w:rsidRPr="00942843">
        <w:rPr>
          <w:rFonts w:ascii="Tahoma" w:hAnsi="Tahoma" w:cs="Tahoma"/>
          <w:sz w:val="24"/>
          <w:szCs w:val="24"/>
        </w:rPr>
        <w:t>7</w:t>
      </w:r>
      <w:r w:rsidRPr="00942843">
        <w:rPr>
          <w:rFonts w:ascii="Tahoma" w:hAnsi="Tahoma" w:cs="Tahoma"/>
          <w:sz w:val="24"/>
          <w:szCs w:val="24"/>
        </w:rPr>
        <w:t>%.</w:t>
      </w:r>
    </w:p>
    <w:p w:rsidR="00187781" w:rsidRPr="00942843" w:rsidRDefault="00AE689E" w:rsidP="00942843">
      <w:pPr>
        <w:tabs>
          <w:tab w:val="left" w:pos="810"/>
          <w:tab w:val="left" w:pos="1134"/>
        </w:tabs>
        <w:spacing w:before="240" w:line="276" w:lineRule="auto"/>
        <w:jc w:val="both"/>
        <w:rPr>
          <w:rFonts w:ascii="Tahoma" w:hAnsi="Tahoma" w:cs="Tahoma"/>
          <w:sz w:val="24"/>
          <w:szCs w:val="24"/>
        </w:rPr>
      </w:pPr>
      <w:r w:rsidRPr="00942843">
        <w:rPr>
          <w:rFonts w:ascii="Tahoma" w:hAnsi="Tahoma" w:cs="Tahoma"/>
          <w:noProof/>
          <w:sz w:val="24"/>
          <w:szCs w:val="24"/>
          <w:lang w:val="en-US"/>
        </w:rPr>
        <w:drawing>
          <wp:inline distT="0" distB="0" distL="0" distR="0" wp14:anchorId="467A41F0" wp14:editId="5B406569">
            <wp:extent cx="6132443" cy="3042285"/>
            <wp:effectExtent l="0" t="0" r="1905" b="571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36616" cy="3044355"/>
                    </a:xfrm>
                    <a:prstGeom prst="rect">
                      <a:avLst/>
                    </a:prstGeom>
                    <a:noFill/>
                  </pic:spPr>
                </pic:pic>
              </a:graphicData>
            </a:graphic>
          </wp:inline>
        </w:drawing>
      </w:r>
    </w:p>
    <w:p w:rsidR="001623A7" w:rsidRDefault="00DD52A5" w:rsidP="00CF0789">
      <w:pPr>
        <w:pStyle w:val="NormalWeb"/>
        <w:shd w:val="clear" w:color="auto" w:fill="FFFFFF"/>
        <w:tabs>
          <w:tab w:val="left" w:pos="142"/>
        </w:tabs>
        <w:spacing w:before="120" w:after="120"/>
        <w:ind w:firstLine="0"/>
        <w:rPr>
          <w:rFonts w:ascii="Tahoma" w:hAnsi="Tahoma" w:cs="Tahoma"/>
          <w:color w:val="auto"/>
          <w:lang w:val="ro-RO"/>
        </w:rPr>
      </w:pPr>
      <w:r w:rsidRPr="00942843">
        <w:rPr>
          <w:rFonts w:ascii="Tahoma" w:hAnsi="Tahoma" w:cs="Tahoma"/>
          <w:b/>
          <w:bCs/>
          <w:color w:val="00000A"/>
          <w:lang w:val="ro-RO"/>
        </w:rPr>
        <w:t>Veniturile fiscale</w:t>
      </w:r>
      <w:r w:rsidRPr="00942843">
        <w:rPr>
          <w:rFonts w:ascii="Tahoma" w:hAnsi="Tahoma" w:cs="Tahoma"/>
          <w:color w:val="00000A"/>
          <w:lang w:val="ro-RO"/>
        </w:rPr>
        <w:t xml:space="preserve"> au </w:t>
      </w:r>
      <w:r w:rsidR="00C06FA2" w:rsidRPr="00942843">
        <w:rPr>
          <w:rFonts w:ascii="Tahoma" w:hAnsi="Tahoma" w:cs="Tahoma"/>
          <w:color w:val="00000A"/>
          <w:lang w:val="ro-RO"/>
        </w:rPr>
        <w:t>însumat</w:t>
      </w:r>
      <w:r w:rsidR="00F84A41" w:rsidRPr="00942843">
        <w:rPr>
          <w:rFonts w:ascii="Tahoma" w:hAnsi="Tahoma" w:cs="Tahoma"/>
          <w:color w:val="00000A"/>
          <w:lang w:val="ro-RO"/>
        </w:rPr>
        <w:t xml:space="preserve"> 37,1 </w:t>
      </w:r>
      <w:r w:rsidR="00595DE7" w:rsidRPr="00942843">
        <w:rPr>
          <w:rFonts w:ascii="Tahoma" w:hAnsi="Tahoma" w:cs="Tahoma"/>
          <w:color w:val="00000A"/>
          <w:lang w:val="ro-RO"/>
        </w:rPr>
        <w:t>m</w:t>
      </w:r>
      <w:r w:rsidR="00713D80" w:rsidRPr="00942843">
        <w:rPr>
          <w:rFonts w:ascii="Tahoma" w:hAnsi="Tahoma" w:cs="Tahoma"/>
          <w:color w:val="00000A"/>
          <w:lang w:val="ro-RO"/>
        </w:rPr>
        <w:t>l</w:t>
      </w:r>
      <w:r w:rsidR="00595DE7" w:rsidRPr="00942843">
        <w:rPr>
          <w:rFonts w:ascii="Tahoma" w:hAnsi="Tahoma" w:cs="Tahoma"/>
          <w:color w:val="00000A"/>
          <w:lang w:val="ro-RO"/>
        </w:rPr>
        <w:t>d</w:t>
      </w:r>
      <w:r w:rsidR="00D475BB">
        <w:rPr>
          <w:rFonts w:ascii="Tahoma" w:hAnsi="Tahoma" w:cs="Tahoma"/>
          <w:color w:val="00000A"/>
          <w:lang w:val="ro-RO"/>
        </w:rPr>
        <w:t xml:space="preserve"> </w:t>
      </w:r>
      <w:r w:rsidRPr="00942843">
        <w:rPr>
          <w:rFonts w:ascii="Tahoma" w:hAnsi="Tahoma" w:cs="Tahoma"/>
          <w:color w:val="00000A"/>
          <w:lang w:val="ro-RO"/>
        </w:rPr>
        <w:t xml:space="preserve">lei și s-au realizat în proporție de </w:t>
      </w:r>
      <w:r w:rsidR="00F84A41" w:rsidRPr="00942843">
        <w:rPr>
          <w:rFonts w:ascii="Tahoma" w:hAnsi="Tahoma" w:cs="Tahoma"/>
          <w:color w:val="00000A"/>
          <w:lang w:val="ro-RO"/>
        </w:rPr>
        <w:t>97,1</w:t>
      </w:r>
      <w:r w:rsidRPr="00942843">
        <w:rPr>
          <w:rFonts w:ascii="Tahoma" w:hAnsi="Tahoma" w:cs="Tahoma"/>
          <w:color w:val="00000A"/>
          <w:lang w:val="ro-RO"/>
        </w:rPr>
        <w:t>%. Acestea au reprezentat 3,</w:t>
      </w:r>
      <w:r w:rsidR="00F84A41" w:rsidRPr="00942843">
        <w:rPr>
          <w:rFonts w:ascii="Tahoma" w:hAnsi="Tahoma" w:cs="Tahoma"/>
          <w:color w:val="00000A"/>
          <w:lang w:val="ro-RO"/>
        </w:rPr>
        <w:t>5</w:t>
      </w:r>
      <w:r w:rsidRPr="00942843">
        <w:rPr>
          <w:rFonts w:ascii="Tahoma" w:hAnsi="Tahoma" w:cs="Tahoma"/>
          <w:color w:val="00000A"/>
          <w:lang w:val="ro-RO"/>
        </w:rPr>
        <w:t>% din PIB</w:t>
      </w:r>
      <w:r w:rsidR="00F84A41" w:rsidRPr="00942843">
        <w:rPr>
          <w:rFonts w:ascii="Tahoma" w:hAnsi="Tahoma" w:cs="Tahoma"/>
          <w:color w:val="00000A"/>
          <w:lang w:val="ro-RO"/>
        </w:rPr>
        <w:t xml:space="preserve"> și s-au redus </w:t>
      </w:r>
      <w:r w:rsidRPr="00942843">
        <w:rPr>
          <w:rFonts w:ascii="Tahoma" w:hAnsi="Tahoma" w:cs="Tahoma"/>
          <w:color w:val="auto"/>
          <w:lang w:val="ro-RO"/>
        </w:rPr>
        <w:t xml:space="preserve">cu </w:t>
      </w:r>
      <w:r w:rsidR="00F84A41" w:rsidRPr="00942843">
        <w:rPr>
          <w:rFonts w:ascii="Tahoma" w:hAnsi="Tahoma" w:cs="Tahoma"/>
          <w:color w:val="auto"/>
          <w:lang w:val="ro-RO"/>
        </w:rPr>
        <w:t>10,1</w:t>
      </w:r>
      <w:r w:rsidRPr="00942843">
        <w:rPr>
          <w:rFonts w:ascii="Tahoma" w:hAnsi="Tahoma" w:cs="Tahoma"/>
          <w:color w:val="auto"/>
          <w:lang w:val="ro-RO"/>
        </w:rPr>
        <w:t>% comparativ cu încasările trimestru</w:t>
      </w:r>
      <w:r w:rsidR="006C1BA2" w:rsidRPr="00942843">
        <w:rPr>
          <w:rFonts w:ascii="Tahoma" w:hAnsi="Tahoma" w:cs="Tahoma"/>
          <w:color w:val="auto"/>
          <w:lang w:val="ro-RO"/>
        </w:rPr>
        <w:t>lui al II</w:t>
      </w:r>
      <w:r w:rsidR="00F84A41" w:rsidRPr="00942843">
        <w:rPr>
          <w:rFonts w:ascii="Tahoma" w:hAnsi="Tahoma" w:cs="Tahoma"/>
          <w:color w:val="auto"/>
          <w:lang w:val="ro-RO"/>
        </w:rPr>
        <w:t>I</w:t>
      </w:r>
      <w:r w:rsidR="006C1BA2" w:rsidRPr="00942843">
        <w:rPr>
          <w:rFonts w:ascii="Tahoma" w:hAnsi="Tahoma" w:cs="Tahoma"/>
          <w:color w:val="auto"/>
          <w:lang w:val="ro-RO"/>
        </w:rPr>
        <w:t xml:space="preserve">-lea </w:t>
      </w:r>
      <w:r w:rsidRPr="00942843">
        <w:rPr>
          <w:rFonts w:ascii="Tahoma" w:hAnsi="Tahoma" w:cs="Tahoma"/>
          <w:color w:val="auto"/>
          <w:lang w:val="ro-RO"/>
        </w:rPr>
        <w:t>al anului 2019.</w:t>
      </w:r>
      <w:r w:rsidR="00F84A41" w:rsidRPr="00942843">
        <w:rPr>
          <w:rFonts w:ascii="Tahoma" w:hAnsi="Tahoma" w:cs="Tahoma"/>
          <w:color w:val="auto"/>
          <w:lang w:val="ro-RO"/>
        </w:rPr>
        <w:t xml:space="preserve"> Ca raport în PIB</w:t>
      </w:r>
      <w:r w:rsidR="003D3B74" w:rsidRPr="00942843">
        <w:rPr>
          <w:rFonts w:ascii="Tahoma" w:hAnsi="Tahoma" w:cs="Tahoma"/>
          <w:color w:val="auto"/>
          <w:lang w:val="ro-RO"/>
        </w:rPr>
        <w:t>, comparativ cu trimestrul III 2019, veniturile fiscale au înregistrat o reducere de 0,4 puncte procentuale de la 3,9% din PIB în trimestrul III 2019 la 3,5% din PIB în trimestrul III 2020.</w:t>
      </w:r>
    </w:p>
    <w:p w:rsidR="00620465" w:rsidRPr="00942843" w:rsidRDefault="003D3B74" w:rsidP="001623A7">
      <w:pPr>
        <w:pStyle w:val="NormalWeb"/>
        <w:shd w:val="clear" w:color="auto" w:fill="FFFFFF"/>
        <w:tabs>
          <w:tab w:val="left" w:pos="142"/>
        </w:tabs>
        <w:spacing w:before="120" w:after="120"/>
        <w:ind w:firstLine="0"/>
        <w:rPr>
          <w:rFonts w:ascii="Tahoma" w:hAnsi="Tahoma" w:cs="Tahoma"/>
          <w:color w:val="auto"/>
          <w:lang w:val="ro-RO"/>
        </w:rPr>
      </w:pPr>
      <w:r w:rsidRPr="00942843">
        <w:rPr>
          <w:rFonts w:ascii="Tahoma" w:hAnsi="Tahoma" w:cs="Tahoma"/>
          <w:noProof/>
          <w:color w:val="auto"/>
        </w:rPr>
        <w:drawing>
          <wp:inline distT="0" distB="0" distL="0" distR="0" wp14:anchorId="7CE1D26A" wp14:editId="7E5233FA">
            <wp:extent cx="6131560" cy="2907727"/>
            <wp:effectExtent l="0" t="0" r="2540"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52066" cy="2917451"/>
                    </a:xfrm>
                    <a:prstGeom prst="rect">
                      <a:avLst/>
                    </a:prstGeom>
                    <a:noFill/>
                  </pic:spPr>
                </pic:pic>
              </a:graphicData>
            </a:graphic>
          </wp:inline>
        </w:drawing>
      </w:r>
    </w:p>
    <w:p w:rsidR="00DD52A5" w:rsidRPr="00942843" w:rsidRDefault="00222906" w:rsidP="00CF0789">
      <w:pPr>
        <w:pStyle w:val="NormalWeb"/>
        <w:shd w:val="clear" w:color="auto" w:fill="FFFFFF"/>
        <w:spacing w:before="120" w:after="240"/>
        <w:ind w:firstLine="0"/>
        <w:rPr>
          <w:rFonts w:ascii="Tahoma" w:hAnsi="Tahoma" w:cs="Tahoma"/>
          <w:color w:val="00000A"/>
          <w:lang w:val="ro-RO"/>
        </w:rPr>
      </w:pPr>
      <w:r w:rsidRPr="00942843">
        <w:rPr>
          <w:rFonts w:ascii="Tahoma" w:hAnsi="Tahoma" w:cs="Tahoma"/>
          <w:lang w:val="ro-RO"/>
        </w:rPr>
        <w:lastRenderedPageBreak/>
        <w:t>În</w:t>
      </w:r>
      <w:r w:rsidR="0079445D" w:rsidRPr="00942843">
        <w:rPr>
          <w:rFonts w:ascii="Tahoma" w:hAnsi="Tahoma" w:cs="Tahoma"/>
          <w:lang w:val="ro-RO"/>
        </w:rPr>
        <w:t xml:space="preserve"> trimestru</w:t>
      </w:r>
      <w:r w:rsidR="00EE29D6" w:rsidRPr="00942843">
        <w:rPr>
          <w:rFonts w:ascii="Tahoma" w:hAnsi="Tahoma" w:cs="Tahoma"/>
          <w:lang w:val="ro-RO"/>
        </w:rPr>
        <w:t>l al II</w:t>
      </w:r>
      <w:r w:rsidR="003D3B74" w:rsidRPr="00942843">
        <w:rPr>
          <w:rFonts w:ascii="Tahoma" w:hAnsi="Tahoma" w:cs="Tahoma"/>
          <w:lang w:val="ro-RO"/>
        </w:rPr>
        <w:t>I</w:t>
      </w:r>
      <w:r w:rsidR="00EE29D6" w:rsidRPr="00942843">
        <w:rPr>
          <w:rFonts w:ascii="Tahoma" w:hAnsi="Tahoma" w:cs="Tahoma"/>
          <w:lang w:val="ro-RO"/>
        </w:rPr>
        <w:t xml:space="preserve">-lea </w:t>
      </w:r>
      <w:r w:rsidR="008849D9" w:rsidRPr="00942843">
        <w:rPr>
          <w:rFonts w:ascii="Tahoma" w:hAnsi="Tahoma" w:cs="Tahoma"/>
          <w:lang w:val="ro-RO"/>
        </w:rPr>
        <w:t>al anului 2020</w:t>
      </w:r>
      <w:r w:rsidR="0079445D" w:rsidRPr="00942843">
        <w:rPr>
          <w:rFonts w:ascii="Tahoma" w:hAnsi="Tahoma" w:cs="Tahoma"/>
          <w:lang w:val="ro-RO"/>
        </w:rPr>
        <w:t>, î</w:t>
      </w:r>
      <w:r w:rsidR="00DD52A5" w:rsidRPr="00942843">
        <w:rPr>
          <w:rFonts w:ascii="Tahoma" w:hAnsi="Tahoma" w:cs="Tahoma"/>
          <w:lang w:val="ro-RO"/>
        </w:rPr>
        <w:t>ncasările pe principalele categorii de impozite</w:t>
      </w:r>
      <w:r w:rsidR="003D3B74" w:rsidRPr="00942843">
        <w:rPr>
          <w:rFonts w:ascii="Tahoma" w:hAnsi="Tahoma" w:cs="Tahoma"/>
          <w:lang w:val="ro-RO"/>
        </w:rPr>
        <w:t xml:space="preserve"> </w:t>
      </w:r>
      <w:r w:rsidR="00DD52A5" w:rsidRPr="00942843">
        <w:rPr>
          <w:rFonts w:ascii="Tahoma" w:hAnsi="Tahoma" w:cs="Tahoma"/>
          <w:lang w:val="ro-RO"/>
        </w:rPr>
        <w:t>au înregistrat următoarea evoluție:</w:t>
      </w:r>
    </w:p>
    <w:p w:rsidR="00EE29D6" w:rsidRPr="00942843" w:rsidRDefault="00EE29D6" w:rsidP="00CF0789">
      <w:pPr>
        <w:spacing w:after="0" w:line="276" w:lineRule="auto"/>
        <w:ind w:left="432"/>
        <w:jc w:val="both"/>
        <w:rPr>
          <w:rFonts w:ascii="Tahoma" w:eastAsia="Calibri" w:hAnsi="Tahoma" w:cs="Tahoma"/>
          <w:kern w:val="1"/>
          <w:sz w:val="24"/>
          <w:szCs w:val="24"/>
        </w:rPr>
      </w:pPr>
      <w:r w:rsidRPr="00942843">
        <w:rPr>
          <w:rFonts w:ascii="Tahoma" w:eastAsia="Times New Roman" w:hAnsi="Tahoma" w:cs="Tahoma"/>
          <w:b/>
          <w:noProof/>
          <w:sz w:val="24"/>
          <w:szCs w:val="24"/>
          <w:lang w:eastAsia="ro-RO"/>
        </w:rPr>
        <w:t>Încasările din impozitul pe profit</w:t>
      </w:r>
      <w:r w:rsidRPr="00942843">
        <w:rPr>
          <w:rFonts w:ascii="Tahoma" w:eastAsia="Times New Roman" w:hAnsi="Tahoma" w:cs="Tahoma"/>
          <w:noProof/>
          <w:sz w:val="24"/>
          <w:szCs w:val="24"/>
          <w:lang w:eastAsia="ro-RO"/>
        </w:rPr>
        <w:t xml:space="preserve"> în trimestrul II</w:t>
      </w:r>
      <w:r w:rsidR="003D3B74" w:rsidRPr="00942843">
        <w:rPr>
          <w:rFonts w:ascii="Tahoma" w:eastAsia="Times New Roman" w:hAnsi="Tahoma" w:cs="Tahoma"/>
          <w:noProof/>
          <w:sz w:val="24"/>
          <w:szCs w:val="24"/>
          <w:lang w:eastAsia="ro-RO"/>
        </w:rPr>
        <w:t>I</w:t>
      </w:r>
      <w:r w:rsidRPr="00942843">
        <w:rPr>
          <w:rFonts w:ascii="Tahoma" w:eastAsia="Times New Roman" w:hAnsi="Tahoma" w:cs="Tahoma"/>
          <w:noProof/>
          <w:sz w:val="24"/>
          <w:szCs w:val="24"/>
          <w:lang w:eastAsia="ro-RO"/>
        </w:rPr>
        <w:t xml:space="preserve"> 2020 </w:t>
      </w:r>
      <w:r w:rsidR="003D3B74" w:rsidRPr="00942843">
        <w:rPr>
          <w:rFonts w:ascii="Tahoma" w:eastAsia="Times New Roman" w:hAnsi="Tahoma" w:cs="Tahoma"/>
          <w:noProof/>
          <w:sz w:val="24"/>
          <w:szCs w:val="24"/>
          <w:lang w:eastAsia="ro-RO"/>
        </w:rPr>
        <w:t>au fost în sumă de 3,</w:t>
      </w:r>
      <w:r w:rsidR="00314E74">
        <w:rPr>
          <w:rFonts w:ascii="Tahoma" w:eastAsia="Times New Roman" w:hAnsi="Tahoma" w:cs="Tahoma"/>
          <w:noProof/>
          <w:sz w:val="24"/>
          <w:szCs w:val="24"/>
          <w:lang w:eastAsia="ro-RO"/>
        </w:rPr>
        <w:t>3</w:t>
      </w:r>
      <w:r w:rsidR="003D3B74" w:rsidRPr="00942843">
        <w:rPr>
          <w:rFonts w:ascii="Tahoma" w:eastAsia="Times New Roman" w:hAnsi="Tahoma" w:cs="Tahoma"/>
          <w:noProof/>
          <w:sz w:val="24"/>
          <w:szCs w:val="24"/>
          <w:lang w:eastAsia="ro-RO"/>
        </w:rPr>
        <w:t xml:space="preserve"> </w:t>
      </w:r>
      <w:r w:rsidRPr="00942843">
        <w:rPr>
          <w:rFonts w:ascii="Tahoma" w:eastAsia="Times New Roman" w:hAnsi="Tahoma" w:cs="Tahoma"/>
          <w:noProof/>
          <w:sz w:val="24"/>
          <w:szCs w:val="24"/>
          <w:lang w:eastAsia="ro-RO"/>
        </w:rPr>
        <w:t>mld lei,</w:t>
      </w:r>
      <w:r w:rsidRPr="00942843">
        <w:rPr>
          <w:rFonts w:ascii="Tahoma" w:eastAsia="Calibri" w:hAnsi="Tahoma" w:cs="Tahoma"/>
          <w:kern w:val="1"/>
          <w:sz w:val="24"/>
          <w:szCs w:val="24"/>
        </w:rPr>
        <w:t xml:space="preserve"> în </w:t>
      </w:r>
      <w:r w:rsidR="003D3B74" w:rsidRPr="00942843">
        <w:rPr>
          <w:rFonts w:ascii="Tahoma" w:eastAsia="Calibri" w:hAnsi="Tahoma" w:cs="Tahoma"/>
          <w:kern w:val="1"/>
          <w:sz w:val="24"/>
          <w:szCs w:val="24"/>
        </w:rPr>
        <w:t xml:space="preserve">scădere </w:t>
      </w:r>
      <w:r w:rsidRPr="00942843">
        <w:rPr>
          <w:rFonts w:ascii="Tahoma" w:eastAsia="Calibri" w:hAnsi="Tahoma" w:cs="Tahoma"/>
          <w:kern w:val="1"/>
          <w:sz w:val="24"/>
          <w:szCs w:val="24"/>
        </w:rPr>
        <w:t xml:space="preserve">cu </w:t>
      </w:r>
      <w:r w:rsidR="003D3B74" w:rsidRPr="00942843">
        <w:rPr>
          <w:rFonts w:ascii="Tahoma" w:eastAsia="Calibri" w:hAnsi="Tahoma" w:cs="Tahoma"/>
          <w:kern w:val="1"/>
          <w:sz w:val="24"/>
          <w:szCs w:val="24"/>
        </w:rPr>
        <w:t>25,5</w:t>
      </w:r>
      <w:r w:rsidRPr="00942843">
        <w:rPr>
          <w:rFonts w:ascii="Tahoma" w:eastAsia="Calibri" w:hAnsi="Tahoma" w:cs="Tahoma"/>
          <w:kern w:val="1"/>
          <w:sz w:val="24"/>
          <w:szCs w:val="24"/>
        </w:rPr>
        <w:t xml:space="preserve">% comparativ cu aceeași perioadă a anului precedent, înregistrează un grad de realizare față de programul stabilit pentru această perioadă de </w:t>
      </w:r>
      <w:r w:rsidR="003D3B74" w:rsidRPr="00942843">
        <w:rPr>
          <w:rFonts w:ascii="Tahoma" w:eastAsia="Calibri" w:hAnsi="Tahoma" w:cs="Tahoma"/>
          <w:kern w:val="1"/>
          <w:sz w:val="24"/>
          <w:szCs w:val="24"/>
        </w:rPr>
        <w:t>99,6</w:t>
      </w:r>
      <w:r w:rsidRPr="00942843">
        <w:rPr>
          <w:rFonts w:ascii="Tahoma" w:eastAsia="Calibri" w:hAnsi="Tahoma" w:cs="Tahoma"/>
          <w:kern w:val="1"/>
          <w:sz w:val="24"/>
          <w:szCs w:val="24"/>
        </w:rPr>
        <w:t>% (-</w:t>
      </w:r>
      <w:r w:rsidR="003D3B74" w:rsidRPr="00942843">
        <w:rPr>
          <w:rFonts w:ascii="Tahoma" w:eastAsia="Calibri" w:hAnsi="Tahoma" w:cs="Tahoma"/>
          <w:kern w:val="1"/>
          <w:sz w:val="24"/>
          <w:szCs w:val="24"/>
        </w:rPr>
        <w:t>0,01</w:t>
      </w:r>
      <w:r w:rsidR="003A1E8B">
        <w:rPr>
          <w:rFonts w:ascii="Tahoma" w:eastAsia="Calibri" w:hAnsi="Tahoma" w:cs="Tahoma"/>
          <w:kern w:val="1"/>
          <w:sz w:val="24"/>
          <w:szCs w:val="24"/>
        </w:rPr>
        <w:t xml:space="preserve"> mld </w:t>
      </w:r>
      <w:r w:rsidRPr="00942843">
        <w:rPr>
          <w:rFonts w:ascii="Tahoma" w:eastAsia="Calibri" w:hAnsi="Tahoma" w:cs="Tahoma"/>
          <w:kern w:val="1"/>
          <w:sz w:val="24"/>
          <w:szCs w:val="24"/>
        </w:rPr>
        <w:t>lei).</w:t>
      </w:r>
    </w:p>
    <w:p w:rsidR="0017215B" w:rsidRPr="00942843" w:rsidRDefault="0017215B" w:rsidP="00CF0789">
      <w:pPr>
        <w:autoSpaceDE w:val="0"/>
        <w:autoSpaceDN w:val="0"/>
        <w:adjustRightInd w:val="0"/>
        <w:spacing w:after="0" w:line="276" w:lineRule="auto"/>
        <w:ind w:left="432"/>
        <w:jc w:val="both"/>
        <w:rPr>
          <w:rFonts w:ascii="Tahoma" w:eastAsia="Times New Roman" w:hAnsi="Tahoma" w:cs="Tahoma"/>
          <w:noProof/>
          <w:sz w:val="24"/>
          <w:szCs w:val="24"/>
          <w:lang w:eastAsia="ro-RO"/>
        </w:rPr>
      </w:pPr>
      <w:r w:rsidRPr="00942843">
        <w:rPr>
          <w:rFonts w:ascii="Tahoma" w:eastAsia="Times New Roman" w:hAnsi="Tahoma" w:cs="Tahoma"/>
          <w:noProof/>
          <w:sz w:val="24"/>
          <w:szCs w:val="24"/>
          <w:lang w:eastAsia="ro-RO"/>
        </w:rPr>
        <w:t>Comparativ cu încasările din trimestrul III al anului 2019, în structura</w:t>
      </w:r>
      <w:r w:rsidR="00314E74">
        <w:rPr>
          <w:rFonts w:ascii="Tahoma" w:eastAsia="Times New Roman" w:hAnsi="Tahoma" w:cs="Tahoma"/>
          <w:noProof/>
          <w:sz w:val="24"/>
          <w:szCs w:val="24"/>
          <w:lang w:eastAsia="ro-RO"/>
        </w:rPr>
        <w:t>,</w:t>
      </w:r>
      <w:r w:rsidRPr="00942843">
        <w:rPr>
          <w:rFonts w:ascii="Tahoma" w:eastAsia="Times New Roman" w:hAnsi="Tahoma" w:cs="Tahoma"/>
          <w:noProof/>
          <w:sz w:val="24"/>
          <w:szCs w:val="24"/>
          <w:lang w:eastAsia="ro-RO"/>
        </w:rPr>
        <w:t xml:space="preserve"> încasările din impozitul pe profit de la agenții economici s-au diminuat cu 21,3%, în timp ce încasările din impozitul pe profit de la băncile comerciale s-au contractat cu 56,7%.</w:t>
      </w:r>
    </w:p>
    <w:p w:rsidR="0017215B" w:rsidRPr="00942843" w:rsidRDefault="0017215B" w:rsidP="00CF0789">
      <w:pPr>
        <w:autoSpaceDE w:val="0"/>
        <w:autoSpaceDN w:val="0"/>
        <w:adjustRightInd w:val="0"/>
        <w:spacing w:after="0" w:line="276" w:lineRule="auto"/>
        <w:ind w:left="432"/>
        <w:jc w:val="both"/>
        <w:rPr>
          <w:rFonts w:ascii="Tahoma" w:eastAsia="Times New Roman" w:hAnsi="Tahoma" w:cs="Tahoma"/>
          <w:noProof/>
          <w:sz w:val="24"/>
          <w:szCs w:val="24"/>
          <w:lang w:eastAsia="ro-RO"/>
        </w:rPr>
      </w:pPr>
    </w:p>
    <w:p w:rsidR="0017215B" w:rsidRPr="00942843" w:rsidRDefault="0017215B" w:rsidP="00CF0789">
      <w:pPr>
        <w:autoSpaceDE w:val="0"/>
        <w:autoSpaceDN w:val="0"/>
        <w:adjustRightInd w:val="0"/>
        <w:spacing w:after="0" w:line="276" w:lineRule="auto"/>
        <w:ind w:left="432"/>
        <w:jc w:val="both"/>
        <w:rPr>
          <w:rFonts w:ascii="Tahoma" w:eastAsia="Times New Roman" w:hAnsi="Tahoma" w:cs="Tahoma"/>
          <w:noProof/>
          <w:sz w:val="24"/>
          <w:szCs w:val="24"/>
          <w:lang w:eastAsia="ro-RO"/>
        </w:rPr>
      </w:pPr>
      <w:r w:rsidRPr="00942843">
        <w:rPr>
          <w:rFonts w:ascii="Tahoma" w:eastAsia="Times New Roman" w:hAnsi="Tahoma" w:cs="Tahoma"/>
          <w:noProof/>
          <w:sz w:val="24"/>
          <w:szCs w:val="24"/>
          <w:lang w:eastAsia="ro-RO"/>
        </w:rPr>
        <w:t>Evoluția negativă este explicată de: (i) efectuarea plăților anticipate la nivelul sumei rezultate din calculul impozitului pe profit trimestrial curent;</w:t>
      </w:r>
      <w:r w:rsidR="003A1E8B">
        <w:rPr>
          <w:rFonts w:ascii="Tahoma" w:eastAsia="Times New Roman" w:hAnsi="Tahoma" w:cs="Tahoma"/>
          <w:noProof/>
          <w:sz w:val="24"/>
          <w:szCs w:val="24"/>
          <w:lang w:eastAsia="ro-RO"/>
        </w:rPr>
        <w:t xml:space="preserve"> (ii) acordarea de bonificații de cca 0,3 mld</w:t>
      </w:r>
      <w:r w:rsidRPr="00942843">
        <w:rPr>
          <w:rFonts w:ascii="Tahoma" w:eastAsia="Times New Roman" w:hAnsi="Tahoma" w:cs="Tahoma"/>
          <w:noProof/>
          <w:sz w:val="24"/>
          <w:szCs w:val="24"/>
          <w:lang w:eastAsia="ro-RO"/>
        </w:rPr>
        <w:t xml:space="preserve"> lei pentru plata anticipată efectuată trimestrial; (iii) scăderea volumului creditelor acordate polulației și întreprinderilor; (iv) reducerea ratei dobânzii de politică monetară cu 0,5 puncte procentuale, începând cu data de 23 martie de la 2,5% la 2,0%</w:t>
      </w:r>
      <w:r w:rsidRPr="003A1E8B">
        <w:rPr>
          <w:rFonts w:ascii="Tahoma" w:eastAsia="Times New Roman" w:hAnsi="Tahoma" w:cs="Tahoma"/>
          <w:noProof/>
          <w:sz w:val="24"/>
          <w:szCs w:val="24"/>
          <w:vertAlign w:val="superscript"/>
          <w:lang w:eastAsia="ro-RO"/>
        </w:rPr>
        <w:footnoteReference w:id="1"/>
      </w:r>
      <w:r w:rsidRPr="00942843">
        <w:rPr>
          <w:rFonts w:ascii="Tahoma" w:eastAsia="Times New Roman" w:hAnsi="Tahoma" w:cs="Tahoma"/>
          <w:noProof/>
          <w:sz w:val="24"/>
          <w:szCs w:val="24"/>
          <w:lang w:eastAsia="ro-RO"/>
        </w:rPr>
        <w:t xml:space="preserve"> pe an și cu 0,25 puncte procentuale începând cu data de 02 iunie 2020 de la 2,0% la 1,75%</w:t>
      </w:r>
      <w:r w:rsidRPr="003A1E8B">
        <w:rPr>
          <w:rFonts w:ascii="Tahoma" w:eastAsia="Times New Roman" w:hAnsi="Tahoma" w:cs="Tahoma"/>
          <w:noProof/>
          <w:sz w:val="24"/>
          <w:szCs w:val="24"/>
          <w:vertAlign w:val="superscript"/>
          <w:lang w:eastAsia="ro-RO"/>
        </w:rPr>
        <w:footnoteReference w:id="2"/>
      </w:r>
      <w:r w:rsidRPr="00942843">
        <w:rPr>
          <w:rFonts w:ascii="Tahoma" w:eastAsia="Times New Roman" w:hAnsi="Tahoma" w:cs="Tahoma"/>
          <w:noProof/>
          <w:sz w:val="24"/>
          <w:szCs w:val="24"/>
          <w:lang w:eastAsia="ro-RO"/>
        </w:rPr>
        <w:t>, respectiv la 1,5%</w:t>
      </w:r>
      <w:r w:rsidRPr="003A1E8B">
        <w:rPr>
          <w:rFonts w:ascii="Tahoma" w:eastAsia="Times New Roman" w:hAnsi="Tahoma" w:cs="Tahoma"/>
          <w:noProof/>
          <w:sz w:val="24"/>
          <w:szCs w:val="24"/>
          <w:vertAlign w:val="superscript"/>
          <w:lang w:eastAsia="ro-RO"/>
        </w:rPr>
        <w:footnoteReference w:id="3"/>
      </w:r>
      <w:r w:rsidRPr="00942843">
        <w:rPr>
          <w:rFonts w:ascii="Tahoma" w:eastAsia="Times New Roman" w:hAnsi="Tahoma" w:cs="Tahoma"/>
          <w:noProof/>
          <w:sz w:val="24"/>
          <w:szCs w:val="24"/>
          <w:lang w:eastAsia="ro-RO"/>
        </w:rPr>
        <w:t xml:space="preserve"> pe an începând cu data de 06 august 2020; (v) suspendarea de la plată a ratelor scadente aferente împrumuturilor, reprezentând rate de capital, dobânzi și comisioane, acordate debitorilor de către creditor la cererea debitorului cu până la 9 luni, dar nu mai mult de 31.12.2020; (vi) amânarea plății obligațiilor fiscale pe perioada stării de urgență și alertă</w:t>
      </w:r>
      <w:r w:rsidRPr="003A1E8B">
        <w:rPr>
          <w:rFonts w:ascii="Tahoma" w:eastAsia="Times New Roman" w:hAnsi="Tahoma" w:cs="Tahoma"/>
          <w:noProof/>
          <w:sz w:val="24"/>
          <w:szCs w:val="24"/>
          <w:vertAlign w:val="superscript"/>
          <w:lang w:eastAsia="ro-RO"/>
        </w:rPr>
        <w:footnoteReference w:id="4"/>
      </w:r>
      <w:r w:rsidRPr="00942843">
        <w:rPr>
          <w:rFonts w:ascii="Tahoma" w:eastAsia="Times New Roman" w:hAnsi="Tahoma" w:cs="Tahoma"/>
          <w:noProof/>
          <w:sz w:val="24"/>
          <w:szCs w:val="24"/>
          <w:lang w:eastAsia="ro-RO"/>
        </w:rPr>
        <w:t xml:space="preserve">. </w:t>
      </w:r>
    </w:p>
    <w:p w:rsidR="00EE29D6" w:rsidRPr="00942843" w:rsidRDefault="00EE29D6" w:rsidP="00CF0789">
      <w:pPr>
        <w:spacing w:after="0" w:line="276" w:lineRule="auto"/>
        <w:ind w:left="432"/>
        <w:rPr>
          <w:rFonts w:ascii="Tahoma" w:eastAsia="Times New Roman" w:hAnsi="Tahoma" w:cs="Tahoma"/>
          <w:noProof/>
          <w:sz w:val="24"/>
          <w:szCs w:val="24"/>
          <w:lang w:eastAsia="ro-RO"/>
        </w:rPr>
      </w:pPr>
    </w:p>
    <w:p w:rsidR="0017215B" w:rsidRPr="00942843" w:rsidRDefault="0017215B" w:rsidP="00CF0789">
      <w:pPr>
        <w:tabs>
          <w:tab w:val="left" w:pos="284"/>
        </w:tabs>
        <w:autoSpaceDE w:val="0"/>
        <w:autoSpaceDN w:val="0"/>
        <w:adjustRightInd w:val="0"/>
        <w:spacing w:after="120" w:line="276" w:lineRule="auto"/>
        <w:ind w:left="432"/>
        <w:jc w:val="both"/>
        <w:rPr>
          <w:rFonts w:ascii="Tahoma" w:eastAsia="Times New Roman" w:hAnsi="Tahoma" w:cs="Tahoma"/>
          <w:noProof/>
          <w:sz w:val="24"/>
          <w:szCs w:val="24"/>
          <w:lang w:eastAsia="ro-RO"/>
        </w:rPr>
      </w:pPr>
      <w:r w:rsidRPr="00942843">
        <w:rPr>
          <w:rFonts w:ascii="Tahoma" w:eastAsia="Times New Roman" w:hAnsi="Tahoma" w:cs="Tahoma"/>
          <w:b/>
          <w:noProof/>
          <w:sz w:val="24"/>
          <w:szCs w:val="24"/>
          <w:lang w:eastAsia="ro-RO"/>
        </w:rPr>
        <w:t>Încasările din impozitul pe venit</w:t>
      </w:r>
      <w:r w:rsidRPr="00942843">
        <w:rPr>
          <w:rFonts w:ascii="Tahoma" w:eastAsia="Times New Roman" w:hAnsi="Tahoma" w:cs="Tahoma"/>
          <w:noProof/>
          <w:sz w:val="24"/>
          <w:szCs w:val="24"/>
          <w:lang w:eastAsia="ro-RO"/>
        </w:rPr>
        <w:t xml:space="preserve"> în trimestrul III 2020 au totalizat 5,</w:t>
      </w:r>
      <w:r w:rsidR="00314E74">
        <w:rPr>
          <w:rFonts w:ascii="Tahoma" w:eastAsia="Times New Roman" w:hAnsi="Tahoma" w:cs="Tahoma"/>
          <w:noProof/>
          <w:sz w:val="24"/>
          <w:szCs w:val="24"/>
          <w:lang w:eastAsia="ro-RO"/>
        </w:rPr>
        <w:t>9</w:t>
      </w:r>
      <w:r w:rsidR="003A1E8B">
        <w:rPr>
          <w:rFonts w:ascii="Tahoma" w:eastAsia="Times New Roman" w:hAnsi="Tahoma" w:cs="Tahoma"/>
          <w:noProof/>
          <w:sz w:val="24"/>
          <w:szCs w:val="24"/>
          <w:lang w:eastAsia="ro-RO"/>
        </w:rPr>
        <w:t xml:space="preserve"> mld </w:t>
      </w:r>
      <w:r w:rsidRPr="00942843">
        <w:rPr>
          <w:rFonts w:ascii="Tahoma" w:eastAsia="Times New Roman" w:hAnsi="Tahoma" w:cs="Tahoma"/>
          <w:noProof/>
          <w:sz w:val="24"/>
          <w:szCs w:val="24"/>
          <w:lang w:eastAsia="ro-RO"/>
        </w:rPr>
        <w:t>lei, în  scădere cu 4,</w:t>
      </w:r>
      <w:r w:rsidR="00314E74">
        <w:rPr>
          <w:rFonts w:ascii="Tahoma" w:eastAsia="Times New Roman" w:hAnsi="Tahoma" w:cs="Tahoma"/>
          <w:noProof/>
          <w:sz w:val="24"/>
          <w:szCs w:val="24"/>
          <w:lang w:eastAsia="ro-RO"/>
        </w:rPr>
        <w:t>5</w:t>
      </w:r>
      <w:r w:rsidRPr="00942843">
        <w:rPr>
          <w:rFonts w:ascii="Tahoma" w:eastAsia="Times New Roman" w:hAnsi="Tahoma" w:cs="Tahoma"/>
          <w:noProof/>
          <w:sz w:val="24"/>
          <w:szCs w:val="24"/>
          <w:lang w:eastAsia="ro-RO"/>
        </w:rPr>
        <w:t>%  comparativ cu aceeași perioadă a anului precedent. Gradul de realizare al impozitului pe venit față de programul stabilit pentru această perioadă a fost de 101,</w:t>
      </w:r>
      <w:r w:rsidR="00314E74">
        <w:rPr>
          <w:rFonts w:ascii="Tahoma" w:eastAsia="Times New Roman" w:hAnsi="Tahoma" w:cs="Tahoma"/>
          <w:noProof/>
          <w:sz w:val="24"/>
          <w:szCs w:val="24"/>
          <w:lang w:eastAsia="ro-RO"/>
        </w:rPr>
        <w:t>0</w:t>
      </w:r>
      <w:r w:rsidRPr="00942843">
        <w:rPr>
          <w:rFonts w:ascii="Tahoma" w:eastAsia="Times New Roman" w:hAnsi="Tahoma" w:cs="Tahoma"/>
          <w:noProof/>
          <w:sz w:val="24"/>
          <w:szCs w:val="24"/>
          <w:lang w:eastAsia="ro-RO"/>
        </w:rPr>
        <w:t>%.</w:t>
      </w:r>
    </w:p>
    <w:p w:rsidR="0017215B" w:rsidRPr="00942843" w:rsidRDefault="0017215B" w:rsidP="00CF0789">
      <w:pPr>
        <w:autoSpaceDE w:val="0"/>
        <w:autoSpaceDN w:val="0"/>
        <w:adjustRightInd w:val="0"/>
        <w:spacing w:line="276" w:lineRule="auto"/>
        <w:ind w:left="432"/>
        <w:jc w:val="both"/>
        <w:rPr>
          <w:rFonts w:ascii="Tahoma" w:eastAsia="Times New Roman" w:hAnsi="Tahoma" w:cs="Tahoma"/>
          <w:noProof/>
          <w:sz w:val="24"/>
          <w:szCs w:val="24"/>
          <w:lang w:eastAsia="ro-RO"/>
        </w:rPr>
      </w:pPr>
      <w:r w:rsidRPr="00942843">
        <w:rPr>
          <w:rFonts w:ascii="Tahoma" w:eastAsia="Times New Roman" w:hAnsi="Tahoma" w:cs="Tahoma"/>
          <w:noProof/>
          <w:sz w:val="24"/>
          <w:szCs w:val="24"/>
          <w:lang w:eastAsia="ro-RO"/>
        </w:rPr>
        <w:t>În structură, impozitul pe venitul din salarii a înregistrat un grad de realizare de 105,0% față de programul trimestrial. Comparativ cu aceeași perioadă a anului 2019, încasările din impozit pe venit din salarii cresc cu 1,5%, fiind sub evoluția fondului de salarii în perioada analizată de 4,6%</w:t>
      </w:r>
      <w:r w:rsidRPr="003A1E8B">
        <w:rPr>
          <w:rFonts w:ascii="Tahoma" w:eastAsia="Times New Roman" w:hAnsi="Tahoma" w:cs="Tahoma"/>
          <w:noProof/>
          <w:sz w:val="20"/>
          <w:szCs w:val="20"/>
          <w:vertAlign w:val="superscript"/>
          <w:lang w:eastAsia="ro-RO"/>
        </w:rPr>
        <w:footnoteReference w:id="5"/>
      </w:r>
      <w:r w:rsidRPr="00942843">
        <w:rPr>
          <w:rFonts w:ascii="Tahoma" w:eastAsia="Times New Roman" w:hAnsi="Tahoma" w:cs="Tahoma"/>
          <w:noProof/>
          <w:sz w:val="24"/>
          <w:szCs w:val="24"/>
          <w:lang w:eastAsia="ro-RO"/>
        </w:rPr>
        <w:t xml:space="preserve">. </w:t>
      </w:r>
    </w:p>
    <w:p w:rsidR="0017215B" w:rsidRPr="00942843" w:rsidRDefault="0017215B" w:rsidP="00CF0789">
      <w:pPr>
        <w:tabs>
          <w:tab w:val="left" w:pos="284"/>
        </w:tabs>
        <w:autoSpaceDE w:val="0"/>
        <w:autoSpaceDN w:val="0"/>
        <w:adjustRightInd w:val="0"/>
        <w:spacing w:after="120" w:line="276" w:lineRule="auto"/>
        <w:ind w:left="432"/>
        <w:jc w:val="both"/>
        <w:rPr>
          <w:rFonts w:ascii="Tahoma" w:eastAsia="Times New Roman" w:hAnsi="Tahoma" w:cs="Tahoma"/>
          <w:noProof/>
          <w:sz w:val="24"/>
          <w:szCs w:val="24"/>
          <w:lang w:eastAsia="ro-RO"/>
        </w:rPr>
      </w:pPr>
      <w:r w:rsidRPr="00942843">
        <w:rPr>
          <w:rFonts w:ascii="Tahoma" w:eastAsia="Times New Roman" w:hAnsi="Tahoma" w:cs="Tahoma"/>
          <w:noProof/>
          <w:sz w:val="24"/>
          <w:szCs w:val="24"/>
          <w:lang w:eastAsia="ro-RO"/>
        </w:rPr>
        <w:lastRenderedPageBreak/>
        <w:t xml:space="preserve">O evoluție pozitivă au înregistrat-o încasările din impozitul pe venit din pensii și din transferul proprietăților imobiliare din patrimoniul personal în creștere cu 42,7%, respectiv 48,4% comparativ cu aceeași perioadă a anului precedent. </w:t>
      </w:r>
    </w:p>
    <w:p w:rsidR="00DD52A5" w:rsidRPr="00942843" w:rsidRDefault="00DD52A5" w:rsidP="00CF0789">
      <w:pPr>
        <w:pStyle w:val="NormalWeb"/>
        <w:shd w:val="clear" w:color="auto" w:fill="FFFFFF"/>
        <w:tabs>
          <w:tab w:val="left" w:pos="810"/>
          <w:tab w:val="left" w:pos="1530"/>
        </w:tabs>
        <w:autoSpaceDE w:val="0"/>
        <w:autoSpaceDN w:val="0"/>
        <w:adjustRightInd w:val="0"/>
        <w:spacing w:before="120" w:after="120"/>
        <w:ind w:left="432" w:firstLine="0"/>
        <w:rPr>
          <w:rFonts w:ascii="Tahoma" w:hAnsi="Tahoma" w:cs="Tahoma"/>
          <w:color w:val="auto"/>
          <w:lang w:val="ro-RO"/>
        </w:rPr>
      </w:pPr>
      <w:r w:rsidRPr="00942843">
        <w:rPr>
          <w:rFonts w:ascii="Tahoma" w:hAnsi="Tahoma" w:cs="Tahoma"/>
          <w:b/>
          <w:color w:val="auto"/>
          <w:lang w:val="ro-RO"/>
        </w:rPr>
        <w:t xml:space="preserve">Încasările din </w:t>
      </w:r>
      <w:r w:rsidRPr="00942843">
        <w:rPr>
          <w:rFonts w:ascii="Tahoma" w:hAnsi="Tahoma" w:cs="Tahoma"/>
          <w:b/>
          <w:bCs/>
          <w:color w:val="auto"/>
          <w:lang w:val="ro-RO"/>
        </w:rPr>
        <w:t xml:space="preserve">impozitele </w:t>
      </w:r>
      <w:r w:rsidR="00640FBB" w:rsidRPr="00942843">
        <w:rPr>
          <w:rFonts w:ascii="Tahoma" w:hAnsi="Tahoma" w:cs="Tahoma"/>
          <w:b/>
          <w:bCs/>
          <w:color w:val="auto"/>
          <w:lang w:val="ro-RO"/>
        </w:rPr>
        <w:t>și</w:t>
      </w:r>
      <w:r w:rsidRPr="00942843">
        <w:rPr>
          <w:rFonts w:ascii="Tahoma" w:hAnsi="Tahoma" w:cs="Tahoma"/>
          <w:b/>
          <w:bCs/>
          <w:color w:val="auto"/>
          <w:lang w:val="ro-RO"/>
        </w:rPr>
        <w:t xml:space="preserve"> taxele pe proprietate</w:t>
      </w:r>
      <w:r w:rsidRPr="00942843">
        <w:rPr>
          <w:rFonts w:ascii="Tahoma" w:hAnsi="Tahoma" w:cs="Tahoma"/>
          <w:color w:val="auto"/>
          <w:lang w:val="ro-RO"/>
        </w:rPr>
        <w:t xml:space="preserve"> au însumat </w:t>
      </w:r>
      <w:r w:rsidR="00DF4DFB" w:rsidRPr="00942843">
        <w:rPr>
          <w:rFonts w:ascii="Tahoma" w:hAnsi="Tahoma" w:cs="Tahoma"/>
          <w:color w:val="auto"/>
          <w:lang w:val="ro-RO"/>
        </w:rPr>
        <w:t>1,</w:t>
      </w:r>
      <w:r w:rsidR="0017215B" w:rsidRPr="00942843">
        <w:rPr>
          <w:rFonts w:ascii="Tahoma" w:hAnsi="Tahoma" w:cs="Tahoma"/>
          <w:color w:val="auto"/>
          <w:lang w:val="ro-RO"/>
        </w:rPr>
        <w:t>2 mld</w:t>
      </w:r>
      <w:r w:rsidR="003A1E8B">
        <w:rPr>
          <w:rFonts w:ascii="Tahoma" w:hAnsi="Tahoma" w:cs="Tahoma"/>
          <w:color w:val="auto"/>
          <w:lang w:val="ro-RO"/>
        </w:rPr>
        <w:t xml:space="preserve"> </w:t>
      </w:r>
      <w:r w:rsidRPr="00942843">
        <w:rPr>
          <w:rFonts w:ascii="Tahoma" w:hAnsi="Tahoma" w:cs="Tahoma"/>
          <w:color w:val="auto"/>
          <w:lang w:val="ro-RO"/>
        </w:rPr>
        <w:t>lei (0,</w:t>
      </w:r>
      <w:r w:rsidR="0017215B" w:rsidRPr="00942843">
        <w:rPr>
          <w:rFonts w:ascii="Tahoma" w:hAnsi="Tahoma" w:cs="Tahoma"/>
          <w:color w:val="auto"/>
          <w:lang w:val="ro-RO"/>
        </w:rPr>
        <w:t>1</w:t>
      </w:r>
      <w:r w:rsidRPr="00942843">
        <w:rPr>
          <w:rFonts w:ascii="Tahoma" w:hAnsi="Tahoma" w:cs="Tahoma"/>
          <w:color w:val="auto"/>
          <w:lang w:val="ro-RO"/>
        </w:rPr>
        <w:t xml:space="preserve">% din PIB) și s-au realizat în proporție de </w:t>
      </w:r>
      <w:r w:rsidR="0017215B" w:rsidRPr="00942843">
        <w:rPr>
          <w:rFonts w:ascii="Tahoma" w:hAnsi="Tahoma" w:cs="Tahoma"/>
          <w:color w:val="auto"/>
          <w:lang w:val="ro-RO"/>
        </w:rPr>
        <w:t>78,4</w:t>
      </w:r>
      <w:r w:rsidRPr="00942843">
        <w:rPr>
          <w:rFonts w:ascii="Tahoma" w:hAnsi="Tahoma" w:cs="Tahoma"/>
          <w:color w:val="auto"/>
          <w:lang w:val="ro-RO"/>
        </w:rPr>
        <w:t xml:space="preserve">%. </w:t>
      </w:r>
      <w:r w:rsidR="0033447D" w:rsidRPr="00942843">
        <w:rPr>
          <w:rFonts w:ascii="Tahoma" w:hAnsi="Tahoma" w:cs="Tahoma"/>
          <w:color w:val="auto"/>
          <w:lang w:val="ro-RO"/>
        </w:rPr>
        <w:t>Totodată, c</w:t>
      </w:r>
      <w:r w:rsidRPr="00942843">
        <w:rPr>
          <w:rFonts w:ascii="Tahoma" w:hAnsi="Tahoma" w:cs="Tahoma"/>
          <w:color w:val="auto"/>
          <w:lang w:val="ro-RO"/>
        </w:rPr>
        <w:t>omparativ cu încasările din trimestrul I</w:t>
      </w:r>
      <w:r w:rsidR="00DF4DFB" w:rsidRPr="00942843">
        <w:rPr>
          <w:rFonts w:ascii="Tahoma" w:hAnsi="Tahoma" w:cs="Tahoma"/>
          <w:color w:val="auto"/>
          <w:lang w:val="ro-RO"/>
        </w:rPr>
        <w:t>I</w:t>
      </w:r>
      <w:r w:rsidR="0017215B" w:rsidRPr="00942843">
        <w:rPr>
          <w:rFonts w:ascii="Tahoma" w:hAnsi="Tahoma" w:cs="Tahoma"/>
          <w:color w:val="auto"/>
          <w:lang w:val="ro-RO"/>
        </w:rPr>
        <w:t>I</w:t>
      </w:r>
      <w:r w:rsidRPr="00942843">
        <w:rPr>
          <w:rFonts w:ascii="Tahoma" w:hAnsi="Tahoma" w:cs="Tahoma"/>
          <w:color w:val="auto"/>
          <w:lang w:val="ro-RO"/>
        </w:rPr>
        <w:t xml:space="preserve"> 2019, acestea </w:t>
      </w:r>
      <w:r w:rsidR="0017215B" w:rsidRPr="00942843">
        <w:rPr>
          <w:rFonts w:ascii="Tahoma" w:hAnsi="Tahoma" w:cs="Tahoma"/>
          <w:color w:val="auto"/>
          <w:lang w:val="ro-RO"/>
        </w:rPr>
        <w:t>s-</w:t>
      </w:r>
      <w:r w:rsidRPr="00942843">
        <w:rPr>
          <w:rFonts w:ascii="Tahoma" w:hAnsi="Tahoma" w:cs="Tahoma"/>
          <w:color w:val="auto"/>
          <w:lang w:val="ro-RO"/>
        </w:rPr>
        <w:t xml:space="preserve">au </w:t>
      </w:r>
      <w:r w:rsidR="0017215B" w:rsidRPr="00942843">
        <w:rPr>
          <w:rFonts w:ascii="Tahoma" w:hAnsi="Tahoma" w:cs="Tahoma"/>
          <w:color w:val="auto"/>
          <w:lang w:val="ro-RO"/>
        </w:rPr>
        <w:t xml:space="preserve">diminuat </w:t>
      </w:r>
      <w:r w:rsidR="00DF4DFB" w:rsidRPr="00942843">
        <w:rPr>
          <w:rFonts w:ascii="Tahoma" w:hAnsi="Tahoma" w:cs="Tahoma"/>
          <w:color w:val="auto"/>
          <w:lang w:val="ro-RO"/>
        </w:rPr>
        <w:t xml:space="preserve">cu </w:t>
      </w:r>
      <w:r w:rsidR="0017215B" w:rsidRPr="00942843">
        <w:rPr>
          <w:rFonts w:ascii="Tahoma" w:hAnsi="Tahoma" w:cs="Tahoma"/>
          <w:color w:val="auto"/>
          <w:lang w:val="ro-RO"/>
        </w:rPr>
        <w:t>0</w:t>
      </w:r>
      <w:r w:rsidR="003A1E8B">
        <w:rPr>
          <w:rFonts w:ascii="Tahoma" w:hAnsi="Tahoma" w:cs="Tahoma"/>
          <w:color w:val="auto"/>
          <w:lang w:val="ro-RO"/>
        </w:rPr>
        <w:t>,1 mld</w:t>
      </w:r>
      <w:r w:rsidR="00DF4DFB" w:rsidRPr="00942843">
        <w:rPr>
          <w:rFonts w:ascii="Tahoma" w:hAnsi="Tahoma" w:cs="Tahoma"/>
          <w:color w:val="auto"/>
          <w:lang w:val="ro-RO"/>
        </w:rPr>
        <w:t xml:space="preserve"> </w:t>
      </w:r>
      <w:r w:rsidR="0017215B" w:rsidRPr="00942843">
        <w:rPr>
          <w:rFonts w:ascii="Tahoma" w:hAnsi="Tahoma" w:cs="Tahoma"/>
          <w:color w:val="auto"/>
          <w:lang w:val="ro-RO"/>
        </w:rPr>
        <w:t>lei.</w:t>
      </w:r>
      <w:r w:rsidR="00DF4DFB" w:rsidRPr="00942843">
        <w:rPr>
          <w:rFonts w:ascii="Tahoma" w:hAnsi="Tahoma" w:cs="Tahoma"/>
          <w:color w:val="auto"/>
          <w:lang w:val="ro-RO"/>
        </w:rPr>
        <w:t xml:space="preserve"> </w:t>
      </w:r>
    </w:p>
    <w:p w:rsidR="00F62AA6" w:rsidRPr="00942843" w:rsidRDefault="00F62AA6" w:rsidP="00CF0789">
      <w:pPr>
        <w:suppressAutoHyphens/>
        <w:autoSpaceDE w:val="0"/>
        <w:autoSpaceDN w:val="0"/>
        <w:adjustRightInd w:val="0"/>
        <w:spacing w:after="0" w:line="276" w:lineRule="auto"/>
        <w:ind w:left="432"/>
        <w:jc w:val="both"/>
        <w:rPr>
          <w:rFonts w:ascii="Tahoma" w:eastAsia="Calibri" w:hAnsi="Tahoma" w:cs="Tahoma"/>
          <w:kern w:val="1"/>
          <w:sz w:val="24"/>
          <w:szCs w:val="24"/>
        </w:rPr>
      </w:pPr>
      <w:r w:rsidRPr="00942843">
        <w:rPr>
          <w:rFonts w:ascii="Tahoma" w:eastAsia="Calibri" w:hAnsi="Tahoma" w:cs="Tahoma"/>
          <w:b/>
          <w:kern w:val="1"/>
          <w:sz w:val="24"/>
          <w:szCs w:val="24"/>
        </w:rPr>
        <w:t>Încasările din taxa pe valoarea adăugată</w:t>
      </w:r>
      <w:r w:rsidRPr="00942843">
        <w:rPr>
          <w:rFonts w:ascii="Tahoma" w:eastAsia="Calibri" w:hAnsi="Tahoma" w:cs="Tahoma"/>
          <w:kern w:val="1"/>
          <w:sz w:val="24"/>
          <w:szCs w:val="24"/>
        </w:rPr>
        <w:t xml:space="preserve"> au fost în sumă de </w:t>
      </w:r>
      <w:r w:rsidR="0017215B" w:rsidRPr="00942843">
        <w:rPr>
          <w:rFonts w:ascii="Tahoma" w:eastAsia="Calibri" w:hAnsi="Tahoma" w:cs="Tahoma"/>
          <w:kern w:val="1"/>
          <w:sz w:val="24"/>
          <w:szCs w:val="24"/>
        </w:rPr>
        <w:t>15,3</w:t>
      </w:r>
      <w:r w:rsidRPr="00942843">
        <w:rPr>
          <w:rFonts w:ascii="Tahoma" w:eastAsia="Calibri" w:hAnsi="Tahoma" w:cs="Tahoma"/>
          <w:kern w:val="1"/>
          <w:sz w:val="24"/>
          <w:szCs w:val="24"/>
        </w:rPr>
        <w:t xml:space="preserve"> mld lei, gradul de realizare al programului trimestrial fiind de </w:t>
      </w:r>
      <w:r w:rsidR="0017215B" w:rsidRPr="00942843">
        <w:rPr>
          <w:rFonts w:ascii="Tahoma" w:eastAsia="Calibri" w:hAnsi="Tahoma" w:cs="Tahoma"/>
          <w:kern w:val="1"/>
          <w:sz w:val="24"/>
          <w:szCs w:val="24"/>
        </w:rPr>
        <w:t>97</w:t>
      </w:r>
      <w:r w:rsidRPr="00942843">
        <w:rPr>
          <w:rFonts w:ascii="Tahoma" w:eastAsia="Calibri" w:hAnsi="Tahoma" w:cs="Tahoma"/>
          <w:kern w:val="1"/>
          <w:sz w:val="24"/>
          <w:szCs w:val="24"/>
        </w:rPr>
        <w:t>,3%</w:t>
      </w:r>
      <w:r w:rsidR="003A1E8B">
        <w:rPr>
          <w:rFonts w:ascii="Tahoma" w:eastAsia="Calibri" w:hAnsi="Tahoma" w:cs="Tahoma"/>
          <w:kern w:val="1"/>
          <w:sz w:val="24"/>
          <w:szCs w:val="24"/>
        </w:rPr>
        <w:t xml:space="preserve"> (-0,4 mld</w:t>
      </w:r>
      <w:r w:rsidR="00F71A8D" w:rsidRPr="00942843">
        <w:rPr>
          <w:rFonts w:ascii="Tahoma" w:eastAsia="Calibri" w:hAnsi="Tahoma" w:cs="Tahoma"/>
          <w:kern w:val="1"/>
          <w:sz w:val="24"/>
          <w:szCs w:val="24"/>
        </w:rPr>
        <w:t xml:space="preserve"> lei)</w:t>
      </w:r>
      <w:r w:rsidRPr="00942843">
        <w:rPr>
          <w:rFonts w:ascii="Tahoma" w:eastAsia="Calibri" w:hAnsi="Tahoma" w:cs="Tahoma"/>
          <w:kern w:val="1"/>
          <w:sz w:val="24"/>
          <w:szCs w:val="24"/>
        </w:rPr>
        <w:t>. Comparativ cu încasările aferente trimestrului II</w:t>
      </w:r>
      <w:r w:rsidR="0017215B" w:rsidRPr="00942843">
        <w:rPr>
          <w:rFonts w:ascii="Tahoma" w:eastAsia="Calibri" w:hAnsi="Tahoma" w:cs="Tahoma"/>
          <w:kern w:val="1"/>
          <w:sz w:val="24"/>
          <w:szCs w:val="24"/>
        </w:rPr>
        <w:t>I</w:t>
      </w:r>
      <w:r w:rsidRPr="00942843">
        <w:rPr>
          <w:rFonts w:ascii="Tahoma" w:eastAsia="Calibri" w:hAnsi="Tahoma" w:cs="Tahoma"/>
          <w:kern w:val="1"/>
          <w:sz w:val="24"/>
          <w:szCs w:val="24"/>
        </w:rPr>
        <w:t xml:space="preserve"> 2019, în perioada analizată s-a înregistrat o diminuare a încasărilor din TVA cu </w:t>
      </w:r>
      <w:r w:rsidR="0017215B" w:rsidRPr="00942843">
        <w:rPr>
          <w:rFonts w:ascii="Tahoma" w:eastAsia="Calibri" w:hAnsi="Tahoma" w:cs="Tahoma"/>
          <w:kern w:val="1"/>
          <w:sz w:val="24"/>
          <w:szCs w:val="24"/>
        </w:rPr>
        <w:t>11,6</w:t>
      </w:r>
      <w:r w:rsidRPr="00942843">
        <w:rPr>
          <w:rFonts w:ascii="Tahoma" w:eastAsia="Calibri" w:hAnsi="Tahoma" w:cs="Tahoma"/>
          <w:kern w:val="1"/>
          <w:sz w:val="24"/>
          <w:szCs w:val="24"/>
        </w:rPr>
        <w:t>%</w:t>
      </w:r>
      <w:r w:rsidR="003A1E8B">
        <w:rPr>
          <w:rFonts w:ascii="Tahoma" w:eastAsia="Calibri" w:hAnsi="Tahoma" w:cs="Tahoma"/>
          <w:kern w:val="1"/>
          <w:sz w:val="24"/>
          <w:szCs w:val="24"/>
        </w:rPr>
        <w:t xml:space="preserve"> (2,0 mld</w:t>
      </w:r>
      <w:r w:rsidR="0017215B" w:rsidRPr="00942843">
        <w:rPr>
          <w:rFonts w:ascii="Tahoma" w:eastAsia="Calibri" w:hAnsi="Tahoma" w:cs="Tahoma"/>
          <w:kern w:val="1"/>
          <w:sz w:val="24"/>
          <w:szCs w:val="24"/>
        </w:rPr>
        <w:t xml:space="preserve"> lei)</w:t>
      </w:r>
      <w:r w:rsidRPr="00942843">
        <w:rPr>
          <w:rFonts w:ascii="Tahoma" w:eastAsia="Calibri" w:hAnsi="Tahoma" w:cs="Tahoma"/>
          <w:kern w:val="1"/>
          <w:sz w:val="24"/>
          <w:szCs w:val="24"/>
        </w:rPr>
        <w:t>.</w:t>
      </w:r>
    </w:p>
    <w:p w:rsidR="0017215B" w:rsidRPr="00942843" w:rsidRDefault="0017215B" w:rsidP="00CF0789">
      <w:pPr>
        <w:suppressAutoHyphens/>
        <w:autoSpaceDE w:val="0"/>
        <w:autoSpaceDN w:val="0"/>
        <w:adjustRightInd w:val="0"/>
        <w:spacing w:after="0" w:line="276" w:lineRule="auto"/>
        <w:ind w:left="432"/>
        <w:jc w:val="both"/>
        <w:rPr>
          <w:rFonts w:ascii="Tahoma" w:eastAsia="Calibri" w:hAnsi="Tahoma" w:cs="Tahoma"/>
          <w:kern w:val="1"/>
          <w:sz w:val="24"/>
          <w:szCs w:val="24"/>
        </w:rPr>
      </w:pPr>
      <w:r w:rsidRPr="00942843">
        <w:rPr>
          <w:rFonts w:ascii="Tahoma" w:eastAsia="Calibri" w:hAnsi="Tahoma" w:cs="Tahoma"/>
          <w:kern w:val="1"/>
          <w:sz w:val="24"/>
          <w:szCs w:val="24"/>
        </w:rPr>
        <w:t>În structură, TVA încasată</w:t>
      </w:r>
      <w:r w:rsidRPr="00942843">
        <w:rPr>
          <w:rFonts w:ascii="Tahoma" w:eastAsia="Calibri" w:hAnsi="Tahoma" w:cs="Tahoma"/>
          <w:kern w:val="1"/>
          <w:sz w:val="24"/>
          <w:szCs w:val="24"/>
          <w:vertAlign w:val="superscript"/>
        </w:rPr>
        <w:footnoteReference w:id="6"/>
      </w:r>
      <w:r w:rsidR="003A1E8B">
        <w:rPr>
          <w:rFonts w:ascii="Tahoma" w:eastAsia="Calibri" w:hAnsi="Tahoma" w:cs="Tahoma"/>
          <w:kern w:val="1"/>
          <w:sz w:val="24"/>
          <w:szCs w:val="24"/>
        </w:rPr>
        <w:t xml:space="preserve"> s-a diminuat cu 7,4% (-1,6 mld</w:t>
      </w:r>
      <w:r w:rsidRPr="00942843">
        <w:rPr>
          <w:rFonts w:ascii="Tahoma" w:eastAsia="Calibri" w:hAnsi="Tahoma" w:cs="Tahoma"/>
          <w:kern w:val="1"/>
          <w:sz w:val="24"/>
          <w:szCs w:val="24"/>
        </w:rPr>
        <w:t xml:space="preserve"> lei) față de trimestrul III 2019</w:t>
      </w:r>
      <w:r w:rsidRPr="00942843">
        <w:rPr>
          <w:rFonts w:ascii="Tahoma" w:eastAsia="Calibri" w:hAnsi="Tahoma" w:cs="Tahoma"/>
          <w:kern w:val="1"/>
          <w:sz w:val="24"/>
          <w:szCs w:val="24"/>
          <w:vertAlign w:val="superscript"/>
        </w:rPr>
        <w:footnoteReference w:id="7"/>
      </w:r>
      <w:r w:rsidRPr="00942843">
        <w:rPr>
          <w:rFonts w:ascii="Tahoma" w:eastAsia="Calibri" w:hAnsi="Tahoma" w:cs="Tahoma"/>
          <w:kern w:val="1"/>
          <w:sz w:val="24"/>
          <w:szCs w:val="24"/>
        </w:rPr>
        <w:t>, iar valoarea restituirilor de taxă pe valoare adăug</w:t>
      </w:r>
      <w:r w:rsidR="00AC4186">
        <w:rPr>
          <w:rFonts w:ascii="Tahoma" w:eastAsia="Calibri" w:hAnsi="Tahoma" w:cs="Tahoma"/>
          <w:kern w:val="1"/>
          <w:sz w:val="24"/>
          <w:szCs w:val="24"/>
        </w:rPr>
        <w:t>ată a crescut cu 6,4% (+0,3 mld</w:t>
      </w:r>
      <w:r w:rsidRPr="00942843">
        <w:rPr>
          <w:rFonts w:ascii="Tahoma" w:eastAsia="Calibri" w:hAnsi="Tahoma" w:cs="Tahoma"/>
          <w:kern w:val="1"/>
          <w:sz w:val="24"/>
          <w:szCs w:val="24"/>
        </w:rPr>
        <w:t xml:space="preserve"> lei).</w:t>
      </w:r>
    </w:p>
    <w:p w:rsidR="0017215B" w:rsidRPr="00942843" w:rsidRDefault="0017215B" w:rsidP="00CF0789">
      <w:pPr>
        <w:suppressAutoHyphens/>
        <w:autoSpaceDE w:val="0"/>
        <w:autoSpaceDN w:val="0"/>
        <w:adjustRightInd w:val="0"/>
        <w:spacing w:after="0" w:line="276" w:lineRule="auto"/>
        <w:ind w:left="432"/>
        <w:jc w:val="both"/>
        <w:rPr>
          <w:rFonts w:ascii="Tahoma" w:eastAsia="Calibri" w:hAnsi="Tahoma" w:cs="Tahoma"/>
          <w:kern w:val="1"/>
          <w:sz w:val="24"/>
          <w:szCs w:val="24"/>
        </w:rPr>
      </w:pPr>
      <w:r w:rsidRPr="00942843">
        <w:rPr>
          <w:rFonts w:ascii="Tahoma" w:eastAsia="Calibri" w:hAnsi="Tahoma" w:cs="Tahoma"/>
          <w:kern w:val="1"/>
          <w:sz w:val="24"/>
          <w:szCs w:val="24"/>
        </w:rPr>
        <w:t xml:space="preserve">Evoluția încasărilor nete de TVA în trimestrul III al anului 2020 a fost influențată negativ de: (i) prorogarea termenului de plată a obligațiilor fiscale declarate; (ii) evoluțiile economice nefavorabile din sectoarele economice, începând cu luna martie, în principal serviciile de piață prestate populației, industria și comerțul. </w:t>
      </w:r>
    </w:p>
    <w:p w:rsidR="0017215B" w:rsidRPr="00942843" w:rsidRDefault="0017215B" w:rsidP="00CF0789">
      <w:pPr>
        <w:suppressAutoHyphens/>
        <w:autoSpaceDE w:val="0"/>
        <w:autoSpaceDN w:val="0"/>
        <w:adjustRightInd w:val="0"/>
        <w:spacing w:after="0" w:line="276" w:lineRule="auto"/>
        <w:ind w:left="432"/>
        <w:jc w:val="both"/>
        <w:rPr>
          <w:rFonts w:ascii="Tahoma" w:eastAsia="Calibri" w:hAnsi="Tahoma" w:cs="Tahoma"/>
          <w:kern w:val="1"/>
          <w:sz w:val="24"/>
          <w:szCs w:val="24"/>
        </w:rPr>
      </w:pPr>
      <w:r w:rsidRPr="00942843">
        <w:rPr>
          <w:rFonts w:ascii="Tahoma" w:eastAsia="Calibri" w:hAnsi="Tahoma" w:cs="Tahoma"/>
          <w:kern w:val="1"/>
          <w:sz w:val="24"/>
          <w:szCs w:val="24"/>
        </w:rPr>
        <w:t>În ceea ce privește volumul cifrei de afaceri din comerțul cu amănuntul</w:t>
      </w:r>
      <w:r w:rsidRPr="00942843">
        <w:rPr>
          <w:rFonts w:ascii="Tahoma" w:eastAsia="Calibri" w:hAnsi="Tahoma" w:cs="Tahoma"/>
          <w:kern w:val="1"/>
          <w:sz w:val="24"/>
          <w:szCs w:val="24"/>
          <w:vertAlign w:val="superscript"/>
        </w:rPr>
        <w:footnoteReference w:id="8"/>
      </w:r>
      <w:r w:rsidRPr="00942843">
        <w:rPr>
          <w:rFonts w:ascii="Tahoma" w:eastAsia="Calibri" w:hAnsi="Tahoma" w:cs="Tahoma"/>
          <w:kern w:val="1"/>
          <w:sz w:val="24"/>
          <w:szCs w:val="24"/>
        </w:rPr>
        <w:t xml:space="preserve"> (cu excepția comerțului cu autovehicule și motociclete), serie brută, în perioada 1.I-31.VIII.2020, comparativ cu perioada 1.I-31.VIII.2019, a înregistrat o creștere cu 1,3% datorită creșterii vânzărilor de produse alimentare, băuturi și tutun (+6,2%) și a vânzărilor de produse nealimentare (+2,8%). Comerțul cu amănuntul al carburanților pentru autovehicule în magazine specializate a scăzut cu 9,0%</w:t>
      </w:r>
      <w:r w:rsidR="00314E74">
        <w:rPr>
          <w:rFonts w:ascii="Tahoma" w:eastAsia="Calibri" w:hAnsi="Tahoma" w:cs="Tahoma"/>
          <w:kern w:val="1"/>
          <w:sz w:val="24"/>
          <w:szCs w:val="24"/>
        </w:rPr>
        <w:t>.</w:t>
      </w:r>
    </w:p>
    <w:p w:rsidR="0017215B" w:rsidRPr="00942843" w:rsidRDefault="0017215B" w:rsidP="00CF0789">
      <w:pPr>
        <w:suppressAutoHyphens/>
        <w:autoSpaceDE w:val="0"/>
        <w:autoSpaceDN w:val="0"/>
        <w:adjustRightInd w:val="0"/>
        <w:spacing w:after="120" w:line="276" w:lineRule="auto"/>
        <w:ind w:left="432"/>
        <w:jc w:val="both"/>
        <w:rPr>
          <w:rFonts w:ascii="Tahoma" w:eastAsia="Calibri" w:hAnsi="Tahoma" w:cs="Tahoma"/>
          <w:kern w:val="1"/>
          <w:sz w:val="24"/>
          <w:szCs w:val="24"/>
        </w:rPr>
      </w:pPr>
      <w:r w:rsidRPr="00942843">
        <w:rPr>
          <w:rFonts w:ascii="Tahoma" w:eastAsia="Calibri" w:hAnsi="Tahoma" w:cs="Tahoma"/>
          <w:kern w:val="1"/>
          <w:sz w:val="24"/>
          <w:szCs w:val="24"/>
        </w:rPr>
        <w:t xml:space="preserve">Referitor la valoarea schimburilor extra comunitare de bunuri </w:t>
      </w:r>
      <w:r w:rsidRPr="00942843">
        <w:rPr>
          <w:rFonts w:ascii="Tahoma" w:eastAsia="Calibri" w:hAnsi="Tahoma" w:cs="Tahoma"/>
          <w:kern w:val="1"/>
          <w:sz w:val="24"/>
          <w:szCs w:val="24"/>
          <w:vertAlign w:val="superscript"/>
        </w:rPr>
        <w:footnoteReference w:id="9"/>
      </w:r>
      <w:r w:rsidRPr="00942843">
        <w:rPr>
          <w:rFonts w:ascii="Tahoma" w:eastAsia="Calibri" w:hAnsi="Tahoma" w:cs="Tahoma"/>
          <w:kern w:val="1"/>
          <w:sz w:val="24"/>
          <w:szCs w:val="24"/>
        </w:rPr>
        <w:t xml:space="preserve"> (Extra-UE27), aceasta a scăzut cu 11,9% la importuri  și cu 14,3% la exporturi (la valori exprimate în lei) în primele opt luni ale anului 2020 comparativ cu perioada similară a anului precedent.</w:t>
      </w:r>
    </w:p>
    <w:p w:rsidR="00F62AA6" w:rsidRPr="00942843" w:rsidRDefault="00F62AA6" w:rsidP="00CF0789">
      <w:pPr>
        <w:tabs>
          <w:tab w:val="left" w:pos="284"/>
        </w:tabs>
        <w:suppressAutoHyphens/>
        <w:autoSpaceDE w:val="0"/>
        <w:autoSpaceDN w:val="0"/>
        <w:adjustRightInd w:val="0"/>
        <w:spacing w:after="120" w:line="276" w:lineRule="auto"/>
        <w:ind w:left="432"/>
        <w:jc w:val="both"/>
        <w:rPr>
          <w:rFonts w:ascii="Tahoma" w:eastAsia="Calibri" w:hAnsi="Tahoma" w:cs="Tahoma"/>
          <w:kern w:val="1"/>
          <w:sz w:val="24"/>
          <w:szCs w:val="24"/>
        </w:rPr>
      </w:pPr>
      <w:r w:rsidRPr="00942843">
        <w:rPr>
          <w:rFonts w:ascii="Tahoma" w:eastAsia="Calibri" w:hAnsi="Tahoma" w:cs="Tahoma"/>
          <w:b/>
          <w:kern w:val="1"/>
          <w:sz w:val="24"/>
          <w:szCs w:val="24"/>
        </w:rPr>
        <w:t>Încasările din accize</w:t>
      </w:r>
      <w:r w:rsidRPr="00942843">
        <w:rPr>
          <w:rFonts w:ascii="Tahoma" w:eastAsia="Calibri" w:hAnsi="Tahoma" w:cs="Tahoma"/>
          <w:kern w:val="1"/>
          <w:sz w:val="24"/>
          <w:szCs w:val="24"/>
        </w:rPr>
        <w:t xml:space="preserve"> pe trimestrul II</w:t>
      </w:r>
      <w:r w:rsidR="00F71A8D" w:rsidRPr="00942843">
        <w:rPr>
          <w:rFonts w:ascii="Tahoma" w:eastAsia="Calibri" w:hAnsi="Tahoma" w:cs="Tahoma"/>
          <w:kern w:val="1"/>
          <w:sz w:val="24"/>
          <w:szCs w:val="24"/>
        </w:rPr>
        <w:t>I</w:t>
      </w:r>
      <w:r w:rsidRPr="00942843">
        <w:rPr>
          <w:rFonts w:ascii="Tahoma" w:eastAsia="Calibri" w:hAnsi="Tahoma" w:cs="Tahoma"/>
          <w:kern w:val="1"/>
          <w:sz w:val="24"/>
          <w:szCs w:val="24"/>
        </w:rPr>
        <w:t xml:space="preserve"> al anului 2020, în valoare de </w:t>
      </w:r>
      <w:r w:rsidR="00F71A8D" w:rsidRPr="00942843">
        <w:rPr>
          <w:rFonts w:ascii="Tahoma" w:eastAsia="Calibri" w:hAnsi="Tahoma" w:cs="Tahoma"/>
          <w:kern w:val="1"/>
          <w:sz w:val="24"/>
          <w:szCs w:val="24"/>
        </w:rPr>
        <w:t>8,5</w:t>
      </w:r>
      <w:r w:rsidR="003A1E8B">
        <w:rPr>
          <w:rFonts w:ascii="Tahoma" w:eastAsia="Calibri" w:hAnsi="Tahoma" w:cs="Tahoma"/>
          <w:kern w:val="1"/>
          <w:sz w:val="24"/>
          <w:szCs w:val="24"/>
        </w:rPr>
        <w:t xml:space="preserve"> mld</w:t>
      </w:r>
      <w:r w:rsidRPr="00942843">
        <w:rPr>
          <w:rFonts w:ascii="Tahoma" w:eastAsia="Calibri" w:hAnsi="Tahoma" w:cs="Tahoma"/>
          <w:kern w:val="1"/>
          <w:sz w:val="24"/>
          <w:szCs w:val="24"/>
        </w:rPr>
        <w:t xml:space="preserve"> lei au înregistrat o scădere cu </w:t>
      </w:r>
      <w:r w:rsidR="00F71A8D" w:rsidRPr="00942843">
        <w:rPr>
          <w:rFonts w:ascii="Tahoma" w:eastAsia="Calibri" w:hAnsi="Tahoma" w:cs="Tahoma"/>
          <w:kern w:val="1"/>
          <w:sz w:val="24"/>
          <w:szCs w:val="24"/>
        </w:rPr>
        <w:t>2</w:t>
      </w:r>
      <w:r w:rsidRPr="00942843">
        <w:rPr>
          <w:rFonts w:ascii="Tahoma" w:eastAsia="Calibri" w:hAnsi="Tahoma" w:cs="Tahoma"/>
          <w:kern w:val="1"/>
          <w:sz w:val="24"/>
          <w:szCs w:val="24"/>
        </w:rPr>
        <w:t xml:space="preserve">,6% comparativ cu aceeași perioadă a anului precedent. Gradul de realizare </w:t>
      </w:r>
      <w:r w:rsidR="00F71A8D" w:rsidRPr="00942843">
        <w:rPr>
          <w:rFonts w:ascii="Tahoma" w:eastAsia="Calibri" w:hAnsi="Tahoma" w:cs="Tahoma"/>
          <w:kern w:val="1"/>
          <w:sz w:val="24"/>
          <w:szCs w:val="24"/>
        </w:rPr>
        <w:t xml:space="preserve">al </w:t>
      </w:r>
      <w:r w:rsidRPr="00942843">
        <w:rPr>
          <w:rFonts w:ascii="Tahoma" w:eastAsia="Calibri" w:hAnsi="Tahoma" w:cs="Tahoma"/>
          <w:kern w:val="1"/>
          <w:sz w:val="24"/>
          <w:szCs w:val="24"/>
        </w:rPr>
        <w:t xml:space="preserve">programul stabilit pentru această perioadă a fost de </w:t>
      </w:r>
      <w:r w:rsidR="00F71A8D" w:rsidRPr="00942843">
        <w:rPr>
          <w:rFonts w:ascii="Tahoma" w:eastAsia="Calibri" w:hAnsi="Tahoma" w:cs="Tahoma"/>
          <w:kern w:val="1"/>
          <w:sz w:val="24"/>
          <w:szCs w:val="24"/>
        </w:rPr>
        <w:t>97,3</w:t>
      </w:r>
      <w:r w:rsidRPr="00942843">
        <w:rPr>
          <w:rFonts w:ascii="Tahoma" w:eastAsia="Calibri" w:hAnsi="Tahoma" w:cs="Tahoma"/>
          <w:kern w:val="1"/>
          <w:sz w:val="24"/>
          <w:szCs w:val="24"/>
        </w:rPr>
        <w:t>% (-0,</w:t>
      </w:r>
      <w:r w:rsidR="00F71A8D" w:rsidRPr="00942843">
        <w:rPr>
          <w:rFonts w:ascii="Tahoma" w:eastAsia="Calibri" w:hAnsi="Tahoma" w:cs="Tahoma"/>
          <w:kern w:val="1"/>
          <w:sz w:val="24"/>
          <w:szCs w:val="24"/>
        </w:rPr>
        <w:t xml:space="preserve">2 </w:t>
      </w:r>
      <w:r w:rsidR="003A1E8B">
        <w:rPr>
          <w:rFonts w:ascii="Tahoma" w:eastAsia="Calibri" w:hAnsi="Tahoma" w:cs="Tahoma"/>
          <w:kern w:val="1"/>
          <w:sz w:val="24"/>
          <w:szCs w:val="24"/>
        </w:rPr>
        <w:t>mld</w:t>
      </w:r>
      <w:r w:rsidRPr="00942843">
        <w:rPr>
          <w:rFonts w:ascii="Tahoma" w:eastAsia="Calibri" w:hAnsi="Tahoma" w:cs="Tahoma"/>
          <w:kern w:val="1"/>
          <w:sz w:val="24"/>
          <w:szCs w:val="24"/>
        </w:rPr>
        <w:t xml:space="preserve"> lei).</w:t>
      </w:r>
    </w:p>
    <w:p w:rsidR="00F71A8D" w:rsidRPr="00942843" w:rsidRDefault="00F71A8D" w:rsidP="00CF0789">
      <w:pPr>
        <w:tabs>
          <w:tab w:val="left" w:pos="284"/>
        </w:tabs>
        <w:suppressAutoHyphens/>
        <w:autoSpaceDE w:val="0"/>
        <w:autoSpaceDN w:val="0"/>
        <w:adjustRightInd w:val="0"/>
        <w:spacing w:after="120" w:line="276" w:lineRule="auto"/>
        <w:ind w:left="432"/>
        <w:jc w:val="both"/>
        <w:rPr>
          <w:rFonts w:ascii="Tahoma" w:eastAsia="Calibri" w:hAnsi="Tahoma" w:cs="Tahoma"/>
          <w:kern w:val="1"/>
          <w:sz w:val="24"/>
          <w:szCs w:val="24"/>
        </w:rPr>
      </w:pPr>
      <w:r w:rsidRPr="00942843">
        <w:rPr>
          <w:rFonts w:ascii="Tahoma" w:eastAsia="Calibri" w:hAnsi="Tahoma" w:cs="Tahoma"/>
          <w:kern w:val="1"/>
          <w:sz w:val="24"/>
          <w:szCs w:val="24"/>
        </w:rPr>
        <w:t>În structură, veniturile din accize pentru produse energetice au înregistrat o evoluție negativă de -14,8%, în principal ca urmare a reducerii consumului de carburanți, în contextul crizei actuale, iar veniturile din accize pentru produsele din tutun au înregistrat o evoluție pozitivă de</w:t>
      </w:r>
      <w:r w:rsidR="00314E74" w:rsidRPr="00942843">
        <w:rPr>
          <w:rFonts w:ascii="Tahoma" w:eastAsia="Calibri" w:hAnsi="Tahoma" w:cs="Tahoma"/>
          <w:kern w:val="1"/>
          <w:sz w:val="24"/>
          <w:szCs w:val="24"/>
        </w:rPr>
        <w:t xml:space="preserve"> 16,0%, susținută de majorarea </w:t>
      </w:r>
      <w:r w:rsidRPr="00942843">
        <w:rPr>
          <w:rFonts w:ascii="Tahoma" w:eastAsia="Calibri" w:hAnsi="Tahoma" w:cs="Tahoma"/>
          <w:kern w:val="1"/>
          <w:sz w:val="24"/>
          <w:szCs w:val="24"/>
        </w:rPr>
        <w:t>nivelului accizelor la țigarete.</w:t>
      </w:r>
    </w:p>
    <w:p w:rsidR="00DA38C3" w:rsidRPr="00942843" w:rsidRDefault="00DD52A5" w:rsidP="00CF0789">
      <w:pPr>
        <w:spacing w:before="240" w:after="240" w:line="276" w:lineRule="auto"/>
        <w:ind w:left="432"/>
        <w:jc w:val="both"/>
        <w:rPr>
          <w:rFonts w:ascii="Tahoma" w:hAnsi="Tahoma" w:cs="Tahoma"/>
          <w:sz w:val="24"/>
          <w:szCs w:val="24"/>
        </w:rPr>
      </w:pPr>
      <w:r w:rsidRPr="00942843">
        <w:rPr>
          <w:rFonts w:ascii="Tahoma" w:hAnsi="Tahoma" w:cs="Tahoma"/>
          <w:b/>
          <w:sz w:val="24"/>
          <w:szCs w:val="24"/>
        </w:rPr>
        <w:lastRenderedPageBreak/>
        <w:t>Încasările din taxele pe utilizarea bunurilor</w:t>
      </w:r>
      <w:r w:rsidR="007369A7" w:rsidRPr="00942843">
        <w:rPr>
          <w:rFonts w:ascii="Tahoma" w:hAnsi="Tahoma" w:cs="Tahoma"/>
          <w:b/>
          <w:sz w:val="24"/>
          <w:szCs w:val="24"/>
        </w:rPr>
        <w:t xml:space="preserve"> </w:t>
      </w:r>
      <w:r w:rsidR="00502B73" w:rsidRPr="00942843">
        <w:rPr>
          <w:rFonts w:ascii="Tahoma" w:hAnsi="Tahoma" w:cs="Tahoma"/>
          <w:sz w:val="24"/>
          <w:szCs w:val="24"/>
        </w:rPr>
        <w:t xml:space="preserve">au fost în sumă de </w:t>
      </w:r>
      <w:r w:rsidR="00F62AA6" w:rsidRPr="00942843">
        <w:rPr>
          <w:rFonts w:ascii="Tahoma" w:hAnsi="Tahoma" w:cs="Tahoma"/>
          <w:sz w:val="24"/>
          <w:szCs w:val="24"/>
        </w:rPr>
        <w:t>0,</w:t>
      </w:r>
      <w:r w:rsidR="00DA38C3" w:rsidRPr="00942843">
        <w:rPr>
          <w:rFonts w:ascii="Tahoma" w:hAnsi="Tahoma" w:cs="Tahoma"/>
          <w:sz w:val="24"/>
          <w:szCs w:val="24"/>
        </w:rPr>
        <w:t>9 mld</w:t>
      </w:r>
      <w:r w:rsidR="003A1E8B">
        <w:rPr>
          <w:rFonts w:ascii="Tahoma" w:hAnsi="Tahoma" w:cs="Tahoma"/>
          <w:sz w:val="24"/>
          <w:szCs w:val="24"/>
        </w:rPr>
        <w:t xml:space="preserve"> </w:t>
      </w:r>
      <w:r w:rsidRPr="00942843">
        <w:rPr>
          <w:rFonts w:ascii="Tahoma" w:hAnsi="Tahoma" w:cs="Tahoma"/>
          <w:sz w:val="24"/>
          <w:szCs w:val="24"/>
        </w:rPr>
        <w:t xml:space="preserve">lei, </w:t>
      </w:r>
      <w:r w:rsidR="00DA38C3" w:rsidRPr="00942843">
        <w:rPr>
          <w:rFonts w:ascii="Tahoma" w:hAnsi="Tahoma" w:cs="Tahoma"/>
          <w:sz w:val="24"/>
          <w:szCs w:val="24"/>
        </w:rPr>
        <w:t xml:space="preserve">cu 114,4% mai mari comparativ cu perioada similară a anului anterior, </w:t>
      </w:r>
      <w:r w:rsidR="00565196" w:rsidRPr="00942843">
        <w:rPr>
          <w:rFonts w:ascii="Tahoma" w:hAnsi="Tahoma" w:cs="Tahoma"/>
          <w:sz w:val="24"/>
          <w:szCs w:val="24"/>
        </w:rPr>
        <w:t xml:space="preserve">în </w:t>
      </w:r>
      <w:r w:rsidR="00F62AA6" w:rsidRPr="00942843">
        <w:rPr>
          <w:rFonts w:ascii="Tahoma" w:hAnsi="Tahoma" w:cs="Tahoma"/>
          <w:sz w:val="24"/>
          <w:szCs w:val="24"/>
        </w:rPr>
        <w:t>condițiile în care în trimestrul II</w:t>
      </w:r>
      <w:r w:rsidR="00DA38C3" w:rsidRPr="00942843">
        <w:rPr>
          <w:rFonts w:ascii="Tahoma" w:hAnsi="Tahoma" w:cs="Tahoma"/>
          <w:sz w:val="24"/>
          <w:szCs w:val="24"/>
        </w:rPr>
        <w:t>I</w:t>
      </w:r>
      <w:r w:rsidR="00F62AA6" w:rsidRPr="00942843">
        <w:rPr>
          <w:rFonts w:ascii="Tahoma" w:hAnsi="Tahoma" w:cs="Tahoma"/>
          <w:sz w:val="24"/>
          <w:szCs w:val="24"/>
        </w:rPr>
        <w:t xml:space="preserve"> 2019 </w:t>
      </w:r>
      <w:r w:rsidR="00DA38C3" w:rsidRPr="00942843">
        <w:rPr>
          <w:rFonts w:ascii="Tahoma" w:hAnsi="Tahoma" w:cs="Tahoma"/>
          <w:sz w:val="24"/>
          <w:szCs w:val="24"/>
        </w:rPr>
        <w:t xml:space="preserve">încasările au fost afectate de </w:t>
      </w:r>
      <w:r w:rsidR="00F62AA6" w:rsidRPr="00942843">
        <w:rPr>
          <w:rFonts w:ascii="Tahoma" w:hAnsi="Tahoma" w:cs="Tahoma"/>
          <w:sz w:val="24"/>
          <w:szCs w:val="24"/>
        </w:rPr>
        <w:t>restituiril</w:t>
      </w:r>
      <w:r w:rsidR="00DA38C3" w:rsidRPr="00942843">
        <w:rPr>
          <w:rFonts w:ascii="Tahoma" w:hAnsi="Tahoma" w:cs="Tahoma"/>
          <w:sz w:val="24"/>
          <w:szCs w:val="24"/>
        </w:rPr>
        <w:t>e</w:t>
      </w:r>
      <w:r w:rsidR="00F62AA6" w:rsidRPr="00942843">
        <w:rPr>
          <w:rFonts w:ascii="Tahoma" w:hAnsi="Tahoma" w:cs="Tahoma"/>
          <w:sz w:val="24"/>
          <w:szCs w:val="24"/>
        </w:rPr>
        <w:t xml:space="preserve"> aferente taxei de poluare pentru autovehicule. Gradul de realizare al programului trimestrial a fost de </w:t>
      </w:r>
      <w:r w:rsidR="00DA38C3" w:rsidRPr="00942843">
        <w:rPr>
          <w:rFonts w:ascii="Tahoma" w:hAnsi="Tahoma" w:cs="Tahoma"/>
          <w:sz w:val="24"/>
          <w:szCs w:val="24"/>
        </w:rPr>
        <w:t>140,3</w:t>
      </w:r>
      <w:r w:rsidR="00F62AA6" w:rsidRPr="00942843">
        <w:rPr>
          <w:rFonts w:ascii="Tahoma" w:hAnsi="Tahoma" w:cs="Tahoma"/>
          <w:sz w:val="24"/>
          <w:szCs w:val="24"/>
        </w:rPr>
        <w:t>%</w:t>
      </w:r>
      <w:r w:rsidR="001C5C1A" w:rsidRPr="00942843">
        <w:rPr>
          <w:rFonts w:ascii="Tahoma" w:hAnsi="Tahoma" w:cs="Tahoma"/>
          <w:sz w:val="24"/>
          <w:szCs w:val="24"/>
        </w:rPr>
        <w:t xml:space="preserve">. </w:t>
      </w:r>
      <w:r w:rsidR="00DA38C3" w:rsidRPr="00942843">
        <w:rPr>
          <w:rFonts w:ascii="Tahoma" w:hAnsi="Tahoma" w:cs="Tahoma"/>
          <w:sz w:val="24"/>
          <w:szCs w:val="24"/>
        </w:rPr>
        <w:t xml:space="preserve">Depășirea </w:t>
      </w:r>
      <w:r w:rsidR="001C5C1A" w:rsidRPr="00942843">
        <w:rPr>
          <w:rFonts w:ascii="Tahoma" w:hAnsi="Tahoma" w:cs="Tahoma"/>
          <w:sz w:val="24"/>
          <w:szCs w:val="24"/>
        </w:rPr>
        <w:t xml:space="preserve">programului trimestrial s-a datorat </w:t>
      </w:r>
      <w:r w:rsidR="00987133" w:rsidRPr="00942843">
        <w:rPr>
          <w:rFonts w:ascii="Tahoma" w:hAnsi="Tahoma" w:cs="Tahoma"/>
          <w:sz w:val="24"/>
          <w:szCs w:val="24"/>
        </w:rPr>
        <w:t>î</w:t>
      </w:r>
      <w:r w:rsidR="001C5C1A" w:rsidRPr="00942843">
        <w:rPr>
          <w:rFonts w:ascii="Tahoma" w:hAnsi="Tahoma" w:cs="Tahoma"/>
          <w:sz w:val="24"/>
          <w:szCs w:val="24"/>
        </w:rPr>
        <w:t xml:space="preserve">ncasărilor de la bugetul de stat </w:t>
      </w:r>
      <w:r w:rsidR="00DA38C3" w:rsidRPr="00942843">
        <w:rPr>
          <w:rFonts w:ascii="Tahoma" w:hAnsi="Tahoma" w:cs="Tahoma"/>
          <w:sz w:val="24"/>
          <w:szCs w:val="24"/>
        </w:rPr>
        <w:t>pe fondul evoluției pozitive a încasărilor aferente t</w:t>
      </w:r>
      <w:r w:rsidR="00AC4186">
        <w:rPr>
          <w:rFonts w:ascii="Tahoma" w:hAnsi="Tahoma" w:cs="Tahoma"/>
          <w:sz w:val="24"/>
          <w:szCs w:val="24"/>
        </w:rPr>
        <w:t>axelor pentru jocurile de noroc</w:t>
      </w:r>
      <w:r w:rsidR="00DA38C3" w:rsidRPr="00942843">
        <w:rPr>
          <w:rFonts w:ascii="Tahoma" w:hAnsi="Tahoma" w:cs="Tahoma"/>
          <w:sz w:val="24"/>
          <w:szCs w:val="24"/>
        </w:rPr>
        <w:t xml:space="preserve"> (taxa anuală pentru obținerea autorizației de exploatare a jocurilor de noroc, taxa specială pentru </w:t>
      </w:r>
      <w:proofErr w:type="spellStart"/>
      <w:r w:rsidR="00DA38C3" w:rsidRPr="00942843">
        <w:rPr>
          <w:rFonts w:ascii="Tahoma" w:hAnsi="Tahoma" w:cs="Tahoma"/>
          <w:sz w:val="24"/>
          <w:szCs w:val="24"/>
        </w:rPr>
        <w:t>videoloterie</w:t>
      </w:r>
      <w:proofErr w:type="spellEnd"/>
      <w:r w:rsidR="00DA38C3" w:rsidRPr="00942843">
        <w:rPr>
          <w:rFonts w:ascii="Tahoma" w:hAnsi="Tahoma" w:cs="Tahoma"/>
          <w:sz w:val="24"/>
          <w:szCs w:val="24"/>
        </w:rPr>
        <w:t xml:space="preserve"> și taxa de viciu pentru jocurile de noroc caracteristice </w:t>
      </w:r>
      <w:proofErr w:type="spellStart"/>
      <w:r w:rsidR="00DA38C3" w:rsidRPr="00942843">
        <w:rPr>
          <w:rFonts w:ascii="Tahoma" w:hAnsi="Tahoma" w:cs="Tahoma"/>
          <w:sz w:val="24"/>
          <w:szCs w:val="24"/>
        </w:rPr>
        <w:t>slotmachine</w:t>
      </w:r>
      <w:proofErr w:type="spellEnd"/>
      <w:r w:rsidR="00DA38C3" w:rsidRPr="00942843">
        <w:rPr>
          <w:rFonts w:ascii="Tahoma" w:hAnsi="Tahoma" w:cs="Tahoma"/>
          <w:sz w:val="24"/>
          <w:szCs w:val="24"/>
        </w:rPr>
        <w:t>).</w:t>
      </w:r>
    </w:p>
    <w:p w:rsidR="00DD52A5" w:rsidRPr="00942843" w:rsidRDefault="001C5C1A" w:rsidP="00CF0789">
      <w:pPr>
        <w:spacing w:before="240" w:after="240" w:line="276" w:lineRule="auto"/>
        <w:ind w:left="432"/>
        <w:jc w:val="both"/>
        <w:rPr>
          <w:rFonts w:ascii="Tahoma" w:hAnsi="Tahoma" w:cs="Tahoma"/>
          <w:sz w:val="24"/>
          <w:szCs w:val="24"/>
        </w:rPr>
      </w:pPr>
      <w:r w:rsidRPr="00942843">
        <w:rPr>
          <w:rFonts w:ascii="Tahoma" w:hAnsi="Tahoma" w:cs="Tahoma"/>
          <w:b/>
          <w:sz w:val="24"/>
          <w:szCs w:val="24"/>
        </w:rPr>
        <w:t>Încasările din alte impozite și taxe pe bunuri și servicii</w:t>
      </w:r>
      <w:r w:rsidRPr="00942843">
        <w:rPr>
          <w:rFonts w:ascii="Tahoma" w:hAnsi="Tahoma" w:cs="Tahoma"/>
          <w:sz w:val="24"/>
          <w:szCs w:val="24"/>
        </w:rPr>
        <w:t xml:space="preserve"> au însumat </w:t>
      </w:r>
      <w:r w:rsidR="00DA38C3" w:rsidRPr="00942843">
        <w:rPr>
          <w:rFonts w:ascii="Tahoma" w:hAnsi="Tahoma" w:cs="Tahoma"/>
          <w:sz w:val="24"/>
          <w:szCs w:val="24"/>
        </w:rPr>
        <w:t>0,8</w:t>
      </w:r>
      <w:r w:rsidR="003A1E8B">
        <w:rPr>
          <w:rFonts w:ascii="Tahoma" w:hAnsi="Tahoma" w:cs="Tahoma"/>
          <w:sz w:val="24"/>
          <w:szCs w:val="24"/>
        </w:rPr>
        <w:t xml:space="preserve"> mld</w:t>
      </w:r>
      <w:r w:rsidRPr="00942843">
        <w:rPr>
          <w:rFonts w:ascii="Tahoma" w:hAnsi="Tahoma" w:cs="Tahoma"/>
          <w:sz w:val="24"/>
          <w:szCs w:val="24"/>
        </w:rPr>
        <w:t xml:space="preserve"> lei (0,1% din PIB) cu </w:t>
      </w:r>
      <w:r w:rsidR="00DA38C3" w:rsidRPr="00942843">
        <w:rPr>
          <w:rFonts w:ascii="Tahoma" w:hAnsi="Tahoma" w:cs="Tahoma"/>
          <w:sz w:val="24"/>
          <w:szCs w:val="24"/>
        </w:rPr>
        <w:t>36,2</w:t>
      </w:r>
      <w:r w:rsidRPr="00942843">
        <w:rPr>
          <w:rFonts w:ascii="Tahoma" w:hAnsi="Tahoma" w:cs="Tahoma"/>
          <w:sz w:val="24"/>
          <w:szCs w:val="24"/>
        </w:rPr>
        <w:t xml:space="preserve">% mai </w:t>
      </w:r>
      <w:r w:rsidR="00DA38C3" w:rsidRPr="00942843">
        <w:rPr>
          <w:rFonts w:ascii="Tahoma" w:hAnsi="Tahoma" w:cs="Tahoma"/>
          <w:sz w:val="24"/>
          <w:szCs w:val="24"/>
        </w:rPr>
        <w:t xml:space="preserve">mici </w:t>
      </w:r>
      <w:r w:rsidRPr="00942843">
        <w:rPr>
          <w:rFonts w:ascii="Tahoma" w:hAnsi="Tahoma" w:cs="Tahoma"/>
          <w:sz w:val="24"/>
          <w:szCs w:val="24"/>
        </w:rPr>
        <w:t xml:space="preserve">comparativ cu aceeași perioadă a anului anterior, gradul de realizare al programului de încasări fiind de </w:t>
      </w:r>
      <w:r w:rsidR="00021E9E" w:rsidRPr="00942843">
        <w:rPr>
          <w:rFonts w:ascii="Tahoma" w:hAnsi="Tahoma" w:cs="Tahoma"/>
          <w:sz w:val="24"/>
          <w:szCs w:val="24"/>
        </w:rPr>
        <w:t>82,5</w:t>
      </w:r>
      <w:r w:rsidRPr="00942843">
        <w:rPr>
          <w:rFonts w:ascii="Tahoma" w:hAnsi="Tahoma" w:cs="Tahoma"/>
          <w:sz w:val="24"/>
          <w:szCs w:val="24"/>
        </w:rPr>
        <w:t xml:space="preserve">%. </w:t>
      </w:r>
      <w:r w:rsidR="00021E9E" w:rsidRPr="00942843">
        <w:rPr>
          <w:rFonts w:ascii="Tahoma" w:hAnsi="Tahoma" w:cs="Tahoma"/>
          <w:sz w:val="24"/>
          <w:szCs w:val="24"/>
        </w:rPr>
        <w:t xml:space="preserve">Evoluția sub programul trimestrial al încasărilor </w:t>
      </w:r>
      <w:r w:rsidRPr="00942843">
        <w:rPr>
          <w:rFonts w:ascii="Tahoma" w:hAnsi="Tahoma" w:cs="Tahoma"/>
          <w:sz w:val="24"/>
          <w:szCs w:val="24"/>
        </w:rPr>
        <w:t>din alte impozite și taxe pe bunuri și servicii a fost determinată de</w:t>
      </w:r>
      <w:r w:rsidR="00021E9E" w:rsidRPr="00942843">
        <w:rPr>
          <w:rFonts w:ascii="Tahoma" w:hAnsi="Tahoma" w:cs="Tahoma"/>
          <w:sz w:val="24"/>
          <w:szCs w:val="24"/>
        </w:rPr>
        <w:t xml:space="preserve"> nerealizarea programului trimestrial în cazul bugetului de stat</w:t>
      </w:r>
      <w:r w:rsidR="003A1E8B">
        <w:rPr>
          <w:rFonts w:ascii="Tahoma" w:hAnsi="Tahoma" w:cs="Tahoma"/>
          <w:sz w:val="24"/>
          <w:szCs w:val="24"/>
        </w:rPr>
        <w:t>,</w:t>
      </w:r>
      <w:r w:rsidR="00021E9E" w:rsidRPr="00942843">
        <w:rPr>
          <w:rFonts w:ascii="Tahoma" w:hAnsi="Tahoma" w:cs="Tahoma"/>
          <w:sz w:val="24"/>
          <w:szCs w:val="24"/>
        </w:rPr>
        <w:t xml:space="preserve"> dar și al</w:t>
      </w:r>
      <w:r w:rsidRPr="00942843">
        <w:rPr>
          <w:rFonts w:ascii="Tahoma" w:hAnsi="Tahoma" w:cs="Tahoma"/>
          <w:sz w:val="24"/>
          <w:szCs w:val="24"/>
        </w:rPr>
        <w:t xml:space="preserve"> bugetul Fondului național unic de asigurări sociale de sănătate ca urmare a </w:t>
      </w:r>
      <w:r w:rsidR="009765E0" w:rsidRPr="00942843">
        <w:rPr>
          <w:rFonts w:ascii="Tahoma" w:hAnsi="Tahoma" w:cs="Tahoma"/>
          <w:sz w:val="24"/>
          <w:szCs w:val="24"/>
        </w:rPr>
        <w:t xml:space="preserve">diminuării încasărilor din </w:t>
      </w:r>
      <w:r w:rsidR="00314E74">
        <w:rPr>
          <w:rFonts w:ascii="Tahoma" w:hAnsi="Tahoma" w:cs="Tahoma"/>
          <w:sz w:val="24"/>
          <w:szCs w:val="24"/>
        </w:rPr>
        <w:t>i</w:t>
      </w:r>
      <w:r w:rsidR="009765E0" w:rsidRPr="00942843">
        <w:rPr>
          <w:rFonts w:ascii="Tahoma" w:hAnsi="Tahoma" w:cs="Tahoma"/>
          <w:bCs/>
          <w:sz w:val="24"/>
          <w:szCs w:val="24"/>
        </w:rPr>
        <w:t xml:space="preserve">mpozitul pe veniturile suplimentare </w:t>
      </w:r>
      <w:proofErr w:type="spellStart"/>
      <w:r w:rsidR="009765E0" w:rsidRPr="00942843">
        <w:rPr>
          <w:rFonts w:ascii="Tahoma" w:hAnsi="Tahoma" w:cs="Tahoma"/>
          <w:bCs/>
          <w:sz w:val="24"/>
          <w:szCs w:val="24"/>
        </w:rPr>
        <w:t>obtinute</w:t>
      </w:r>
      <w:proofErr w:type="spellEnd"/>
      <w:r w:rsidR="009765E0" w:rsidRPr="00942843">
        <w:rPr>
          <w:rFonts w:ascii="Tahoma" w:hAnsi="Tahoma" w:cs="Tahoma"/>
          <w:bCs/>
          <w:sz w:val="24"/>
          <w:szCs w:val="24"/>
        </w:rPr>
        <w:t xml:space="preserve"> ca urmare a </w:t>
      </w:r>
      <w:proofErr w:type="spellStart"/>
      <w:r w:rsidR="009765E0" w:rsidRPr="00942843">
        <w:rPr>
          <w:rFonts w:ascii="Tahoma" w:hAnsi="Tahoma" w:cs="Tahoma"/>
          <w:bCs/>
          <w:sz w:val="24"/>
          <w:szCs w:val="24"/>
        </w:rPr>
        <w:t>deregl</w:t>
      </w:r>
      <w:r w:rsidR="003A1E8B">
        <w:rPr>
          <w:rFonts w:ascii="Tahoma" w:hAnsi="Tahoma" w:cs="Tahoma"/>
          <w:bCs/>
          <w:sz w:val="24"/>
          <w:szCs w:val="24"/>
        </w:rPr>
        <w:t>ementarii</w:t>
      </w:r>
      <w:proofErr w:type="spellEnd"/>
      <w:r w:rsidR="003A1E8B">
        <w:rPr>
          <w:rFonts w:ascii="Tahoma" w:hAnsi="Tahoma" w:cs="Tahoma"/>
          <w:bCs/>
          <w:sz w:val="24"/>
          <w:szCs w:val="24"/>
        </w:rPr>
        <w:t xml:space="preserve"> preț</w:t>
      </w:r>
      <w:r w:rsidR="009765E0" w:rsidRPr="00942843">
        <w:rPr>
          <w:rFonts w:ascii="Tahoma" w:hAnsi="Tahoma" w:cs="Tahoma"/>
          <w:bCs/>
          <w:sz w:val="24"/>
          <w:szCs w:val="24"/>
        </w:rPr>
        <w:t xml:space="preserve">urilor din sectorul gazelor naturale și respectiv a </w:t>
      </w:r>
      <w:r w:rsidRPr="00942843">
        <w:rPr>
          <w:rFonts w:ascii="Tahoma" w:hAnsi="Tahoma" w:cs="Tahoma"/>
          <w:sz w:val="24"/>
          <w:szCs w:val="24"/>
        </w:rPr>
        <w:t>veniturilor din contribu</w:t>
      </w:r>
      <w:r w:rsidR="00987133" w:rsidRPr="00942843">
        <w:rPr>
          <w:rFonts w:ascii="Tahoma" w:hAnsi="Tahoma" w:cs="Tahoma"/>
          <w:sz w:val="24"/>
          <w:szCs w:val="24"/>
        </w:rPr>
        <w:t>ț</w:t>
      </w:r>
      <w:r w:rsidRPr="00942843">
        <w:rPr>
          <w:rFonts w:ascii="Tahoma" w:hAnsi="Tahoma" w:cs="Tahoma"/>
          <w:sz w:val="24"/>
          <w:szCs w:val="24"/>
        </w:rPr>
        <w:t>ia datorat</w:t>
      </w:r>
      <w:r w:rsidR="00987133" w:rsidRPr="00942843">
        <w:rPr>
          <w:rFonts w:ascii="Tahoma" w:hAnsi="Tahoma" w:cs="Tahoma"/>
          <w:sz w:val="24"/>
          <w:szCs w:val="24"/>
        </w:rPr>
        <w:t>ă</w:t>
      </w:r>
      <w:r w:rsidRPr="00942843">
        <w:rPr>
          <w:rFonts w:ascii="Tahoma" w:hAnsi="Tahoma" w:cs="Tahoma"/>
          <w:sz w:val="24"/>
          <w:szCs w:val="24"/>
        </w:rPr>
        <w:t xml:space="preserve"> pentru contractele cost-volum/cost-volum-rezultat</w:t>
      </w:r>
      <w:r w:rsidR="009765E0" w:rsidRPr="00942843">
        <w:rPr>
          <w:rFonts w:ascii="Tahoma" w:hAnsi="Tahoma" w:cs="Tahoma"/>
          <w:sz w:val="24"/>
          <w:szCs w:val="24"/>
        </w:rPr>
        <w:t xml:space="preserve">. </w:t>
      </w:r>
    </w:p>
    <w:p w:rsidR="00DD52A5" w:rsidRPr="00942843" w:rsidRDefault="00DD52A5" w:rsidP="00CF0789">
      <w:pPr>
        <w:shd w:val="clear" w:color="auto" w:fill="FFFFFF"/>
        <w:tabs>
          <w:tab w:val="left" w:pos="810"/>
          <w:tab w:val="left" w:pos="1710"/>
        </w:tabs>
        <w:suppressAutoHyphens/>
        <w:autoSpaceDE w:val="0"/>
        <w:autoSpaceDN w:val="0"/>
        <w:adjustRightInd w:val="0"/>
        <w:spacing w:before="120" w:after="120" w:line="276" w:lineRule="auto"/>
        <w:ind w:left="432"/>
        <w:jc w:val="both"/>
        <w:rPr>
          <w:rFonts w:ascii="Tahoma" w:hAnsi="Tahoma" w:cs="Tahoma"/>
          <w:sz w:val="24"/>
          <w:szCs w:val="24"/>
        </w:rPr>
      </w:pPr>
      <w:r w:rsidRPr="00942843">
        <w:rPr>
          <w:rFonts w:ascii="Tahoma" w:hAnsi="Tahoma" w:cs="Tahoma"/>
          <w:b/>
          <w:sz w:val="24"/>
          <w:szCs w:val="24"/>
        </w:rPr>
        <w:t>Încasările din</w:t>
      </w:r>
      <w:r w:rsidRPr="00942843">
        <w:rPr>
          <w:rFonts w:ascii="Tahoma" w:hAnsi="Tahoma" w:cs="Tahoma"/>
          <w:b/>
          <w:bCs/>
          <w:sz w:val="24"/>
          <w:szCs w:val="24"/>
        </w:rPr>
        <w:t xml:space="preserve"> impozitul pe comerț exterior </w:t>
      </w:r>
      <w:r w:rsidR="00640FBB" w:rsidRPr="00942843">
        <w:rPr>
          <w:rFonts w:ascii="Tahoma" w:hAnsi="Tahoma" w:cs="Tahoma"/>
          <w:b/>
          <w:bCs/>
          <w:sz w:val="24"/>
          <w:szCs w:val="24"/>
        </w:rPr>
        <w:t>și</w:t>
      </w:r>
      <w:r w:rsidRPr="00942843">
        <w:rPr>
          <w:rFonts w:ascii="Tahoma" w:hAnsi="Tahoma" w:cs="Tahoma"/>
          <w:b/>
          <w:bCs/>
          <w:sz w:val="24"/>
          <w:szCs w:val="24"/>
        </w:rPr>
        <w:t xml:space="preserve"> tranzacțiile internaționale</w:t>
      </w:r>
      <w:r w:rsidR="007369A7" w:rsidRPr="00942843">
        <w:rPr>
          <w:rFonts w:ascii="Tahoma" w:hAnsi="Tahoma" w:cs="Tahoma"/>
          <w:b/>
          <w:bCs/>
          <w:sz w:val="24"/>
          <w:szCs w:val="24"/>
        </w:rPr>
        <w:t xml:space="preserve"> </w:t>
      </w:r>
      <w:r w:rsidRPr="00942843">
        <w:rPr>
          <w:rFonts w:ascii="Tahoma" w:hAnsi="Tahoma" w:cs="Tahoma"/>
          <w:sz w:val="24"/>
          <w:szCs w:val="24"/>
        </w:rPr>
        <w:t xml:space="preserve">s-au realizat în proporție de </w:t>
      </w:r>
      <w:r w:rsidR="00F71A8D" w:rsidRPr="00942843">
        <w:rPr>
          <w:rFonts w:ascii="Tahoma" w:hAnsi="Tahoma" w:cs="Tahoma"/>
          <w:sz w:val="24"/>
          <w:szCs w:val="24"/>
        </w:rPr>
        <w:t>92,0</w:t>
      </w:r>
      <w:r w:rsidRPr="00942843">
        <w:rPr>
          <w:rFonts w:ascii="Tahoma" w:hAnsi="Tahoma" w:cs="Tahoma"/>
          <w:sz w:val="24"/>
          <w:szCs w:val="24"/>
        </w:rPr>
        <w:t xml:space="preserve">%, pe fondul </w:t>
      </w:r>
      <w:r w:rsidR="00662746" w:rsidRPr="00942843">
        <w:rPr>
          <w:rFonts w:ascii="Tahoma" w:hAnsi="Tahoma" w:cs="Tahoma"/>
          <w:sz w:val="24"/>
          <w:szCs w:val="24"/>
        </w:rPr>
        <w:t>scăderii</w:t>
      </w:r>
      <w:r w:rsidRPr="00942843">
        <w:rPr>
          <w:rFonts w:ascii="Tahoma" w:hAnsi="Tahoma" w:cs="Tahoma"/>
          <w:sz w:val="24"/>
          <w:szCs w:val="24"/>
        </w:rPr>
        <w:t xml:space="preserve"> importurilor extra comunitare de bunuri din primele </w:t>
      </w:r>
      <w:r w:rsidR="00F71A8D" w:rsidRPr="00942843">
        <w:rPr>
          <w:rFonts w:ascii="Tahoma" w:hAnsi="Tahoma" w:cs="Tahoma"/>
          <w:sz w:val="24"/>
          <w:szCs w:val="24"/>
        </w:rPr>
        <w:t xml:space="preserve">8 </w:t>
      </w:r>
      <w:r w:rsidRPr="00942843">
        <w:rPr>
          <w:rFonts w:ascii="Tahoma" w:hAnsi="Tahoma" w:cs="Tahoma"/>
          <w:sz w:val="24"/>
          <w:szCs w:val="24"/>
        </w:rPr>
        <w:t xml:space="preserve">luni ale anului 2020 cu </w:t>
      </w:r>
      <w:r w:rsidR="00F71A8D" w:rsidRPr="00942843">
        <w:rPr>
          <w:rFonts w:ascii="Tahoma" w:hAnsi="Tahoma" w:cs="Tahoma"/>
          <w:sz w:val="24"/>
          <w:szCs w:val="24"/>
        </w:rPr>
        <w:t>11,9</w:t>
      </w:r>
      <w:r w:rsidRPr="00942843">
        <w:rPr>
          <w:rFonts w:ascii="Tahoma" w:hAnsi="Tahoma" w:cs="Tahoma"/>
          <w:sz w:val="24"/>
          <w:szCs w:val="24"/>
        </w:rPr>
        <w:t>%.</w:t>
      </w:r>
    </w:p>
    <w:p w:rsidR="00DD52A5" w:rsidRPr="00942843" w:rsidRDefault="00F71A8D" w:rsidP="00CF0789">
      <w:pPr>
        <w:pStyle w:val="ListParagraph"/>
        <w:spacing w:before="240" w:line="276" w:lineRule="auto"/>
        <w:ind w:left="1276" w:hanging="826"/>
        <w:jc w:val="both"/>
        <w:rPr>
          <w:rFonts w:ascii="Tahoma" w:hAnsi="Tahoma" w:cs="Tahoma"/>
          <w:sz w:val="24"/>
          <w:szCs w:val="24"/>
        </w:rPr>
      </w:pPr>
      <w:r w:rsidRPr="00942843">
        <w:rPr>
          <w:rFonts w:ascii="Tahoma" w:hAnsi="Tahoma" w:cs="Tahoma"/>
          <w:noProof/>
          <w:sz w:val="24"/>
          <w:szCs w:val="24"/>
          <w:lang w:val="en-US"/>
        </w:rPr>
        <w:drawing>
          <wp:inline distT="0" distB="0" distL="0" distR="0" wp14:anchorId="22A58EB2" wp14:editId="44600DF8">
            <wp:extent cx="5964865" cy="2753360"/>
            <wp:effectExtent l="0" t="0" r="0" b="889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83235" cy="2761840"/>
                    </a:xfrm>
                    <a:prstGeom prst="rect">
                      <a:avLst/>
                    </a:prstGeom>
                    <a:noFill/>
                  </pic:spPr>
                </pic:pic>
              </a:graphicData>
            </a:graphic>
          </wp:inline>
        </w:drawing>
      </w:r>
    </w:p>
    <w:p w:rsidR="00A60BD6" w:rsidRPr="00942843" w:rsidRDefault="00DD52A5" w:rsidP="00CF0789">
      <w:pPr>
        <w:shd w:val="clear" w:color="auto" w:fill="FFFFFF"/>
        <w:spacing w:before="240" w:after="120" w:line="276" w:lineRule="auto"/>
        <w:ind w:left="432"/>
        <w:jc w:val="both"/>
        <w:rPr>
          <w:rFonts w:ascii="Tahoma" w:eastAsia="Calibri" w:hAnsi="Tahoma" w:cs="Tahoma"/>
          <w:sz w:val="24"/>
          <w:szCs w:val="24"/>
        </w:rPr>
      </w:pPr>
      <w:r w:rsidRPr="00942843">
        <w:rPr>
          <w:rFonts w:ascii="Tahoma" w:hAnsi="Tahoma" w:cs="Tahoma"/>
          <w:b/>
          <w:sz w:val="24"/>
          <w:szCs w:val="24"/>
          <w:lang w:eastAsia="ro-RO"/>
        </w:rPr>
        <w:t>Încasările din contribuții de asigurări</w:t>
      </w:r>
      <w:r w:rsidR="00502B73" w:rsidRPr="00942843">
        <w:rPr>
          <w:rFonts w:ascii="Tahoma" w:hAnsi="Tahoma" w:cs="Tahoma"/>
          <w:sz w:val="24"/>
          <w:szCs w:val="24"/>
          <w:lang w:eastAsia="ro-RO"/>
        </w:rPr>
        <w:t xml:space="preserve"> au însumat </w:t>
      </w:r>
      <w:r w:rsidR="00F71A8D" w:rsidRPr="00942843">
        <w:rPr>
          <w:rFonts w:ascii="Tahoma" w:hAnsi="Tahoma" w:cs="Tahoma"/>
          <w:sz w:val="24"/>
          <w:szCs w:val="24"/>
          <w:lang w:eastAsia="ro-RO"/>
        </w:rPr>
        <w:t xml:space="preserve">28,1 </w:t>
      </w:r>
      <w:r w:rsidR="00502B73" w:rsidRPr="00942843">
        <w:rPr>
          <w:rFonts w:ascii="Tahoma" w:hAnsi="Tahoma" w:cs="Tahoma"/>
          <w:sz w:val="24"/>
          <w:szCs w:val="24"/>
          <w:lang w:eastAsia="ro-RO"/>
        </w:rPr>
        <w:t>m</w:t>
      </w:r>
      <w:r w:rsidR="00713D80" w:rsidRPr="00942843">
        <w:rPr>
          <w:rFonts w:ascii="Tahoma" w:hAnsi="Tahoma" w:cs="Tahoma"/>
          <w:sz w:val="24"/>
          <w:szCs w:val="24"/>
          <w:lang w:eastAsia="ro-RO"/>
        </w:rPr>
        <w:t>l</w:t>
      </w:r>
      <w:r w:rsidR="005A4CF9">
        <w:rPr>
          <w:rFonts w:ascii="Tahoma" w:hAnsi="Tahoma" w:cs="Tahoma"/>
          <w:sz w:val="24"/>
          <w:szCs w:val="24"/>
          <w:lang w:eastAsia="ro-RO"/>
        </w:rPr>
        <w:t xml:space="preserve">d </w:t>
      </w:r>
      <w:r w:rsidRPr="00942843">
        <w:rPr>
          <w:rFonts w:ascii="Tahoma" w:hAnsi="Tahoma" w:cs="Tahoma"/>
          <w:sz w:val="24"/>
          <w:szCs w:val="24"/>
          <w:lang w:eastAsia="ro-RO"/>
        </w:rPr>
        <w:t>lei</w:t>
      </w:r>
      <w:r w:rsidR="00233AC4" w:rsidRPr="00942843">
        <w:rPr>
          <w:rFonts w:ascii="Tahoma" w:hAnsi="Tahoma" w:cs="Tahoma"/>
          <w:sz w:val="24"/>
          <w:szCs w:val="24"/>
          <w:lang w:eastAsia="ro-RO"/>
        </w:rPr>
        <w:t xml:space="preserve"> (</w:t>
      </w:r>
      <w:r w:rsidRPr="00942843">
        <w:rPr>
          <w:rFonts w:ascii="Tahoma" w:hAnsi="Tahoma" w:cs="Tahoma"/>
          <w:sz w:val="24"/>
          <w:szCs w:val="24"/>
          <w:lang w:eastAsia="ro-RO"/>
        </w:rPr>
        <w:t>2,</w:t>
      </w:r>
      <w:r w:rsidR="00F71A8D" w:rsidRPr="00942843">
        <w:rPr>
          <w:rFonts w:ascii="Tahoma" w:hAnsi="Tahoma" w:cs="Tahoma"/>
          <w:sz w:val="24"/>
          <w:szCs w:val="24"/>
          <w:lang w:eastAsia="ro-RO"/>
        </w:rPr>
        <w:t>7</w:t>
      </w:r>
      <w:r w:rsidRPr="00942843">
        <w:rPr>
          <w:rFonts w:ascii="Tahoma" w:hAnsi="Tahoma" w:cs="Tahoma"/>
          <w:sz w:val="24"/>
          <w:szCs w:val="24"/>
          <w:lang w:eastAsia="ro-RO"/>
        </w:rPr>
        <w:t>% din PIB</w:t>
      </w:r>
      <w:r w:rsidR="00233AC4" w:rsidRPr="00942843">
        <w:rPr>
          <w:rFonts w:ascii="Tahoma" w:hAnsi="Tahoma" w:cs="Tahoma"/>
          <w:sz w:val="24"/>
          <w:szCs w:val="24"/>
          <w:lang w:eastAsia="ro-RO"/>
        </w:rPr>
        <w:t xml:space="preserve">), </w:t>
      </w:r>
      <w:r w:rsidR="00F71A8D" w:rsidRPr="00942843">
        <w:rPr>
          <w:rFonts w:ascii="Tahoma" w:hAnsi="Tahoma" w:cs="Tahoma"/>
          <w:sz w:val="24"/>
          <w:szCs w:val="24"/>
          <w:lang w:eastAsia="ro-RO"/>
        </w:rPr>
        <w:t xml:space="preserve">nivel similar cu cel </w:t>
      </w:r>
      <w:r w:rsidR="00233AC4" w:rsidRPr="00942843">
        <w:rPr>
          <w:rFonts w:ascii="Tahoma" w:hAnsi="Tahoma" w:cs="Tahoma"/>
          <w:sz w:val="24"/>
          <w:szCs w:val="24"/>
          <w:lang w:eastAsia="ro-RO"/>
        </w:rPr>
        <w:t xml:space="preserve">înregistrat în </w:t>
      </w:r>
      <w:r w:rsidR="00662746" w:rsidRPr="00942843">
        <w:rPr>
          <w:rFonts w:ascii="Tahoma" w:eastAsia="Calibri" w:hAnsi="Tahoma" w:cs="Tahoma"/>
          <w:sz w:val="24"/>
          <w:szCs w:val="24"/>
        </w:rPr>
        <w:t xml:space="preserve">aceeași perioadă a anului precedent, iar gradul de realizare al </w:t>
      </w:r>
      <w:r w:rsidR="00662746" w:rsidRPr="00942843">
        <w:rPr>
          <w:rFonts w:ascii="Tahoma" w:eastAsia="Calibri" w:hAnsi="Tahoma" w:cs="Tahoma"/>
          <w:sz w:val="24"/>
          <w:szCs w:val="24"/>
        </w:rPr>
        <w:lastRenderedPageBreak/>
        <w:t xml:space="preserve">acestora este de </w:t>
      </w:r>
      <w:r w:rsidR="00F71A8D" w:rsidRPr="00942843">
        <w:rPr>
          <w:rFonts w:ascii="Tahoma" w:eastAsia="Calibri" w:hAnsi="Tahoma" w:cs="Tahoma"/>
          <w:sz w:val="24"/>
          <w:szCs w:val="24"/>
        </w:rPr>
        <w:t>99,5</w:t>
      </w:r>
      <w:r w:rsidR="00662746" w:rsidRPr="00942843">
        <w:rPr>
          <w:rFonts w:ascii="Tahoma" w:eastAsia="Calibri" w:hAnsi="Tahoma" w:cs="Tahoma"/>
          <w:sz w:val="24"/>
          <w:szCs w:val="24"/>
        </w:rPr>
        <w:t>% (-0,</w:t>
      </w:r>
      <w:r w:rsidR="00F71A8D" w:rsidRPr="00942843">
        <w:rPr>
          <w:rFonts w:ascii="Tahoma" w:eastAsia="Calibri" w:hAnsi="Tahoma" w:cs="Tahoma"/>
          <w:sz w:val="24"/>
          <w:szCs w:val="24"/>
        </w:rPr>
        <w:t xml:space="preserve">1 </w:t>
      </w:r>
      <w:r w:rsidR="005A4CF9">
        <w:rPr>
          <w:rFonts w:ascii="Tahoma" w:eastAsia="Calibri" w:hAnsi="Tahoma" w:cs="Tahoma"/>
          <w:sz w:val="24"/>
          <w:szCs w:val="24"/>
        </w:rPr>
        <w:t>mld</w:t>
      </w:r>
      <w:r w:rsidR="00662746" w:rsidRPr="00942843">
        <w:rPr>
          <w:rFonts w:ascii="Tahoma" w:eastAsia="Calibri" w:hAnsi="Tahoma" w:cs="Tahoma"/>
          <w:sz w:val="24"/>
          <w:szCs w:val="24"/>
        </w:rPr>
        <w:t xml:space="preserve"> lei),</w:t>
      </w:r>
      <w:r w:rsidR="00A60BD6" w:rsidRPr="00942843">
        <w:rPr>
          <w:rFonts w:ascii="Tahoma" w:eastAsia="Calibri" w:hAnsi="Tahoma" w:cs="Tahoma"/>
          <w:sz w:val="24"/>
          <w:szCs w:val="24"/>
        </w:rPr>
        <w:t xml:space="preserve"> în condițiile în care evoluția fondului de salarii a fost de 4,6%. Nerealizarea programului contribuțiilor sociale se datorează amânării  la plată a obligațiilor fiscale din această perioadă. </w:t>
      </w:r>
    </w:p>
    <w:p w:rsidR="00DD52A5" w:rsidRPr="00942843" w:rsidRDefault="00DD52A5" w:rsidP="00CF0789">
      <w:pPr>
        <w:shd w:val="clear" w:color="auto" w:fill="FFFFFF"/>
        <w:spacing w:before="240" w:after="120" w:line="276" w:lineRule="auto"/>
        <w:ind w:left="432"/>
        <w:jc w:val="both"/>
        <w:rPr>
          <w:rFonts w:ascii="Tahoma" w:hAnsi="Tahoma" w:cs="Tahoma"/>
          <w:sz w:val="24"/>
          <w:szCs w:val="24"/>
        </w:rPr>
      </w:pPr>
      <w:r w:rsidRPr="00942843">
        <w:rPr>
          <w:rFonts w:ascii="Tahoma" w:hAnsi="Tahoma" w:cs="Tahoma"/>
          <w:b/>
          <w:sz w:val="24"/>
          <w:szCs w:val="24"/>
        </w:rPr>
        <w:t>Veniturile nefiscale</w:t>
      </w:r>
      <w:r w:rsidRPr="00942843">
        <w:rPr>
          <w:rFonts w:ascii="Tahoma" w:hAnsi="Tahoma" w:cs="Tahoma"/>
          <w:sz w:val="24"/>
          <w:szCs w:val="24"/>
        </w:rPr>
        <w:t xml:space="preserve"> au fost în sumă de </w:t>
      </w:r>
      <w:r w:rsidR="00D81079" w:rsidRPr="00942843">
        <w:rPr>
          <w:rFonts w:ascii="Tahoma" w:hAnsi="Tahoma" w:cs="Tahoma"/>
          <w:bCs/>
          <w:sz w:val="24"/>
          <w:szCs w:val="24"/>
        </w:rPr>
        <w:t xml:space="preserve">8,9 </w:t>
      </w:r>
      <w:r w:rsidR="00713D80" w:rsidRPr="00942843">
        <w:rPr>
          <w:rFonts w:ascii="Tahoma" w:hAnsi="Tahoma" w:cs="Tahoma"/>
          <w:bCs/>
          <w:sz w:val="24"/>
          <w:szCs w:val="24"/>
        </w:rPr>
        <w:t>ml</w:t>
      </w:r>
      <w:r w:rsidR="005A4CF9">
        <w:rPr>
          <w:rFonts w:ascii="Tahoma" w:hAnsi="Tahoma" w:cs="Tahoma"/>
          <w:bCs/>
          <w:sz w:val="24"/>
          <w:szCs w:val="24"/>
        </w:rPr>
        <w:t xml:space="preserve">d </w:t>
      </w:r>
      <w:r w:rsidRPr="00942843">
        <w:rPr>
          <w:rFonts w:ascii="Tahoma" w:hAnsi="Tahoma" w:cs="Tahoma"/>
          <w:bCs/>
          <w:sz w:val="24"/>
          <w:szCs w:val="24"/>
        </w:rPr>
        <w:t xml:space="preserve">lei </w:t>
      </w:r>
      <w:r w:rsidRPr="00942843">
        <w:rPr>
          <w:rFonts w:ascii="Tahoma" w:hAnsi="Tahoma" w:cs="Tahoma"/>
          <w:sz w:val="24"/>
          <w:szCs w:val="24"/>
        </w:rPr>
        <w:t>(0,</w:t>
      </w:r>
      <w:r w:rsidR="00EE69FE">
        <w:rPr>
          <w:rFonts w:ascii="Tahoma" w:hAnsi="Tahoma" w:cs="Tahoma"/>
          <w:sz w:val="24"/>
          <w:szCs w:val="24"/>
        </w:rPr>
        <w:t>8</w:t>
      </w:r>
      <w:r w:rsidRPr="00942843">
        <w:rPr>
          <w:rFonts w:ascii="Tahoma" w:hAnsi="Tahoma" w:cs="Tahoma"/>
          <w:sz w:val="24"/>
          <w:szCs w:val="24"/>
        </w:rPr>
        <w:t xml:space="preserve">%din PIB), gradul de realizare al programului trimestrial fiind de </w:t>
      </w:r>
      <w:r w:rsidR="00D81079" w:rsidRPr="00942843">
        <w:rPr>
          <w:rFonts w:ascii="Tahoma" w:hAnsi="Tahoma" w:cs="Tahoma"/>
          <w:sz w:val="24"/>
          <w:szCs w:val="24"/>
        </w:rPr>
        <w:t>103,1</w:t>
      </w:r>
      <w:r w:rsidRPr="00942843">
        <w:rPr>
          <w:rFonts w:ascii="Tahoma" w:hAnsi="Tahoma" w:cs="Tahoma"/>
          <w:sz w:val="24"/>
          <w:szCs w:val="24"/>
        </w:rPr>
        <w:t>%.</w:t>
      </w:r>
      <w:r w:rsidR="006E321D" w:rsidRPr="00942843">
        <w:rPr>
          <w:rFonts w:ascii="Tahoma" w:hAnsi="Tahoma" w:cs="Tahoma"/>
          <w:sz w:val="24"/>
          <w:szCs w:val="24"/>
        </w:rPr>
        <w:t xml:space="preserve"> </w:t>
      </w:r>
      <w:r w:rsidR="00D81079" w:rsidRPr="00942843">
        <w:rPr>
          <w:rFonts w:ascii="Tahoma" w:hAnsi="Tahoma" w:cs="Tahoma"/>
          <w:sz w:val="24"/>
          <w:szCs w:val="24"/>
        </w:rPr>
        <w:t xml:space="preserve">Depășirea programului </w:t>
      </w:r>
      <w:r w:rsidR="006E321D" w:rsidRPr="00942843">
        <w:rPr>
          <w:rFonts w:ascii="Tahoma" w:hAnsi="Tahoma" w:cs="Tahoma"/>
          <w:sz w:val="24"/>
          <w:szCs w:val="24"/>
        </w:rPr>
        <w:t>d</w:t>
      </w:r>
      <w:r w:rsidR="00987133" w:rsidRPr="00942843">
        <w:rPr>
          <w:rFonts w:ascii="Tahoma" w:hAnsi="Tahoma" w:cs="Tahoma"/>
          <w:sz w:val="24"/>
          <w:szCs w:val="24"/>
        </w:rPr>
        <w:t>e</w:t>
      </w:r>
      <w:r w:rsidR="006E321D" w:rsidRPr="00942843">
        <w:rPr>
          <w:rFonts w:ascii="Tahoma" w:hAnsi="Tahoma" w:cs="Tahoma"/>
          <w:sz w:val="24"/>
          <w:szCs w:val="24"/>
        </w:rPr>
        <w:t xml:space="preserve"> încasări </w:t>
      </w:r>
      <w:r w:rsidR="00D81079" w:rsidRPr="00942843">
        <w:rPr>
          <w:rFonts w:ascii="Tahoma" w:hAnsi="Tahoma" w:cs="Tahoma"/>
          <w:sz w:val="24"/>
          <w:szCs w:val="24"/>
        </w:rPr>
        <w:t xml:space="preserve">pentru perioada analizată </w:t>
      </w:r>
      <w:r w:rsidR="006E321D" w:rsidRPr="00942843">
        <w:rPr>
          <w:rFonts w:ascii="Tahoma" w:hAnsi="Tahoma" w:cs="Tahoma"/>
          <w:sz w:val="24"/>
          <w:szCs w:val="24"/>
        </w:rPr>
        <w:t xml:space="preserve">s-a datorat în principal </w:t>
      </w:r>
      <w:r w:rsidR="00D81079" w:rsidRPr="00942843">
        <w:rPr>
          <w:rFonts w:ascii="Tahoma" w:hAnsi="Tahoma" w:cs="Tahoma"/>
          <w:sz w:val="24"/>
          <w:szCs w:val="24"/>
        </w:rPr>
        <w:t xml:space="preserve">evoluției pozitive înregistrate la bugetul de stat a veniturilor din proprietate </w:t>
      </w:r>
      <w:r w:rsidR="00281EB5" w:rsidRPr="00942843">
        <w:rPr>
          <w:rFonts w:ascii="Tahoma" w:hAnsi="Tahoma" w:cs="Tahoma"/>
          <w:sz w:val="24"/>
          <w:szCs w:val="24"/>
        </w:rPr>
        <w:t xml:space="preserve">(venituri din dividende, din </w:t>
      </w:r>
      <w:proofErr w:type="spellStart"/>
      <w:r w:rsidR="00281EB5" w:rsidRPr="00942843">
        <w:rPr>
          <w:rFonts w:ascii="Tahoma" w:hAnsi="Tahoma" w:cs="Tahoma"/>
          <w:sz w:val="24"/>
          <w:szCs w:val="24"/>
        </w:rPr>
        <w:t>varsă</w:t>
      </w:r>
      <w:r w:rsidR="005A4CF9">
        <w:rPr>
          <w:rFonts w:ascii="Tahoma" w:hAnsi="Tahoma" w:cs="Tahoma"/>
          <w:sz w:val="24"/>
          <w:szCs w:val="24"/>
        </w:rPr>
        <w:t>minte</w:t>
      </w:r>
      <w:proofErr w:type="spellEnd"/>
      <w:r w:rsidR="005A4CF9">
        <w:rPr>
          <w:rFonts w:ascii="Tahoma" w:hAnsi="Tahoma" w:cs="Tahoma"/>
          <w:sz w:val="24"/>
          <w:szCs w:val="24"/>
        </w:rPr>
        <w:t xml:space="preserve"> de la BNR precum și din vâ</w:t>
      </w:r>
      <w:r w:rsidR="00281EB5" w:rsidRPr="00942843">
        <w:rPr>
          <w:rFonts w:ascii="Tahoma" w:hAnsi="Tahoma" w:cs="Tahoma"/>
          <w:sz w:val="24"/>
          <w:szCs w:val="24"/>
        </w:rPr>
        <w:t>nzarea de certificate de emisii de gaze cu efect de sera)</w:t>
      </w:r>
      <w:r w:rsidR="006E321D" w:rsidRPr="00942843">
        <w:rPr>
          <w:rFonts w:ascii="Tahoma" w:hAnsi="Tahoma" w:cs="Tahoma"/>
          <w:sz w:val="24"/>
          <w:szCs w:val="24"/>
        </w:rPr>
        <w:t>.</w:t>
      </w:r>
    </w:p>
    <w:p w:rsidR="00281EB5" w:rsidRPr="00942843" w:rsidRDefault="00281EB5" w:rsidP="00CF0789">
      <w:pPr>
        <w:shd w:val="clear" w:color="auto" w:fill="FFFFFF"/>
        <w:spacing w:after="120" w:line="276" w:lineRule="auto"/>
        <w:ind w:left="432"/>
        <w:jc w:val="both"/>
        <w:rPr>
          <w:rFonts w:ascii="Tahoma" w:hAnsi="Tahoma" w:cs="Tahoma"/>
          <w:sz w:val="24"/>
          <w:szCs w:val="24"/>
        </w:rPr>
      </w:pPr>
      <w:r w:rsidRPr="00942843">
        <w:rPr>
          <w:rFonts w:ascii="Tahoma" w:hAnsi="Tahoma" w:cs="Tahoma"/>
          <w:sz w:val="24"/>
          <w:szCs w:val="24"/>
        </w:rPr>
        <w:t>Comparativ cu trimestrul III 2019</w:t>
      </w:r>
      <w:r w:rsidR="005A4CF9">
        <w:rPr>
          <w:rFonts w:ascii="Tahoma" w:hAnsi="Tahoma" w:cs="Tahoma"/>
          <w:sz w:val="24"/>
          <w:szCs w:val="24"/>
        </w:rPr>
        <w:t>,</w:t>
      </w:r>
      <w:r w:rsidRPr="00942843">
        <w:rPr>
          <w:rFonts w:ascii="Tahoma" w:hAnsi="Tahoma" w:cs="Tahoma"/>
          <w:sz w:val="24"/>
          <w:szCs w:val="24"/>
        </w:rPr>
        <w:t xml:space="preserve"> încasările au crescut cu 30,0%, </w:t>
      </w:r>
      <w:r w:rsidR="00737A11" w:rsidRPr="00942843">
        <w:rPr>
          <w:rFonts w:ascii="Tahoma" w:hAnsi="Tahoma" w:cs="Tahoma"/>
          <w:sz w:val="24"/>
          <w:szCs w:val="24"/>
        </w:rPr>
        <w:t xml:space="preserve">în principal </w:t>
      </w:r>
      <w:r w:rsidRPr="00942843">
        <w:rPr>
          <w:rFonts w:ascii="Tahoma" w:hAnsi="Tahoma" w:cs="Tahoma"/>
          <w:sz w:val="24"/>
          <w:szCs w:val="24"/>
        </w:rPr>
        <w:t xml:space="preserve">ca urmare </w:t>
      </w:r>
      <w:r w:rsidR="00737A11" w:rsidRPr="00942843">
        <w:rPr>
          <w:rFonts w:ascii="Tahoma" w:hAnsi="Tahoma" w:cs="Tahoma"/>
          <w:sz w:val="24"/>
          <w:szCs w:val="24"/>
        </w:rPr>
        <w:t>a vărsămintelor din veniturile nete ale B.N.R.</w:t>
      </w:r>
      <w:r w:rsidR="00B41063" w:rsidRPr="00942843">
        <w:rPr>
          <w:rFonts w:ascii="Tahoma" w:hAnsi="Tahoma" w:cs="Tahoma"/>
          <w:sz w:val="24"/>
          <w:szCs w:val="24"/>
        </w:rPr>
        <w:t>,</w:t>
      </w:r>
      <w:r w:rsidR="00737A11" w:rsidRPr="00942843">
        <w:rPr>
          <w:rFonts w:ascii="Tahoma" w:hAnsi="Tahoma" w:cs="Tahoma"/>
          <w:sz w:val="24"/>
          <w:szCs w:val="24"/>
          <w:vertAlign w:val="superscript"/>
        </w:rPr>
        <w:t xml:space="preserve"> </w:t>
      </w:r>
      <w:r w:rsidR="00737A11" w:rsidRPr="00942843">
        <w:rPr>
          <w:rFonts w:ascii="Tahoma" w:hAnsi="Tahoma" w:cs="Tahoma"/>
          <w:sz w:val="24"/>
          <w:szCs w:val="24"/>
        </w:rPr>
        <w:t>a veniturilor din dividende și a celor provenite vânzarea de certificate de emisii de gaze cu efect de sera încasate la bugetul de stat.</w:t>
      </w:r>
    </w:p>
    <w:p w:rsidR="00E15D34" w:rsidRPr="00942843" w:rsidRDefault="00DD52A5" w:rsidP="00CF0789">
      <w:pPr>
        <w:pStyle w:val="NormalWeb"/>
        <w:spacing w:before="120" w:after="120"/>
        <w:ind w:left="432" w:firstLine="0"/>
        <w:rPr>
          <w:rFonts w:ascii="Tahoma" w:hAnsi="Tahoma" w:cs="Tahoma"/>
          <w:lang w:val="ro-RO" w:eastAsia="ro-RO"/>
        </w:rPr>
      </w:pPr>
      <w:r w:rsidRPr="00942843">
        <w:rPr>
          <w:rFonts w:ascii="Tahoma" w:hAnsi="Tahoma" w:cs="Tahoma"/>
          <w:b/>
          <w:bCs/>
          <w:lang w:val="ro-RO" w:eastAsia="ro-RO"/>
        </w:rPr>
        <w:t>Sumele primite de la Uniunea Europeană</w:t>
      </w:r>
      <w:r w:rsidR="007369A7" w:rsidRPr="00942843">
        <w:rPr>
          <w:rFonts w:ascii="Tahoma" w:hAnsi="Tahoma" w:cs="Tahoma"/>
          <w:b/>
          <w:bCs/>
          <w:lang w:val="ro-RO" w:eastAsia="ro-RO"/>
        </w:rPr>
        <w:t xml:space="preserve"> </w:t>
      </w:r>
      <w:r w:rsidR="006E321D" w:rsidRPr="00942843">
        <w:rPr>
          <w:rFonts w:ascii="Tahoma" w:hAnsi="Tahoma" w:cs="Tahoma"/>
          <w:b/>
          <w:lang w:val="ro-RO" w:eastAsia="ro-RO"/>
        </w:rPr>
        <w:t>și donații</w:t>
      </w:r>
      <w:r w:rsidR="007369A7" w:rsidRPr="00942843">
        <w:rPr>
          <w:rFonts w:ascii="Tahoma" w:hAnsi="Tahoma" w:cs="Tahoma"/>
          <w:b/>
          <w:lang w:val="ro-RO" w:eastAsia="ro-RO"/>
        </w:rPr>
        <w:t xml:space="preserve"> </w:t>
      </w:r>
      <w:r w:rsidRPr="00942843">
        <w:rPr>
          <w:rFonts w:ascii="Tahoma" w:hAnsi="Tahoma" w:cs="Tahoma"/>
          <w:lang w:val="ro-RO" w:eastAsia="ro-RO"/>
        </w:rPr>
        <w:t>aferente proiectelor finanțate atât din cadrul financiar 2007-2013, cât și din noul cadru financiar 2014-2020, încasate în trimestru</w:t>
      </w:r>
      <w:r w:rsidR="006E321D" w:rsidRPr="00942843">
        <w:rPr>
          <w:rFonts w:ascii="Tahoma" w:hAnsi="Tahoma" w:cs="Tahoma"/>
          <w:lang w:val="ro-RO" w:eastAsia="ro-RO"/>
        </w:rPr>
        <w:t>l al II</w:t>
      </w:r>
      <w:r w:rsidR="001F47E1" w:rsidRPr="00942843">
        <w:rPr>
          <w:rFonts w:ascii="Tahoma" w:hAnsi="Tahoma" w:cs="Tahoma"/>
          <w:lang w:val="ro-RO" w:eastAsia="ro-RO"/>
        </w:rPr>
        <w:t>I</w:t>
      </w:r>
      <w:r w:rsidR="006E321D" w:rsidRPr="00942843">
        <w:rPr>
          <w:rFonts w:ascii="Tahoma" w:hAnsi="Tahoma" w:cs="Tahoma"/>
          <w:lang w:val="ro-RO" w:eastAsia="ro-RO"/>
        </w:rPr>
        <w:t>-lea</w:t>
      </w:r>
      <w:r w:rsidRPr="00942843">
        <w:rPr>
          <w:rFonts w:ascii="Tahoma" w:hAnsi="Tahoma" w:cs="Tahoma"/>
          <w:lang w:val="ro-RO" w:eastAsia="ro-RO"/>
        </w:rPr>
        <w:t xml:space="preserve"> al anului 2020, au reprezentat 0,</w:t>
      </w:r>
      <w:r w:rsidR="001F47E1" w:rsidRPr="00942843">
        <w:rPr>
          <w:rFonts w:ascii="Tahoma" w:hAnsi="Tahoma" w:cs="Tahoma"/>
          <w:lang w:val="ro-RO" w:eastAsia="ro-RO"/>
        </w:rPr>
        <w:t>7</w:t>
      </w:r>
      <w:r w:rsidRPr="00942843">
        <w:rPr>
          <w:rFonts w:ascii="Tahoma" w:hAnsi="Tahoma" w:cs="Tahoma"/>
          <w:lang w:val="ro-RO" w:eastAsia="ro-RO"/>
        </w:rPr>
        <w:t>% din PIB</w:t>
      </w:r>
      <w:r w:rsidR="0097352C" w:rsidRPr="00942843">
        <w:rPr>
          <w:rFonts w:ascii="Tahoma" w:hAnsi="Tahoma" w:cs="Tahoma"/>
          <w:lang w:val="ro-RO" w:eastAsia="ro-RO"/>
        </w:rPr>
        <w:t>, corespunzător</w:t>
      </w:r>
      <w:r w:rsidRPr="00942843">
        <w:rPr>
          <w:rFonts w:ascii="Tahoma" w:hAnsi="Tahoma" w:cs="Tahoma"/>
          <w:lang w:val="ro-RO" w:eastAsia="ro-RO"/>
        </w:rPr>
        <w:t xml:space="preserve"> un</w:t>
      </w:r>
      <w:r w:rsidR="0097352C" w:rsidRPr="00942843">
        <w:rPr>
          <w:rFonts w:ascii="Tahoma" w:hAnsi="Tahoma" w:cs="Tahoma"/>
          <w:lang w:val="ro-RO" w:eastAsia="ro-RO"/>
        </w:rPr>
        <w:t>ui</w:t>
      </w:r>
      <w:r w:rsidRPr="00942843">
        <w:rPr>
          <w:rFonts w:ascii="Tahoma" w:hAnsi="Tahoma" w:cs="Tahoma"/>
          <w:lang w:val="ro-RO" w:eastAsia="ro-RO"/>
        </w:rPr>
        <w:t xml:space="preserve"> grad de realizare</w:t>
      </w:r>
      <w:r w:rsidR="00E001D0" w:rsidRPr="00942843">
        <w:rPr>
          <w:rFonts w:ascii="Tahoma" w:hAnsi="Tahoma" w:cs="Tahoma"/>
          <w:lang w:val="ro-RO" w:eastAsia="ro-RO"/>
        </w:rPr>
        <w:t xml:space="preserve"> de </w:t>
      </w:r>
      <w:r w:rsidR="001F47E1" w:rsidRPr="00942843">
        <w:rPr>
          <w:rFonts w:ascii="Tahoma" w:hAnsi="Tahoma" w:cs="Tahoma"/>
          <w:lang w:val="ro-RO" w:eastAsia="ro-RO"/>
        </w:rPr>
        <w:t>54,6</w:t>
      </w:r>
      <w:r w:rsidR="00E001D0" w:rsidRPr="00942843">
        <w:rPr>
          <w:rFonts w:ascii="Tahoma" w:hAnsi="Tahoma" w:cs="Tahoma"/>
          <w:lang w:val="ro-RO" w:eastAsia="ro-RO"/>
        </w:rPr>
        <w:t>%</w:t>
      </w:r>
      <w:r w:rsidR="00B41063" w:rsidRPr="00942843">
        <w:rPr>
          <w:rFonts w:ascii="Tahoma" w:hAnsi="Tahoma" w:cs="Tahoma"/>
          <w:lang w:val="ro-RO" w:eastAsia="ro-RO"/>
        </w:rPr>
        <w:t xml:space="preserve"> </w:t>
      </w:r>
      <w:r w:rsidR="0079445D" w:rsidRPr="00942843">
        <w:rPr>
          <w:rFonts w:ascii="Tahoma" w:hAnsi="Tahoma" w:cs="Tahoma"/>
          <w:lang w:val="ro-RO" w:eastAsia="ro-RO"/>
        </w:rPr>
        <w:t>a</w:t>
      </w:r>
      <w:r w:rsidR="00AD5154">
        <w:rPr>
          <w:rFonts w:ascii="Tahoma" w:hAnsi="Tahoma" w:cs="Tahoma"/>
          <w:lang w:val="ro-RO" w:eastAsia="ro-RO"/>
        </w:rPr>
        <w:t>l</w:t>
      </w:r>
      <w:r w:rsidRPr="00942843">
        <w:rPr>
          <w:rFonts w:ascii="Tahoma" w:hAnsi="Tahoma" w:cs="Tahoma"/>
          <w:lang w:val="ro-RO" w:eastAsia="ro-RO"/>
        </w:rPr>
        <w:t xml:space="preserve"> programului trimestrial</w:t>
      </w:r>
      <w:r w:rsidR="00E001D0" w:rsidRPr="00942843">
        <w:rPr>
          <w:rFonts w:ascii="Tahoma" w:hAnsi="Tahoma" w:cs="Tahoma"/>
          <w:lang w:val="ro-RO" w:eastAsia="ro-RO"/>
        </w:rPr>
        <w:t>.</w:t>
      </w:r>
    </w:p>
    <w:p w:rsidR="001968BB" w:rsidRPr="00942843" w:rsidRDefault="006E321D" w:rsidP="00CF0789">
      <w:pPr>
        <w:spacing w:line="276" w:lineRule="auto"/>
        <w:ind w:left="432"/>
        <w:jc w:val="both"/>
        <w:rPr>
          <w:rFonts w:ascii="Tahoma" w:eastAsia="Times New Roman" w:hAnsi="Tahoma" w:cs="Tahoma"/>
          <w:bCs/>
          <w:sz w:val="24"/>
          <w:szCs w:val="24"/>
        </w:rPr>
      </w:pPr>
      <w:r w:rsidRPr="00942843">
        <w:rPr>
          <w:rFonts w:ascii="Tahoma" w:hAnsi="Tahoma" w:cs="Tahoma"/>
          <w:sz w:val="24"/>
          <w:szCs w:val="24"/>
          <w:lang w:eastAsia="ro-RO"/>
        </w:rPr>
        <w:t>Din</w:t>
      </w:r>
      <w:r w:rsidR="001968BB" w:rsidRPr="00942843">
        <w:rPr>
          <w:rFonts w:ascii="Tahoma" w:hAnsi="Tahoma" w:cs="Tahoma"/>
          <w:sz w:val="24"/>
          <w:szCs w:val="24"/>
          <w:lang w:eastAsia="ro-RO"/>
        </w:rPr>
        <w:t xml:space="preserve"> suma totală înc</w:t>
      </w:r>
      <w:r w:rsidRPr="00942843">
        <w:rPr>
          <w:rFonts w:ascii="Tahoma" w:hAnsi="Tahoma" w:cs="Tahoma"/>
          <w:sz w:val="24"/>
          <w:szCs w:val="24"/>
          <w:lang w:eastAsia="ro-RO"/>
        </w:rPr>
        <w:t>asată în perioada analizată</w:t>
      </w:r>
      <w:r w:rsidR="009F6CC3" w:rsidRPr="00942843">
        <w:rPr>
          <w:rFonts w:ascii="Tahoma" w:hAnsi="Tahoma" w:cs="Tahoma"/>
          <w:sz w:val="24"/>
          <w:szCs w:val="24"/>
          <w:lang w:eastAsia="ro-RO"/>
        </w:rPr>
        <w:t>,</w:t>
      </w:r>
      <w:r w:rsidR="00B41063" w:rsidRPr="00942843">
        <w:rPr>
          <w:rFonts w:ascii="Tahoma" w:hAnsi="Tahoma" w:cs="Tahoma"/>
          <w:sz w:val="24"/>
          <w:szCs w:val="24"/>
          <w:lang w:eastAsia="ro-RO"/>
        </w:rPr>
        <w:t xml:space="preserve"> </w:t>
      </w:r>
      <w:r w:rsidR="001968BB" w:rsidRPr="00942843">
        <w:rPr>
          <w:rFonts w:ascii="Tahoma" w:hAnsi="Tahoma" w:cs="Tahoma"/>
          <w:sz w:val="24"/>
          <w:szCs w:val="24"/>
          <w:lang w:eastAsia="ro-RO"/>
        </w:rPr>
        <w:t>sumele aferente cadrului financiar 2014</w:t>
      </w:r>
      <w:r w:rsidR="001F47E1" w:rsidRPr="00942843">
        <w:rPr>
          <w:rFonts w:ascii="Tahoma" w:hAnsi="Tahoma" w:cs="Tahoma"/>
          <w:sz w:val="24"/>
          <w:szCs w:val="24"/>
          <w:lang w:eastAsia="ro-RO"/>
        </w:rPr>
        <w:t>-</w:t>
      </w:r>
      <w:r w:rsidR="001968BB" w:rsidRPr="00942843">
        <w:rPr>
          <w:rFonts w:ascii="Tahoma" w:hAnsi="Tahoma" w:cs="Tahoma"/>
          <w:sz w:val="24"/>
          <w:szCs w:val="24"/>
          <w:lang w:eastAsia="ro-RO"/>
        </w:rPr>
        <w:t>2020</w:t>
      </w:r>
      <w:r w:rsidR="009F6CC3" w:rsidRPr="00942843">
        <w:rPr>
          <w:rFonts w:ascii="Tahoma" w:hAnsi="Tahoma" w:cs="Tahoma"/>
          <w:sz w:val="24"/>
          <w:szCs w:val="24"/>
          <w:lang w:eastAsia="ro-RO"/>
        </w:rPr>
        <w:t>,</w:t>
      </w:r>
      <w:r w:rsidR="001968BB" w:rsidRPr="00942843">
        <w:rPr>
          <w:rFonts w:ascii="Tahoma" w:hAnsi="Tahoma" w:cs="Tahoma"/>
          <w:sz w:val="24"/>
          <w:szCs w:val="24"/>
          <w:lang w:eastAsia="ro-RO"/>
        </w:rPr>
        <w:t xml:space="preserve"> dețin ponderea cea mai mare de </w:t>
      </w:r>
      <w:r w:rsidR="001F47E1" w:rsidRPr="00942843">
        <w:rPr>
          <w:rFonts w:ascii="Tahoma" w:hAnsi="Tahoma" w:cs="Tahoma"/>
          <w:sz w:val="24"/>
          <w:szCs w:val="24"/>
          <w:lang w:eastAsia="ro-RO"/>
        </w:rPr>
        <w:t>82,3</w:t>
      </w:r>
      <w:r w:rsidR="001968BB" w:rsidRPr="00942843">
        <w:rPr>
          <w:rFonts w:ascii="Tahoma" w:hAnsi="Tahoma" w:cs="Tahoma"/>
          <w:sz w:val="24"/>
          <w:szCs w:val="24"/>
          <w:lang w:eastAsia="ro-RO"/>
        </w:rPr>
        <w:t xml:space="preserve">% acestea înregistrând un grad de realizare de </w:t>
      </w:r>
      <w:r w:rsidR="001F47E1" w:rsidRPr="00942843">
        <w:rPr>
          <w:rFonts w:ascii="Tahoma" w:eastAsia="Times New Roman" w:hAnsi="Tahoma" w:cs="Tahoma"/>
          <w:bCs/>
          <w:sz w:val="24"/>
          <w:szCs w:val="24"/>
        </w:rPr>
        <w:t>64,6</w:t>
      </w:r>
      <w:r w:rsidR="001968BB" w:rsidRPr="00942843">
        <w:rPr>
          <w:rFonts w:ascii="Tahoma" w:eastAsia="Times New Roman" w:hAnsi="Tahoma" w:cs="Tahoma"/>
          <w:bCs/>
          <w:sz w:val="24"/>
          <w:szCs w:val="24"/>
        </w:rPr>
        <w:t>%.</w:t>
      </w:r>
    </w:p>
    <w:p w:rsidR="001F47E1" w:rsidRPr="00942843" w:rsidRDefault="001F47E1" w:rsidP="00CF0789">
      <w:pPr>
        <w:spacing w:line="276" w:lineRule="auto"/>
        <w:ind w:left="432"/>
        <w:jc w:val="both"/>
        <w:rPr>
          <w:rFonts w:ascii="Tahoma" w:eastAsia="Times New Roman" w:hAnsi="Tahoma" w:cs="Tahoma"/>
          <w:bCs/>
          <w:sz w:val="24"/>
          <w:szCs w:val="24"/>
        </w:rPr>
      </w:pPr>
      <w:r w:rsidRPr="00942843">
        <w:rPr>
          <w:rFonts w:ascii="Tahoma" w:eastAsia="Times New Roman" w:hAnsi="Tahoma" w:cs="Tahoma"/>
          <w:bCs/>
          <w:sz w:val="24"/>
          <w:szCs w:val="24"/>
        </w:rPr>
        <w:t xml:space="preserve">Comparativ cu trimestrul III 2019 sumele primite de la Uniunea Europeană și donații aferente proiectelor finanțate atât din cadrul financiar 2007-2013, cât și din noul cadru financiar 2014-2020, au crescut cu </w:t>
      </w:r>
      <w:r w:rsidR="00EE69FE">
        <w:rPr>
          <w:rFonts w:ascii="Tahoma" w:eastAsia="Times New Roman" w:hAnsi="Tahoma" w:cs="Tahoma"/>
          <w:bCs/>
          <w:sz w:val="24"/>
          <w:szCs w:val="24"/>
        </w:rPr>
        <w:t>1</w:t>
      </w:r>
      <w:r w:rsidRPr="00942843">
        <w:rPr>
          <w:rFonts w:ascii="Tahoma" w:eastAsia="Times New Roman" w:hAnsi="Tahoma" w:cs="Tahoma"/>
          <w:bCs/>
          <w:sz w:val="24"/>
          <w:szCs w:val="24"/>
        </w:rPr>
        <w:t>00,4%.</w:t>
      </w:r>
    </w:p>
    <w:p w:rsidR="00E15D34" w:rsidRPr="00942843" w:rsidRDefault="00E15D34" w:rsidP="00942843">
      <w:pPr>
        <w:spacing w:line="276" w:lineRule="auto"/>
        <w:rPr>
          <w:rFonts w:ascii="Tahoma" w:eastAsia="Times New Roman" w:hAnsi="Tahoma" w:cs="Tahoma"/>
          <w:color w:val="000000"/>
          <w:sz w:val="24"/>
          <w:szCs w:val="24"/>
          <w:lang w:eastAsia="ro-RO"/>
        </w:rPr>
      </w:pPr>
    </w:p>
    <w:p w:rsidR="007D0985" w:rsidRPr="00942843" w:rsidRDefault="007D0985" w:rsidP="00942843">
      <w:pPr>
        <w:pStyle w:val="ListParagraph"/>
        <w:numPr>
          <w:ilvl w:val="0"/>
          <w:numId w:val="2"/>
        </w:numPr>
        <w:shd w:val="clear" w:color="auto" w:fill="D9D9D9" w:themeFill="background1" w:themeFillShade="D9"/>
        <w:spacing w:after="120" w:line="276" w:lineRule="auto"/>
        <w:ind w:hanging="1080"/>
        <w:jc w:val="both"/>
        <w:rPr>
          <w:rFonts w:ascii="Tahoma" w:hAnsi="Tahoma" w:cs="Tahoma"/>
          <w:b/>
          <w:caps/>
          <w:color w:val="0070C0"/>
          <w:sz w:val="24"/>
          <w:szCs w:val="24"/>
        </w:rPr>
      </w:pPr>
      <w:r w:rsidRPr="00942843">
        <w:rPr>
          <w:rFonts w:ascii="Tahoma" w:hAnsi="Tahoma" w:cs="Tahoma"/>
          <w:b/>
          <w:caps/>
          <w:color w:val="0070C0"/>
          <w:sz w:val="24"/>
          <w:szCs w:val="24"/>
        </w:rPr>
        <w:t>CHELTUIELILE bugetului general consolidat</w:t>
      </w:r>
    </w:p>
    <w:p w:rsidR="007D0985" w:rsidRPr="00942843" w:rsidRDefault="00950B7A" w:rsidP="00CF0789">
      <w:pPr>
        <w:shd w:val="clear" w:color="auto" w:fill="D9D9D9" w:themeFill="background1" w:themeFillShade="D9"/>
        <w:spacing w:after="120" w:line="276" w:lineRule="auto"/>
        <w:jc w:val="both"/>
        <w:rPr>
          <w:rFonts w:ascii="Tahoma" w:hAnsi="Tahoma" w:cs="Tahoma"/>
          <w:sz w:val="24"/>
          <w:szCs w:val="24"/>
        </w:rPr>
      </w:pPr>
      <w:r w:rsidRPr="00942843">
        <w:rPr>
          <w:rFonts w:ascii="Tahoma" w:hAnsi="Tahoma" w:cs="Tahoma"/>
          <w:b/>
          <w:sz w:val="24"/>
          <w:szCs w:val="24"/>
        </w:rPr>
        <w:t>Cheltuielile bugetului general consolidat</w:t>
      </w:r>
      <w:r w:rsidR="003C4703" w:rsidRPr="00942843">
        <w:rPr>
          <w:rFonts w:ascii="Tahoma" w:hAnsi="Tahoma" w:cs="Tahoma"/>
          <w:sz w:val="24"/>
          <w:szCs w:val="24"/>
        </w:rPr>
        <w:t xml:space="preserve"> au fost în sumă de </w:t>
      </w:r>
      <w:r w:rsidR="0093506B" w:rsidRPr="00942843">
        <w:rPr>
          <w:rFonts w:ascii="Tahoma" w:hAnsi="Tahoma" w:cs="Tahoma"/>
          <w:sz w:val="24"/>
          <w:szCs w:val="24"/>
        </w:rPr>
        <w:t xml:space="preserve">103,6 </w:t>
      </w:r>
      <w:r w:rsidR="003C4703" w:rsidRPr="00942843">
        <w:rPr>
          <w:rFonts w:ascii="Tahoma" w:hAnsi="Tahoma" w:cs="Tahoma"/>
          <w:sz w:val="24"/>
          <w:szCs w:val="24"/>
        </w:rPr>
        <w:t>m</w:t>
      </w:r>
      <w:r w:rsidR="00713D80" w:rsidRPr="00942843">
        <w:rPr>
          <w:rFonts w:ascii="Tahoma" w:hAnsi="Tahoma" w:cs="Tahoma"/>
          <w:sz w:val="24"/>
          <w:szCs w:val="24"/>
        </w:rPr>
        <w:t>l</w:t>
      </w:r>
      <w:r w:rsidR="003C4703" w:rsidRPr="00942843">
        <w:rPr>
          <w:rFonts w:ascii="Tahoma" w:hAnsi="Tahoma" w:cs="Tahoma"/>
          <w:sz w:val="24"/>
          <w:szCs w:val="24"/>
        </w:rPr>
        <w:t>d</w:t>
      </w:r>
      <w:r w:rsidR="00B41063" w:rsidRPr="00942843">
        <w:rPr>
          <w:rFonts w:ascii="Tahoma" w:hAnsi="Tahoma" w:cs="Tahoma"/>
          <w:sz w:val="24"/>
          <w:szCs w:val="24"/>
        </w:rPr>
        <w:t xml:space="preserve"> </w:t>
      </w:r>
      <w:r w:rsidRPr="00942843">
        <w:rPr>
          <w:rFonts w:ascii="Tahoma" w:hAnsi="Tahoma" w:cs="Tahoma"/>
          <w:sz w:val="24"/>
          <w:szCs w:val="24"/>
        </w:rPr>
        <w:t xml:space="preserve">lei, au reprezentat </w:t>
      </w:r>
      <w:r w:rsidR="001968BB" w:rsidRPr="00942843">
        <w:rPr>
          <w:rFonts w:ascii="Tahoma" w:hAnsi="Tahoma" w:cs="Tahoma"/>
          <w:sz w:val="24"/>
          <w:szCs w:val="24"/>
        </w:rPr>
        <w:t>9</w:t>
      </w:r>
      <w:r w:rsidRPr="00942843">
        <w:rPr>
          <w:rFonts w:ascii="Tahoma" w:hAnsi="Tahoma" w:cs="Tahoma"/>
          <w:sz w:val="24"/>
          <w:szCs w:val="24"/>
        </w:rPr>
        <w:t>,</w:t>
      </w:r>
      <w:r w:rsidR="0093506B" w:rsidRPr="00942843">
        <w:rPr>
          <w:rFonts w:ascii="Tahoma" w:hAnsi="Tahoma" w:cs="Tahoma"/>
          <w:sz w:val="24"/>
          <w:szCs w:val="24"/>
        </w:rPr>
        <w:t>8</w:t>
      </w:r>
      <w:r w:rsidRPr="00942843">
        <w:rPr>
          <w:rFonts w:ascii="Tahoma" w:hAnsi="Tahoma" w:cs="Tahoma"/>
          <w:sz w:val="24"/>
          <w:szCs w:val="24"/>
        </w:rPr>
        <w:t xml:space="preserve">% ca pondere în PIB și s-au efectuat în proporție de </w:t>
      </w:r>
      <w:r w:rsidR="0093506B" w:rsidRPr="00942843">
        <w:rPr>
          <w:rFonts w:ascii="Tahoma" w:hAnsi="Tahoma" w:cs="Tahoma"/>
          <w:sz w:val="24"/>
          <w:szCs w:val="24"/>
        </w:rPr>
        <w:t>89,8</w:t>
      </w:r>
      <w:r w:rsidRPr="00942843">
        <w:rPr>
          <w:rFonts w:ascii="Tahoma" w:hAnsi="Tahoma" w:cs="Tahoma"/>
          <w:sz w:val="24"/>
          <w:szCs w:val="24"/>
        </w:rPr>
        <w:t>% comparativ cu programul pentru trimestrul I</w:t>
      </w:r>
      <w:r w:rsidR="001968BB" w:rsidRPr="00942843">
        <w:rPr>
          <w:rFonts w:ascii="Tahoma" w:hAnsi="Tahoma" w:cs="Tahoma"/>
          <w:sz w:val="24"/>
          <w:szCs w:val="24"/>
        </w:rPr>
        <w:t>I</w:t>
      </w:r>
      <w:r w:rsidR="0093506B" w:rsidRPr="00942843">
        <w:rPr>
          <w:rFonts w:ascii="Tahoma" w:hAnsi="Tahoma" w:cs="Tahoma"/>
          <w:sz w:val="24"/>
          <w:szCs w:val="24"/>
        </w:rPr>
        <w:t>I</w:t>
      </w:r>
      <w:r w:rsidRPr="00942843">
        <w:rPr>
          <w:rFonts w:ascii="Tahoma" w:hAnsi="Tahoma" w:cs="Tahoma"/>
          <w:sz w:val="24"/>
          <w:szCs w:val="24"/>
        </w:rPr>
        <w:t xml:space="preserve"> 2020.</w:t>
      </w:r>
    </w:p>
    <w:p w:rsidR="00B10206" w:rsidRPr="00942843" w:rsidRDefault="00B10206" w:rsidP="00CF0789">
      <w:pPr>
        <w:tabs>
          <w:tab w:val="left" w:pos="567"/>
        </w:tabs>
        <w:spacing w:after="0" w:line="276" w:lineRule="auto"/>
        <w:jc w:val="both"/>
        <w:rPr>
          <w:rFonts w:ascii="Tahoma" w:hAnsi="Tahoma" w:cs="Tahoma"/>
          <w:sz w:val="24"/>
          <w:szCs w:val="24"/>
        </w:rPr>
      </w:pPr>
      <w:r w:rsidRPr="00942843">
        <w:rPr>
          <w:rFonts w:ascii="Tahoma" w:hAnsi="Tahoma" w:cs="Tahoma"/>
          <w:sz w:val="24"/>
          <w:szCs w:val="24"/>
        </w:rPr>
        <w:t xml:space="preserve">Față de nivelul înregistrat în </w:t>
      </w:r>
      <w:r w:rsidR="001968BB" w:rsidRPr="00942843">
        <w:rPr>
          <w:rFonts w:ascii="Tahoma" w:hAnsi="Tahoma" w:cs="Tahoma"/>
          <w:sz w:val="24"/>
          <w:szCs w:val="24"/>
        </w:rPr>
        <w:t>cel de al II</w:t>
      </w:r>
      <w:r w:rsidR="0093506B" w:rsidRPr="00942843">
        <w:rPr>
          <w:rFonts w:ascii="Tahoma" w:hAnsi="Tahoma" w:cs="Tahoma"/>
          <w:sz w:val="24"/>
          <w:szCs w:val="24"/>
        </w:rPr>
        <w:t>I</w:t>
      </w:r>
      <w:r w:rsidR="001968BB" w:rsidRPr="00942843">
        <w:rPr>
          <w:rFonts w:ascii="Tahoma" w:hAnsi="Tahoma" w:cs="Tahoma"/>
          <w:sz w:val="24"/>
          <w:szCs w:val="24"/>
        </w:rPr>
        <w:t xml:space="preserve">-lea </w:t>
      </w:r>
      <w:r w:rsidRPr="00942843">
        <w:rPr>
          <w:rFonts w:ascii="Tahoma" w:hAnsi="Tahoma" w:cs="Tahoma"/>
          <w:sz w:val="24"/>
          <w:szCs w:val="24"/>
        </w:rPr>
        <w:t xml:space="preserve">trimestru al anului 2019, cheltuielile bugetare au fost mai mari cu </w:t>
      </w:r>
      <w:r w:rsidR="0093506B" w:rsidRPr="00942843">
        <w:rPr>
          <w:rFonts w:ascii="Tahoma" w:hAnsi="Tahoma" w:cs="Tahoma"/>
          <w:sz w:val="24"/>
          <w:szCs w:val="24"/>
        </w:rPr>
        <w:t>19</w:t>
      </w:r>
      <w:r w:rsidRPr="00942843">
        <w:rPr>
          <w:rFonts w:ascii="Tahoma" w:hAnsi="Tahoma" w:cs="Tahoma"/>
          <w:sz w:val="24"/>
          <w:szCs w:val="24"/>
        </w:rPr>
        <w:t>%.</w:t>
      </w:r>
    </w:p>
    <w:p w:rsidR="00B10206" w:rsidRPr="00942843" w:rsidRDefault="00B10206" w:rsidP="00CF0789">
      <w:pPr>
        <w:tabs>
          <w:tab w:val="left" w:pos="567"/>
        </w:tabs>
        <w:spacing w:after="0" w:line="276" w:lineRule="auto"/>
        <w:jc w:val="both"/>
        <w:rPr>
          <w:rFonts w:ascii="Tahoma" w:hAnsi="Tahoma" w:cs="Tahoma"/>
          <w:sz w:val="24"/>
          <w:szCs w:val="24"/>
        </w:rPr>
      </w:pPr>
    </w:p>
    <w:p w:rsidR="00B10206" w:rsidRPr="00942843" w:rsidRDefault="00EE69FE" w:rsidP="00942843">
      <w:pPr>
        <w:tabs>
          <w:tab w:val="left" w:pos="567"/>
        </w:tabs>
        <w:spacing w:line="276" w:lineRule="auto"/>
        <w:ind w:right="6"/>
        <w:jc w:val="both"/>
        <w:rPr>
          <w:rFonts w:ascii="Tahoma" w:hAnsi="Tahoma" w:cs="Tahoma"/>
          <w:sz w:val="24"/>
          <w:szCs w:val="24"/>
        </w:rPr>
      </w:pPr>
      <w:r>
        <w:rPr>
          <w:rFonts w:ascii="Tahoma" w:hAnsi="Tahoma" w:cs="Tahoma"/>
          <w:noProof/>
          <w:sz w:val="24"/>
          <w:szCs w:val="24"/>
          <w:lang w:val="en-US"/>
        </w:rPr>
        <w:lastRenderedPageBreak/>
        <w:drawing>
          <wp:inline distT="0" distB="0" distL="0" distR="0" wp14:anchorId="4CD0CAC8" wp14:editId="0100456F">
            <wp:extent cx="6261652" cy="3194685"/>
            <wp:effectExtent l="0" t="0" r="6350" b="571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64495" cy="3196136"/>
                    </a:xfrm>
                    <a:prstGeom prst="rect">
                      <a:avLst/>
                    </a:prstGeom>
                    <a:noFill/>
                  </pic:spPr>
                </pic:pic>
              </a:graphicData>
            </a:graphic>
          </wp:inline>
        </w:drawing>
      </w:r>
    </w:p>
    <w:p w:rsidR="00BA678C" w:rsidRPr="00942843" w:rsidRDefault="00BA678C" w:rsidP="00942843">
      <w:pPr>
        <w:spacing w:after="0" w:line="276" w:lineRule="auto"/>
        <w:jc w:val="both"/>
        <w:rPr>
          <w:rFonts w:ascii="Tahoma" w:hAnsi="Tahoma" w:cs="Tahoma"/>
          <w:b/>
          <w:i/>
          <w:sz w:val="24"/>
          <w:szCs w:val="24"/>
        </w:rPr>
      </w:pPr>
    </w:p>
    <w:p w:rsidR="00B10206" w:rsidRPr="00942843" w:rsidRDefault="00B10206" w:rsidP="00CF0789">
      <w:pPr>
        <w:spacing w:after="0" w:line="276" w:lineRule="auto"/>
        <w:jc w:val="both"/>
        <w:rPr>
          <w:rFonts w:ascii="Tahoma" w:hAnsi="Tahoma" w:cs="Tahoma"/>
          <w:sz w:val="24"/>
          <w:szCs w:val="24"/>
        </w:rPr>
      </w:pPr>
      <w:r w:rsidRPr="00942843">
        <w:rPr>
          <w:rFonts w:ascii="Tahoma" w:hAnsi="Tahoma" w:cs="Tahoma"/>
          <w:b/>
          <w:sz w:val="24"/>
          <w:szCs w:val="24"/>
        </w:rPr>
        <w:t>Cheltuielile de personal</w:t>
      </w:r>
      <w:r w:rsidRPr="00942843">
        <w:rPr>
          <w:rFonts w:ascii="Tahoma" w:hAnsi="Tahoma" w:cs="Tahoma"/>
          <w:sz w:val="24"/>
          <w:szCs w:val="24"/>
        </w:rPr>
        <w:t>, prezentate detaliat în Anexele n</w:t>
      </w:r>
      <w:r w:rsidR="003C4703" w:rsidRPr="00942843">
        <w:rPr>
          <w:rFonts w:ascii="Tahoma" w:hAnsi="Tahoma" w:cs="Tahoma"/>
          <w:sz w:val="24"/>
          <w:szCs w:val="24"/>
        </w:rPr>
        <w:t xml:space="preserve">r. 3 </w:t>
      </w:r>
      <w:r w:rsidR="005B36B4" w:rsidRPr="00942843">
        <w:rPr>
          <w:rFonts w:ascii="Tahoma" w:hAnsi="Tahoma" w:cs="Tahoma"/>
          <w:sz w:val="24"/>
          <w:szCs w:val="24"/>
        </w:rPr>
        <w:t>și</w:t>
      </w:r>
      <w:r w:rsidR="003C4703" w:rsidRPr="00942843">
        <w:rPr>
          <w:rFonts w:ascii="Tahoma" w:hAnsi="Tahoma" w:cs="Tahoma"/>
          <w:sz w:val="24"/>
          <w:szCs w:val="24"/>
        </w:rPr>
        <w:t xml:space="preserve"> 4 au fost în sumă de </w:t>
      </w:r>
      <w:r w:rsidR="001968BB" w:rsidRPr="00942843">
        <w:rPr>
          <w:rFonts w:ascii="Tahoma" w:hAnsi="Tahoma" w:cs="Tahoma"/>
          <w:sz w:val="24"/>
          <w:szCs w:val="24"/>
        </w:rPr>
        <w:t>27,</w:t>
      </w:r>
      <w:r w:rsidR="00515EBD" w:rsidRPr="00942843">
        <w:rPr>
          <w:rFonts w:ascii="Tahoma" w:hAnsi="Tahoma" w:cs="Tahoma"/>
          <w:sz w:val="24"/>
          <w:szCs w:val="24"/>
        </w:rPr>
        <w:t xml:space="preserve">7 </w:t>
      </w:r>
      <w:r w:rsidR="00AD5154">
        <w:rPr>
          <w:rFonts w:ascii="Tahoma" w:hAnsi="Tahoma" w:cs="Tahoma"/>
          <w:sz w:val="24"/>
          <w:szCs w:val="24"/>
        </w:rPr>
        <w:t>mld</w:t>
      </w:r>
      <w:r w:rsidRPr="00942843">
        <w:rPr>
          <w:rFonts w:ascii="Tahoma" w:hAnsi="Tahoma" w:cs="Tahoma"/>
          <w:sz w:val="24"/>
          <w:szCs w:val="24"/>
        </w:rPr>
        <w:t xml:space="preserve"> lei (2,</w:t>
      </w:r>
      <w:r w:rsidR="00515EBD" w:rsidRPr="00942843">
        <w:rPr>
          <w:rFonts w:ascii="Tahoma" w:hAnsi="Tahoma" w:cs="Tahoma"/>
          <w:sz w:val="24"/>
          <w:szCs w:val="24"/>
        </w:rPr>
        <w:t>6</w:t>
      </w:r>
      <w:r w:rsidRPr="00942843">
        <w:rPr>
          <w:rFonts w:ascii="Tahoma" w:hAnsi="Tahoma" w:cs="Tahoma"/>
          <w:sz w:val="24"/>
          <w:szCs w:val="24"/>
        </w:rPr>
        <w:t xml:space="preserve">% din PIB) și s-au efectuat în proporție de </w:t>
      </w:r>
      <w:r w:rsidR="00515EBD" w:rsidRPr="00942843">
        <w:rPr>
          <w:rFonts w:ascii="Tahoma" w:hAnsi="Tahoma" w:cs="Tahoma"/>
          <w:sz w:val="24"/>
          <w:szCs w:val="24"/>
        </w:rPr>
        <w:t>97,3</w:t>
      </w:r>
      <w:r w:rsidRPr="00942843">
        <w:rPr>
          <w:rFonts w:ascii="Tahoma" w:hAnsi="Tahoma" w:cs="Tahoma"/>
          <w:sz w:val="24"/>
          <w:szCs w:val="24"/>
        </w:rPr>
        <w:t>% față de nivelul estimat a se efectua în trimestrul I</w:t>
      </w:r>
      <w:r w:rsidR="001968BB" w:rsidRPr="00942843">
        <w:rPr>
          <w:rFonts w:ascii="Tahoma" w:hAnsi="Tahoma" w:cs="Tahoma"/>
          <w:sz w:val="24"/>
          <w:szCs w:val="24"/>
        </w:rPr>
        <w:t>I</w:t>
      </w:r>
      <w:r w:rsidR="00515EBD" w:rsidRPr="00942843">
        <w:rPr>
          <w:rFonts w:ascii="Tahoma" w:hAnsi="Tahoma" w:cs="Tahoma"/>
          <w:sz w:val="24"/>
          <w:szCs w:val="24"/>
        </w:rPr>
        <w:t>I</w:t>
      </w:r>
      <w:r w:rsidRPr="00942843">
        <w:rPr>
          <w:rFonts w:ascii="Tahoma" w:hAnsi="Tahoma" w:cs="Tahoma"/>
          <w:sz w:val="24"/>
          <w:szCs w:val="24"/>
        </w:rPr>
        <w:t xml:space="preserve"> 2020. </w:t>
      </w:r>
    </w:p>
    <w:p w:rsidR="001968BB" w:rsidRPr="00942843" w:rsidRDefault="00B62D63" w:rsidP="00CF0789">
      <w:pPr>
        <w:spacing w:after="240" w:line="276" w:lineRule="auto"/>
        <w:jc w:val="both"/>
        <w:rPr>
          <w:rFonts w:ascii="Tahoma" w:hAnsi="Tahoma" w:cs="Tahoma"/>
          <w:bCs/>
          <w:sz w:val="24"/>
          <w:szCs w:val="24"/>
        </w:rPr>
      </w:pPr>
      <w:r w:rsidRPr="00942843">
        <w:rPr>
          <w:rFonts w:ascii="Tahoma" w:hAnsi="Tahoma" w:cs="Tahoma"/>
          <w:bCs/>
          <w:sz w:val="24"/>
          <w:szCs w:val="24"/>
        </w:rPr>
        <w:t xml:space="preserve">Comparativ cu aceeași perioadă a anului anterior cheltuielile de personal s-au majorat cu </w:t>
      </w:r>
      <w:r w:rsidR="00515EBD" w:rsidRPr="00942843">
        <w:rPr>
          <w:rFonts w:ascii="Tahoma" w:hAnsi="Tahoma" w:cs="Tahoma"/>
          <w:bCs/>
          <w:sz w:val="24"/>
          <w:szCs w:val="24"/>
        </w:rPr>
        <w:t>10,6</w:t>
      </w:r>
      <w:r w:rsidRPr="00942843">
        <w:rPr>
          <w:rFonts w:ascii="Tahoma" w:hAnsi="Tahoma" w:cs="Tahoma"/>
          <w:bCs/>
          <w:sz w:val="24"/>
          <w:szCs w:val="24"/>
        </w:rPr>
        <w:t>%.</w:t>
      </w:r>
      <w:r w:rsidR="00AD5154">
        <w:rPr>
          <w:rFonts w:ascii="Tahoma" w:hAnsi="Tahoma" w:cs="Tahoma"/>
          <w:bCs/>
          <w:sz w:val="24"/>
          <w:szCs w:val="24"/>
        </w:rPr>
        <w:t xml:space="preserve"> </w:t>
      </w:r>
      <w:r w:rsidR="00B10206" w:rsidRPr="00942843">
        <w:rPr>
          <w:rFonts w:ascii="Tahoma" w:hAnsi="Tahoma" w:cs="Tahoma"/>
          <w:bCs/>
          <w:sz w:val="24"/>
          <w:szCs w:val="24"/>
        </w:rPr>
        <w:t>Cheltuielile de personal au fost influențate de majorările salariale acordate în temeiul Legii cadru nr. 153/2017</w:t>
      </w:r>
      <w:r w:rsidR="001968BB" w:rsidRPr="00942843">
        <w:rPr>
          <w:rFonts w:ascii="Tahoma" w:hAnsi="Tahoma" w:cs="Tahoma"/>
          <w:bCs/>
          <w:sz w:val="24"/>
          <w:szCs w:val="24"/>
        </w:rPr>
        <w:t>,</w:t>
      </w:r>
      <w:r w:rsidR="00B10206" w:rsidRPr="00942843">
        <w:rPr>
          <w:rFonts w:ascii="Tahoma" w:hAnsi="Tahoma" w:cs="Tahoma"/>
          <w:bCs/>
          <w:sz w:val="24"/>
          <w:szCs w:val="24"/>
        </w:rPr>
        <w:t xml:space="preserve"> privind salarizarea personalului plătit din fonduri publice</w:t>
      </w:r>
      <w:r w:rsidR="009F6CC3" w:rsidRPr="00942843">
        <w:rPr>
          <w:rFonts w:ascii="Tahoma" w:hAnsi="Tahoma" w:cs="Tahoma"/>
          <w:bCs/>
          <w:sz w:val="24"/>
          <w:szCs w:val="24"/>
        </w:rPr>
        <w:t>, precum ș</w:t>
      </w:r>
      <w:r w:rsidR="001968BB" w:rsidRPr="00942843">
        <w:rPr>
          <w:rFonts w:ascii="Tahoma" w:hAnsi="Tahoma" w:cs="Tahoma"/>
          <w:bCs/>
          <w:sz w:val="24"/>
          <w:szCs w:val="24"/>
        </w:rPr>
        <w:t>i de acordarea un</w:t>
      </w:r>
      <w:r w:rsidR="009F6CC3" w:rsidRPr="00942843">
        <w:rPr>
          <w:rFonts w:ascii="Tahoma" w:hAnsi="Tahoma" w:cs="Tahoma"/>
          <w:bCs/>
          <w:sz w:val="24"/>
          <w:szCs w:val="24"/>
        </w:rPr>
        <w:t xml:space="preserve">or stimulente salariale pentru </w:t>
      </w:r>
      <w:r w:rsidR="001968BB" w:rsidRPr="00942843">
        <w:rPr>
          <w:rFonts w:ascii="Tahoma" w:hAnsi="Tahoma" w:cs="Tahoma"/>
          <w:bCs/>
          <w:sz w:val="24"/>
          <w:szCs w:val="24"/>
        </w:rPr>
        <w:t xml:space="preserve">medici, personalul medico-sanitar, personalul paramedical, inclusiv personalului auxiliar, implicat direct in transportul, echiparea, evaluarea, diagnosticarea și tratamentul </w:t>
      </w:r>
      <w:r w:rsidR="00F32228" w:rsidRPr="00942843">
        <w:rPr>
          <w:rFonts w:ascii="Tahoma" w:hAnsi="Tahoma" w:cs="Tahoma"/>
          <w:bCs/>
          <w:sz w:val="24"/>
          <w:szCs w:val="24"/>
        </w:rPr>
        <w:t>pacienților</w:t>
      </w:r>
      <w:r w:rsidR="00515EBD" w:rsidRPr="00942843">
        <w:rPr>
          <w:rFonts w:ascii="Tahoma" w:hAnsi="Tahoma" w:cs="Tahoma"/>
          <w:bCs/>
          <w:sz w:val="24"/>
          <w:szCs w:val="24"/>
        </w:rPr>
        <w:t xml:space="preserve"> </w:t>
      </w:r>
      <w:r w:rsidR="00F32228" w:rsidRPr="00942843">
        <w:rPr>
          <w:rFonts w:ascii="Tahoma" w:hAnsi="Tahoma" w:cs="Tahoma"/>
          <w:bCs/>
          <w:sz w:val="24"/>
          <w:szCs w:val="24"/>
        </w:rPr>
        <w:t>infectați</w:t>
      </w:r>
      <w:r w:rsidR="001968BB" w:rsidRPr="00942843">
        <w:rPr>
          <w:rFonts w:ascii="Tahoma" w:hAnsi="Tahoma" w:cs="Tahoma"/>
          <w:bCs/>
          <w:sz w:val="24"/>
          <w:szCs w:val="24"/>
        </w:rPr>
        <w:t xml:space="preserve"> cu COVID-19.</w:t>
      </w:r>
    </w:p>
    <w:p w:rsidR="00B10206" w:rsidRPr="00942843" w:rsidRDefault="00B10206" w:rsidP="00CF0789">
      <w:pPr>
        <w:spacing w:before="120" w:after="120" w:line="276" w:lineRule="auto"/>
        <w:jc w:val="both"/>
        <w:rPr>
          <w:rFonts w:ascii="Tahoma" w:hAnsi="Tahoma" w:cs="Tahoma"/>
          <w:sz w:val="24"/>
          <w:szCs w:val="24"/>
        </w:rPr>
      </w:pPr>
      <w:r w:rsidRPr="00942843">
        <w:rPr>
          <w:rFonts w:ascii="Tahoma" w:hAnsi="Tahoma" w:cs="Tahoma"/>
          <w:b/>
          <w:bCs/>
          <w:sz w:val="24"/>
          <w:szCs w:val="24"/>
        </w:rPr>
        <w:t>Cheltuielile cu bunuri și servicii</w:t>
      </w:r>
      <w:r w:rsidR="007369A7" w:rsidRPr="00942843">
        <w:rPr>
          <w:rFonts w:ascii="Tahoma" w:hAnsi="Tahoma" w:cs="Tahoma"/>
          <w:b/>
          <w:bCs/>
          <w:sz w:val="24"/>
          <w:szCs w:val="24"/>
        </w:rPr>
        <w:t xml:space="preserve"> </w:t>
      </w:r>
      <w:r w:rsidR="003C4703" w:rsidRPr="00942843">
        <w:rPr>
          <w:rFonts w:ascii="Tahoma" w:hAnsi="Tahoma" w:cs="Tahoma"/>
          <w:sz w:val="24"/>
          <w:szCs w:val="24"/>
        </w:rPr>
        <w:t xml:space="preserve">au însumat </w:t>
      </w:r>
      <w:r w:rsidR="00AF18D8" w:rsidRPr="00942843">
        <w:rPr>
          <w:rFonts w:ascii="Tahoma" w:hAnsi="Tahoma" w:cs="Tahoma"/>
          <w:sz w:val="24"/>
          <w:szCs w:val="24"/>
        </w:rPr>
        <w:t>14,2</w:t>
      </w:r>
      <w:r w:rsidRPr="00942843">
        <w:rPr>
          <w:rFonts w:ascii="Tahoma" w:hAnsi="Tahoma" w:cs="Tahoma"/>
          <w:sz w:val="24"/>
          <w:szCs w:val="24"/>
        </w:rPr>
        <w:t xml:space="preserve"> m</w:t>
      </w:r>
      <w:r w:rsidR="003C4703" w:rsidRPr="00942843">
        <w:rPr>
          <w:rFonts w:ascii="Tahoma" w:hAnsi="Tahoma" w:cs="Tahoma"/>
          <w:sz w:val="24"/>
          <w:szCs w:val="24"/>
        </w:rPr>
        <w:t>ld</w:t>
      </w:r>
      <w:r w:rsidRPr="00942843">
        <w:rPr>
          <w:rFonts w:ascii="Tahoma" w:hAnsi="Tahoma" w:cs="Tahoma"/>
          <w:sz w:val="24"/>
          <w:szCs w:val="24"/>
        </w:rPr>
        <w:t xml:space="preserve"> lei (1,</w:t>
      </w:r>
      <w:r w:rsidR="00AF18D8" w:rsidRPr="00942843">
        <w:rPr>
          <w:rFonts w:ascii="Tahoma" w:hAnsi="Tahoma" w:cs="Tahoma"/>
          <w:sz w:val="24"/>
          <w:szCs w:val="24"/>
        </w:rPr>
        <w:t>3</w:t>
      </w:r>
      <w:r w:rsidRPr="00942843">
        <w:rPr>
          <w:rFonts w:ascii="Tahoma" w:hAnsi="Tahoma" w:cs="Tahoma"/>
          <w:sz w:val="24"/>
          <w:szCs w:val="24"/>
        </w:rPr>
        <w:t xml:space="preserve">% din PIB) și s-au efectuat în proporție de </w:t>
      </w:r>
      <w:r w:rsidR="00B62D63" w:rsidRPr="00942843">
        <w:rPr>
          <w:rFonts w:ascii="Tahoma" w:hAnsi="Tahoma" w:cs="Tahoma"/>
          <w:sz w:val="24"/>
          <w:szCs w:val="24"/>
        </w:rPr>
        <w:t>90,</w:t>
      </w:r>
      <w:r w:rsidR="00AF18D8" w:rsidRPr="00942843">
        <w:rPr>
          <w:rFonts w:ascii="Tahoma" w:hAnsi="Tahoma" w:cs="Tahoma"/>
          <w:sz w:val="24"/>
          <w:szCs w:val="24"/>
        </w:rPr>
        <w:t>9</w:t>
      </w:r>
      <w:r w:rsidRPr="00942843">
        <w:rPr>
          <w:rFonts w:ascii="Tahoma" w:hAnsi="Tahoma" w:cs="Tahoma"/>
          <w:sz w:val="24"/>
          <w:szCs w:val="24"/>
        </w:rPr>
        <w:t xml:space="preserve">% comparativ cu programul trimestrial. </w:t>
      </w:r>
      <w:r w:rsidR="00B62D63" w:rsidRPr="00942843">
        <w:rPr>
          <w:rFonts w:ascii="Tahoma" w:hAnsi="Tahoma" w:cs="Tahoma"/>
          <w:sz w:val="24"/>
          <w:szCs w:val="24"/>
        </w:rPr>
        <w:t>Neefectuarea cheltuielilor la nivelul programului stabilit pentru trimestrul II</w:t>
      </w:r>
      <w:r w:rsidR="00AF18D8" w:rsidRPr="00942843">
        <w:rPr>
          <w:rFonts w:ascii="Tahoma" w:hAnsi="Tahoma" w:cs="Tahoma"/>
          <w:sz w:val="24"/>
          <w:szCs w:val="24"/>
        </w:rPr>
        <w:t>I</w:t>
      </w:r>
      <w:r w:rsidR="00B62D63" w:rsidRPr="00942843">
        <w:rPr>
          <w:rFonts w:ascii="Tahoma" w:hAnsi="Tahoma" w:cs="Tahoma"/>
          <w:sz w:val="24"/>
          <w:szCs w:val="24"/>
        </w:rPr>
        <w:t xml:space="preserve"> s-a datorat</w:t>
      </w:r>
      <w:r w:rsidR="00AF18D8" w:rsidRPr="00942843">
        <w:rPr>
          <w:rFonts w:ascii="Tahoma" w:hAnsi="Tahoma" w:cs="Tahoma"/>
          <w:sz w:val="24"/>
          <w:szCs w:val="24"/>
        </w:rPr>
        <w:t>,</w:t>
      </w:r>
      <w:r w:rsidR="00B62D63" w:rsidRPr="00942843">
        <w:rPr>
          <w:rFonts w:ascii="Tahoma" w:hAnsi="Tahoma" w:cs="Tahoma"/>
          <w:sz w:val="24"/>
          <w:szCs w:val="24"/>
        </w:rPr>
        <w:t xml:space="preserve"> </w:t>
      </w:r>
      <w:r w:rsidR="00AF18D8" w:rsidRPr="00942843">
        <w:rPr>
          <w:rFonts w:ascii="Tahoma" w:hAnsi="Tahoma" w:cs="Tahoma"/>
          <w:sz w:val="24"/>
          <w:szCs w:val="24"/>
        </w:rPr>
        <w:t xml:space="preserve">în principal, </w:t>
      </w:r>
      <w:r w:rsidR="00B62D63" w:rsidRPr="00942843">
        <w:rPr>
          <w:rFonts w:ascii="Tahoma" w:hAnsi="Tahoma" w:cs="Tahoma"/>
          <w:sz w:val="24"/>
          <w:szCs w:val="24"/>
        </w:rPr>
        <w:t xml:space="preserve">evoluției cheltuielilor la bugetul de stat </w:t>
      </w:r>
      <w:r w:rsidR="00AF18D8" w:rsidRPr="00942843">
        <w:rPr>
          <w:rFonts w:ascii="Tahoma" w:hAnsi="Tahoma" w:cs="Tahoma"/>
          <w:sz w:val="24"/>
          <w:szCs w:val="24"/>
        </w:rPr>
        <w:t xml:space="preserve">și la bugetele locale </w:t>
      </w:r>
      <w:r w:rsidR="00B62D63" w:rsidRPr="00942843">
        <w:rPr>
          <w:rFonts w:ascii="Tahoma" w:hAnsi="Tahoma" w:cs="Tahoma"/>
          <w:sz w:val="24"/>
          <w:szCs w:val="24"/>
        </w:rPr>
        <w:t xml:space="preserve">unde gradul de </w:t>
      </w:r>
      <w:r w:rsidR="00AF18D8" w:rsidRPr="00942843">
        <w:rPr>
          <w:rFonts w:ascii="Tahoma" w:hAnsi="Tahoma" w:cs="Tahoma"/>
          <w:sz w:val="24"/>
          <w:szCs w:val="24"/>
        </w:rPr>
        <w:t>efectuare a</w:t>
      </w:r>
      <w:r w:rsidR="00B62D63" w:rsidRPr="00942843">
        <w:rPr>
          <w:rFonts w:ascii="Tahoma" w:hAnsi="Tahoma" w:cs="Tahoma"/>
          <w:sz w:val="24"/>
          <w:szCs w:val="24"/>
        </w:rPr>
        <w:t xml:space="preserve"> fost de </w:t>
      </w:r>
      <w:r w:rsidR="00AF18D8" w:rsidRPr="00942843">
        <w:rPr>
          <w:rFonts w:ascii="Tahoma" w:hAnsi="Tahoma" w:cs="Tahoma"/>
          <w:sz w:val="24"/>
          <w:szCs w:val="24"/>
        </w:rPr>
        <w:t>83,2</w:t>
      </w:r>
      <w:r w:rsidR="00B62D63" w:rsidRPr="00942843">
        <w:rPr>
          <w:rFonts w:ascii="Tahoma" w:hAnsi="Tahoma" w:cs="Tahoma"/>
          <w:sz w:val="24"/>
          <w:szCs w:val="24"/>
        </w:rPr>
        <w:t>%</w:t>
      </w:r>
      <w:r w:rsidR="00AF18D8" w:rsidRPr="00942843">
        <w:rPr>
          <w:rFonts w:ascii="Tahoma" w:hAnsi="Tahoma" w:cs="Tahoma"/>
          <w:sz w:val="24"/>
          <w:szCs w:val="24"/>
        </w:rPr>
        <w:t xml:space="preserve"> și respectiv 90,1%. </w:t>
      </w:r>
    </w:p>
    <w:p w:rsidR="00B10206" w:rsidRPr="00942843" w:rsidRDefault="00B10206" w:rsidP="00CF0789">
      <w:pPr>
        <w:spacing w:line="276" w:lineRule="auto"/>
        <w:jc w:val="both"/>
        <w:rPr>
          <w:rFonts w:ascii="Tahoma" w:hAnsi="Tahoma" w:cs="Tahoma"/>
          <w:sz w:val="24"/>
          <w:szCs w:val="24"/>
        </w:rPr>
      </w:pPr>
      <w:r w:rsidRPr="00942843">
        <w:rPr>
          <w:rFonts w:ascii="Tahoma" w:hAnsi="Tahoma" w:cs="Tahoma"/>
          <w:b/>
          <w:bCs/>
          <w:sz w:val="24"/>
          <w:szCs w:val="24"/>
        </w:rPr>
        <w:t>Cheltuielile cu dobânzile</w:t>
      </w:r>
      <w:r w:rsidRPr="00942843">
        <w:rPr>
          <w:rFonts w:ascii="Tahoma" w:hAnsi="Tahoma" w:cs="Tahoma"/>
          <w:sz w:val="24"/>
          <w:szCs w:val="24"/>
        </w:rPr>
        <w:t xml:space="preserve"> a</w:t>
      </w:r>
      <w:r w:rsidR="003C4703" w:rsidRPr="00942843">
        <w:rPr>
          <w:rFonts w:ascii="Tahoma" w:hAnsi="Tahoma" w:cs="Tahoma"/>
          <w:sz w:val="24"/>
          <w:szCs w:val="24"/>
        </w:rPr>
        <w:t xml:space="preserve">u fost în termeni nominali de </w:t>
      </w:r>
      <w:r w:rsidR="00AF18D8" w:rsidRPr="00942843">
        <w:rPr>
          <w:rFonts w:ascii="Tahoma" w:hAnsi="Tahoma" w:cs="Tahoma"/>
          <w:sz w:val="24"/>
          <w:szCs w:val="24"/>
        </w:rPr>
        <w:t>3,6</w:t>
      </w:r>
      <w:r w:rsidRPr="00942843">
        <w:rPr>
          <w:rFonts w:ascii="Tahoma" w:hAnsi="Tahoma" w:cs="Tahoma"/>
          <w:sz w:val="24"/>
          <w:szCs w:val="24"/>
        </w:rPr>
        <w:t xml:space="preserve"> m</w:t>
      </w:r>
      <w:r w:rsidR="00AD5154">
        <w:rPr>
          <w:rFonts w:ascii="Tahoma" w:hAnsi="Tahoma" w:cs="Tahoma"/>
          <w:sz w:val="24"/>
          <w:szCs w:val="24"/>
        </w:rPr>
        <w:t>ld</w:t>
      </w:r>
      <w:r w:rsidRPr="00942843">
        <w:rPr>
          <w:rFonts w:ascii="Tahoma" w:hAnsi="Tahoma" w:cs="Tahoma"/>
          <w:sz w:val="24"/>
          <w:szCs w:val="24"/>
        </w:rPr>
        <w:t xml:space="preserve"> lei (0,</w:t>
      </w:r>
      <w:r w:rsidR="00AF18D8" w:rsidRPr="00942843">
        <w:rPr>
          <w:rFonts w:ascii="Tahoma" w:hAnsi="Tahoma" w:cs="Tahoma"/>
          <w:sz w:val="24"/>
          <w:szCs w:val="24"/>
        </w:rPr>
        <w:t>3</w:t>
      </w:r>
      <w:r w:rsidRPr="00942843">
        <w:rPr>
          <w:rFonts w:ascii="Tahoma" w:hAnsi="Tahoma" w:cs="Tahoma"/>
          <w:sz w:val="24"/>
          <w:szCs w:val="24"/>
        </w:rPr>
        <w:t xml:space="preserve">% din PIB) și s-au efectuat în proporție de </w:t>
      </w:r>
      <w:r w:rsidR="00AF18D8" w:rsidRPr="00942843">
        <w:rPr>
          <w:rFonts w:ascii="Tahoma" w:hAnsi="Tahoma" w:cs="Tahoma"/>
          <w:sz w:val="24"/>
          <w:szCs w:val="24"/>
        </w:rPr>
        <w:t>90,1</w:t>
      </w:r>
      <w:r w:rsidRPr="00942843">
        <w:rPr>
          <w:rFonts w:ascii="Tahoma" w:hAnsi="Tahoma" w:cs="Tahoma"/>
          <w:sz w:val="24"/>
          <w:szCs w:val="24"/>
        </w:rPr>
        <w:t xml:space="preserve">% din programul trimestrial. </w:t>
      </w:r>
    </w:p>
    <w:p w:rsidR="00F12863" w:rsidRPr="00942843" w:rsidRDefault="00B10206" w:rsidP="00CF0789">
      <w:pPr>
        <w:spacing w:line="276" w:lineRule="auto"/>
        <w:jc w:val="both"/>
        <w:rPr>
          <w:rFonts w:ascii="Tahoma" w:hAnsi="Tahoma" w:cs="Tahoma"/>
          <w:bCs/>
          <w:color w:val="000000"/>
          <w:sz w:val="24"/>
          <w:szCs w:val="24"/>
        </w:rPr>
      </w:pPr>
      <w:r w:rsidRPr="00942843">
        <w:rPr>
          <w:rFonts w:ascii="Tahoma" w:hAnsi="Tahoma" w:cs="Tahoma"/>
          <w:b/>
          <w:bCs/>
          <w:color w:val="000000"/>
          <w:sz w:val="24"/>
          <w:szCs w:val="24"/>
        </w:rPr>
        <w:t>Cheltuielile cu subvențiile</w:t>
      </w:r>
      <w:r w:rsidR="003C4703" w:rsidRPr="00942843">
        <w:rPr>
          <w:rFonts w:ascii="Tahoma" w:hAnsi="Tahoma" w:cs="Tahoma"/>
          <w:bCs/>
          <w:color w:val="000000"/>
          <w:sz w:val="24"/>
          <w:szCs w:val="24"/>
        </w:rPr>
        <w:t xml:space="preserve"> au fost în sumă de </w:t>
      </w:r>
      <w:r w:rsidR="003C71AA" w:rsidRPr="00942843">
        <w:rPr>
          <w:rFonts w:ascii="Tahoma" w:hAnsi="Tahoma" w:cs="Tahoma"/>
          <w:bCs/>
          <w:color w:val="000000"/>
          <w:sz w:val="24"/>
          <w:szCs w:val="24"/>
        </w:rPr>
        <w:t>1,</w:t>
      </w:r>
      <w:r w:rsidR="00A3645B" w:rsidRPr="00942843">
        <w:rPr>
          <w:rFonts w:ascii="Tahoma" w:hAnsi="Tahoma" w:cs="Tahoma"/>
          <w:bCs/>
          <w:color w:val="000000"/>
          <w:sz w:val="24"/>
          <w:szCs w:val="24"/>
        </w:rPr>
        <w:t xml:space="preserve">7 </w:t>
      </w:r>
      <w:r w:rsidR="00AD5154">
        <w:rPr>
          <w:rFonts w:ascii="Tahoma" w:hAnsi="Tahoma" w:cs="Tahoma"/>
          <w:bCs/>
          <w:color w:val="000000"/>
          <w:sz w:val="24"/>
          <w:szCs w:val="24"/>
        </w:rPr>
        <w:t>mld</w:t>
      </w:r>
      <w:r w:rsidRPr="00942843">
        <w:rPr>
          <w:rFonts w:ascii="Tahoma" w:hAnsi="Tahoma" w:cs="Tahoma"/>
          <w:bCs/>
          <w:color w:val="000000"/>
          <w:sz w:val="24"/>
          <w:szCs w:val="24"/>
        </w:rPr>
        <w:t xml:space="preserve"> lei, au reprezentat 0,</w:t>
      </w:r>
      <w:r w:rsidR="00A3645B" w:rsidRPr="00942843">
        <w:rPr>
          <w:rFonts w:ascii="Tahoma" w:hAnsi="Tahoma" w:cs="Tahoma"/>
          <w:bCs/>
          <w:color w:val="000000"/>
          <w:sz w:val="24"/>
          <w:szCs w:val="24"/>
        </w:rPr>
        <w:t>2</w:t>
      </w:r>
      <w:r w:rsidRPr="00942843">
        <w:rPr>
          <w:rFonts w:ascii="Tahoma" w:hAnsi="Tahoma" w:cs="Tahoma"/>
          <w:bCs/>
          <w:color w:val="000000"/>
          <w:sz w:val="24"/>
          <w:szCs w:val="24"/>
        </w:rPr>
        <w:t xml:space="preserve">% din PIB și s-au efectuat în proporție de </w:t>
      </w:r>
      <w:r w:rsidR="00A3645B" w:rsidRPr="00942843">
        <w:rPr>
          <w:rFonts w:ascii="Tahoma" w:hAnsi="Tahoma" w:cs="Tahoma"/>
          <w:bCs/>
          <w:color w:val="000000"/>
          <w:sz w:val="24"/>
          <w:szCs w:val="24"/>
        </w:rPr>
        <w:t>98,8</w:t>
      </w:r>
      <w:r w:rsidRPr="00942843">
        <w:rPr>
          <w:rFonts w:ascii="Tahoma" w:hAnsi="Tahoma" w:cs="Tahoma"/>
          <w:bCs/>
          <w:color w:val="000000"/>
          <w:sz w:val="24"/>
          <w:szCs w:val="24"/>
        </w:rPr>
        <w:t>% comparativ cu programul trimestrial</w:t>
      </w:r>
      <w:r w:rsidR="003C71AA" w:rsidRPr="00942843">
        <w:rPr>
          <w:rFonts w:ascii="Tahoma" w:hAnsi="Tahoma" w:cs="Tahoma"/>
          <w:bCs/>
          <w:color w:val="000000"/>
          <w:sz w:val="24"/>
          <w:szCs w:val="24"/>
        </w:rPr>
        <w:t>.</w:t>
      </w:r>
      <w:r w:rsidR="00A3645B" w:rsidRPr="00942843">
        <w:rPr>
          <w:rFonts w:ascii="Tahoma" w:hAnsi="Tahoma" w:cs="Tahoma"/>
          <w:bCs/>
          <w:color w:val="000000"/>
          <w:sz w:val="24"/>
          <w:szCs w:val="24"/>
        </w:rPr>
        <w:t xml:space="preserve"> </w:t>
      </w:r>
      <w:r w:rsidR="00F12863" w:rsidRPr="00942843">
        <w:rPr>
          <w:rFonts w:ascii="Tahoma" w:hAnsi="Tahoma" w:cs="Tahoma"/>
          <w:bCs/>
          <w:color w:val="000000"/>
          <w:sz w:val="24"/>
          <w:szCs w:val="24"/>
        </w:rPr>
        <w:t>Nerealizarea pl</w:t>
      </w:r>
      <w:r w:rsidR="009F6CC3" w:rsidRPr="00942843">
        <w:rPr>
          <w:rFonts w:ascii="Tahoma" w:hAnsi="Tahoma" w:cs="Tahoma"/>
          <w:bCs/>
          <w:color w:val="000000"/>
          <w:sz w:val="24"/>
          <w:szCs w:val="24"/>
        </w:rPr>
        <w:t>ăț</w:t>
      </w:r>
      <w:r w:rsidR="00F12863" w:rsidRPr="00942843">
        <w:rPr>
          <w:rFonts w:ascii="Tahoma" w:hAnsi="Tahoma" w:cs="Tahoma"/>
          <w:bCs/>
          <w:color w:val="000000"/>
          <w:sz w:val="24"/>
          <w:szCs w:val="24"/>
        </w:rPr>
        <w:t>ilor programate pentru trimestru</w:t>
      </w:r>
      <w:r w:rsidR="003C71AA" w:rsidRPr="00942843">
        <w:rPr>
          <w:rFonts w:ascii="Tahoma" w:hAnsi="Tahoma" w:cs="Tahoma"/>
          <w:bCs/>
          <w:color w:val="000000"/>
          <w:sz w:val="24"/>
          <w:szCs w:val="24"/>
        </w:rPr>
        <w:t>l II</w:t>
      </w:r>
      <w:r w:rsidR="00A3645B" w:rsidRPr="00942843">
        <w:rPr>
          <w:rFonts w:ascii="Tahoma" w:hAnsi="Tahoma" w:cs="Tahoma"/>
          <w:bCs/>
          <w:color w:val="000000"/>
          <w:sz w:val="24"/>
          <w:szCs w:val="24"/>
        </w:rPr>
        <w:t>I</w:t>
      </w:r>
      <w:r w:rsidR="00F12863" w:rsidRPr="00942843">
        <w:rPr>
          <w:rFonts w:ascii="Tahoma" w:hAnsi="Tahoma" w:cs="Tahoma"/>
          <w:bCs/>
          <w:color w:val="000000"/>
          <w:sz w:val="24"/>
          <w:szCs w:val="24"/>
        </w:rPr>
        <w:t xml:space="preserve"> se datoreaz</w:t>
      </w:r>
      <w:r w:rsidR="009F6CC3" w:rsidRPr="00942843">
        <w:rPr>
          <w:rFonts w:ascii="Tahoma" w:hAnsi="Tahoma" w:cs="Tahoma"/>
          <w:bCs/>
          <w:color w:val="000000"/>
          <w:sz w:val="24"/>
          <w:szCs w:val="24"/>
        </w:rPr>
        <w:t>ă</w:t>
      </w:r>
      <w:r w:rsidR="00F12863" w:rsidRPr="00942843">
        <w:rPr>
          <w:rFonts w:ascii="Tahoma" w:hAnsi="Tahoma" w:cs="Tahoma"/>
          <w:bCs/>
          <w:color w:val="000000"/>
          <w:sz w:val="24"/>
          <w:szCs w:val="24"/>
        </w:rPr>
        <w:t xml:space="preserve">, </w:t>
      </w:r>
      <w:r w:rsidR="009F6CC3" w:rsidRPr="00942843">
        <w:rPr>
          <w:rFonts w:ascii="Tahoma" w:hAnsi="Tahoma" w:cs="Tahoma"/>
          <w:bCs/>
          <w:color w:val="000000"/>
          <w:sz w:val="24"/>
          <w:szCs w:val="24"/>
        </w:rPr>
        <w:t>î</w:t>
      </w:r>
      <w:r w:rsidR="00F12863" w:rsidRPr="00942843">
        <w:rPr>
          <w:rFonts w:ascii="Tahoma" w:hAnsi="Tahoma" w:cs="Tahoma"/>
          <w:bCs/>
          <w:color w:val="000000"/>
          <w:sz w:val="24"/>
          <w:szCs w:val="24"/>
        </w:rPr>
        <w:t>n principal, cheltuielilor cu subven</w:t>
      </w:r>
      <w:r w:rsidR="009F6CC3" w:rsidRPr="00942843">
        <w:rPr>
          <w:rFonts w:ascii="Tahoma" w:hAnsi="Tahoma" w:cs="Tahoma"/>
          <w:bCs/>
          <w:color w:val="000000"/>
          <w:sz w:val="24"/>
          <w:szCs w:val="24"/>
        </w:rPr>
        <w:t>ț</w:t>
      </w:r>
      <w:r w:rsidR="00F12863" w:rsidRPr="00942843">
        <w:rPr>
          <w:rFonts w:ascii="Tahoma" w:hAnsi="Tahoma" w:cs="Tahoma"/>
          <w:bCs/>
          <w:color w:val="000000"/>
          <w:sz w:val="24"/>
          <w:szCs w:val="24"/>
        </w:rPr>
        <w:t xml:space="preserve">iile </w:t>
      </w:r>
      <w:r w:rsidR="009F6CC3" w:rsidRPr="00942843">
        <w:rPr>
          <w:rFonts w:ascii="Tahoma" w:hAnsi="Tahoma" w:cs="Tahoma"/>
          <w:bCs/>
          <w:color w:val="000000"/>
          <w:sz w:val="24"/>
          <w:szCs w:val="24"/>
        </w:rPr>
        <w:t xml:space="preserve">de </w:t>
      </w:r>
      <w:r w:rsidR="00F12863" w:rsidRPr="00942843">
        <w:rPr>
          <w:rFonts w:ascii="Tahoma" w:hAnsi="Tahoma" w:cs="Tahoma"/>
          <w:bCs/>
          <w:color w:val="000000"/>
          <w:sz w:val="24"/>
          <w:szCs w:val="24"/>
        </w:rPr>
        <w:t xml:space="preserve">la bugetul de stat unde gradul de efectuare a fost de </w:t>
      </w:r>
      <w:r w:rsidR="00A3645B" w:rsidRPr="00942843">
        <w:rPr>
          <w:rFonts w:ascii="Tahoma" w:hAnsi="Tahoma" w:cs="Tahoma"/>
          <w:bCs/>
          <w:color w:val="000000"/>
          <w:sz w:val="24"/>
          <w:szCs w:val="24"/>
        </w:rPr>
        <w:t>65</w:t>
      </w:r>
      <w:r w:rsidR="003C71AA" w:rsidRPr="00942843">
        <w:rPr>
          <w:rFonts w:ascii="Tahoma" w:hAnsi="Tahoma" w:cs="Tahoma"/>
          <w:bCs/>
          <w:color w:val="000000"/>
          <w:sz w:val="24"/>
          <w:szCs w:val="24"/>
        </w:rPr>
        <w:t>,4</w:t>
      </w:r>
      <w:r w:rsidR="00F12863" w:rsidRPr="00942843">
        <w:rPr>
          <w:rFonts w:ascii="Tahoma" w:hAnsi="Tahoma" w:cs="Tahoma"/>
          <w:bCs/>
          <w:color w:val="000000"/>
          <w:sz w:val="24"/>
          <w:szCs w:val="24"/>
        </w:rPr>
        <w:t>%</w:t>
      </w:r>
      <w:r w:rsidR="003C71AA" w:rsidRPr="00942843">
        <w:rPr>
          <w:rFonts w:ascii="Tahoma" w:hAnsi="Tahoma" w:cs="Tahoma"/>
          <w:bCs/>
          <w:color w:val="000000"/>
          <w:sz w:val="24"/>
          <w:szCs w:val="24"/>
        </w:rPr>
        <w:t>.</w:t>
      </w:r>
    </w:p>
    <w:p w:rsidR="00A3645B" w:rsidRPr="00942843" w:rsidRDefault="00B10206" w:rsidP="00CF0789">
      <w:pPr>
        <w:spacing w:before="240" w:after="240" w:line="276" w:lineRule="auto"/>
        <w:jc w:val="both"/>
        <w:rPr>
          <w:rFonts w:ascii="Tahoma" w:hAnsi="Tahoma" w:cs="Tahoma"/>
          <w:sz w:val="24"/>
          <w:szCs w:val="24"/>
        </w:rPr>
      </w:pPr>
      <w:r w:rsidRPr="00942843">
        <w:rPr>
          <w:rFonts w:ascii="Tahoma" w:hAnsi="Tahoma" w:cs="Tahoma"/>
          <w:b/>
          <w:bCs/>
          <w:sz w:val="24"/>
          <w:szCs w:val="24"/>
        </w:rPr>
        <w:lastRenderedPageBreak/>
        <w:t>Cheltuielile cu asistența socială</w:t>
      </w:r>
      <w:r w:rsidR="003C4703" w:rsidRPr="00942843">
        <w:rPr>
          <w:rFonts w:ascii="Tahoma" w:hAnsi="Tahoma" w:cs="Tahoma"/>
          <w:sz w:val="24"/>
          <w:szCs w:val="24"/>
        </w:rPr>
        <w:t xml:space="preserve"> au fost în sumă de </w:t>
      </w:r>
      <w:r w:rsidR="00A3645B" w:rsidRPr="00942843">
        <w:rPr>
          <w:rFonts w:ascii="Tahoma" w:hAnsi="Tahoma" w:cs="Tahoma"/>
          <w:sz w:val="24"/>
          <w:szCs w:val="24"/>
        </w:rPr>
        <w:t>34,8</w:t>
      </w:r>
      <w:r w:rsidR="003C4703" w:rsidRPr="00942843">
        <w:rPr>
          <w:rFonts w:ascii="Tahoma" w:hAnsi="Tahoma" w:cs="Tahoma"/>
          <w:sz w:val="24"/>
          <w:szCs w:val="24"/>
        </w:rPr>
        <w:t xml:space="preserve"> mld</w:t>
      </w:r>
      <w:r w:rsidRPr="00942843">
        <w:rPr>
          <w:rFonts w:ascii="Tahoma" w:hAnsi="Tahoma" w:cs="Tahoma"/>
          <w:sz w:val="24"/>
          <w:szCs w:val="24"/>
        </w:rPr>
        <w:t xml:space="preserve"> lei, au reprezentat 3,</w:t>
      </w:r>
      <w:r w:rsidR="00A3645B" w:rsidRPr="00942843">
        <w:rPr>
          <w:rFonts w:ascii="Tahoma" w:hAnsi="Tahoma" w:cs="Tahoma"/>
          <w:sz w:val="24"/>
          <w:szCs w:val="24"/>
        </w:rPr>
        <w:t>3</w:t>
      </w:r>
      <w:r w:rsidRPr="00942843">
        <w:rPr>
          <w:rFonts w:ascii="Tahoma" w:hAnsi="Tahoma" w:cs="Tahoma"/>
          <w:sz w:val="24"/>
          <w:szCs w:val="24"/>
        </w:rPr>
        <w:t xml:space="preserve">% din PIB </w:t>
      </w:r>
      <w:r w:rsidR="00F32228" w:rsidRPr="00942843">
        <w:rPr>
          <w:rFonts w:ascii="Tahoma" w:hAnsi="Tahoma" w:cs="Tahoma"/>
          <w:sz w:val="24"/>
          <w:szCs w:val="24"/>
        </w:rPr>
        <w:t>și</w:t>
      </w:r>
      <w:r w:rsidRPr="00942843">
        <w:rPr>
          <w:rFonts w:ascii="Tahoma" w:hAnsi="Tahoma" w:cs="Tahoma"/>
          <w:sz w:val="24"/>
          <w:szCs w:val="24"/>
        </w:rPr>
        <w:t xml:space="preserve"> s-au efectuat în proporție de </w:t>
      </w:r>
      <w:r w:rsidR="00A3645B" w:rsidRPr="00942843">
        <w:rPr>
          <w:rFonts w:ascii="Tahoma" w:hAnsi="Tahoma" w:cs="Tahoma"/>
          <w:sz w:val="24"/>
          <w:szCs w:val="24"/>
        </w:rPr>
        <w:t>97,1</w:t>
      </w:r>
      <w:r w:rsidRPr="00942843">
        <w:rPr>
          <w:rFonts w:ascii="Tahoma" w:hAnsi="Tahoma" w:cs="Tahoma"/>
          <w:sz w:val="24"/>
          <w:szCs w:val="24"/>
        </w:rPr>
        <w:t>% față de programul trimestrial.</w:t>
      </w:r>
      <w:r w:rsidR="006737B0" w:rsidRPr="00942843">
        <w:rPr>
          <w:rFonts w:ascii="Tahoma" w:hAnsi="Tahoma" w:cs="Tahoma"/>
          <w:sz w:val="24"/>
          <w:szCs w:val="24"/>
        </w:rPr>
        <w:t xml:space="preserve"> Evoluția cheltuielilor cu asistența socială a fost influențată, în principal, </w:t>
      </w:r>
      <w:r w:rsidR="00A3645B" w:rsidRPr="00942843">
        <w:rPr>
          <w:rFonts w:ascii="Tahoma" w:hAnsi="Tahoma" w:cs="Tahoma"/>
          <w:sz w:val="24"/>
          <w:szCs w:val="24"/>
        </w:rPr>
        <w:t>de majorarea punctului de pensie de la 1 septembrie 2019, precum și de majorarea punctului de pensie de la 1 septembrie 2020 cu 177 lei, respectiv de la 1.265 lei la 1.442 lei. De asemenea, se reflectă și majorarea de la 1 septembrie a.c. a nivelului îndemnizației sociale pentru pensionari garantată de la 704 lei la 800 lei, precum și majorările alocațiilor de stat pentru copii începând cu 1 ianuarie 2020 și cea de la 1 august 2020 care reprezintă o creștere a alocației cu aprox. 20% mai mult decât cea plătită în luna iulie 2020.</w:t>
      </w:r>
    </w:p>
    <w:p w:rsidR="003C71AA" w:rsidRPr="00942843" w:rsidRDefault="003C71AA" w:rsidP="00CF0789">
      <w:pPr>
        <w:spacing w:before="240" w:after="240" w:line="276" w:lineRule="auto"/>
        <w:jc w:val="both"/>
        <w:rPr>
          <w:rFonts w:ascii="Tahoma" w:hAnsi="Tahoma" w:cs="Tahoma"/>
          <w:bCs/>
          <w:sz w:val="24"/>
          <w:szCs w:val="24"/>
        </w:rPr>
      </w:pPr>
      <w:r w:rsidRPr="00942843">
        <w:rPr>
          <w:rFonts w:ascii="Tahoma" w:hAnsi="Tahoma" w:cs="Tahoma"/>
          <w:bCs/>
          <w:sz w:val="24"/>
          <w:szCs w:val="24"/>
        </w:rPr>
        <w:t>Totodată,</w:t>
      </w:r>
      <w:r w:rsidR="00ED7A16" w:rsidRPr="00942843">
        <w:rPr>
          <w:rFonts w:ascii="Tahoma" w:hAnsi="Tahoma" w:cs="Tahoma"/>
          <w:bCs/>
          <w:sz w:val="24"/>
          <w:szCs w:val="24"/>
        </w:rPr>
        <w:t xml:space="preserve"> în perioada analizată</w:t>
      </w:r>
      <w:r w:rsidRPr="00942843">
        <w:rPr>
          <w:rFonts w:ascii="Tahoma" w:hAnsi="Tahoma" w:cs="Tahoma"/>
          <w:bCs/>
          <w:sz w:val="24"/>
          <w:szCs w:val="24"/>
        </w:rPr>
        <w:t xml:space="preserve"> s-au realizat plăți determinate de măsurile care au fost luate cu caracter excepțional, în domeniul social și economic, pentru diminuarea efectelor negative generate de pandemia de COVID 19, cum ar fi plata pentru indemnizații acordate pe perioada suspendării temporare a contractului individual de muncă din inițiativa angajatorului în valoare de </w:t>
      </w:r>
      <w:r w:rsidR="00ED7A16" w:rsidRPr="00942843">
        <w:rPr>
          <w:rFonts w:ascii="Tahoma" w:hAnsi="Tahoma" w:cs="Tahoma"/>
          <w:bCs/>
          <w:sz w:val="24"/>
          <w:szCs w:val="24"/>
        </w:rPr>
        <w:t xml:space="preserve">0,4 </w:t>
      </w:r>
      <w:r w:rsidR="00632712">
        <w:rPr>
          <w:rFonts w:ascii="Tahoma" w:hAnsi="Tahoma" w:cs="Tahoma"/>
          <w:bCs/>
          <w:sz w:val="24"/>
          <w:szCs w:val="24"/>
        </w:rPr>
        <w:t>mld</w:t>
      </w:r>
      <w:r w:rsidRPr="00942843">
        <w:rPr>
          <w:rFonts w:ascii="Tahoma" w:hAnsi="Tahoma" w:cs="Tahoma"/>
          <w:bCs/>
          <w:sz w:val="24"/>
          <w:szCs w:val="24"/>
        </w:rPr>
        <w:t xml:space="preserve"> lei </w:t>
      </w:r>
      <w:r w:rsidR="00ED7A16" w:rsidRPr="00942843">
        <w:rPr>
          <w:rFonts w:ascii="Tahoma" w:hAnsi="Tahoma" w:cs="Tahoma"/>
          <w:bCs/>
          <w:sz w:val="24"/>
          <w:szCs w:val="24"/>
        </w:rPr>
        <w:t xml:space="preserve">, </w:t>
      </w:r>
      <w:r w:rsidRPr="00942843">
        <w:rPr>
          <w:rFonts w:ascii="Tahoma" w:hAnsi="Tahoma" w:cs="Tahoma"/>
          <w:bCs/>
          <w:sz w:val="24"/>
          <w:szCs w:val="24"/>
        </w:rPr>
        <w:t xml:space="preserve">pentru indemnizații acordate pentru alți profesioniștii care întrerup activitatea ca urmare a efectelor SARS-CoV-2 în valoare de </w:t>
      </w:r>
      <w:r w:rsidR="001B6FA2" w:rsidRPr="00942843">
        <w:rPr>
          <w:rFonts w:ascii="Tahoma" w:hAnsi="Tahoma" w:cs="Tahoma"/>
          <w:bCs/>
          <w:sz w:val="24"/>
          <w:szCs w:val="24"/>
        </w:rPr>
        <w:t>0,</w:t>
      </w:r>
      <w:r w:rsidR="00ED7A16" w:rsidRPr="00942843">
        <w:rPr>
          <w:rFonts w:ascii="Tahoma" w:hAnsi="Tahoma" w:cs="Tahoma"/>
          <w:bCs/>
          <w:sz w:val="24"/>
          <w:szCs w:val="24"/>
        </w:rPr>
        <w:t xml:space="preserve">01 </w:t>
      </w:r>
      <w:r w:rsidR="001B6FA2" w:rsidRPr="00942843">
        <w:rPr>
          <w:rFonts w:ascii="Tahoma" w:hAnsi="Tahoma" w:cs="Tahoma"/>
          <w:bCs/>
          <w:sz w:val="24"/>
          <w:szCs w:val="24"/>
        </w:rPr>
        <w:t>m</w:t>
      </w:r>
      <w:r w:rsidR="00632712">
        <w:rPr>
          <w:rFonts w:ascii="Tahoma" w:hAnsi="Tahoma" w:cs="Tahoma"/>
          <w:bCs/>
          <w:sz w:val="24"/>
          <w:szCs w:val="24"/>
        </w:rPr>
        <w:t>ld</w:t>
      </w:r>
      <w:r w:rsidRPr="00942843">
        <w:rPr>
          <w:rFonts w:ascii="Tahoma" w:hAnsi="Tahoma" w:cs="Tahoma"/>
          <w:bCs/>
          <w:sz w:val="24"/>
          <w:szCs w:val="24"/>
        </w:rPr>
        <w:t xml:space="preserve"> lei</w:t>
      </w:r>
      <w:r w:rsidR="00ED7A16" w:rsidRPr="00942843">
        <w:rPr>
          <w:rFonts w:ascii="Tahoma" w:hAnsi="Tahoma" w:cs="Tahoma"/>
          <w:bCs/>
          <w:sz w:val="24"/>
          <w:szCs w:val="24"/>
        </w:rPr>
        <w:t xml:space="preserve"> precum și pentru sume acordate angajatorilor pentru decontarea unei părți a salariului brut al </w:t>
      </w:r>
      <w:proofErr w:type="spellStart"/>
      <w:r w:rsidR="00ED7A16" w:rsidRPr="00942843">
        <w:rPr>
          <w:rFonts w:ascii="Tahoma" w:hAnsi="Tahoma" w:cs="Tahoma"/>
          <w:bCs/>
          <w:sz w:val="24"/>
          <w:szCs w:val="24"/>
        </w:rPr>
        <w:t>angajatilor</w:t>
      </w:r>
      <w:proofErr w:type="spellEnd"/>
      <w:r w:rsidR="00ED7A16" w:rsidRPr="00942843">
        <w:rPr>
          <w:rFonts w:ascii="Tahoma" w:hAnsi="Tahoma" w:cs="Tahoma"/>
          <w:bCs/>
          <w:sz w:val="24"/>
          <w:szCs w:val="24"/>
        </w:rPr>
        <w:t xml:space="preserve"> </w:t>
      </w:r>
      <w:proofErr w:type="spellStart"/>
      <w:r w:rsidR="00ED7A16" w:rsidRPr="00942843">
        <w:rPr>
          <w:rFonts w:ascii="Tahoma" w:hAnsi="Tahoma" w:cs="Tahoma"/>
          <w:bCs/>
          <w:sz w:val="24"/>
          <w:szCs w:val="24"/>
        </w:rPr>
        <w:t>menținuti</w:t>
      </w:r>
      <w:proofErr w:type="spellEnd"/>
      <w:r w:rsidR="00ED7A16" w:rsidRPr="00942843">
        <w:rPr>
          <w:rFonts w:ascii="Tahoma" w:hAnsi="Tahoma" w:cs="Tahoma"/>
          <w:bCs/>
          <w:sz w:val="24"/>
          <w:szCs w:val="24"/>
        </w:rPr>
        <w:t xml:space="preserve"> în muncă</w:t>
      </w:r>
      <w:r w:rsidR="00FD246F">
        <w:rPr>
          <w:rFonts w:ascii="Tahoma" w:hAnsi="Tahoma" w:cs="Tahoma"/>
          <w:bCs/>
          <w:sz w:val="24"/>
          <w:szCs w:val="24"/>
        </w:rPr>
        <w:t xml:space="preserve"> </w:t>
      </w:r>
      <w:r w:rsidR="00ED7A16" w:rsidRPr="00942843">
        <w:rPr>
          <w:rFonts w:ascii="Tahoma" w:hAnsi="Tahoma" w:cs="Tahoma"/>
          <w:bCs/>
          <w:sz w:val="24"/>
          <w:szCs w:val="24"/>
        </w:rPr>
        <w:t xml:space="preserve">în valoare de 1,7 </w:t>
      </w:r>
      <w:r w:rsidR="00632712">
        <w:rPr>
          <w:rFonts w:ascii="Tahoma" w:hAnsi="Tahoma" w:cs="Tahoma"/>
          <w:bCs/>
          <w:sz w:val="24"/>
          <w:szCs w:val="24"/>
        </w:rPr>
        <w:t>mld</w:t>
      </w:r>
      <w:r w:rsidR="00ED7A16" w:rsidRPr="00942843">
        <w:rPr>
          <w:rFonts w:ascii="Tahoma" w:hAnsi="Tahoma" w:cs="Tahoma"/>
          <w:bCs/>
          <w:sz w:val="24"/>
          <w:szCs w:val="24"/>
        </w:rPr>
        <w:t xml:space="preserve"> lei.</w:t>
      </w:r>
      <w:r w:rsidRPr="00942843">
        <w:rPr>
          <w:rFonts w:ascii="Tahoma" w:hAnsi="Tahoma" w:cs="Tahoma"/>
          <w:bCs/>
          <w:sz w:val="24"/>
          <w:szCs w:val="24"/>
        </w:rPr>
        <w:t xml:space="preserve"> De asemenea, </w:t>
      </w:r>
      <w:r w:rsidR="00AD5154">
        <w:rPr>
          <w:rFonts w:ascii="Tahoma" w:hAnsi="Tahoma" w:cs="Tahoma"/>
          <w:bCs/>
          <w:sz w:val="24"/>
          <w:szCs w:val="24"/>
        </w:rPr>
        <w:t>s-au decontat</w:t>
      </w:r>
      <w:r w:rsidRPr="00942843">
        <w:rPr>
          <w:rFonts w:ascii="Tahoma" w:hAnsi="Tahoma" w:cs="Tahoma"/>
          <w:bCs/>
          <w:sz w:val="24"/>
          <w:szCs w:val="24"/>
        </w:rPr>
        <w:t xml:space="preserve"> </w:t>
      </w:r>
      <w:proofErr w:type="spellStart"/>
      <w:r w:rsidR="00AD5154">
        <w:rPr>
          <w:rFonts w:ascii="Tahoma" w:hAnsi="Tahoma" w:cs="Tahoma"/>
          <w:bCs/>
          <w:sz w:val="24"/>
          <w:szCs w:val="24"/>
        </w:rPr>
        <w:t>indemnizațiil</w:t>
      </w:r>
      <w:proofErr w:type="spellEnd"/>
      <w:r w:rsidR="00AD5154">
        <w:rPr>
          <w:rFonts w:ascii="Tahoma" w:hAnsi="Tahoma" w:cs="Tahoma"/>
          <w:bCs/>
          <w:sz w:val="24"/>
          <w:szCs w:val="24"/>
        </w:rPr>
        <w:t xml:space="preserve"> </w:t>
      </w:r>
      <w:r w:rsidRPr="00942843">
        <w:rPr>
          <w:rFonts w:ascii="Tahoma" w:hAnsi="Tahoma" w:cs="Tahoma"/>
          <w:bCs/>
          <w:sz w:val="24"/>
          <w:szCs w:val="24"/>
        </w:rPr>
        <w:t xml:space="preserve">de asigurări sociale de sănătate pentru concedii medicale în </w:t>
      </w:r>
      <w:r w:rsidR="00AD5154">
        <w:rPr>
          <w:rFonts w:ascii="Tahoma" w:hAnsi="Tahoma" w:cs="Tahoma"/>
          <w:bCs/>
          <w:sz w:val="24"/>
          <w:szCs w:val="24"/>
        </w:rPr>
        <w:t xml:space="preserve">valoare </w:t>
      </w:r>
      <w:r w:rsidR="00632712">
        <w:rPr>
          <w:rFonts w:ascii="Tahoma" w:hAnsi="Tahoma" w:cs="Tahoma"/>
          <w:bCs/>
          <w:sz w:val="24"/>
          <w:szCs w:val="24"/>
        </w:rPr>
        <w:t>de 0,8 mld</w:t>
      </w:r>
      <w:r w:rsidR="00ED7A16" w:rsidRPr="00942843">
        <w:rPr>
          <w:rFonts w:ascii="Tahoma" w:hAnsi="Tahoma" w:cs="Tahoma"/>
          <w:bCs/>
          <w:sz w:val="24"/>
          <w:szCs w:val="24"/>
        </w:rPr>
        <w:t xml:space="preserve"> lei.</w:t>
      </w:r>
      <w:r w:rsidRPr="00942843">
        <w:rPr>
          <w:rFonts w:ascii="Tahoma" w:hAnsi="Tahoma" w:cs="Tahoma"/>
          <w:bCs/>
          <w:sz w:val="24"/>
          <w:szCs w:val="24"/>
        </w:rPr>
        <w:t xml:space="preserve"> </w:t>
      </w:r>
    </w:p>
    <w:p w:rsidR="006737B0" w:rsidRPr="00942843" w:rsidRDefault="00894E4D" w:rsidP="00CF0789">
      <w:pPr>
        <w:spacing w:before="240" w:line="276" w:lineRule="auto"/>
        <w:jc w:val="both"/>
        <w:rPr>
          <w:rFonts w:ascii="Tahoma" w:hAnsi="Tahoma" w:cs="Tahoma"/>
          <w:bCs/>
          <w:sz w:val="24"/>
          <w:szCs w:val="24"/>
        </w:rPr>
      </w:pPr>
      <w:r w:rsidRPr="00942843">
        <w:rPr>
          <w:rFonts w:ascii="Tahoma" w:hAnsi="Tahoma" w:cs="Tahoma"/>
          <w:b/>
          <w:bCs/>
          <w:sz w:val="24"/>
          <w:szCs w:val="24"/>
        </w:rPr>
        <w:t>Cheltuielile aferente titlului „</w:t>
      </w:r>
      <w:r w:rsidR="006737B0" w:rsidRPr="00942843">
        <w:rPr>
          <w:rFonts w:ascii="Tahoma" w:hAnsi="Tahoma" w:cs="Tahoma"/>
          <w:b/>
          <w:bCs/>
          <w:sz w:val="24"/>
          <w:szCs w:val="24"/>
        </w:rPr>
        <w:t>Alte cheltuieli</w:t>
      </w:r>
      <w:r w:rsidRPr="00942843">
        <w:rPr>
          <w:rFonts w:ascii="Tahoma" w:hAnsi="Tahoma" w:cs="Tahoma"/>
          <w:b/>
          <w:bCs/>
          <w:sz w:val="24"/>
          <w:szCs w:val="24"/>
        </w:rPr>
        <w:t xml:space="preserve">” </w:t>
      </w:r>
      <w:r w:rsidR="006737B0" w:rsidRPr="00942843">
        <w:rPr>
          <w:rFonts w:ascii="Tahoma" w:hAnsi="Tahoma" w:cs="Tahoma"/>
          <w:bCs/>
          <w:sz w:val="24"/>
          <w:szCs w:val="24"/>
        </w:rPr>
        <w:t>reprezentând, în principal, sume aferente titlurilor de plată emise de Autoritatea Națională pentru Restituirea Proprietăților, conform legislației în vigoare, burse pentru elevi și studenți, alte despăgubiri civile</w:t>
      </w:r>
      <w:r w:rsidRPr="00942843">
        <w:rPr>
          <w:rFonts w:ascii="Tahoma" w:hAnsi="Tahoma" w:cs="Tahoma"/>
          <w:sz w:val="24"/>
          <w:szCs w:val="24"/>
        </w:rPr>
        <w:t xml:space="preserve"> </w:t>
      </w:r>
      <w:r w:rsidRPr="00942843">
        <w:rPr>
          <w:rFonts w:ascii="Tahoma" w:hAnsi="Tahoma" w:cs="Tahoma"/>
          <w:bCs/>
          <w:sz w:val="24"/>
          <w:szCs w:val="24"/>
        </w:rPr>
        <w:t>precum și îndemnizații acordate părinților pentru supravegherea copiilor pe perioada închiderii temporare a unităților de învățământ (51,6 milioane lei)</w:t>
      </w:r>
      <w:r w:rsidRPr="00942843">
        <w:rPr>
          <w:rFonts w:ascii="Tahoma" w:hAnsi="Tahoma" w:cs="Tahoma"/>
          <w:b/>
          <w:bCs/>
          <w:sz w:val="24"/>
          <w:szCs w:val="24"/>
        </w:rPr>
        <w:t xml:space="preserve"> </w:t>
      </w:r>
      <w:r w:rsidR="00AD5154">
        <w:rPr>
          <w:rFonts w:ascii="Tahoma" w:hAnsi="Tahoma" w:cs="Tahoma"/>
          <w:bCs/>
          <w:sz w:val="24"/>
          <w:szCs w:val="24"/>
        </w:rPr>
        <w:t>au fost în sumă de 2,6 mld</w:t>
      </w:r>
      <w:r w:rsidRPr="00942843">
        <w:rPr>
          <w:rFonts w:ascii="Tahoma" w:hAnsi="Tahoma" w:cs="Tahoma"/>
          <w:bCs/>
          <w:sz w:val="24"/>
          <w:szCs w:val="24"/>
        </w:rPr>
        <w:t xml:space="preserve"> lei și sau efectuat în proporție de 76,0% comparativ cu programul stabilit pentru perioada analizată. De asemenea, în luna septembrie s-au plătit schemele de ajutor de stat acordate producătorilor agricoli care au fost afectați de secetă în valoare de 842,74 milioane lei</w:t>
      </w:r>
      <w:r w:rsidR="006737B0" w:rsidRPr="00942843">
        <w:rPr>
          <w:rFonts w:ascii="Tahoma" w:hAnsi="Tahoma" w:cs="Tahoma"/>
          <w:bCs/>
          <w:sz w:val="24"/>
          <w:szCs w:val="24"/>
        </w:rPr>
        <w:t>.</w:t>
      </w:r>
    </w:p>
    <w:p w:rsidR="00942AC8" w:rsidRPr="00942843" w:rsidRDefault="00942AC8" w:rsidP="00CF0789">
      <w:pPr>
        <w:spacing w:before="240" w:line="276" w:lineRule="auto"/>
        <w:jc w:val="both"/>
        <w:rPr>
          <w:rFonts w:ascii="Tahoma" w:hAnsi="Tahoma" w:cs="Tahoma"/>
          <w:bCs/>
          <w:sz w:val="24"/>
          <w:szCs w:val="24"/>
        </w:rPr>
      </w:pPr>
      <w:r w:rsidRPr="00942843">
        <w:rPr>
          <w:rFonts w:ascii="Tahoma" w:hAnsi="Tahoma" w:cs="Tahoma"/>
          <w:bCs/>
          <w:sz w:val="24"/>
          <w:szCs w:val="24"/>
        </w:rPr>
        <w:t xml:space="preserve">Neefectuarea cheltuielilor programate la nivelul programului trimestrial s-a datorat evoluției acestora la bugetul </w:t>
      </w:r>
      <w:r w:rsidR="00894E4D" w:rsidRPr="00942843">
        <w:rPr>
          <w:rFonts w:ascii="Tahoma" w:hAnsi="Tahoma" w:cs="Tahoma"/>
          <w:bCs/>
          <w:sz w:val="24"/>
          <w:szCs w:val="24"/>
        </w:rPr>
        <w:t>de stat</w:t>
      </w:r>
      <w:r w:rsidRPr="00942843">
        <w:rPr>
          <w:rFonts w:ascii="Tahoma" w:hAnsi="Tahoma" w:cs="Tahoma"/>
          <w:bCs/>
          <w:sz w:val="24"/>
          <w:szCs w:val="24"/>
        </w:rPr>
        <w:t xml:space="preserve"> unde plățile s-au efectuat la un nivel de </w:t>
      </w:r>
      <w:r w:rsidR="00894E4D" w:rsidRPr="00942843">
        <w:rPr>
          <w:rFonts w:ascii="Tahoma" w:hAnsi="Tahoma" w:cs="Tahoma"/>
          <w:bCs/>
          <w:sz w:val="24"/>
          <w:szCs w:val="24"/>
        </w:rPr>
        <w:t>71,2</w:t>
      </w:r>
      <w:r w:rsidRPr="00942843">
        <w:rPr>
          <w:rFonts w:ascii="Tahoma" w:hAnsi="Tahoma" w:cs="Tahoma"/>
          <w:bCs/>
          <w:sz w:val="24"/>
          <w:szCs w:val="24"/>
        </w:rPr>
        <w:t>% din totalul programat în perioada analizată.</w:t>
      </w:r>
    </w:p>
    <w:p w:rsidR="00942AC8" w:rsidRPr="00942843" w:rsidRDefault="00B10206" w:rsidP="00CF0789">
      <w:pPr>
        <w:spacing w:before="240" w:line="276" w:lineRule="auto"/>
        <w:jc w:val="both"/>
        <w:rPr>
          <w:rFonts w:ascii="Tahoma" w:hAnsi="Tahoma" w:cs="Tahoma"/>
          <w:sz w:val="24"/>
          <w:szCs w:val="24"/>
        </w:rPr>
      </w:pPr>
      <w:r w:rsidRPr="00942843">
        <w:rPr>
          <w:rFonts w:ascii="Tahoma" w:hAnsi="Tahoma" w:cs="Tahoma"/>
          <w:b/>
          <w:bCs/>
          <w:sz w:val="24"/>
          <w:szCs w:val="24"/>
        </w:rPr>
        <w:t xml:space="preserve">Plățile pentru proiectele cu finanțare din fonduri UE </w:t>
      </w:r>
      <w:r w:rsidRPr="00942843">
        <w:rPr>
          <w:rFonts w:ascii="Tahoma" w:hAnsi="Tahoma" w:cs="Tahoma"/>
          <w:sz w:val="24"/>
          <w:szCs w:val="24"/>
        </w:rPr>
        <w:t>au reprezentat 0,</w:t>
      </w:r>
      <w:r w:rsidR="00387C64" w:rsidRPr="00942843">
        <w:rPr>
          <w:rFonts w:ascii="Tahoma" w:hAnsi="Tahoma" w:cs="Tahoma"/>
          <w:sz w:val="24"/>
          <w:szCs w:val="24"/>
        </w:rPr>
        <w:t>6</w:t>
      </w:r>
      <w:r w:rsidRPr="00942843">
        <w:rPr>
          <w:rFonts w:ascii="Tahoma" w:hAnsi="Tahoma" w:cs="Tahoma"/>
          <w:sz w:val="24"/>
          <w:szCs w:val="24"/>
        </w:rPr>
        <w:t xml:space="preserve">% din PIB </w:t>
      </w:r>
      <w:r w:rsidR="00F32228" w:rsidRPr="00942843">
        <w:rPr>
          <w:rFonts w:ascii="Tahoma" w:hAnsi="Tahoma" w:cs="Tahoma"/>
          <w:sz w:val="24"/>
          <w:szCs w:val="24"/>
        </w:rPr>
        <w:t>și</w:t>
      </w:r>
      <w:r w:rsidRPr="00942843">
        <w:rPr>
          <w:rFonts w:ascii="Tahoma" w:hAnsi="Tahoma" w:cs="Tahoma"/>
          <w:sz w:val="24"/>
          <w:szCs w:val="24"/>
        </w:rPr>
        <w:t xml:space="preserve"> s-au efectuat în proporție de </w:t>
      </w:r>
      <w:r w:rsidR="00387C64" w:rsidRPr="00942843">
        <w:rPr>
          <w:rFonts w:ascii="Tahoma" w:hAnsi="Tahoma" w:cs="Tahoma"/>
          <w:sz w:val="24"/>
          <w:szCs w:val="24"/>
        </w:rPr>
        <w:t>63,0</w:t>
      </w:r>
      <w:r w:rsidRPr="00942843">
        <w:rPr>
          <w:rFonts w:ascii="Tahoma" w:hAnsi="Tahoma" w:cs="Tahoma"/>
          <w:sz w:val="24"/>
          <w:szCs w:val="24"/>
        </w:rPr>
        <w:t xml:space="preserve">%, majoritatea plăților realizate fiind pentru proiectele finanțate din cadrul bugetar 2014-2020. </w:t>
      </w:r>
    </w:p>
    <w:p w:rsidR="00942AC8" w:rsidRPr="00942843" w:rsidRDefault="00B10206" w:rsidP="00CF0789">
      <w:pPr>
        <w:spacing w:before="240" w:line="276" w:lineRule="auto"/>
        <w:jc w:val="both"/>
        <w:rPr>
          <w:rFonts w:ascii="Tahoma" w:hAnsi="Tahoma" w:cs="Tahoma"/>
          <w:sz w:val="24"/>
          <w:szCs w:val="24"/>
        </w:rPr>
      </w:pPr>
      <w:r w:rsidRPr="00942843">
        <w:rPr>
          <w:rFonts w:ascii="Tahoma" w:hAnsi="Tahoma" w:cs="Tahoma"/>
          <w:b/>
          <w:sz w:val="24"/>
          <w:szCs w:val="24"/>
        </w:rPr>
        <w:t xml:space="preserve">Cheltuielile de capital </w:t>
      </w:r>
      <w:r w:rsidRPr="00942843">
        <w:rPr>
          <w:rFonts w:ascii="Tahoma" w:hAnsi="Tahoma" w:cs="Tahoma"/>
          <w:sz w:val="24"/>
          <w:szCs w:val="24"/>
        </w:rPr>
        <w:t>au reprezentat 0,</w:t>
      </w:r>
      <w:r w:rsidR="00387C64" w:rsidRPr="00942843">
        <w:rPr>
          <w:rFonts w:ascii="Tahoma" w:hAnsi="Tahoma" w:cs="Tahoma"/>
          <w:sz w:val="24"/>
          <w:szCs w:val="24"/>
        </w:rPr>
        <w:t>8</w:t>
      </w:r>
      <w:r w:rsidRPr="00942843">
        <w:rPr>
          <w:rFonts w:ascii="Tahoma" w:hAnsi="Tahoma" w:cs="Tahoma"/>
          <w:sz w:val="24"/>
          <w:szCs w:val="24"/>
        </w:rPr>
        <w:t xml:space="preserve">% din PIB și s-au efectuat în proporție de </w:t>
      </w:r>
      <w:r w:rsidR="00387C64" w:rsidRPr="00942843">
        <w:rPr>
          <w:rFonts w:ascii="Tahoma" w:hAnsi="Tahoma" w:cs="Tahoma"/>
          <w:sz w:val="24"/>
          <w:szCs w:val="24"/>
        </w:rPr>
        <w:t>104,5</w:t>
      </w:r>
      <w:r w:rsidRPr="00942843">
        <w:rPr>
          <w:rFonts w:ascii="Tahoma" w:hAnsi="Tahoma" w:cs="Tahoma"/>
          <w:sz w:val="24"/>
          <w:szCs w:val="24"/>
        </w:rPr>
        <w:t>% comparativ cu programul trimestrial.</w:t>
      </w:r>
      <w:r w:rsidR="00387C64" w:rsidRPr="00942843">
        <w:rPr>
          <w:rFonts w:ascii="Tahoma" w:hAnsi="Tahoma" w:cs="Tahoma"/>
          <w:sz w:val="24"/>
          <w:szCs w:val="24"/>
        </w:rPr>
        <w:t xml:space="preserve"> </w:t>
      </w:r>
      <w:r w:rsidR="00BA678C" w:rsidRPr="00942843">
        <w:rPr>
          <w:rFonts w:ascii="Tahoma" w:hAnsi="Tahoma" w:cs="Tahoma"/>
          <w:sz w:val="24"/>
          <w:szCs w:val="24"/>
        </w:rPr>
        <w:t>Cheltuielile</w:t>
      </w:r>
      <w:r w:rsidR="000D317D" w:rsidRPr="00942843">
        <w:rPr>
          <w:rFonts w:ascii="Tahoma" w:hAnsi="Tahoma" w:cs="Tahoma"/>
          <w:sz w:val="24"/>
          <w:szCs w:val="24"/>
        </w:rPr>
        <w:t xml:space="preserve"> de ca</w:t>
      </w:r>
      <w:r w:rsidR="00733B62" w:rsidRPr="00942843">
        <w:rPr>
          <w:rFonts w:ascii="Tahoma" w:hAnsi="Tahoma" w:cs="Tahoma"/>
          <w:sz w:val="24"/>
          <w:szCs w:val="24"/>
        </w:rPr>
        <w:t xml:space="preserve">pital </w:t>
      </w:r>
      <w:r w:rsidR="00942AC8" w:rsidRPr="00942843">
        <w:rPr>
          <w:rFonts w:ascii="Tahoma" w:hAnsi="Tahoma" w:cs="Tahoma"/>
          <w:sz w:val="24"/>
          <w:szCs w:val="24"/>
        </w:rPr>
        <w:t xml:space="preserve">au fost cu </w:t>
      </w:r>
      <w:r w:rsidR="00387C64" w:rsidRPr="00942843">
        <w:rPr>
          <w:rFonts w:ascii="Tahoma" w:hAnsi="Tahoma" w:cs="Tahoma"/>
          <w:sz w:val="24"/>
          <w:szCs w:val="24"/>
        </w:rPr>
        <w:t>28,7</w:t>
      </w:r>
      <w:r w:rsidR="00942AC8" w:rsidRPr="00942843">
        <w:rPr>
          <w:rFonts w:ascii="Tahoma" w:hAnsi="Tahoma" w:cs="Tahoma"/>
          <w:sz w:val="24"/>
          <w:szCs w:val="24"/>
        </w:rPr>
        <w:t>% mai mari comparativ cu trimestrul al II</w:t>
      </w:r>
      <w:r w:rsidR="00387C64" w:rsidRPr="00942843">
        <w:rPr>
          <w:rFonts w:ascii="Tahoma" w:hAnsi="Tahoma" w:cs="Tahoma"/>
          <w:sz w:val="24"/>
          <w:szCs w:val="24"/>
        </w:rPr>
        <w:t>I</w:t>
      </w:r>
      <w:r w:rsidR="00942AC8" w:rsidRPr="00942843">
        <w:rPr>
          <w:rFonts w:ascii="Tahoma" w:hAnsi="Tahoma" w:cs="Tahoma"/>
          <w:sz w:val="24"/>
          <w:szCs w:val="24"/>
        </w:rPr>
        <w:t>-lea al anului 2019.</w:t>
      </w:r>
    </w:p>
    <w:p w:rsidR="00B10206" w:rsidRPr="00942843" w:rsidRDefault="00B10206" w:rsidP="00CF0789">
      <w:pPr>
        <w:spacing w:before="240" w:line="276" w:lineRule="auto"/>
        <w:jc w:val="both"/>
        <w:rPr>
          <w:rFonts w:ascii="Tahoma" w:hAnsi="Tahoma" w:cs="Tahoma"/>
          <w:bCs/>
          <w:sz w:val="24"/>
          <w:szCs w:val="24"/>
        </w:rPr>
      </w:pPr>
      <w:r w:rsidRPr="00942843">
        <w:rPr>
          <w:rFonts w:ascii="Tahoma" w:hAnsi="Tahoma" w:cs="Tahoma"/>
          <w:b/>
          <w:sz w:val="24"/>
          <w:szCs w:val="24"/>
        </w:rPr>
        <w:lastRenderedPageBreak/>
        <w:t>Cheltuielile pentru investiții</w:t>
      </w:r>
      <w:r w:rsidRPr="00942843">
        <w:rPr>
          <w:rFonts w:ascii="Tahoma" w:hAnsi="Tahoma" w:cs="Tahoma"/>
          <w:sz w:val="24"/>
          <w:szCs w:val="24"/>
        </w:rPr>
        <w:t xml:space="preserve"> (includ cheltuielile de capital, precum </w:t>
      </w:r>
      <w:r w:rsidR="00F32228" w:rsidRPr="00942843">
        <w:rPr>
          <w:rFonts w:ascii="Tahoma" w:hAnsi="Tahoma" w:cs="Tahoma"/>
          <w:sz w:val="24"/>
          <w:szCs w:val="24"/>
        </w:rPr>
        <w:t>și</w:t>
      </w:r>
      <w:r w:rsidRPr="00942843">
        <w:rPr>
          <w:rFonts w:ascii="Tahoma" w:hAnsi="Tahoma" w:cs="Tahoma"/>
          <w:sz w:val="24"/>
          <w:szCs w:val="24"/>
        </w:rPr>
        <w:t xml:space="preserve"> cele aferente programelor de dezvoltare finanțate din surse interne </w:t>
      </w:r>
      <w:r w:rsidR="00F32228" w:rsidRPr="00942843">
        <w:rPr>
          <w:rFonts w:ascii="Tahoma" w:hAnsi="Tahoma" w:cs="Tahoma"/>
          <w:sz w:val="24"/>
          <w:szCs w:val="24"/>
        </w:rPr>
        <w:t>și</w:t>
      </w:r>
      <w:r w:rsidRPr="00942843">
        <w:rPr>
          <w:rFonts w:ascii="Tahoma" w:hAnsi="Tahoma" w:cs="Tahoma"/>
          <w:sz w:val="24"/>
          <w:szCs w:val="24"/>
        </w:rPr>
        <w:t xml:space="preserve"> externe) în trimestru</w:t>
      </w:r>
      <w:r w:rsidR="001C6114" w:rsidRPr="00942843">
        <w:rPr>
          <w:rFonts w:ascii="Tahoma" w:hAnsi="Tahoma" w:cs="Tahoma"/>
          <w:sz w:val="24"/>
          <w:szCs w:val="24"/>
        </w:rPr>
        <w:t>l al II</w:t>
      </w:r>
      <w:r w:rsidR="00387C64" w:rsidRPr="00942843">
        <w:rPr>
          <w:rFonts w:ascii="Tahoma" w:hAnsi="Tahoma" w:cs="Tahoma"/>
          <w:sz w:val="24"/>
          <w:szCs w:val="24"/>
        </w:rPr>
        <w:t>I</w:t>
      </w:r>
      <w:r w:rsidR="001C6114" w:rsidRPr="00942843">
        <w:rPr>
          <w:rFonts w:ascii="Tahoma" w:hAnsi="Tahoma" w:cs="Tahoma"/>
          <w:sz w:val="24"/>
          <w:szCs w:val="24"/>
        </w:rPr>
        <w:t xml:space="preserve">-lea </w:t>
      </w:r>
      <w:r w:rsidRPr="00942843">
        <w:rPr>
          <w:rFonts w:ascii="Tahoma" w:hAnsi="Tahoma" w:cs="Tahoma"/>
          <w:sz w:val="24"/>
          <w:szCs w:val="24"/>
        </w:rPr>
        <w:t xml:space="preserve">al anului 2020 au totalizat în termeni nominali </w:t>
      </w:r>
      <w:r w:rsidR="00387C64" w:rsidRPr="00942843">
        <w:rPr>
          <w:rFonts w:ascii="Tahoma" w:hAnsi="Tahoma" w:cs="Tahoma"/>
          <w:bCs/>
          <w:sz w:val="24"/>
          <w:szCs w:val="24"/>
        </w:rPr>
        <w:t>13,6</w:t>
      </w:r>
      <w:r w:rsidR="00AD5154">
        <w:rPr>
          <w:rFonts w:ascii="Tahoma" w:hAnsi="Tahoma" w:cs="Tahoma"/>
          <w:bCs/>
          <w:sz w:val="24"/>
          <w:szCs w:val="24"/>
        </w:rPr>
        <w:t xml:space="preserve"> mld</w:t>
      </w:r>
      <w:r w:rsidRPr="00942843">
        <w:rPr>
          <w:rFonts w:ascii="Tahoma" w:hAnsi="Tahoma" w:cs="Tahoma"/>
          <w:bCs/>
          <w:sz w:val="24"/>
          <w:szCs w:val="24"/>
        </w:rPr>
        <w:t xml:space="preserve"> lei (</w:t>
      </w:r>
      <w:r w:rsidR="00387C64" w:rsidRPr="00942843">
        <w:rPr>
          <w:rFonts w:ascii="Tahoma" w:hAnsi="Tahoma" w:cs="Tahoma"/>
          <w:bCs/>
          <w:sz w:val="24"/>
          <w:szCs w:val="24"/>
        </w:rPr>
        <w:t>1,3</w:t>
      </w:r>
      <w:r w:rsidRPr="00942843">
        <w:rPr>
          <w:rFonts w:ascii="Tahoma" w:hAnsi="Tahoma" w:cs="Tahoma"/>
          <w:bCs/>
          <w:sz w:val="24"/>
          <w:szCs w:val="24"/>
        </w:rPr>
        <w:t xml:space="preserve"> % din PIB). Comparativ cu aceeași perioadă a anului 2019 cheltuielile pentru investiții s-au majorat cu </w:t>
      </w:r>
      <w:r w:rsidR="00387C64" w:rsidRPr="00942843">
        <w:rPr>
          <w:rFonts w:ascii="Tahoma" w:hAnsi="Tahoma" w:cs="Tahoma"/>
          <w:bCs/>
          <w:sz w:val="24"/>
          <w:szCs w:val="24"/>
        </w:rPr>
        <w:t>28,7</w:t>
      </w:r>
      <w:r w:rsidRPr="00942843">
        <w:rPr>
          <w:rFonts w:ascii="Tahoma" w:hAnsi="Tahoma" w:cs="Tahoma"/>
          <w:bCs/>
          <w:sz w:val="24"/>
          <w:szCs w:val="24"/>
        </w:rPr>
        <w:t>%, iar ca procent în PIB cu aproximativ 0,</w:t>
      </w:r>
      <w:r w:rsidR="00387C64" w:rsidRPr="00942843">
        <w:rPr>
          <w:rFonts w:ascii="Tahoma" w:hAnsi="Tahoma" w:cs="Tahoma"/>
          <w:bCs/>
          <w:sz w:val="24"/>
          <w:szCs w:val="24"/>
        </w:rPr>
        <w:t xml:space="preserve">3 </w:t>
      </w:r>
      <w:r w:rsidRPr="00942843">
        <w:rPr>
          <w:rFonts w:ascii="Tahoma" w:hAnsi="Tahoma" w:cs="Tahoma"/>
          <w:bCs/>
          <w:sz w:val="24"/>
          <w:szCs w:val="24"/>
        </w:rPr>
        <w:t xml:space="preserve">puncte procentuale. </w:t>
      </w:r>
    </w:p>
    <w:p w:rsidR="00373FDE" w:rsidRPr="00942843" w:rsidRDefault="00373FDE" w:rsidP="00942843">
      <w:pPr>
        <w:spacing w:before="240" w:line="276" w:lineRule="auto"/>
        <w:ind w:right="6"/>
        <w:jc w:val="both"/>
        <w:rPr>
          <w:rFonts w:ascii="Tahoma" w:hAnsi="Tahoma" w:cs="Tahoma"/>
          <w:bCs/>
          <w:sz w:val="24"/>
          <w:szCs w:val="24"/>
        </w:rPr>
      </w:pPr>
    </w:p>
    <w:p w:rsidR="00373FDE" w:rsidRPr="00942843" w:rsidRDefault="00373FDE" w:rsidP="00942843">
      <w:pPr>
        <w:pStyle w:val="ListParagraph"/>
        <w:pageBreakBefore/>
        <w:numPr>
          <w:ilvl w:val="0"/>
          <w:numId w:val="2"/>
        </w:numPr>
        <w:shd w:val="clear" w:color="auto" w:fill="D9D9D9" w:themeFill="background1" w:themeFillShade="D9"/>
        <w:spacing w:after="120" w:line="276" w:lineRule="auto"/>
        <w:ind w:hanging="1080"/>
        <w:rPr>
          <w:rFonts w:ascii="Tahoma" w:hAnsi="Tahoma" w:cs="Tahoma"/>
          <w:b/>
          <w:caps/>
          <w:color w:val="0070C0"/>
          <w:sz w:val="24"/>
          <w:szCs w:val="24"/>
        </w:rPr>
      </w:pPr>
      <w:r w:rsidRPr="00942843">
        <w:rPr>
          <w:rFonts w:ascii="Tahoma" w:hAnsi="Tahoma" w:cs="Tahoma"/>
          <w:b/>
          <w:caps/>
          <w:color w:val="0070C0"/>
          <w:sz w:val="24"/>
          <w:szCs w:val="24"/>
        </w:rPr>
        <w:lastRenderedPageBreak/>
        <w:t>CONCLUZII</w:t>
      </w:r>
    </w:p>
    <w:p w:rsidR="00415B7E" w:rsidRPr="00942843" w:rsidRDefault="001C6114" w:rsidP="00CF0789">
      <w:pPr>
        <w:spacing w:before="240" w:line="276" w:lineRule="auto"/>
        <w:jc w:val="both"/>
        <w:rPr>
          <w:rFonts w:ascii="Tahoma" w:hAnsi="Tahoma" w:cs="Tahoma"/>
          <w:bCs/>
          <w:sz w:val="24"/>
          <w:szCs w:val="24"/>
        </w:rPr>
      </w:pPr>
      <w:r w:rsidRPr="00942843">
        <w:rPr>
          <w:rFonts w:ascii="Tahoma" w:hAnsi="Tahoma" w:cs="Tahoma"/>
          <w:bCs/>
          <w:sz w:val="24"/>
          <w:szCs w:val="24"/>
        </w:rPr>
        <w:t xml:space="preserve">Deși în perioada analizată atât veniturile cât și cheltuielile bugetului general consolidat au fost afectate de </w:t>
      </w:r>
      <w:r w:rsidR="00AB7183" w:rsidRPr="00942843">
        <w:rPr>
          <w:rFonts w:ascii="Tahoma" w:hAnsi="Tahoma" w:cs="Tahoma"/>
          <w:bCs/>
          <w:sz w:val="24"/>
          <w:szCs w:val="24"/>
        </w:rPr>
        <w:t xml:space="preserve">menținerea stării </w:t>
      </w:r>
      <w:r w:rsidR="00512912" w:rsidRPr="00942843">
        <w:rPr>
          <w:rFonts w:ascii="Tahoma" w:hAnsi="Tahoma" w:cs="Tahoma"/>
          <w:bCs/>
          <w:sz w:val="24"/>
          <w:szCs w:val="24"/>
        </w:rPr>
        <w:t xml:space="preserve">de </w:t>
      </w:r>
      <w:r w:rsidRPr="00942843">
        <w:rPr>
          <w:rFonts w:ascii="Tahoma" w:hAnsi="Tahoma" w:cs="Tahoma"/>
          <w:bCs/>
          <w:sz w:val="24"/>
          <w:szCs w:val="24"/>
        </w:rPr>
        <w:t xml:space="preserve">alertă </w:t>
      </w:r>
      <w:r w:rsidR="00512912" w:rsidRPr="00942843">
        <w:rPr>
          <w:rFonts w:ascii="Tahoma" w:hAnsi="Tahoma" w:cs="Tahoma"/>
          <w:bCs/>
          <w:sz w:val="24"/>
          <w:szCs w:val="24"/>
        </w:rPr>
        <w:t xml:space="preserve">pe teritoriul național </w:t>
      </w:r>
      <w:r w:rsidRPr="00942843">
        <w:rPr>
          <w:rFonts w:ascii="Tahoma" w:hAnsi="Tahoma" w:cs="Tahoma"/>
          <w:bCs/>
          <w:sz w:val="24"/>
          <w:szCs w:val="24"/>
        </w:rPr>
        <w:t xml:space="preserve">și de o serie de măsuri adoptate atât pe partea de venituri cât și pe partea de cheltuieli bugetare de susținere în această perioadă a mediului de afaceri </w:t>
      </w:r>
      <w:r w:rsidR="00646F86" w:rsidRPr="00942843">
        <w:rPr>
          <w:rFonts w:ascii="Tahoma" w:hAnsi="Tahoma" w:cs="Tahoma"/>
          <w:bCs/>
          <w:sz w:val="24"/>
          <w:szCs w:val="24"/>
        </w:rPr>
        <w:t>și a forței de muncă</w:t>
      </w:r>
      <w:r w:rsidR="00415B7E" w:rsidRPr="00942843">
        <w:rPr>
          <w:rFonts w:ascii="Tahoma" w:hAnsi="Tahoma" w:cs="Tahoma"/>
          <w:bCs/>
          <w:sz w:val="24"/>
          <w:szCs w:val="24"/>
        </w:rPr>
        <w:t xml:space="preserve">, soldul bugetar </w:t>
      </w:r>
      <w:r w:rsidR="00315666" w:rsidRPr="00942843">
        <w:rPr>
          <w:rFonts w:ascii="Tahoma" w:hAnsi="Tahoma" w:cs="Tahoma"/>
          <w:bCs/>
          <w:sz w:val="24"/>
          <w:szCs w:val="24"/>
        </w:rPr>
        <w:t>aferent</w:t>
      </w:r>
      <w:r w:rsidR="00387C64" w:rsidRPr="00942843">
        <w:rPr>
          <w:rFonts w:ascii="Tahoma" w:hAnsi="Tahoma" w:cs="Tahoma"/>
          <w:bCs/>
          <w:sz w:val="24"/>
          <w:szCs w:val="24"/>
        </w:rPr>
        <w:t xml:space="preserve"> </w:t>
      </w:r>
      <w:r w:rsidRPr="00942843">
        <w:rPr>
          <w:rFonts w:ascii="Tahoma" w:hAnsi="Tahoma" w:cs="Tahoma"/>
          <w:bCs/>
          <w:sz w:val="24"/>
          <w:szCs w:val="24"/>
        </w:rPr>
        <w:t>trimestrului II</w:t>
      </w:r>
      <w:r w:rsidR="00387C64" w:rsidRPr="00942843">
        <w:rPr>
          <w:rFonts w:ascii="Tahoma" w:hAnsi="Tahoma" w:cs="Tahoma"/>
          <w:bCs/>
          <w:sz w:val="24"/>
          <w:szCs w:val="24"/>
        </w:rPr>
        <w:t>I</w:t>
      </w:r>
      <w:r w:rsidRPr="00942843">
        <w:rPr>
          <w:rFonts w:ascii="Tahoma" w:hAnsi="Tahoma" w:cs="Tahoma"/>
          <w:bCs/>
          <w:sz w:val="24"/>
          <w:szCs w:val="24"/>
        </w:rPr>
        <w:t xml:space="preserve"> s-a situat sub ținta stabilită </w:t>
      </w:r>
      <w:r w:rsidR="00646F86" w:rsidRPr="00942843">
        <w:rPr>
          <w:rFonts w:ascii="Tahoma" w:hAnsi="Tahoma" w:cs="Tahoma"/>
          <w:bCs/>
          <w:sz w:val="24"/>
          <w:szCs w:val="24"/>
        </w:rPr>
        <w:t xml:space="preserve">cu </w:t>
      </w:r>
      <w:r w:rsidR="00387C64" w:rsidRPr="00942843">
        <w:rPr>
          <w:rFonts w:ascii="Tahoma" w:hAnsi="Tahoma" w:cs="Tahoma"/>
          <w:bCs/>
          <w:sz w:val="24"/>
          <w:szCs w:val="24"/>
        </w:rPr>
        <w:t>4,8</w:t>
      </w:r>
      <w:r w:rsidR="00AD5154">
        <w:rPr>
          <w:rFonts w:ascii="Tahoma" w:hAnsi="Tahoma" w:cs="Tahoma"/>
          <w:bCs/>
          <w:sz w:val="24"/>
          <w:szCs w:val="24"/>
        </w:rPr>
        <w:t xml:space="preserve"> mld</w:t>
      </w:r>
      <w:r w:rsidR="00646F86" w:rsidRPr="00942843">
        <w:rPr>
          <w:rFonts w:ascii="Tahoma" w:hAnsi="Tahoma" w:cs="Tahoma"/>
          <w:bCs/>
          <w:sz w:val="24"/>
          <w:szCs w:val="24"/>
        </w:rPr>
        <w:t xml:space="preserve"> lei.</w:t>
      </w:r>
    </w:p>
    <w:p w:rsidR="005E607E" w:rsidRPr="00942843" w:rsidRDefault="00512912" w:rsidP="00CF0789">
      <w:pPr>
        <w:spacing w:before="240" w:line="276" w:lineRule="auto"/>
        <w:jc w:val="both"/>
        <w:rPr>
          <w:rFonts w:ascii="Tahoma" w:hAnsi="Tahoma" w:cs="Tahoma"/>
          <w:bCs/>
          <w:sz w:val="24"/>
          <w:szCs w:val="24"/>
        </w:rPr>
      </w:pPr>
      <w:r w:rsidRPr="00942843">
        <w:rPr>
          <w:rFonts w:ascii="Tahoma" w:hAnsi="Tahoma" w:cs="Tahoma"/>
          <w:bCs/>
          <w:sz w:val="24"/>
          <w:szCs w:val="24"/>
        </w:rPr>
        <w:t>N</w:t>
      </w:r>
      <w:r w:rsidR="005E607E" w:rsidRPr="00942843">
        <w:rPr>
          <w:rFonts w:ascii="Tahoma" w:hAnsi="Tahoma" w:cs="Tahoma"/>
          <w:bCs/>
          <w:sz w:val="24"/>
          <w:szCs w:val="24"/>
        </w:rPr>
        <w:t xml:space="preserve">ivelul încasărilor bugetare </w:t>
      </w:r>
      <w:r w:rsidRPr="00942843">
        <w:rPr>
          <w:rFonts w:ascii="Tahoma" w:hAnsi="Tahoma" w:cs="Tahoma"/>
          <w:bCs/>
          <w:sz w:val="24"/>
          <w:szCs w:val="24"/>
        </w:rPr>
        <w:t xml:space="preserve">în perioada analizată a fost </w:t>
      </w:r>
      <w:r w:rsidR="005E607E" w:rsidRPr="00942843">
        <w:rPr>
          <w:rFonts w:ascii="Tahoma" w:hAnsi="Tahoma" w:cs="Tahoma"/>
          <w:bCs/>
          <w:sz w:val="24"/>
          <w:szCs w:val="24"/>
        </w:rPr>
        <w:t>sub cel al programului trimestrial, ca urmare a nerealizării veniturilor programate a fi încasate din economia internă</w:t>
      </w:r>
      <w:r w:rsidR="00415B7E" w:rsidRPr="00942843">
        <w:rPr>
          <w:rFonts w:ascii="Tahoma" w:hAnsi="Tahoma" w:cs="Tahoma"/>
          <w:bCs/>
          <w:sz w:val="24"/>
          <w:szCs w:val="24"/>
        </w:rPr>
        <w:t>,</w:t>
      </w:r>
      <w:r w:rsidR="005E607E" w:rsidRPr="00942843">
        <w:rPr>
          <w:rFonts w:ascii="Tahoma" w:hAnsi="Tahoma" w:cs="Tahoma"/>
          <w:bCs/>
          <w:sz w:val="24"/>
          <w:szCs w:val="24"/>
        </w:rPr>
        <w:t xml:space="preserve"> pe fondul </w:t>
      </w:r>
      <w:r w:rsidR="00AB7183" w:rsidRPr="00942843">
        <w:rPr>
          <w:rFonts w:ascii="Tahoma" w:hAnsi="Tahoma" w:cs="Tahoma"/>
          <w:bCs/>
          <w:sz w:val="24"/>
          <w:szCs w:val="24"/>
        </w:rPr>
        <w:t xml:space="preserve">menținerii </w:t>
      </w:r>
      <w:r w:rsidR="005E607E" w:rsidRPr="00942843">
        <w:rPr>
          <w:rFonts w:ascii="Tahoma" w:hAnsi="Tahoma" w:cs="Tahoma"/>
          <w:bCs/>
          <w:sz w:val="24"/>
          <w:szCs w:val="24"/>
        </w:rPr>
        <w:t xml:space="preserve">stării de </w:t>
      </w:r>
      <w:r w:rsidR="00387C64" w:rsidRPr="00942843">
        <w:rPr>
          <w:rFonts w:ascii="Tahoma" w:hAnsi="Tahoma" w:cs="Tahoma"/>
          <w:bCs/>
          <w:sz w:val="24"/>
          <w:szCs w:val="24"/>
        </w:rPr>
        <w:t xml:space="preserve">alertă </w:t>
      </w:r>
      <w:r w:rsidR="005E607E" w:rsidRPr="00942843">
        <w:rPr>
          <w:rFonts w:ascii="Tahoma" w:hAnsi="Tahoma" w:cs="Tahoma"/>
          <w:bCs/>
          <w:sz w:val="24"/>
          <w:szCs w:val="24"/>
        </w:rPr>
        <w:t>și adoptării unor măsuri fiscale pentru sprijinirea pieței muncii și a mediului de afaceri, măsuri ce au</w:t>
      </w:r>
      <w:r w:rsidR="00712127" w:rsidRPr="00942843">
        <w:rPr>
          <w:rFonts w:ascii="Tahoma" w:hAnsi="Tahoma" w:cs="Tahoma"/>
          <w:bCs/>
          <w:sz w:val="24"/>
          <w:szCs w:val="24"/>
        </w:rPr>
        <w:t xml:space="preserve"> pe termen scurt</w:t>
      </w:r>
      <w:r w:rsidR="005E607E" w:rsidRPr="00942843">
        <w:rPr>
          <w:rFonts w:ascii="Tahoma" w:hAnsi="Tahoma" w:cs="Tahoma"/>
          <w:bCs/>
          <w:sz w:val="24"/>
          <w:szCs w:val="24"/>
        </w:rPr>
        <w:t xml:space="preserve"> un </w:t>
      </w:r>
      <w:r w:rsidR="00315666" w:rsidRPr="00942843">
        <w:rPr>
          <w:rFonts w:ascii="Tahoma" w:hAnsi="Tahoma" w:cs="Tahoma"/>
          <w:bCs/>
          <w:sz w:val="24"/>
          <w:szCs w:val="24"/>
        </w:rPr>
        <w:t xml:space="preserve">impact </w:t>
      </w:r>
      <w:r w:rsidR="005E607E" w:rsidRPr="00942843">
        <w:rPr>
          <w:rFonts w:ascii="Tahoma" w:hAnsi="Tahoma" w:cs="Tahoma"/>
          <w:bCs/>
          <w:sz w:val="24"/>
          <w:szCs w:val="24"/>
        </w:rPr>
        <w:t>negativ asupra veniturilor bugetare</w:t>
      </w:r>
      <w:r w:rsidR="00DF30BA" w:rsidRPr="00942843">
        <w:rPr>
          <w:rFonts w:ascii="Tahoma" w:hAnsi="Tahoma" w:cs="Tahoma"/>
          <w:bCs/>
          <w:sz w:val="24"/>
          <w:szCs w:val="24"/>
        </w:rPr>
        <w:t>,</w:t>
      </w:r>
      <w:r w:rsidR="00521A6E" w:rsidRPr="00942843">
        <w:rPr>
          <w:rFonts w:ascii="Tahoma" w:hAnsi="Tahoma" w:cs="Tahoma"/>
          <w:bCs/>
          <w:sz w:val="24"/>
          <w:szCs w:val="24"/>
        </w:rPr>
        <w:t xml:space="preserve"> dar și a nerealizării veniturilor pr</w:t>
      </w:r>
      <w:r w:rsidR="00152E04" w:rsidRPr="00942843">
        <w:rPr>
          <w:rFonts w:ascii="Tahoma" w:hAnsi="Tahoma" w:cs="Tahoma"/>
          <w:bCs/>
          <w:sz w:val="24"/>
          <w:szCs w:val="24"/>
        </w:rPr>
        <w:t>ogramate a se încasa din</w:t>
      </w:r>
      <w:r w:rsidR="00521A6E" w:rsidRPr="00942843">
        <w:rPr>
          <w:rFonts w:ascii="Tahoma" w:hAnsi="Tahoma" w:cs="Tahoma"/>
          <w:bCs/>
          <w:sz w:val="24"/>
          <w:szCs w:val="24"/>
        </w:rPr>
        <w:t xml:space="preserve"> fonduri externe nerambursabile</w:t>
      </w:r>
      <w:r w:rsidR="005E607E" w:rsidRPr="00942843">
        <w:rPr>
          <w:rFonts w:ascii="Tahoma" w:hAnsi="Tahoma" w:cs="Tahoma"/>
          <w:bCs/>
          <w:sz w:val="24"/>
          <w:szCs w:val="24"/>
        </w:rPr>
        <w:t xml:space="preserve">. </w:t>
      </w:r>
      <w:bookmarkStart w:id="0" w:name="_GoBack"/>
      <w:bookmarkEnd w:id="0"/>
    </w:p>
    <w:p w:rsidR="005E607E" w:rsidRPr="00942843" w:rsidRDefault="005E607E" w:rsidP="00CF0789">
      <w:pPr>
        <w:spacing w:before="240" w:line="276" w:lineRule="auto"/>
        <w:jc w:val="both"/>
        <w:rPr>
          <w:rFonts w:ascii="Tahoma" w:hAnsi="Tahoma" w:cs="Tahoma"/>
          <w:bCs/>
          <w:sz w:val="24"/>
          <w:szCs w:val="24"/>
        </w:rPr>
      </w:pPr>
      <w:r w:rsidRPr="00942843">
        <w:rPr>
          <w:rFonts w:ascii="Tahoma" w:hAnsi="Tahoma" w:cs="Tahoma"/>
          <w:bCs/>
          <w:sz w:val="24"/>
          <w:szCs w:val="24"/>
        </w:rPr>
        <w:t xml:space="preserve">Cheltuielile bugetare efectuate în </w:t>
      </w:r>
      <w:r w:rsidR="00521A6E" w:rsidRPr="00942843">
        <w:rPr>
          <w:rFonts w:ascii="Tahoma" w:hAnsi="Tahoma" w:cs="Tahoma"/>
          <w:bCs/>
          <w:sz w:val="24"/>
          <w:szCs w:val="24"/>
        </w:rPr>
        <w:t xml:space="preserve">al </w:t>
      </w:r>
      <w:r w:rsidR="00387C64" w:rsidRPr="00942843">
        <w:rPr>
          <w:rFonts w:ascii="Tahoma" w:hAnsi="Tahoma" w:cs="Tahoma"/>
          <w:bCs/>
          <w:sz w:val="24"/>
          <w:szCs w:val="24"/>
        </w:rPr>
        <w:t xml:space="preserve">treilea </w:t>
      </w:r>
      <w:r w:rsidR="00521A6E" w:rsidRPr="00942843">
        <w:rPr>
          <w:rFonts w:ascii="Tahoma" w:hAnsi="Tahoma" w:cs="Tahoma"/>
          <w:bCs/>
          <w:sz w:val="24"/>
          <w:szCs w:val="24"/>
        </w:rPr>
        <w:t>trimestru al anului 2020</w:t>
      </w:r>
      <w:r w:rsidRPr="00942843">
        <w:rPr>
          <w:rFonts w:ascii="Tahoma" w:hAnsi="Tahoma" w:cs="Tahoma"/>
          <w:bCs/>
          <w:sz w:val="24"/>
          <w:szCs w:val="24"/>
        </w:rPr>
        <w:t xml:space="preserve"> s-au situat sub nivelul programat în cazul </w:t>
      </w:r>
      <w:r w:rsidR="00387C64" w:rsidRPr="00942843">
        <w:rPr>
          <w:rFonts w:ascii="Tahoma" w:hAnsi="Tahoma" w:cs="Tahoma"/>
          <w:bCs/>
          <w:sz w:val="24"/>
          <w:szCs w:val="24"/>
        </w:rPr>
        <w:t xml:space="preserve">majorității </w:t>
      </w:r>
      <w:r w:rsidRPr="00942843">
        <w:rPr>
          <w:rFonts w:ascii="Tahoma" w:hAnsi="Tahoma" w:cs="Tahoma"/>
          <w:bCs/>
          <w:sz w:val="24"/>
          <w:szCs w:val="24"/>
        </w:rPr>
        <w:t>titlurilor de cheltuieli</w:t>
      </w:r>
      <w:r w:rsidR="00DF30BA" w:rsidRPr="00942843">
        <w:rPr>
          <w:rFonts w:ascii="Tahoma" w:hAnsi="Tahoma" w:cs="Tahoma"/>
          <w:bCs/>
          <w:sz w:val="24"/>
          <w:szCs w:val="24"/>
        </w:rPr>
        <w:t>,</w:t>
      </w:r>
      <w:r w:rsidR="00387C64" w:rsidRPr="00942843">
        <w:rPr>
          <w:rFonts w:ascii="Tahoma" w:hAnsi="Tahoma" w:cs="Tahoma"/>
          <w:bCs/>
          <w:sz w:val="24"/>
          <w:szCs w:val="24"/>
        </w:rPr>
        <w:t xml:space="preserve"> cu excepția cheltuielilor de capital</w:t>
      </w:r>
      <w:r w:rsidR="00FD246F">
        <w:rPr>
          <w:rFonts w:ascii="Tahoma" w:hAnsi="Tahoma" w:cs="Tahoma"/>
          <w:bCs/>
          <w:sz w:val="24"/>
          <w:szCs w:val="24"/>
        </w:rPr>
        <w:t>,</w:t>
      </w:r>
      <w:r w:rsidR="00387C64" w:rsidRPr="00942843">
        <w:rPr>
          <w:rFonts w:ascii="Tahoma" w:hAnsi="Tahoma" w:cs="Tahoma"/>
          <w:bCs/>
          <w:sz w:val="24"/>
          <w:szCs w:val="24"/>
        </w:rPr>
        <w:t xml:space="preserve"> </w:t>
      </w:r>
      <w:r w:rsidR="00521A6E" w:rsidRPr="00942843">
        <w:rPr>
          <w:rFonts w:ascii="Tahoma" w:hAnsi="Tahoma" w:cs="Tahoma"/>
          <w:bCs/>
          <w:sz w:val="24"/>
          <w:szCs w:val="24"/>
        </w:rPr>
        <w:t xml:space="preserve">deși în această perioadă acestea au crescut cu </w:t>
      </w:r>
      <w:r w:rsidR="00387C64" w:rsidRPr="00942843">
        <w:rPr>
          <w:rFonts w:ascii="Tahoma" w:hAnsi="Tahoma" w:cs="Tahoma"/>
          <w:bCs/>
          <w:sz w:val="24"/>
          <w:szCs w:val="24"/>
        </w:rPr>
        <w:t>19,0</w:t>
      </w:r>
      <w:r w:rsidR="00521A6E" w:rsidRPr="00942843">
        <w:rPr>
          <w:rFonts w:ascii="Tahoma" w:hAnsi="Tahoma" w:cs="Tahoma"/>
          <w:bCs/>
          <w:sz w:val="24"/>
          <w:szCs w:val="24"/>
        </w:rPr>
        <w:t xml:space="preserve"> % comparativ cu trimestrul II</w:t>
      </w:r>
      <w:r w:rsidR="00AB7183" w:rsidRPr="00942843">
        <w:rPr>
          <w:rFonts w:ascii="Tahoma" w:hAnsi="Tahoma" w:cs="Tahoma"/>
          <w:bCs/>
          <w:sz w:val="24"/>
          <w:szCs w:val="24"/>
        </w:rPr>
        <w:t>I</w:t>
      </w:r>
      <w:r w:rsidR="00521A6E" w:rsidRPr="00942843">
        <w:rPr>
          <w:rFonts w:ascii="Tahoma" w:hAnsi="Tahoma" w:cs="Tahoma"/>
          <w:bCs/>
          <w:sz w:val="24"/>
          <w:szCs w:val="24"/>
        </w:rPr>
        <w:t xml:space="preserve"> 2019 ca urmare a</w:t>
      </w:r>
      <w:r w:rsidR="004746C8" w:rsidRPr="00942843">
        <w:rPr>
          <w:rFonts w:ascii="Tahoma" w:hAnsi="Tahoma" w:cs="Tahoma"/>
          <w:bCs/>
          <w:sz w:val="24"/>
          <w:szCs w:val="24"/>
        </w:rPr>
        <w:t xml:space="preserve"> plăților </w:t>
      </w:r>
      <w:r w:rsidR="004746C8" w:rsidRPr="00942843">
        <w:rPr>
          <w:rFonts w:ascii="Tahoma" w:hAnsi="Tahoma" w:cs="Tahoma"/>
          <w:sz w:val="24"/>
          <w:szCs w:val="24"/>
        </w:rPr>
        <w:t>cu caracter excepțional generate de epidemia COVID-19</w:t>
      </w:r>
      <w:r w:rsidR="00387C64" w:rsidRPr="00942843">
        <w:rPr>
          <w:rFonts w:ascii="Tahoma" w:hAnsi="Tahoma" w:cs="Tahoma"/>
          <w:sz w:val="24"/>
          <w:szCs w:val="24"/>
        </w:rPr>
        <w:t xml:space="preserve"> </w:t>
      </w:r>
      <w:r w:rsidR="004746C8" w:rsidRPr="00942843">
        <w:rPr>
          <w:rFonts w:ascii="Tahoma" w:hAnsi="Tahoma" w:cs="Tahoma"/>
          <w:bCs/>
          <w:sz w:val="24"/>
          <w:szCs w:val="24"/>
        </w:rPr>
        <w:t>și a creșterii cheltuielilor pentru investiții.</w:t>
      </w:r>
    </w:p>
    <w:p w:rsidR="00AB7183" w:rsidRPr="00942843" w:rsidRDefault="005E607E" w:rsidP="00CF0789">
      <w:pPr>
        <w:spacing w:before="240" w:line="276" w:lineRule="auto"/>
        <w:jc w:val="both"/>
        <w:rPr>
          <w:rFonts w:ascii="Tahoma" w:hAnsi="Tahoma" w:cs="Tahoma"/>
          <w:bCs/>
          <w:sz w:val="24"/>
          <w:szCs w:val="24"/>
        </w:rPr>
      </w:pPr>
      <w:r w:rsidRPr="00942843">
        <w:rPr>
          <w:rFonts w:ascii="Tahoma" w:hAnsi="Tahoma" w:cs="Tahoma"/>
          <w:bCs/>
          <w:sz w:val="24"/>
          <w:szCs w:val="24"/>
        </w:rPr>
        <w:t xml:space="preserve">Este de așteptat ca în perioada imediat următoare presiunea pe cheltuielile bugetare să </w:t>
      </w:r>
      <w:r w:rsidR="004746C8" w:rsidRPr="00942843">
        <w:rPr>
          <w:rFonts w:ascii="Tahoma" w:hAnsi="Tahoma" w:cs="Tahoma"/>
          <w:bCs/>
          <w:sz w:val="24"/>
          <w:szCs w:val="24"/>
        </w:rPr>
        <w:t xml:space="preserve">rămână accentuată în condițiile în care pandemia generată de noul </w:t>
      </w:r>
      <w:proofErr w:type="spellStart"/>
      <w:r w:rsidR="004746C8" w:rsidRPr="00942843">
        <w:rPr>
          <w:rFonts w:ascii="Tahoma" w:hAnsi="Tahoma" w:cs="Tahoma"/>
          <w:bCs/>
          <w:sz w:val="24"/>
          <w:szCs w:val="24"/>
        </w:rPr>
        <w:t>coronavirus</w:t>
      </w:r>
      <w:proofErr w:type="spellEnd"/>
      <w:r w:rsidR="004746C8" w:rsidRPr="00942843">
        <w:rPr>
          <w:rFonts w:ascii="Tahoma" w:hAnsi="Tahoma" w:cs="Tahoma"/>
          <w:bCs/>
          <w:sz w:val="24"/>
          <w:szCs w:val="24"/>
        </w:rPr>
        <w:t xml:space="preserve"> nu se află </w:t>
      </w:r>
      <w:r w:rsidR="00152E04" w:rsidRPr="00942843">
        <w:rPr>
          <w:rFonts w:ascii="Tahoma" w:hAnsi="Tahoma" w:cs="Tahoma"/>
          <w:bCs/>
          <w:sz w:val="24"/>
          <w:szCs w:val="24"/>
        </w:rPr>
        <w:t>î</w:t>
      </w:r>
      <w:r w:rsidR="004746C8" w:rsidRPr="00942843">
        <w:rPr>
          <w:rFonts w:ascii="Tahoma" w:hAnsi="Tahoma" w:cs="Tahoma"/>
          <w:bCs/>
          <w:sz w:val="24"/>
          <w:szCs w:val="24"/>
        </w:rPr>
        <w:t>ntr-o perioadă de regres</w:t>
      </w:r>
      <w:r w:rsidR="00DF30BA" w:rsidRPr="00942843">
        <w:rPr>
          <w:rFonts w:ascii="Tahoma" w:hAnsi="Tahoma" w:cs="Tahoma"/>
          <w:bCs/>
          <w:sz w:val="24"/>
          <w:szCs w:val="24"/>
        </w:rPr>
        <w:t>,</w:t>
      </w:r>
      <w:r w:rsidR="004746C8" w:rsidRPr="00942843">
        <w:rPr>
          <w:rFonts w:ascii="Tahoma" w:hAnsi="Tahoma" w:cs="Tahoma"/>
          <w:bCs/>
          <w:sz w:val="24"/>
          <w:szCs w:val="24"/>
        </w:rPr>
        <w:t xml:space="preserve"> iar </w:t>
      </w:r>
      <w:r w:rsidR="00AB7183" w:rsidRPr="00942843">
        <w:rPr>
          <w:rFonts w:ascii="Tahoma" w:hAnsi="Tahoma" w:cs="Tahoma"/>
          <w:bCs/>
          <w:sz w:val="24"/>
          <w:szCs w:val="24"/>
        </w:rPr>
        <w:t xml:space="preserve">o serie de măsuri de susținere a economiei au fost prelungite. </w:t>
      </w:r>
    </w:p>
    <w:p w:rsidR="005E607E" w:rsidRPr="00942843" w:rsidRDefault="00415B7E" w:rsidP="00CF0789">
      <w:pPr>
        <w:spacing w:before="240" w:line="276" w:lineRule="auto"/>
        <w:jc w:val="both"/>
        <w:rPr>
          <w:rFonts w:ascii="Tahoma" w:hAnsi="Tahoma" w:cs="Tahoma"/>
          <w:bCs/>
          <w:sz w:val="24"/>
          <w:szCs w:val="24"/>
        </w:rPr>
      </w:pPr>
      <w:r w:rsidRPr="00942843">
        <w:rPr>
          <w:rFonts w:ascii="Tahoma" w:hAnsi="Tahoma" w:cs="Tahoma"/>
          <w:bCs/>
          <w:sz w:val="24"/>
          <w:szCs w:val="24"/>
        </w:rPr>
        <w:t>În aceste condiții</w:t>
      </w:r>
      <w:r w:rsidR="005E607E" w:rsidRPr="00942843">
        <w:rPr>
          <w:rFonts w:ascii="Tahoma" w:hAnsi="Tahoma" w:cs="Tahoma"/>
          <w:bCs/>
          <w:sz w:val="24"/>
          <w:szCs w:val="24"/>
        </w:rPr>
        <w:t xml:space="preserve">, pentru a nu afecta </w:t>
      </w:r>
      <w:r w:rsidR="00315666" w:rsidRPr="00942843">
        <w:rPr>
          <w:rFonts w:ascii="Tahoma" w:hAnsi="Tahoma" w:cs="Tahoma"/>
          <w:bCs/>
          <w:sz w:val="24"/>
          <w:szCs w:val="24"/>
        </w:rPr>
        <w:t xml:space="preserve">semnificativ </w:t>
      </w:r>
      <w:r w:rsidR="005E607E" w:rsidRPr="00942843">
        <w:rPr>
          <w:rFonts w:ascii="Tahoma" w:hAnsi="Tahoma" w:cs="Tahoma"/>
          <w:bCs/>
          <w:sz w:val="24"/>
          <w:szCs w:val="24"/>
        </w:rPr>
        <w:t xml:space="preserve">soldul bugetar anual la nivelul ordonatorilor principali de credite, ar trebui să se efectueze o analiză cât mai riguroasă a cheltuielilor pentru </w:t>
      </w:r>
      <w:r w:rsidR="00AB7183" w:rsidRPr="00942843">
        <w:rPr>
          <w:rFonts w:ascii="Tahoma" w:hAnsi="Tahoma" w:cs="Tahoma"/>
          <w:bCs/>
          <w:sz w:val="24"/>
          <w:szCs w:val="24"/>
        </w:rPr>
        <w:t>sfârșitul anului curent</w:t>
      </w:r>
      <w:r w:rsidR="005E607E" w:rsidRPr="00942843">
        <w:rPr>
          <w:rFonts w:ascii="Tahoma" w:hAnsi="Tahoma" w:cs="Tahoma"/>
          <w:bCs/>
          <w:sz w:val="24"/>
          <w:szCs w:val="24"/>
        </w:rPr>
        <w:t xml:space="preserve">. </w:t>
      </w:r>
    </w:p>
    <w:p w:rsidR="0043013B" w:rsidRPr="00942843" w:rsidRDefault="00315666" w:rsidP="00CF0789">
      <w:pPr>
        <w:spacing w:before="240" w:line="276" w:lineRule="auto"/>
        <w:jc w:val="both"/>
        <w:rPr>
          <w:rFonts w:ascii="Tahoma" w:hAnsi="Tahoma" w:cs="Tahoma"/>
          <w:sz w:val="24"/>
          <w:szCs w:val="24"/>
        </w:rPr>
      </w:pPr>
      <w:r w:rsidRPr="00942843">
        <w:rPr>
          <w:rFonts w:ascii="Tahoma" w:hAnsi="Tahoma" w:cs="Tahoma"/>
          <w:bCs/>
          <w:sz w:val="24"/>
          <w:szCs w:val="24"/>
        </w:rPr>
        <w:t>Totodată, î</w:t>
      </w:r>
      <w:r w:rsidR="005E607E" w:rsidRPr="00942843">
        <w:rPr>
          <w:rFonts w:ascii="Tahoma" w:hAnsi="Tahoma" w:cs="Tahoma"/>
          <w:bCs/>
          <w:sz w:val="24"/>
          <w:szCs w:val="24"/>
        </w:rPr>
        <w:t xml:space="preserve">n </w:t>
      </w:r>
      <w:r w:rsidR="00415B7E" w:rsidRPr="00942843">
        <w:rPr>
          <w:rFonts w:ascii="Tahoma" w:hAnsi="Tahoma" w:cs="Tahoma"/>
          <w:bCs/>
          <w:sz w:val="24"/>
          <w:szCs w:val="24"/>
        </w:rPr>
        <w:t>privința</w:t>
      </w:r>
      <w:r w:rsidR="007369A7" w:rsidRPr="00942843">
        <w:rPr>
          <w:rFonts w:ascii="Tahoma" w:hAnsi="Tahoma" w:cs="Tahoma"/>
          <w:bCs/>
          <w:sz w:val="24"/>
          <w:szCs w:val="24"/>
        </w:rPr>
        <w:t xml:space="preserve"> </w:t>
      </w:r>
      <w:r w:rsidR="00415B7E" w:rsidRPr="00942843">
        <w:rPr>
          <w:rFonts w:ascii="Tahoma" w:hAnsi="Tahoma" w:cs="Tahoma"/>
          <w:bCs/>
          <w:sz w:val="24"/>
          <w:szCs w:val="24"/>
        </w:rPr>
        <w:t>venituril</w:t>
      </w:r>
      <w:r w:rsidR="00152E04" w:rsidRPr="00942843">
        <w:rPr>
          <w:rFonts w:ascii="Tahoma" w:hAnsi="Tahoma" w:cs="Tahoma"/>
          <w:bCs/>
          <w:sz w:val="24"/>
          <w:szCs w:val="24"/>
        </w:rPr>
        <w:t>or</w:t>
      </w:r>
      <w:r w:rsidR="007369A7" w:rsidRPr="00942843">
        <w:rPr>
          <w:rFonts w:ascii="Tahoma" w:hAnsi="Tahoma" w:cs="Tahoma"/>
          <w:bCs/>
          <w:sz w:val="24"/>
          <w:szCs w:val="24"/>
        </w:rPr>
        <w:t xml:space="preserve"> </w:t>
      </w:r>
      <w:r w:rsidR="005E607E" w:rsidRPr="00942843">
        <w:rPr>
          <w:rFonts w:ascii="Tahoma" w:hAnsi="Tahoma" w:cs="Tahoma"/>
          <w:bCs/>
          <w:sz w:val="24"/>
          <w:szCs w:val="24"/>
        </w:rPr>
        <w:t xml:space="preserve">bugetare, </w:t>
      </w:r>
      <w:r w:rsidR="00415B7E" w:rsidRPr="00942843">
        <w:rPr>
          <w:rFonts w:ascii="Tahoma" w:hAnsi="Tahoma" w:cs="Tahoma"/>
          <w:bCs/>
          <w:sz w:val="24"/>
          <w:szCs w:val="24"/>
        </w:rPr>
        <w:t xml:space="preserve">se recomandă </w:t>
      </w:r>
      <w:r w:rsidR="005E607E" w:rsidRPr="00942843">
        <w:rPr>
          <w:rFonts w:ascii="Tahoma" w:hAnsi="Tahoma" w:cs="Tahoma"/>
          <w:bCs/>
          <w:sz w:val="24"/>
          <w:szCs w:val="24"/>
        </w:rPr>
        <w:t>intensifica</w:t>
      </w:r>
      <w:r w:rsidR="00415B7E" w:rsidRPr="00942843">
        <w:rPr>
          <w:rFonts w:ascii="Tahoma" w:hAnsi="Tahoma" w:cs="Tahoma"/>
          <w:bCs/>
          <w:sz w:val="24"/>
          <w:szCs w:val="24"/>
        </w:rPr>
        <w:t>rea</w:t>
      </w:r>
      <w:r w:rsidR="005E607E" w:rsidRPr="00942843">
        <w:rPr>
          <w:rFonts w:ascii="Tahoma" w:hAnsi="Tahoma" w:cs="Tahoma"/>
          <w:bCs/>
          <w:sz w:val="24"/>
          <w:szCs w:val="24"/>
        </w:rPr>
        <w:t xml:space="preserve"> eforturil</w:t>
      </w:r>
      <w:r w:rsidR="00FD246F">
        <w:rPr>
          <w:rFonts w:ascii="Tahoma" w:hAnsi="Tahoma" w:cs="Tahoma"/>
          <w:bCs/>
          <w:sz w:val="24"/>
          <w:szCs w:val="24"/>
        </w:rPr>
        <w:t>or</w:t>
      </w:r>
      <w:r w:rsidR="005E607E" w:rsidRPr="00942843">
        <w:rPr>
          <w:rFonts w:ascii="Tahoma" w:hAnsi="Tahoma" w:cs="Tahoma"/>
          <w:bCs/>
          <w:sz w:val="24"/>
          <w:szCs w:val="24"/>
        </w:rPr>
        <w:t xml:space="preserve"> de absorbție a fondurilor europene</w:t>
      </w:r>
      <w:r w:rsidR="00DF30BA" w:rsidRPr="00942843">
        <w:rPr>
          <w:rFonts w:ascii="Tahoma" w:hAnsi="Tahoma" w:cs="Tahoma"/>
          <w:bCs/>
          <w:sz w:val="24"/>
          <w:szCs w:val="24"/>
        </w:rPr>
        <w:t>,</w:t>
      </w:r>
      <w:r w:rsidR="005E607E" w:rsidRPr="00942843">
        <w:rPr>
          <w:rFonts w:ascii="Tahoma" w:hAnsi="Tahoma" w:cs="Tahoma"/>
          <w:bCs/>
          <w:sz w:val="24"/>
          <w:szCs w:val="24"/>
        </w:rPr>
        <w:t xml:space="preserve"> concomitent cu </w:t>
      </w:r>
      <w:r w:rsidR="00FD246F">
        <w:rPr>
          <w:rFonts w:ascii="Tahoma" w:hAnsi="Tahoma" w:cs="Tahoma"/>
          <w:bCs/>
          <w:sz w:val="24"/>
          <w:szCs w:val="24"/>
        </w:rPr>
        <w:t xml:space="preserve">intensificarea </w:t>
      </w:r>
      <w:r w:rsidR="005E607E" w:rsidRPr="00942843">
        <w:rPr>
          <w:rFonts w:ascii="Tahoma" w:hAnsi="Tahoma" w:cs="Tahoma"/>
          <w:bCs/>
          <w:sz w:val="24"/>
          <w:szCs w:val="24"/>
        </w:rPr>
        <w:t xml:space="preserve">eforturilor de îmbunătățire a colectării în </w:t>
      </w:r>
      <w:r w:rsidR="00AB7183" w:rsidRPr="00942843">
        <w:rPr>
          <w:rFonts w:ascii="Tahoma" w:hAnsi="Tahoma" w:cs="Tahoma"/>
          <w:bCs/>
          <w:sz w:val="24"/>
          <w:szCs w:val="24"/>
        </w:rPr>
        <w:t>ultimul trimestru al anului curent.</w:t>
      </w:r>
    </w:p>
    <w:sectPr w:rsidR="0043013B" w:rsidRPr="00942843" w:rsidSect="005E607E">
      <w:footerReference w:type="default" r:id="rId12"/>
      <w:pgSz w:w="12240" w:h="15840"/>
      <w:pgMar w:top="1166" w:right="1253" w:bottom="1440" w:left="1166" w:header="720" w:footer="525"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74FD" w:rsidRDefault="004E74FD" w:rsidP="006704C5">
      <w:pPr>
        <w:spacing w:after="0" w:line="240" w:lineRule="auto"/>
      </w:pPr>
      <w:r>
        <w:separator/>
      </w:r>
    </w:p>
  </w:endnote>
  <w:endnote w:type="continuationSeparator" w:id="0">
    <w:p w:rsidR="004E74FD" w:rsidRDefault="004E74FD" w:rsidP="006704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CellMar>
        <w:top w:w="144" w:type="dxa"/>
        <w:left w:w="115" w:type="dxa"/>
        <w:bottom w:w="144" w:type="dxa"/>
        <w:right w:w="115" w:type="dxa"/>
      </w:tblCellMar>
      <w:tblLook w:val="04A0" w:firstRow="1" w:lastRow="0" w:firstColumn="1" w:lastColumn="0" w:noHBand="0" w:noVBand="1"/>
    </w:tblPr>
    <w:tblGrid>
      <w:gridCol w:w="8515"/>
      <w:gridCol w:w="1306"/>
    </w:tblGrid>
    <w:tr w:rsidR="0090217B" w:rsidTr="0090217B">
      <w:trPr>
        <w:trHeight w:hRule="exact" w:val="115"/>
        <w:jc w:val="center"/>
      </w:trPr>
      <w:tc>
        <w:tcPr>
          <w:tcW w:w="8505" w:type="dxa"/>
          <w:shd w:val="clear" w:color="auto" w:fill="5B9BD5" w:themeFill="accent1"/>
          <w:tcMar>
            <w:top w:w="0" w:type="dxa"/>
            <w:bottom w:w="0" w:type="dxa"/>
          </w:tcMar>
        </w:tcPr>
        <w:p w:rsidR="0090217B" w:rsidRDefault="0090217B" w:rsidP="005E607E">
          <w:pPr>
            <w:pStyle w:val="Header"/>
            <w:tabs>
              <w:tab w:val="clear" w:pos="4680"/>
              <w:tab w:val="clear" w:pos="9360"/>
            </w:tabs>
            <w:rPr>
              <w:caps/>
              <w:sz w:val="18"/>
            </w:rPr>
          </w:pPr>
        </w:p>
      </w:tc>
      <w:tc>
        <w:tcPr>
          <w:tcW w:w="1305" w:type="dxa"/>
          <w:shd w:val="clear" w:color="auto" w:fill="5B9BD5" w:themeFill="accent1"/>
          <w:tcMar>
            <w:top w:w="0" w:type="dxa"/>
            <w:bottom w:w="0" w:type="dxa"/>
          </w:tcMar>
        </w:tcPr>
        <w:p w:rsidR="0090217B" w:rsidRDefault="0090217B" w:rsidP="005E607E">
          <w:pPr>
            <w:pStyle w:val="Header"/>
            <w:tabs>
              <w:tab w:val="clear" w:pos="4680"/>
              <w:tab w:val="clear" w:pos="9360"/>
            </w:tabs>
            <w:jc w:val="right"/>
            <w:rPr>
              <w:caps/>
              <w:sz w:val="18"/>
            </w:rPr>
          </w:pPr>
        </w:p>
      </w:tc>
    </w:tr>
    <w:tr w:rsidR="0090217B" w:rsidTr="0090217B">
      <w:trPr>
        <w:trHeight w:hRule="exact" w:val="115"/>
        <w:jc w:val="center"/>
      </w:trPr>
      <w:tc>
        <w:tcPr>
          <w:tcW w:w="8505" w:type="dxa"/>
          <w:shd w:val="clear" w:color="auto" w:fill="5B9BD5" w:themeFill="accent1"/>
          <w:tcMar>
            <w:top w:w="0" w:type="dxa"/>
            <w:bottom w:w="0" w:type="dxa"/>
          </w:tcMar>
        </w:tcPr>
        <w:p w:rsidR="0090217B" w:rsidRDefault="0090217B" w:rsidP="005E607E">
          <w:pPr>
            <w:pStyle w:val="Header"/>
            <w:tabs>
              <w:tab w:val="clear" w:pos="4680"/>
              <w:tab w:val="clear" w:pos="9360"/>
            </w:tabs>
            <w:rPr>
              <w:caps/>
              <w:sz w:val="18"/>
            </w:rPr>
          </w:pPr>
        </w:p>
      </w:tc>
      <w:tc>
        <w:tcPr>
          <w:tcW w:w="1305" w:type="dxa"/>
          <w:shd w:val="clear" w:color="auto" w:fill="5B9BD5" w:themeFill="accent1"/>
          <w:tcMar>
            <w:top w:w="0" w:type="dxa"/>
            <w:bottom w:w="0" w:type="dxa"/>
          </w:tcMar>
        </w:tcPr>
        <w:p w:rsidR="0090217B" w:rsidRDefault="0090217B" w:rsidP="005E607E">
          <w:pPr>
            <w:pStyle w:val="Header"/>
            <w:tabs>
              <w:tab w:val="clear" w:pos="4680"/>
              <w:tab w:val="clear" w:pos="9360"/>
            </w:tabs>
            <w:jc w:val="right"/>
            <w:rPr>
              <w:caps/>
              <w:sz w:val="18"/>
            </w:rPr>
          </w:pPr>
        </w:p>
      </w:tc>
    </w:tr>
    <w:tr w:rsidR="0090217B" w:rsidTr="0090217B">
      <w:trPr>
        <w:jc w:val="center"/>
      </w:trPr>
      <w:sdt>
        <w:sdtPr>
          <w:rPr>
            <w:rFonts w:ascii="Tahoma" w:hAnsi="Tahoma" w:cs="Tahoma"/>
            <w:caps/>
            <w:color w:val="808080" w:themeColor="background1" w:themeShade="80"/>
            <w:sz w:val="20"/>
            <w:szCs w:val="20"/>
          </w:rPr>
          <w:alias w:val="Author"/>
          <w:tag w:val=""/>
          <w:id w:val="1892612453"/>
          <w:placeholder>
            <w:docPart w:val="6BF091545DF5430EA6AAEAE65AB5A483"/>
          </w:placeholder>
          <w:dataBinding w:prefixMappings="xmlns:ns0='http://purl.org/dc/elements/1.1/' xmlns:ns1='http://schemas.openxmlformats.org/package/2006/metadata/core-properties' " w:xpath="/ns1:coreProperties[1]/ns0:creator[1]" w:storeItemID="{6C3C8BC8-F283-45AE-878A-BAB7291924A1}"/>
          <w:text/>
        </w:sdtPr>
        <w:sdtEndPr/>
        <w:sdtContent>
          <w:tc>
            <w:tcPr>
              <w:tcW w:w="8505" w:type="dxa"/>
              <w:shd w:val="clear" w:color="auto" w:fill="auto"/>
              <w:vAlign w:val="center"/>
            </w:tcPr>
            <w:p w:rsidR="0090217B" w:rsidRPr="00942843" w:rsidRDefault="00515EBD" w:rsidP="008761BB">
              <w:pPr>
                <w:pStyle w:val="Footer"/>
                <w:tabs>
                  <w:tab w:val="clear" w:pos="4680"/>
                  <w:tab w:val="clear" w:pos="9360"/>
                </w:tabs>
                <w:rPr>
                  <w:rFonts w:ascii="Tahoma" w:hAnsi="Tahoma" w:cs="Tahoma"/>
                  <w:caps/>
                  <w:color w:val="808080" w:themeColor="background1" w:themeShade="80"/>
                  <w:sz w:val="18"/>
                  <w:szCs w:val="18"/>
                </w:rPr>
              </w:pPr>
              <w:r w:rsidRPr="00942843">
                <w:rPr>
                  <w:rFonts w:ascii="Tahoma" w:hAnsi="Tahoma" w:cs="Tahoma"/>
                  <w:caps/>
                  <w:color w:val="808080" w:themeColor="background1" w:themeShade="80"/>
                  <w:sz w:val="20"/>
                  <w:szCs w:val="20"/>
                </w:rPr>
                <w:t>RAPORT PRIVIND EXECUȚIA BUGETARĂ PE TRIMESTRUL AL iiI-LEA AL ANULUI 2020</w:t>
              </w:r>
            </w:p>
          </w:tc>
        </w:sdtContent>
      </w:sdt>
      <w:tc>
        <w:tcPr>
          <w:tcW w:w="1305" w:type="dxa"/>
          <w:shd w:val="clear" w:color="auto" w:fill="auto"/>
          <w:vAlign w:val="center"/>
        </w:tcPr>
        <w:p w:rsidR="0090217B" w:rsidRPr="00CA4A92" w:rsidRDefault="00681401" w:rsidP="005E607E">
          <w:pPr>
            <w:pStyle w:val="Footer"/>
            <w:tabs>
              <w:tab w:val="clear" w:pos="4680"/>
              <w:tab w:val="clear" w:pos="9360"/>
            </w:tabs>
            <w:jc w:val="right"/>
            <w:rPr>
              <w:rFonts w:ascii="Tahoma" w:hAnsi="Tahoma" w:cs="Tahoma"/>
              <w:caps/>
              <w:color w:val="808080" w:themeColor="background1" w:themeShade="80"/>
              <w:sz w:val="18"/>
              <w:szCs w:val="18"/>
            </w:rPr>
          </w:pPr>
          <w:r w:rsidRPr="00CA4A92">
            <w:rPr>
              <w:rFonts w:ascii="Tahoma" w:hAnsi="Tahoma" w:cs="Tahoma"/>
              <w:caps/>
              <w:color w:val="808080" w:themeColor="background1" w:themeShade="80"/>
              <w:sz w:val="18"/>
              <w:szCs w:val="18"/>
            </w:rPr>
            <w:fldChar w:fldCharType="begin"/>
          </w:r>
          <w:r w:rsidR="0090217B" w:rsidRPr="00CA4A92">
            <w:rPr>
              <w:rFonts w:ascii="Tahoma" w:hAnsi="Tahoma" w:cs="Tahoma"/>
              <w:caps/>
              <w:color w:val="808080" w:themeColor="background1" w:themeShade="80"/>
              <w:sz w:val="18"/>
              <w:szCs w:val="18"/>
            </w:rPr>
            <w:instrText xml:space="preserve"> PAGE   \* MERGEFORMAT </w:instrText>
          </w:r>
          <w:r w:rsidRPr="00CA4A92">
            <w:rPr>
              <w:rFonts w:ascii="Tahoma" w:hAnsi="Tahoma" w:cs="Tahoma"/>
              <w:caps/>
              <w:color w:val="808080" w:themeColor="background1" w:themeShade="80"/>
              <w:sz w:val="18"/>
              <w:szCs w:val="18"/>
            </w:rPr>
            <w:fldChar w:fldCharType="separate"/>
          </w:r>
          <w:r w:rsidR="00CF0789">
            <w:rPr>
              <w:rFonts w:ascii="Tahoma" w:hAnsi="Tahoma" w:cs="Tahoma"/>
              <w:caps/>
              <w:noProof/>
              <w:color w:val="808080" w:themeColor="background1" w:themeShade="80"/>
              <w:sz w:val="18"/>
              <w:szCs w:val="18"/>
            </w:rPr>
            <w:t>10</w:t>
          </w:r>
          <w:r w:rsidRPr="00CA4A92">
            <w:rPr>
              <w:rFonts w:ascii="Tahoma" w:hAnsi="Tahoma" w:cs="Tahoma"/>
              <w:caps/>
              <w:noProof/>
              <w:color w:val="808080" w:themeColor="background1" w:themeShade="80"/>
              <w:sz w:val="18"/>
              <w:szCs w:val="18"/>
            </w:rPr>
            <w:fldChar w:fldCharType="end"/>
          </w:r>
        </w:p>
      </w:tc>
    </w:tr>
  </w:tbl>
  <w:p w:rsidR="0090217B" w:rsidRDefault="0090217B" w:rsidP="005E607E">
    <w:pPr>
      <w:pStyle w:val="Footer"/>
    </w:pPr>
  </w:p>
  <w:p w:rsidR="0090217B" w:rsidRDefault="0090217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74FD" w:rsidRDefault="004E74FD" w:rsidP="006704C5">
      <w:pPr>
        <w:spacing w:after="0" w:line="240" w:lineRule="auto"/>
      </w:pPr>
      <w:r>
        <w:separator/>
      </w:r>
    </w:p>
  </w:footnote>
  <w:footnote w:type="continuationSeparator" w:id="0">
    <w:p w:rsidR="004E74FD" w:rsidRDefault="004E74FD" w:rsidP="006704C5">
      <w:pPr>
        <w:spacing w:after="0" w:line="240" w:lineRule="auto"/>
      </w:pPr>
      <w:r>
        <w:continuationSeparator/>
      </w:r>
    </w:p>
  </w:footnote>
  <w:footnote w:id="1">
    <w:p w:rsidR="0017215B" w:rsidRPr="0017215B" w:rsidRDefault="0017215B" w:rsidP="0017215B">
      <w:pPr>
        <w:pStyle w:val="FootnoteText"/>
        <w:rPr>
          <w:rFonts w:cs="Calibri"/>
        </w:rPr>
      </w:pPr>
      <w:r w:rsidRPr="0017215B">
        <w:rPr>
          <w:rStyle w:val="FootnoteReference"/>
          <w:rFonts w:cs="Calibri"/>
        </w:rPr>
        <w:footnoteRef/>
      </w:r>
      <w:r w:rsidRPr="0017215B">
        <w:rPr>
          <w:rFonts w:cs="Calibri"/>
        </w:rPr>
        <w:t xml:space="preserve"> Hotărâre CA a BNR pe probleme de politică monetară, comunicat de presă 20.03.2020</w:t>
      </w:r>
    </w:p>
  </w:footnote>
  <w:footnote w:id="2">
    <w:p w:rsidR="0017215B" w:rsidRPr="0017215B" w:rsidRDefault="0017215B" w:rsidP="0017215B">
      <w:pPr>
        <w:pStyle w:val="FootnoteText"/>
        <w:rPr>
          <w:rFonts w:cs="Calibri"/>
        </w:rPr>
      </w:pPr>
      <w:r w:rsidRPr="0017215B">
        <w:rPr>
          <w:rStyle w:val="FootnoteReference"/>
          <w:rFonts w:cs="Calibri"/>
        </w:rPr>
        <w:footnoteRef/>
      </w:r>
      <w:r w:rsidRPr="0017215B">
        <w:rPr>
          <w:rFonts w:cs="Calibri"/>
        </w:rPr>
        <w:t xml:space="preserve"> </w:t>
      </w:r>
      <w:r w:rsidRPr="0017215B">
        <w:rPr>
          <w:rFonts w:cs="Calibri"/>
        </w:rPr>
        <w:t>Hotărâre CA a BNR pe probleme de politică monetară, comunicat de presă 29.05.2020</w:t>
      </w:r>
    </w:p>
  </w:footnote>
  <w:footnote w:id="3">
    <w:p w:rsidR="0017215B" w:rsidRPr="0017215B" w:rsidRDefault="0017215B" w:rsidP="0017215B">
      <w:pPr>
        <w:pStyle w:val="FootnoteText"/>
        <w:rPr>
          <w:rFonts w:cs="Calibri"/>
        </w:rPr>
      </w:pPr>
      <w:r w:rsidRPr="0017215B">
        <w:rPr>
          <w:rStyle w:val="FootnoteReference"/>
          <w:rFonts w:cs="Calibri"/>
        </w:rPr>
        <w:footnoteRef/>
      </w:r>
      <w:r w:rsidRPr="0017215B">
        <w:rPr>
          <w:rFonts w:cs="Calibri"/>
        </w:rPr>
        <w:t xml:space="preserve"> </w:t>
      </w:r>
      <w:r w:rsidRPr="0017215B">
        <w:rPr>
          <w:rFonts w:cs="Calibri"/>
        </w:rPr>
        <w:t>Hotărâre CA a BNR pe probleme de politică monetară, comunicat de presă 06.08.2020</w:t>
      </w:r>
    </w:p>
  </w:footnote>
  <w:footnote w:id="4">
    <w:p w:rsidR="0017215B" w:rsidRPr="0017215B" w:rsidRDefault="0017215B" w:rsidP="0017215B">
      <w:pPr>
        <w:pStyle w:val="FootnoteText"/>
        <w:jc w:val="both"/>
        <w:rPr>
          <w:rFonts w:cs="Calibri"/>
        </w:rPr>
      </w:pPr>
      <w:r w:rsidRPr="0017215B">
        <w:rPr>
          <w:rStyle w:val="FootnoteReference"/>
          <w:rFonts w:cs="Calibri"/>
        </w:rPr>
        <w:footnoteRef/>
      </w:r>
      <w:r w:rsidRPr="0017215B">
        <w:rPr>
          <w:rFonts w:cs="Calibri"/>
        </w:rPr>
        <w:t xml:space="preserve"> </w:t>
      </w:r>
      <w:r w:rsidRPr="0017215B">
        <w:rPr>
          <w:rFonts w:cs="Calibri"/>
        </w:rPr>
        <w:t>OUG nr. 29/2020 până la 15 iunie 2010, cu prelungire perioadă până la 25 iunie 2020 (OUG nr. 90/2020), iar ulterior până la 25 octombrie 2020 (OUG nr. 99/2020)</w:t>
      </w:r>
    </w:p>
  </w:footnote>
  <w:footnote w:id="5">
    <w:p w:rsidR="0017215B" w:rsidRPr="009B13E2" w:rsidRDefault="0017215B" w:rsidP="0017215B">
      <w:pPr>
        <w:pStyle w:val="FootnoteText"/>
        <w:jc w:val="both"/>
        <w:rPr>
          <w:rFonts w:cstheme="minorHAnsi"/>
        </w:rPr>
      </w:pPr>
      <w:r w:rsidRPr="009B13E2">
        <w:rPr>
          <w:rStyle w:val="FootnoteReference"/>
          <w:rFonts w:cstheme="minorHAnsi"/>
        </w:rPr>
        <w:footnoteRef/>
      </w:r>
      <w:r w:rsidRPr="009B13E2">
        <w:rPr>
          <w:rFonts w:cstheme="minorHAnsi"/>
        </w:rPr>
        <w:t xml:space="preserve"> </w:t>
      </w:r>
      <w:r w:rsidRPr="009B13E2">
        <w:rPr>
          <w:rFonts w:cstheme="minorHAnsi"/>
        </w:rPr>
        <w:t xml:space="preserve">scăderea numărului mediu de salariați cu 1,7% și creșterea salariului mediu brut la nivelul economiei cu 6,4% (iunie-august 2020/ iunie-august 2019) </w:t>
      </w:r>
    </w:p>
  </w:footnote>
  <w:footnote w:id="6">
    <w:p w:rsidR="0017215B" w:rsidRPr="009B13E2" w:rsidRDefault="0017215B" w:rsidP="0017215B">
      <w:pPr>
        <w:pStyle w:val="FootnoteText"/>
        <w:jc w:val="both"/>
        <w:rPr>
          <w:rFonts w:eastAsia="SimSun" w:cstheme="minorHAnsi"/>
          <w:kern w:val="1"/>
          <w:sz w:val="24"/>
          <w:szCs w:val="24"/>
        </w:rPr>
      </w:pPr>
      <w:r w:rsidRPr="009B13E2">
        <w:rPr>
          <w:rStyle w:val="FootnoteReference"/>
          <w:rFonts w:cstheme="minorHAnsi"/>
        </w:rPr>
        <w:footnoteRef/>
      </w:r>
      <w:r w:rsidRPr="009B13E2">
        <w:rPr>
          <w:rStyle w:val="FootnoteReference"/>
          <w:rFonts w:cstheme="minorHAnsi"/>
        </w:rPr>
        <w:t xml:space="preserve"> </w:t>
      </w:r>
      <w:r w:rsidRPr="009B13E2">
        <w:rPr>
          <w:rFonts w:cstheme="minorHAnsi"/>
        </w:rPr>
        <w:t>exclusiv restituiri și majorări de întârziere</w:t>
      </w:r>
    </w:p>
  </w:footnote>
  <w:footnote w:id="7">
    <w:p w:rsidR="0017215B" w:rsidRPr="009B13E2" w:rsidRDefault="0017215B" w:rsidP="0017215B">
      <w:pPr>
        <w:pStyle w:val="FootnoteText"/>
        <w:jc w:val="both"/>
        <w:rPr>
          <w:rFonts w:cstheme="minorHAnsi"/>
        </w:rPr>
      </w:pPr>
      <w:r w:rsidRPr="009B13E2">
        <w:rPr>
          <w:rStyle w:val="FootnoteReference"/>
          <w:rFonts w:cstheme="minorHAnsi"/>
        </w:rPr>
        <w:footnoteRef/>
      </w:r>
      <w:r w:rsidRPr="009B13E2">
        <w:rPr>
          <w:rFonts w:cstheme="minorHAnsi"/>
        </w:rPr>
        <w:t xml:space="preserve"> </w:t>
      </w:r>
      <w:r w:rsidRPr="009B13E2">
        <w:rPr>
          <w:rFonts w:cstheme="minorHAnsi"/>
        </w:rPr>
        <w:t>TVA din operațiuni interne s-a diminuat cu 8,0%, iar TVA din importurile de bunuri s-au diminuat cu 3,8%</w:t>
      </w:r>
    </w:p>
  </w:footnote>
  <w:footnote w:id="8">
    <w:p w:rsidR="0017215B" w:rsidRPr="009B13E2" w:rsidRDefault="0017215B" w:rsidP="0017215B">
      <w:pPr>
        <w:pStyle w:val="FootnoteText"/>
        <w:jc w:val="both"/>
        <w:rPr>
          <w:rFonts w:eastAsia="SimSun" w:cstheme="minorHAnsi"/>
          <w:kern w:val="1"/>
          <w:sz w:val="24"/>
          <w:szCs w:val="24"/>
        </w:rPr>
      </w:pPr>
      <w:r w:rsidRPr="009B13E2">
        <w:rPr>
          <w:rStyle w:val="FootnoteReference"/>
          <w:rFonts w:cstheme="minorHAnsi"/>
        </w:rPr>
        <w:footnoteRef/>
      </w:r>
      <w:r w:rsidRPr="009B13E2">
        <w:rPr>
          <w:rStyle w:val="FootnoteReference"/>
          <w:rFonts w:cstheme="minorHAnsi"/>
        </w:rPr>
        <w:t xml:space="preserve"> </w:t>
      </w:r>
      <w:r w:rsidRPr="009B13E2">
        <w:rPr>
          <w:rFonts w:cstheme="minorHAnsi"/>
        </w:rPr>
        <w:t>Comunicat de presă INS nr. 261/05octombrie 2020 -  Comerț și servicii</w:t>
      </w:r>
    </w:p>
  </w:footnote>
  <w:footnote w:id="9">
    <w:p w:rsidR="0017215B" w:rsidRPr="00CB0D75" w:rsidRDefault="0017215B" w:rsidP="0017215B">
      <w:pPr>
        <w:pStyle w:val="FootnoteText"/>
        <w:jc w:val="both"/>
        <w:rPr>
          <w:rFonts w:eastAsia="SimSun" w:cstheme="minorHAnsi"/>
          <w:kern w:val="1"/>
          <w:sz w:val="24"/>
          <w:szCs w:val="24"/>
        </w:rPr>
      </w:pPr>
      <w:r w:rsidRPr="009B13E2">
        <w:rPr>
          <w:rStyle w:val="FootnoteReference"/>
          <w:rFonts w:cstheme="minorHAnsi"/>
        </w:rPr>
        <w:footnoteRef/>
      </w:r>
      <w:r w:rsidRPr="009B13E2">
        <w:rPr>
          <w:rFonts w:eastAsia="SimSun" w:cstheme="minorHAnsi"/>
          <w:kern w:val="1"/>
          <w:sz w:val="24"/>
          <w:szCs w:val="24"/>
        </w:rPr>
        <w:t xml:space="preserve"> </w:t>
      </w:r>
      <w:r w:rsidRPr="009B13E2">
        <w:rPr>
          <w:rFonts w:cstheme="minorHAnsi"/>
        </w:rPr>
        <w:t>Comunicat de presă INS nr. 268/12 octombrie 2020 - Comerț internațional cu bunuri (calcule interne)</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95743"/>
    <w:multiLevelType w:val="hybridMultilevel"/>
    <w:tmpl w:val="74EE5078"/>
    <w:lvl w:ilvl="0" w:tplc="0409000D">
      <w:start w:val="1"/>
      <w:numFmt w:val="bullet"/>
      <w:lvlText w:val=""/>
      <w:lvlJc w:val="left"/>
      <w:pPr>
        <w:ind w:left="1890" w:hanging="360"/>
      </w:pPr>
      <w:rPr>
        <w:rFonts w:ascii="Wingdings" w:hAnsi="Wingdings"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 w15:restartNumberingAfterBreak="0">
    <w:nsid w:val="0C3341D3"/>
    <w:multiLevelType w:val="hybridMultilevel"/>
    <w:tmpl w:val="EDF43B16"/>
    <w:lvl w:ilvl="0" w:tplc="0409000D">
      <w:start w:val="1"/>
      <w:numFmt w:val="bullet"/>
      <w:lvlText w:val=""/>
      <w:lvlJc w:val="left"/>
      <w:pPr>
        <w:ind w:left="2498" w:hanging="360"/>
      </w:pPr>
      <w:rPr>
        <w:rFonts w:ascii="Wingdings" w:hAnsi="Wingdings" w:hint="default"/>
      </w:rPr>
    </w:lvl>
    <w:lvl w:ilvl="1" w:tplc="04090003" w:tentative="1">
      <w:start w:val="1"/>
      <w:numFmt w:val="bullet"/>
      <w:lvlText w:val="o"/>
      <w:lvlJc w:val="left"/>
      <w:pPr>
        <w:ind w:left="3218" w:hanging="360"/>
      </w:pPr>
      <w:rPr>
        <w:rFonts w:ascii="Courier New" w:hAnsi="Courier New" w:cs="Courier New" w:hint="default"/>
      </w:rPr>
    </w:lvl>
    <w:lvl w:ilvl="2" w:tplc="04090005" w:tentative="1">
      <w:start w:val="1"/>
      <w:numFmt w:val="bullet"/>
      <w:lvlText w:val=""/>
      <w:lvlJc w:val="left"/>
      <w:pPr>
        <w:ind w:left="3938" w:hanging="360"/>
      </w:pPr>
      <w:rPr>
        <w:rFonts w:ascii="Wingdings" w:hAnsi="Wingdings" w:hint="default"/>
      </w:rPr>
    </w:lvl>
    <w:lvl w:ilvl="3" w:tplc="04090001" w:tentative="1">
      <w:start w:val="1"/>
      <w:numFmt w:val="bullet"/>
      <w:lvlText w:val=""/>
      <w:lvlJc w:val="left"/>
      <w:pPr>
        <w:ind w:left="4658" w:hanging="360"/>
      </w:pPr>
      <w:rPr>
        <w:rFonts w:ascii="Symbol" w:hAnsi="Symbol" w:hint="default"/>
      </w:rPr>
    </w:lvl>
    <w:lvl w:ilvl="4" w:tplc="04090003" w:tentative="1">
      <w:start w:val="1"/>
      <w:numFmt w:val="bullet"/>
      <w:lvlText w:val="o"/>
      <w:lvlJc w:val="left"/>
      <w:pPr>
        <w:ind w:left="5378" w:hanging="360"/>
      </w:pPr>
      <w:rPr>
        <w:rFonts w:ascii="Courier New" w:hAnsi="Courier New" w:cs="Courier New" w:hint="default"/>
      </w:rPr>
    </w:lvl>
    <w:lvl w:ilvl="5" w:tplc="04090005" w:tentative="1">
      <w:start w:val="1"/>
      <w:numFmt w:val="bullet"/>
      <w:lvlText w:val=""/>
      <w:lvlJc w:val="left"/>
      <w:pPr>
        <w:ind w:left="6098" w:hanging="360"/>
      </w:pPr>
      <w:rPr>
        <w:rFonts w:ascii="Wingdings" w:hAnsi="Wingdings" w:hint="default"/>
      </w:rPr>
    </w:lvl>
    <w:lvl w:ilvl="6" w:tplc="04090001" w:tentative="1">
      <w:start w:val="1"/>
      <w:numFmt w:val="bullet"/>
      <w:lvlText w:val=""/>
      <w:lvlJc w:val="left"/>
      <w:pPr>
        <w:ind w:left="6818" w:hanging="360"/>
      </w:pPr>
      <w:rPr>
        <w:rFonts w:ascii="Symbol" w:hAnsi="Symbol" w:hint="default"/>
      </w:rPr>
    </w:lvl>
    <w:lvl w:ilvl="7" w:tplc="04090003" w:tentative="1">
      <w:start w:val="1"/>
      <w:numFmt w:val="bullet"/>
      <w:lvlText w:val="o"/>
      <w:lvlJc w:val="left"/>
      <w:pPr>
        <w:ind w:left="7538" w:hanging="360"/>
      </w:pPr>
      <w:rPr>
        <w:rFonts w:ascii="Courier New" w:hAnsi="Courier New" w:cs="Courier New" w:hint="default"/>
      </w:rPr>
    </w:lvl>
    <w:lvl w:ilvl="8" w:tplc="04090005" w:tentative="1">
      <w:start w:val="1"/>
      <w:numFmt w:val="bullet"/>
      <w:lvlText w:val=""/>
      <w:lvlJc w:val="left"/>
      <w:pPr>
        <w:ind w:left="8258" w:hanging="360"/>
      </w:pPr>
      <w:rPr>
        <w:rFonts w:ascii="Wingdings" w:hAnsi="Wingdings" w:hint="default"/>
      </w:rPr>
    </w:lvl>
  </w:abstractNum>
  <w:abstractNum w:abstractNumId="2" w15:restartNumberingAfterBreak="0">
    <w:nsid w:val="17474559"/>
    <w:multiLevelType w:val="hybridMultilevel"/>
    <w:tmpl w:val="60F623AE"/>
    <w:lvl w:ilvl="0" w:tplc="A59CE0C4">
      <w:numFmt w:val="bullet"/>
      <w:lvlText w:val="-"/>
      <w:lvlJc w:val="left"/>
      <w:pPr>
        <w:ind w:left="10080" w:hanging="720"/>
      </w:pPr>
      <w:rPr>
        <w:rFonts w:ascii="Tahoma" w:eastAsiaTheme="minorHAnsi" w:hAnsi="Tahoma" w:cs="Tahoma" w:hint="default"/>
      </w:rPr>
    </w:lvl>
    <w:lvl w:ilvl="1" w:tplc="04090003" w:tentative="1">
      <w:start w:val="1"/>
      <w:numFmt w:val="bullet"/>
      <w:lvlText w:val="o"/>
      <w:lvlJc w:val="left"/>
      <w:pPr>
        <w:ind w:left="10440" w:hanging="360"/>
      </w:pPr>
      <w:rPr>
        <w:rFonts w:ascii="Courier New" w:hAnsi="Courier New" w:cs="Courier New" w:hint="default"/>
      </w:rPr>
    </w:lvl>
    <w:lvl w:ilvl="2" w:tplc="04090005" w:tentative="1">
      <w:start w:val="1"/>
      <w:numFmt w:val="bullet"/>
      <w:lvlText w:val=""/>
      <w:lvlJc w:val="left"/>
      <w:pPr>
        <w:ind w:left="11160" w:hanging="360"/>
      </w:pPr>
      <w:rPr>
        <w:rFonts w:ascii="Wingdings" w:hAnsi="Wingdings" w:hint="default"/>
      </w:rPr>
    </w:lvl>
    <w:lvl w:ilvl="3" w:tplc="04090001" w:tentative="1">
      <w:start w:val="1"/>
      <w:numFmt w:val="bullet"/>
      <w:lvlText w:val=""/>
      <w:lvlJc w:val="left"/>
      <w:pPr>
        <w:ind w:left="11880" w:hanging="360"/>
      </w:pPr>
      <w:rPr>
        <w:rFonts w:ascii="Symbol" w:hAnsi="Symbol" w:hint="default"/>
      </w:rPr>
    </w:lvl>
    <w:lvl w:ilvl="4" w:tplc="04090003" w:tentative="1">
      <w:start w:val="1"/>
      <w:numFmt w:val="bullet"/>
      <w:lvlText w:val="o"/>
      <w:lvlJc w:val="left"/>
      <w:pPr>
        <w:ind w:left="12600" w:hanging="360"/>
      </w:pPr>
      <w:rPr>
        <w:rFonts w:ascii="Courier New" w:hAnsi="Courier New" w:cs="Courier New" w:hint="default"/>
      </w:rPr>
    </w:lvl>
    <w:lvl w:ilvl="5" w:tplc="04090005" w:tentative="1">
      <w:start w:val="1"/>
      <w:numFmt w:val="bullet"/>
      <w:lvlText w:val=""/>
      <w:lvlJc w:val="left"/>
      <w:pPr>
        <w:ind w:left="13320" w:hanging="360"/>
      </w:pPr>
      <w:rPr>
        <w:rFonts w:ascii="Wingdings" w:hAnsi="Wingdings" w:hint="default"/>
      </w:rPr>
    </w:lvl>
    <w:lvl w:ilvl="6" w:tplc="04090001" w:tentative="1">
      <w:start w:val="1"/>
      <w:numFmt w:val="bullet"/>
      <w:lvlText w:val=""/>
      <w:lvlJc w:val="left"/>
      <w:pPr>
        <w:ind w:left="14040" w:hanging="360"/>
      </w:pPr>
      <w:rPr>
        <w:rFonts w:ascii="Symbol" w:hAnsi="Symbol" w:hint="default"/>
      </w:rPr>
    </w:lvl>
    <w:lvl w:ilvl="7" w:tplc="04090003" w:tentative="1">
      <w:start w:val="1"/>
      <w:numFmt w:val="bullet"/>
      <w:lvlText w:val="o"/>
      <w:lvlJc w:val="left"/>
      <w:pPr>
        <w:ind w:left="14760" w:hanging="360"/>
      </w:pPr>
      <w:rPr>
        <w:rFonts w:ascii="Courier New" w:hAnsi="Courier New" w:cs="Courier New" w:hint="default"/>
      </w:rPr>
    </w:lvl>
    <w:lvl w:ilvl="8" w:tplc="04090005" w:tentative="1">
      <w:start w:val="1"/>
      <w:numFmt w:val="bullet"/>
      <w:lvlText w:val=""/>
      <w:lvlJc w:val="left"/>
      <w:pPr>
        <w:ind w:left="15480" w:hanging="360"/>
      </w:pPr>
      <w:rPr>
        <w:rFonts w:ascii="Wingdings" w:hAnsi="Wingdings" w:hint="default"/>
      </w:rPr>
    </w:lvl>
  </w:abstractNum>
  <w:abstractNum w:abstractNumId="3" w15:restartNumberingAfterBreak="0">
    <w:nsid w:val="19AE6EB8"/>
    <w:multiLevelType w:val="hybridMultilevel"/>
    <w:tmpl w:val="A8B84C6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4956CA"/>
    <w:multiLevelType w:val="hybridMultilevel"/>
    <w:tmpl w:val="EC2CF88E"/>
    <w:lvl w:ilvl="0" w:tplc="3BFA61DA">
      <w:start w:val="1"/>
      <w:numFmt w:val="bullet"/>
      <w:lvlText w:val=""/>
      <w:lvlJc w:val="left"/>
      <w:pPr>
        <w:ind w:left="1987" w:hanging="360"/>
      </w:pPr>
      <w:rPr>
        <w:rFonts w:ascii="Wingdings" w:hAnsi="Wingdings" w:hint="default"/>
        <w:color w:val="auto"/>
      </w:rPr>
    </w:lvl>
    <w:lvl w:ilvl="1" w:tplc="04090003" w:tentative="1">
      <w:start w:val="1"/>
      <w:numFmt w:val="bullet"/>
      <w:lvlText w:val="o"/>
      <w:lvlJc w:val="left"/>
      <w:pPr>
        <w:ind w:left="2707" w:hanging="360"/>
      </w:pPr>
      <w:rPr>
        <w:rFonts w:ascii="Courier New" w:hAnsi="Courier New" w:cs="Courier New" w:hint="default"/>
      </w:rPr>
    </w:lvl>
    <w:lvl w:ilvl="2" w:tplc="04090005" w:tentative="1">
      <w:start w:val="1"/>
      <w:numFmt w:val="bullet"/>
      <w:lvlText w:val=""/>
      <w:lvlJc w:val="left"/>
      <w:pPr>
        <w:ind w:left="3427" w:hanging="360"/>
      </w:pPr>
      <w:rPr>
        <w:rFonts w:ascii="Wingdings" w:hAnsi="Wingdings" w:hint="default"/>
      </w:rPr>
    </w:lvl>
    <w:lvl w:ilvl="3" w:tplc="04090001" w:tentative="1">
      <w:start w:val="1"/>
      <w:numFmt w:val="bullet"/>
      <w:lvlText w:val=""/>
      <w:lvlJc w:val="left"/>
      <w:pPr>
        <w:ind w:left="4147" w:hanging="360"/>
      </w:pPr>
      <w:rPr>
        <w:rFonts w:ascii="Symbol" w:hAnsi="Symbol" w:hint="default"/>
      </w:rPr>
    </w:lvl>
    <w:lvl w:ilvl="4" w:tplc="04090003" w:tentative="1">
      <w:start w:val="1"/>
      <w:numFmt w:val="bullet"/>
      <w:lvlText w:val="o"/>
      <w:lvlJc w:val="left"/>
      <w:pPr>
        <w:ind w:left="4867" w:hanging="360"/>
      </w:pPr>
      <w:rPr>
        <w:rFonts w:ascii="Courier New" w:hAnsi="Courier New" w:cs="Courier New" w:hint="default"/>
      </w:rPr>
    </w:lvl>
    <w:lvl w:ilvl="5" w:tplc="04090005" w:tentative="1">
      <w:start w:val="1"/>
      <w:numFmt w:val="bullet"/>
      <w:lvlText w:val=""/>
      <w:lvlJc w:val="left"/>
      <w:pPr>
        <w:ind w:left="5587" w:hanging="360"/>
      </w:pPr>
      <w:rPr>
        <w:rFonts w:ascii="Wingdings" w:hAnsi="Wingdings" w:hint="default"/>
      </w:rPr>
    </w:lvl>
    <w:lvl w:ilvl="6" w:tplc="04090001" w:tentative="1">
      <w:start w:val="1"/>
      <w:numFmt w:val="bullet"/>
      <w:lvlText w:val=""/>
      <w:lvlJc w:val="left"/>
      <w:pPr>
        <w:ind w:left="6307" w:hanging="360"/>
      </w:pPr>
      <w:rPr>
        <w:rFonts w:ascii="Symbol" w:hAnsi="Symbol" w:hint="default"/>
      </w:rPr>
    </w:lvl>
    <w:lvl w:ilvl="7" w:tplc="04090003" w:tentative="1">
      <w:start w:val="1"/>
      <w:numFmt w:val="bullet"/>
      <w:lvlText w:val="o"/>
      <w:lvlJc w:val="left"/>
      <w:pPr>
        <w:ind w:left="7027" w:hanging="360"/>
      </w:pPr>
      <w:rPr>
        <w:rFonts w:ascii="Courier New" w:hAnsi="Courier New" w:cs="Courier New" w:hint="default"/>
      </w:rPr>
    </w:lvl>
    <w:lvl w:ilvl="8" w:tplc="04090005" w:tentative="1">
      <w:start w:val="1"/>
      <w:numFmt w:val="bullet"/>
      <w:lvlText w:val=""/>
      <w:lvlJc w:val="left"/>
      <w:pPr>
        <w:ind w:left="7747" w:hanging="360"/>
      </w:pPr>
      <w:rPr>
        <w:rFonts w:ascii="Wingdings" w:hAnsi="Wingdings" w:hint="default"/>
      </w:rPr>
    </w:lvl>
  </w:abstractNum>
  <w:abstractNum w:abstractNumId="5" w15:restartNumberingAfterBreak="0">
    <w:nsid w:val="37131563"/>
    <w:multiLevelType w:val="hybridMultilevel"/>
    <w:tmpl w:val="D0501A9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A0D316B"/>
    <w:multiLevelType w:val="hybridMultilevel"/>
    <w:tmpl w:val="AC76A1EE"/>
    <w:lvl w:ilvl="0" w:tplc="30126C2E">
      <w:numFmt w:val="bullet"/>
      <w:lvlText w:val="-"/>
      <w:lvlJc w:val="left"/>
      <w:pPr>
        <w:ind w:left="750" w:hanging="390"/>
      </w:pPr>
      <w:rPr>
        <w:rFonts w:ascii="Tahoma" w:eastAsiaTheme="minorHAns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053E09"/>
    <w:multiLevelType w:val="hybridMultilevel"/>
    <w:tmpl w:val="E67E2118"/>
    <w:lvl w:ilvl="0" w:tplc="04180001">
      <w:start w:val="1"/>
      <w:numFmt w:val="bullet"/>
      <w:lvlText w:val=""/>
      <w:lvlJc w:val="left"/>
      <w:pPr>
        <w:ind w:left="2201" w:hanging="360"/>
      </w:pPr>
      <w:rPr>
        <w:rFonts w:ascii="Symbol" w:hAnsi="Symbol" w:hint="default"/>
      </w:rPr>
    </w:lvl>
    <w:lvl w:ilvl="1" w:tplc="04180003" w:tentative="1">
      <w:start w:val="1"/>
      <w:numFmt w:val="bullet"/>
      <w:lvlText w:val="o"/>
      <w:lvlJc w:val="left"/>
      <w:pPr>
        <w:ind w:left="2921" w:hanging="360"/>
      </w:pPr>
      <w:rPr>
        <w:rFonts w:ascii="Courier New" w:hAnsi="Courier New" w:cs="Courier New" w:hint="default"/>
      </w:rPr>
    </w:lvl>
    <w:lvl w:ilvl="2" w:tplc="04180005" w:tentative="1">
      <w:start w:val="1"/>
      <w:numFmt w:val="bullet"/>
      <w:lvlText w:val=""/>
      <w:lvlJc w:val="left"/>
      <w:pPr>
        <w:ind w:left="3641" w:hanging="360"/>
      </w:pPr>
      <w:rPr>
        <w:rFonts w:ascii="Wingdings" w:hAnsi="Wingdings" w:hint="default"/>
      </w:rPr>
    </w:lvl>
    <w:lvl w:ilvl="3" w:tplc="04180001" w:tentative="1">
      <w:start w:val="1"/>
      <w:numFmt w:val="bullet"/>
      <w:lvlText w:val=""/>
      <w:lvlJc w:val="left"/>
      <w:pPr>
        <w:ind w:left="4361" w:hanging="360"/>
      </w:pPr>
      <w:rPr>
        <w:rFonts w:ascii="Symbol" w:hAnsi="Symbol" w:hint="default"/>
      </w:rPr>
    </w:lvl>
    <w:lvl w:ilvl="4" w:tplc="04180003" w:tentative="1">
      <w:start w:val="1"/>
      <w:numFmt w:val="bullet"/>
      <w:lvlText w:val="o"/>
      <w:lvlJc w:val="left"/>
      <w:pPr>
        <w:ind w:left="5081" w:hanging="360"/>
      </w:pPr>
      <w:rPr>
        <w:rFonts w:ascii="Courier New" w:hAnsi="Courier New" w:cs="Courier New" w:hint="default"/>
      </w:rPr>
    </w:lvl>
    <w:lvl w:ilvl="5" w:tplc="04180005" w:tentative="1">
      <w:start w:val="1"/>
      <w:numFmt w:val="bullet"/>
      <w:lvlText w:val=""/>
      <w:lvlJc w:val="left"/>
      <w:pPr>
        <w:ind w:left="5801" w:hanging="360"/>
      </w:pPr>
      <w:rPr>
        <w:rFonts w:ascii="Wingdings" w:hAnsi="Wingdings" w:hint="default"/>
      </w:rPr>
    </w:lvl>
    <w:lvl w:ilvl="6" w:tplc="04180001" w:tentative="1">
      <w:start w:val="1"/>
      <w:numFmt w:val="bullet"/>
      <w:lvlText w:val=""/>
      <w:lvlJc w:val="left"/>
      <w:pPr>
        <w:ind w:left="6521" w:hanging="360"/>
      </w:pPr>
      <w:rPr>
        <w:rFonts w:ascii="Symbol" w:hAnsi="Symbol" w:hint="default"/>
      </w:rPr>
    </w:lvl>
    <w:lvl w:ilvl="7" w:tplc="04180003" w:tentative="1">
      <w:start w:val="1"/>
      <w:numFmt w:val="bullet"/>
      <w:lvlText w:val="o"/>
      <w:lvlJc w:val="left"/>
      <w:pPr>
        <w:ind w:left="7241" w:hanging="360"/>
      </w:pPr>
      <w:rPr>
        <w:rFonts w:ascii="Courier New" w:hAnsi="Courier New" w:cs="Courier New" w:hint="default"/>
      </w:rPr>
    </w:lvl>
    <w:lvl w:ilvl="8" w:tplc="04180005" w:tentative="1">
      <w:start w:val="1"/>
      <w:numFmt w:val="bullet"/>
      <w:lvlText w:val=""/>
      <w:lvlJc w:val="left"/>
      <w:pPr>
        <w:ind w:left="7961" w:hanging="360"/>
      </w:pPr>
      <w:rPr>
        <w:rFonts w:ascii="Wingdings" w:hAnsi="Wingdings" w:hint="default"/>
      </w:rPr>
    </w:lvl>
  </w:abstractNum>
  <w:abstractNum w:abstractNumId="8" w15:restartNumberingAfterBreak="0">
    <w:nsid w:val="45C017D1"/>
    <w:multiLevelType w:val="hybridMultilevel"/>
    <w:tmpl w:val="E0D60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84B1D8C"/>
    <w:multiLevelType w:val="hybridMultilevel"/>
    <w:tmpl w:val="A3C410EA"/>
    <w:lvl w:ilvl="0" w:tplc="6F76A1D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56968D3"/>
    <w:multiLevelType w:val="hybridMultilevel"/>
    <w:tmpl w:val="B202A21C"/>
    <w:lvl w:ilvl="0" w:tplc="731EB554">
      <w:start w:val="1"/>
      <w:numFmt w:val="bullet"/>
      <w:lvlText w:val=""/>
      <w:lvlJc w:val="left"/>
      <w:pPr>
        <w:ind w:left="1080" w:hanging="720"/>
      </w:pPr>
      <w:rPr>
        <w:rFonts w:ascii="Symbol" w:hAnsi="Symbol"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9073916"/>
    <w:multiLevelType w:val="hybridMultilevel"/>
    <w:tmpl w:val="7480F156"/>
    <w:lvl w:ilvl="0" w:tplc="30126C2E">
      <w:numFmt w:val="bullet"/>
      <w:lvlText w:val="-"/>
      <w:lvlJc w:val="left"/>
      <w:pPr>
        <w:ind w:left="750" w:hanging="390"/>
      </w:pPr>
      <w:rPr>
        <w:rFonts w:ascii="Tahoma" w:eastAsiaTheme="minorHAns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2897CC7"/>
    <w:multiLevelType w:val="hybridMultilevel"/>
    <w:tmpl w:val="C51EB1E6"/>
    <w:lvl w:ilvl="0" w:tplc="52C60E8E">
      <w:start w:val="1"/>
      <w:numFmt w:val="bullet"/>
      <w:lvlText w:val=""/>
      <w:lvlJc w:val="left"/>
      <w:pPr>
        <w:ind w:left="720" w:hanging="360"/>
      </w:pPr>
      <w:rPr>
        <w:rFonts w:ascii="Symbol" w:hAnsi="Symbol"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3F200E5"/>
    <w:multiLevelType w:val="multilevel"/>
    <w:tmpl w:val="0F52F7EE"/>
    <w:lvl w:ilvl="0">
      <w:start w:val="1"/>
      <w:numFmt w:val="bullet"/>
      <w:lvlText w:val=""/>
      <w:lvlJc w:val="left"/>
      <w:pPr>
        <w:ind w:left="1260" w:hanging="360"/>
      </w:pPr>
      <w:rPr>
        <w:rFonts w:ascii="Wingdings" w:hAnsi="Wingdings" w:cs="Wingdings" w:hint="default"/>
        <w:color w:val="00000A"/>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14" w15:restartNumberingAfterBreak="0">
    <w:nsid w:val="7A420761"/>
    <w:multiLevelType w:val="multilevel"/>
    <w:tmpl w:val="7D20951A"/>
    <w:lvl w:ilvl="0">
      <w:start w:val="1"/>
      <w:numFmt w:val="bullet"/>
      <w:lvlText w:val=""/>
      <w:lvlJc w:val="left"/>
      <w:pPr>
        <w:ind w:left="1996" w:hanging="360"/>
      </w:pPr>
      <w:rPr>
        <w:rFonts w:ascii="Wingdings" w:hAnsi="Wingdings" w:cs="Wingdings" w:hint="default"/>
      </w:rPr>
    </w:lvl>
    <w:lvl w:ilvl="1">
      <w:start w:val="1"/>
      <w:numFmt w:val="bullet"/>
      <w:lvlText w:val="o"/>
      <w:lvlJc w:val="left"/>
      <w:pPr>
        <w:ind w:left="2716" w:hanging="360"/>
      </w:pPr>
      <w:rPr>
        <w:rFonts w:ascii="Courier New" w:hAnsi="Courier New" w:cs="Courier New" w:hint="default"/>
      </w:rPr>
    </w:lvl>
    <w:lvl w:ilvl="2">
      <w:start w:val="1"/>
      <w:numFmt w:val="bullet"/>
      <w:lvlText w:val=""/>
      <w:lvlJc w:val="left"/>
      <w:pPr>
        <w:ind w:left="3436" w:hanging="360"/>
      </w:pPr>
      <w:rPr>
        <w:rFonts w:ascii="Wingdings" w:hAnsi="Wingdings" w:cs="Wingdings" w:hint="default"/>
      </w:rPr>
    </w:lvl>
    <w:lvl w:ilvl="3">
      <w:start w:val="1"/>
      <w:numFmt w:val="bullet"/>
      <w:lvlText w:val=""/>
      <w:lvlJc w:val="left"/>
      <w:pPr>
        <w:ind w:left="4156" w:hanging="360"/>
      </w:pPr>
      <w:rPr>
        <w:rFonts w:ascii="Symbol" w:hAnsi="Symbol" w:cs="Symbol" w:hint="default"/>
      </w:rPr>
    </w:lvl>
    <w:lvl w:ilvl="4">
      <w:start w:val="1"/>
      <w:numFmt w:val="bullet"/>
      <w:lvlText w:val="o"/>
      <w:lvlJc w:val="left"/>
      <w:pPr>
        <w:ind w:left="4876" w:hanging="360"/>
      </w:pPr>
      <w:rPr>
        <w:rFonts w:ascii="Courier New" w:hAnsi="Courier New" w:cs="Courier New" w:hint="default"/>
      </w:rPr>
    </w:lvl>
    <w:lvl w:ilvl="5">
      <w:start w:val="1"/>
      <w:numFmt w:val="bullet"/>
      <w:lvlText w:val=""/>
      <w:lvlJc w:val="left"/>
      <w:pPr>
        <w:ind w:left="5596" w:hanging="360"/>
      </w:pPr>
      <w:rPr>
        <w:rFonts w:ascii="Wingdings" w:hAnsi="Wingdings" w:cs="Wingdings" w:hint="default"/>
      </w:rPr>
    </w:lvl>
    <w:lvl w:ilvl="6">
      <w:start w:val="1"/>
      <w:numFmt w:val="bullet"/>
      <w:lvlText w:val=""/>
      <w:lvlJc w:val="left"/>
      <w:pPr>
        <w:ind w:left="6316" w:hanging="360"/>
      </w:pPr>
      <w:rPr>
        <w:rFonts w:ascii="Symbol" w:hAnsi="Symbol" w:cs="Symbol" w:hint="default"/>
      </w:rPr>
    </w:lvl>
    <w:lvl w:ilvl="7">
      <w:start w:val="1"/>
      <w:numFmt w:val="bullet"/>
      <w:lvlText w:val="o"/>
      <w:lvlJc w:val="left"/>
      <w:pPr>
        <w:ind w:left="7036" w:hanging="360"/>
      </w:pPr>
      <w:rPr>
        <w:rFonts w:ascii="Courier New" w:hAnsi="Courier New" w:cs="Courier New" w:hint="default"/>
      </w:rPr>
    </w:lvl>
    <w:lvl w:ilvl="8">
      <w:start w:val="1"/>
      <w:numFmt w:val="bullet"/>
      <w:lvlText w:val=""/>
      <w:lvlJc w:val="left"/>
      <w:pPr>
        <w:ind w:left="7756" w:hanging="360"/>
      </w:pPr>
      <w:rPr>
        <w:rFonts w:ascii="Wingdings" w:hAnsi="Wingdings" w:cs="Wingdings" w:hint="default"/>
      </w:rPr>
    </w:lvl>
  </w:abstractNum>
  <w:abstractNum w:abstractNumId="15" w15:restartNumberingAfterBreak="0">
    <w:nsid w:val="7BB8284D"/>
    <w:multiLevelType w:val="hybridMultilevel"/>
    <w:tmpl w:val="0B063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12"/>
  </w:num>
  <w:num w:numId="4">
    <w:abstractNumId w:val="6"/>
  </w:num>
  <w:num w:numId="5">
    <w:abstractNumId w:val="11"/>
  </w:num>
  <w:num w:numId="6">
    <w:abstractNumId w:val="2"/>
  </w:num>
  <w:num w:numId="7">
    <w:abstractNumId w:val="10"/>
  </w:num>
  <w:num w:numId="8">
    <w:abstractNumId w:val="13"/>
  </w:num>
  <w:num w:numId="9">
    <w:abstractNumId w:val="14"/>
  </w:num>
  <w:num w:numId="10">
    <w:abstractNumId w:val="7"/>
  </w:num>
  <w:num w:numId="11">
    <w:abstractNumId w:val="4"/>
  </w:num>
  <w:num w:numId="12">
    <w:abstractNumId w:val="5"/>
  </w:num>
  <w:num w:numId="13">
    <w:abstractNumId w:val="0"/>
  </w:num>
  <w:num w:numId="14">
    <w:abstractNumId w:val="1"/>
  </w:num>
  <w:num w:numId="15">
    <w:abstractNumId w:val="15"/>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F23"/>
    <w:rsid w:val="00001E8C"/>
    <w:rsid w:val="00005729"/>
    <w:rsid w:val="00011138"/>
    <w:rsid w:val="00012C3B"/>
    <w:rsid w:val="000141BF"/>
    <w:rsid w:val="00016F63"/>
    <w:rsid w:val="00017361"/>
    <w:rsid w:val="00020D5F"/>
    <w:rsid w:val="00021A38"/>
    <w:rsid w:val="00021E9E"/>
    <w:rsid w:val="000248D3"/>
    <w:rsid w:val="00026DEC"/>
    <w:rsid w:val="00032A05"/>
    <w:rsid w:val="00041D0D"/>
    <w:rsid w:val="000434BF"/>
    <w:rsid w:val="00052351"/>
    <w:rsid w:val="00053656"/>
    <w:rsid w:val="000557D4"/>
    <w:rsid w:val="00056BE3"/>
    <w:rsid w:val="000573AD"/>
    <w:rsid w:val="0005779D"/>
    <w:rsid w:val="00061787"/>
    <w:rsid w:val="00062A56"/>
    <w:rsid w:val="0008264F"/>
    <w:rsid w:val="000842A5"/>
    <w:rsid w:val="0008642C"/>
    <w:rsid w:val="00086871"/>
    <w:rsid w:val="000916B5"/>
    <w:rsid w:val="000923D7"/>
    <w:rsid w:val="000942F8"/>
    <w:rsid w:val="000951A2"/>
    <w:rsid w:val="00095242"/>
    <w:rsid w:val="000A2574"/>
    <w:rsid w:val="000A25FA"/>
    <w:rsid w:val="000A3B0F"/>
    <w:rsid w:val="000A4203"/>
    <w:rsid w:val="000A48D8"/>
    <w:rsid w:val="000A62E1"/>
    <w:rsid w:val="000A7436"/>
    <w:rsid w:val="000B579B"/>
    <w:rsid w:val="000C30DF"/>
    <w:rsid w:val="000C5478"/>
    <w:rsid w:val="000C7AF8"/>
    <w:rsid w:val="000D293A"/>
    <w:rsid w:val="000D2B64"/>
    <w:rsid w:val="000D317D"/>
    <w:rsid w:val="000D50FF"/>
    <w:rsid w:val="000D5417"/>
    <w:rsid w:val="000D653B"/>
    <w:rsid w:val="000D6F9B"/>
    <w:rsid w:val="000D7561"/>
    <w:rsid w:val="000F0A63"/>
    <w:rsid w:val="000F10A9"/>
    <w:rsid w:val="000F1E3F"/>
    <w:rsid w:val="000F48B4"/>
    <w:rsid w:val="000F62DB"/>
    <w:rsid w:val="001005D0"/>
    <w:rsid w:val="00107875"/>
    <w:rsid w:val="001176FC"/>
    <w:rsid w:val="00122DF5"/>
    <w:rsid w:val="001236DE"/>
    <w:rsid w:val="00125818"/>
    <w:rsid w:val="00141717"/>
    <w:rsid w:val="00142FC5"/>
    <w:rsid w:val="00145872"/>
    <w:rsid w:val="001506F4"/>
    <w:rsid w:val="00152E04"/>
    <w:rsid w:val="00153418"/>
    <w:rsid w:val="001535C1"/>
    <w:rsid w:val="001546A2"/>
    <w:rsid w:val="00155AFB"/>
    <w:rsid w:val="00156388"/>
    <w:rsid w:val="001623A7"/>
    <w:rsid w:val="00163874"/>
    <w:rsid w:val="001648BC"/>
    <w:rsid w:val="00170657"/>
    <w:rsid w:val="001707DC"/>
    <w:rsid w:val="0017215B"/>
    <w:rsid w:val="00175AD6"/>
    <w:rsid w:val="0017667A"/>
    <w:rsid w:val="0018055E"/>
    <w:rsid w:val="00180AC2"/>
    <w:rsid w:val="00182B0D"/>
    <w:rsid w:val="00187781"/>
    <w:rsid w:val="001915F6"/>
    <w:rsid w:val="00191CC0"/>
    <w:rsid w:val="001968BB"/>
    <w:rsid w:val="001A2254"/>
    <w:rsid w:val="001B13BC"/>
    <w:rsid w:val="001B1E6F"/>
    <w:rsid w:val="001B20A6"/>
    <w:rsid w:val="001B435B"/>
    <w:rsid w:val="001B60DA"/>
    <w:rsid w:val="001B6FA2"/>
    <w:rsid w:val="001B70D2"/>
    <w:rsid w:val="001C52B3"/>
    <w:rsid w:val="001C5C1A"/>
    <w:rsid w:val="001C6114"/>
    <w:rsid w:val="001C6E10"/>
    <w:rsid w:val="001D03AF"/>
    <w:rsid w:val="001D06A7"/>
    <w:rsid w:val="001D29DC"/>
    <w:rsid w:val="001D44C7"/>
    <w:rsid w:val="001D65FC"/>
    <w:rsid w:val="001D6927"/>
    <w:rsid w:val="001E4EAE"/>
    <w:rsid w:val="001E6762"/>
    <w:rsid w:val="001F1E8A"/>
    <w:rsid w:val="001F36DD"/>
    <w:rsid w:val="001F47E1"/>
    <w:rsid w:val="00202269"/>
    <w:rsid w:val="00206989"/>
    <w:rsid w:val="00207E04"/>
    <w:rsid w:val="00210FCE"/>
    <w:rsid w:val="00212F98"/>
    <w:rsid w:val="00214764"/>
    <w:rsid w:val="00217F5C"/>
    <w:rsid w:val="002200B1"/>
    <w:rsid w:val="00220A5A"/>
    <w:rsid w:val="00222906"/>
    <w:rsid w:val="00223065"/>
    <w:rsid w:val="00225829"/>
    <w:rsid w:val="0022634D"/>
    <w:rsid w:val="00231361"/>
    <w:rsid w:val="00231AE5"/>
    <w:rsid w:val="00232E16"/>
    <w:rsid w:val="00233AC4"/>
    <w:rsid w:val="0023449A"/>
    <w:rsid w:val="00237850"/>
    <w:rsid w:val="00241CAA"/>
    <w:rsid w:val="00244ACB"/>
    <w:rsid w:val="0025301D"/>
    <w:rsid w:val="00253FAE"/>
    <w:rsid w:val="00256949"/>
    <w:rsid w:val="00267D26"/>
    <w:rsid w:val="00272B9B"/>
    <w:rsid w:val="00273697"/>
    <w:rsid w:val="00274B69"/>
    <w:rsid w:val="00274F7D"/>
    <w:rsid w:val="00281EB5"/>
    <w:rsid w:val="00290A07"/>
    <w:rsid w:val="002914A1"/>
    <w:rsid w:val="002915B1"/>
    <w:rsid w:val="0029776C"/>
    <w:rsid w:val="002A0EF1"/>
    <w:rsid w:val="002A7F1B"/>
    <w:rsid w:val="002B01DC"/>
    <w:rsid w:val="002B0F64"/>
    <w:rsid w:val="002B3CC9"/>
    <w:rsid w:val="002B64BB"/>
    <w:rsid w:val="002C1755"/>
    <w:rsid w:val="002C17E1"/>
    <w:rsid w:val="002C3B7D"/>
    <w:rsid w:val="002C50FD"/>
    <w:rsid w:val="002C7C10"/>
    <w:rsid w:val="002D304B"/>
    <w:rsid w:val="002D4811"/>
    <w:rsid w:val="002E36A6"/>
    <w:rsid w:val="002E4DC6"/>
    <w:rsid w:val="002E5330"/>
    <w:rsid w:val="002E593E"/>
    <w:rsid w:val="002E7628"/>
    <w:rsid w:val="002F2CFC"/>
    <w:rsid w:val="002F44EA"/>
    <w:rsid w:val="002F4790"/>
    <w:rsid w:val="00302BA3"/>
    <w:rsid w:val="00311431"/>
    <w:rsid w:val="00313230"/>
    <w:rsid w:val="00314E74"/>
    <w:rsid w:val="00315666"/>
    <w:rsid w:val="00322A56"/>
    <w:rsid w:val="003308B1"/>
    <w:rsid w:val="0033447D"/>
    <w:rsid w:val="00335354"/>
    <w:rsid w:val="0033573F"/>
    <w:rsid w:val="00344677"/>
    <w:rsid w:val="003477B4"/>
    <w:rsid w:val="00353276"/>
    <w:rsid w:val="003565E1"/>
    <w:rsid w:val="00356F6A"/>
    <w:rsid w:val="00360906"/>
    <w:rsid w:val="003700C3"/>
    <w:rsid w:val="0037130B"/>
    <w:rsid w:val="00373FDE"/>
    <w:rsid w:val="00374899"/>
    <w:rsid w:val="003773F4"/>
    <w:rsid w:val="003836BC"/>
    <w:rsid w:val="00387C64"/>
    <w:rsid w:val="00391CC2"/>
    <w:rsid w:val="00392457"/>
    <w:rsid w:val="00392E3D"/>
    <w:rsid w:val="0039710E"/>
    <w:rsid w:val="003A18B2"/>
    <w:rsid w:val="003A1E8B"/>
    <w:rsid w:val="003A4F72"/>
    <w:rsid w:val="003A6D4C"/>
    <w:rsid w:val="003B44A7"/>
    <w:rsid w:val="003C25D1"/>
    <w:rsid w:val="003C28B1"/>
    <w:rsid w:val="003C4703"/>
    <w:rsid w:val="003C5108"/>
    <w:rsid w:val="003C663D"/>
    <w:rsid w:val="003C71AA"/>
    <w:rsid w:val="003D2A0E"/>
    <w:rsid w:val="003D3B74"/>
    <w:rsid w:val="003E621C"/>
    <w:rsid w:val="003F0AE0"/>
    <w:rsid w:val="003F37F1"/>
    <w:rsid w:val="003F4337"/>
    <w:rsid w:val="003F4E84"/>
    <w:rsid w:val="00400409"/>
    <w:rsid w:val="004071E1"/>
    <w:rsid w:val="00407EFE"/>
    <w:rsid w:val="004108CF"/>
    <w:rsid w:val="00410E69"/>
    <w:rsid w:val="00411D71"/>
    <w:rsid w:val="00414D79"/>
    <w:rsid w:val="00415B7E"/>
    <w:rsid w:val="00423CAE"/>
    <w:rsid w:val="004246D1"/>
    <w:rsid w:val="00425A4E"/>
    <w:rsid w:val="004260FF"/>
    <w:rsid w:val="00426972"/>
    <w:rsid w:val="0043013B"/>
    <w:rsid w:val="004320A1"/>
    <w:rsid w:val="00432FF1"/>
    <w:rsid w:val="00434C82"/>
    <w:rsid w:val="00452843"/>
    <w:rsid w:val="00452ACC"/>
    <w:rsid w:val="004546CE"/>
    <w:rsid w:val="0047155C"/>
    <w:rsid w:val="004746C8"/>
    <w:rsid w:val="0048352B"/>
    <w:rsid w:val="00484DB4"/>
    <w:rsid w:val="0048518E"/>
    <w:rsid w:val="004901E4"/>
    <w:rsid w:val="004A1222"/>
    <w:rsid w:val="004A18CC"/>
    <w:rsid w:val="004A1E84"/>
    <w:rsid w:val="004A31C5"/>
    <w:rsid w:val="004B3151"/>
    <w:rsid w:val="004B7A33"/>
    <w:rsid w:val="004C373B"/>
    <w:rsid w:val="004C3A0E"/>
    <w:rsid w:val="004C5DB9"/>
    <w:rsid w:val="004C6D1D"/>
    <w:rsid w:val="004D1156"/>
    <w:rsid w:val="004D5422"/>
    <w:rsid w:val="004D6936"/>
    <w:rsid w:val="004E0E38"/>
    <w:rsid w:val="004E0EDE"/>
    <w:rsid w:val="004E126B"/>
    <w:rsid w:val="004E13C1"/>
    <w:rsid w:val="004E2A7B"/>
    <w:rsid w:val="004E3BAE"/>
    <w:rsid w:val="004E74FD"/>
    <w:rsid w:val="004F2959"/>
    <w:rsid w:val="004F35DA"/>
    <w:rsid w:val="00502B73"/>
    <w:rsid w:val="00503F46"/>
    <w:rsid w:val="0050613A"/>
    <w:rsid w:val="00506D31"/>
    <w:rsid w:val="00506ECF"/>
    <w:rsid w:val="005072F2"/>
    <w:rsid w:val="00511104"/>
    <w:rsid w:val="00512912"/>
    <w:rsid w:val="00515EBD"/>
    <w:rsid w:val="00521A6E"/>
    <w:rsid w:val="005233AC"/>
    <w:rsid w:val="00526E8B"/>
    <w:rsid w:val="00527A5F"/>
    <w:rsid w:val="005316E8"/>
    <w:rsid w:val="0054257F"/>
    <w:rsid w:val="005458DC"/>
    <w:rsid w:val="00547F5F"/>
    <w:rsid w:val="0056110C"/>
    <w:rsid w:val="005623F6"/>
    <w:rsid w:val="00565196"/>
    <w:rsid w:val="005656AD"/>
    <w:rsid w:val="00565CBB"/>
    <w:rsid w:val="00571D08"/>
    <w:rsid w:val="00573703"/>
    <w:rsid w:val="00573953"/>
    <w:rsid w:val="00581AF2"/>
    <w:rsid w:val="005842BD"/>
    <w:rsid w:val="0058551F"/>
    <w:rsid w:val="005879EE"/>
    <w:rsid w:val="005922C0"/>
    <w:rsid w:val="005927B9"/>
    <w:rsid w:val="00595DE7"/>
    <w:rsid w:val="005964AB"/>
    <w:rsid w:val="005A2C17"/>
    <w:rsid w:val="005A37CF"/>
    <w:rsid w:val="005A4448"/>
    <w:rsid w:val="005A4CF9"/>
    <w:rsid w:val="005B36B4"/>
    <w:rsid w:val="005C04F8"/>
    <w:rsid w:val="005C1DD0"/>
    <w:rsid w:val="005C32C7"/>
    <w:rsid w:val="005D07BD"/>
    <w:rsid w:val="005D3714"/>
    <w:rsid w:val="005D3A4C"/>
    <w:rsid w:val="005D6D51"/>
    <w:rsid w:val="005E58C4"/>
    <w:rsid w:val="005E5AB8"/>
    <w:rsid w:val="005E607E"/>
    <w:rsid w:val="005F3004"/>
    <w:rsid w:val="00601884"/>
    <w:rsid w:val="0060609A"/>
    <w:rsid w:val="006165B6"/>
    <w:rsid w:val="00620465"/>
    <w:rsid w:val="00620B19"/>
    <w:rsid w:val="00622AC2"/>
    <w:rsid w:val="00622B86"/>
    <w:rsid w:val="00622EAC"/>
    <w:rsid w:val="00623A5E"/>
    <w:rsid w:val="00625493"/>
    <w:rsid w:val="006254C8"/>
    <w:rsid w:val="006306E1"/>
    <w:rsid w:val="006326E1"/>
    <w:rsid w:val="00632712"/>
    <w:rsid w:val="00633E45"/>
    <w:rsid w:val="0063711C"/>
    <w:rsid w:val="00640FBB"/>
    <w:rsid w:val="00646F86"/>
    <w:rsid w:val="006477A6"/>
    <w:rsid w:val="00647AE3"/>
    <w:rsid w:val="006523E6"/>
    <w:rsid w:val="00660290"/>
    <w:rsid w:val="00660554"/>
    <w:rsid w:val="00661A38"/>
    <w:rsid w:val="00661C32"/>
    <w:rsid w:val="00662746"/>
    <w:rsid w:val="00666D81"/>
    <w:rsid w:val="00667C1C"/>
    <w:rsid w:val="006704C5"/>
    <w:rsid w:val="00671CB8"/>
    <w:rsid w:val="00672393"/>
    <w:rsid w:val="006730CA"/>
    <w:rsid w:val="006737B0"/>
    <w:rsid w:val="006741FB"/>
    <w:rsid w:val="00675166"/>
    <w:rsid w:val="00675E23"/>
    <w:rsid w:val="00681401"/>
    <w:rsid w:val="006815B0"/>
    <w:rsid w:val="00682712"/>
    <w:rsid w:val="00682DEE"/>
    <w:rsid w:val="0069273C"/>
    <w:rsid w:val="00692AF8"/>
    <w:rsid w:val="00692B95"/>
    <w:rsid w:val="00692CE7"/>
    <w:rsid w:val="00694A9A"/>
    <w:rsid w:val="00696A35"/>
    <w:rsid w:val="00696BE5"/>
    <w:rsid w:val="006A012D"/>
    <w:rsid w:val="006A0560"/>
    <w:rsid w:val="006A2FAF"/>
    <w:rsid w:val="006A3329"/>
    <w:rsid w:val="006B3457"/>
    <w:rsid w:val="006B50AB"/>
    <w:rsid w:val="006C0750"/>
    <w:rsid w:val="006C1BA2"/>
    <w:rsid w:val="006C31A6"/>
    <w:rsid w:val="006C76FA"/>
    <w:rsid w:val="006C7DA9"/>
    <w:rsid w:val="006E2931"/>
    <w:rsid w:val="006E321D"/>
    <w:rsid w:val="006E331D"/>
    <w:rsid w:val="006E734C"/>
    <w:rsid w:val="006F3F63"/>
    <w:rsid w:val="006F6BF2"/>
    <w:rsid w:val="00703A90"/>
    <w:rsid w:val="00703ACE"/>
    <w:rsid w:val="0070453D"/>
    <w:rsid w:val="007108BD"/>
    <w:rsid w:val="00712127"/>
    <w:rsid w:val="007121BE"/>
    <w:rsid w:val="00712417"/>
    <w:rsid w:val="00713D80"/>
    <w:rsid w:val="00717788"/>
    <w:rsid w:val="00721CAF"/>
    <w:rsid w:val="0072241B"/>
    <w:rsid w:val="00731902"/>
    <w:rsid w:val="00733B62"/>
    <w:rsid w:val="00733F08"/>
    <w:rsid w:val="00734D13"/>
    <w:rsid w:val="0073637C"/>
    <w:rsid w:val="007369A7"/>
    <w:rsid w:val="0073781B"/>
    <w:rsid w:val="00737A11"/>
    <w:rsid w:val="00740BCB"/>
    <w:rsid w:val="00740FA8"/>
    <w:rsid w:val="00741961"/>
    <w:rsid w:val="00742502"/>
    <w:rsid w:val="00742F88"/>
    <w:rsid w:val="00744377"/>
    <w:rsid w:val="00744E04"/>
    <w:rsid w:val="00746D5E"/>
    <w:rsid w:val="007507EE"/>
    <w:rsid w:val="00751BF9"/>
    <w:rsid w:val="007536F7"/>
    <w:rsid w:val="00754831"/>
    <w:rsid w:val="00771F9D"/>
    <w:rsid w:val="00782EB2"/>
    <w:rsid w:val="00790ED9"/>
    <w:rsid w:val="00791EAA"/>
    <w:rsid w:val="00791FEB"/>
    <w:rsid w:val="0079445D"/>
    <w:rsid w:val="007A0DDC"/>
    <w:rsid w:val="007A23F1"/>
    <w:rsid w:val="007A3AFD"/>
    <w:rsid w:val="007A5BD6"/>
    <w:rsid w:val="007B4E71"/>
    <w:rsid w:val="007B5527"/>
    <w:rsid w:val="007C1785"/>
    <w:rsid w:val="007C6A86"/>
    <w:rsid w:val="007D0985"/>
    <w:rsid w:val="007D381A"/>
    <w:rsid w:val="007D76CC"/>
    <w:rsid w:val="007D782E"/>
    <w:rsid w:val="007E2111"/>
    <w:rsid w:val="007E48B7"/>
    <w:rsid w:val="007E6BCA"/>
    <w:rsid w:val="007F440C"/>
    <w:rsid w:val="007F4FE7"/>
    <w:rsid w:val="00800AC8"/>
    <w:rsid w:val="00804263"/>
    <w:rsid w:val="008045BB"/>
    <w:rsid w:val="00807885"/>
    <w:rsid w:val="00811D17"/>
    <w:rsid w:val="00812166"/>
    <w:rsid w:val="00813B4C"/>
    <w:rsid w:val="008154B0"/>
    <w:rsid w:val="008160DE"/>
    <w:rsid w:val="008201C6"/>
    <w:rsid w:val="0082174B"/>
    <w:rsid w:val="0082715B"/>
    <w:rsid w:val="0082791D"/>
    <w:rsid w:val="0083203F"/>
    <w:rsid w:val="008343FE"/>
    <w:rsid w:val="008365AB"/>
    <w:rsid w:val="00845E89"/>
    <w:rsid w:val="00854A05"/>
    <w:rsid w:val="00856530"/>
    <w:rsid w:val="00860E4A"/>
    <w:rsid w:val="0086613A"/>
    <w:rsid w:val="008761BB"/>
    <w:rsid w:val="00877230"/>
    <w:rsid w:val="00883977"/>
    <w:rsid w:val="0088400F"/>
    <w:rsid w:val="008841E4"/>
    <w:rsid w:val="008849D9"/>
    <w:rsid w:val="00885473"/>
    <w:rsid w:val="00886DFA"/>
    <w:rsid w:val="00894E4D"/>
    <w:rsid w:val="00895655"/>
    <w:rsid w:val="00896686"/>
    <w:rsid w:val="008A2ED1"/>
    <w:rsid w:val="008A34D2"/>
    <w:rsid w:val="008A3F97"/>
    <w:rsid w:val="008A6AFE"/>
    <w:rsid w:val="008B1FD4"/>
    <w:rsid w:val="008B44CC"/>
    <w:rsid w:val="008D4EFA"/>
    <w:rsid w:val="008D5E65"/>
    <w:rsid w:val="008E2FC1"/>
    <w:rsid w:val="008E39D6"/>
    <w:rsid w:val="008E6500"/>
    <w:rsid w:val="008F1328"/>
    <w:rsid w:val="008F6106"/>
    <w:rsid w:val="008F636D"/>
    <w:rsid w:val="008F735B"/>
    <w:rsid w:val="009008DE"/>
    <w:rsid w:val="0090217B"/>
    <w:rsid w:val="0090243B"/>
    <w:rsid w:val="00903937"/>
    <w:rsid w:val="00907645"/>
    <w:rsid w:val="00910F23"/>
    <w:rsid w:val="0092174A"/>
    <w:rsid w:val="009300C7"/>
    <w:rsid w:val="0093341F"/>
    <w:rsid w:val="00933946"/>
    <w:rsid w:val="00934745"/>
    <w:rsid w:val="00934D73"/>
    <w:rsid w:val="0093506B"/>
    <w:rsid w:val="0093611B"/>
    <w:rsid w:val="00936318"/>
    <w:rsid w:val="00936B61"/>
    <w:rsid w:val="00942843"/>
    <w:rsid w:val="00942AC8"/>
    <w:rsid w:val="00943365"/>
    <w:rsid w:val="00943E38"/>
    <w:rsid w:val="00944C2A"/>
    <w:rsid w:val="00950B7A"/>
    <w:rsid w:val="009541B8"/>
    <w:rsid w:val="00957E45"/>
    <w:rsid w:val="00964866"/>
    <w:rsid w:val="00964CBD"/>
    <w:rsid w:val="009714B3"/>
    <w:rsid w:val="009723DE"/>
    <w:rsid w:val="0097352C"/>
    <w:rsid w:val="00973651"/>
    <w:rsid w:val="009746E7"/>
    <w:rsid w:val="00974E99"/>
    <w:rsid w:val="00975E6F"/>
    <w:rsid w:val="009765E0"/>
    <w:rsid w:val="009775C3"/>
    <w:rsid w:val="009833EE"/>
    <w:rsid w:val="0098348D"/>
    <w:rsid w:val="00987133"/>
    <w:rsid w:val="00993264"/>
    <w:rsid w:val="009A25BD"/>
    <w:rsid w:val="009A2E62"/>
    <w:rsid w:val="009A2FA1"/>
    <w:rsid w:val="009A3E60"/>
    <w:rsid w:val="009A4D06"/>
    <w:rsid w:val="009A5714"/>
    <w:rsid w:val="009A5F48"/>
    <w:rsid w:val="009A6166"/>
    <w:rsid w:val="009A7463"/>
    <w:rsid w:val="009B4EFE"/>
    <w:rsid w:val="009B5876"/>
    <w:rsid w:val="009B7E76"/>
    <w:rsid w:val="009C2214"/>
    <w:rsid w:val="009C3388"/>
    <w:rsid w:val="009C3BE1"/>
    <w:rsid w:val="009C4F5E"/>
    <w:rsid w:val="009C614B"/>
    <w:rsid w:val="009C6F20"/>
    <w:rsid w:val="009C72B0"/>
    <w:rsid w:val="009D16DA"/>
    <w:rsid w:val="009D71C3"/>
    <w:rsid w:val="009D729F"/>
    <w:rsid w:val="009E35E8"/>
    <w:rsid w:val="009E4B9C"/>
    <w:rsid w:val="009F6CC3"/>
    <w:rsid w:val="00A02EF0"/>
    <w:rsid w:val="00A13FDB"/>
    <w:rsid w:val="00A15402"/>
    <w:rsid w:val="00A21C68"/>
    <w:rsid w:val="00A263BF"/>
    <w:rsid w:val="00A3645B"/>
    <w:rsid w:val="00A44D76"/>
    <w:rsid w:val="00A45580"/>
    <w:rsid w:val="00A45C4C"/>
    <w:rsid w:val="00A46A47"/>
    <w:rsid w:val="00A5347B"/>
    <w:rsid w:val="00A60BD6"/>
    <w:rsid w:val="00A725CE"/>
    <w:rsid w:val="00A73F57"/>
    <w:rsid w:val="00A74EA3"/>
    <w:rsid w:val="00A811A1"/>
    <w:rsid w:val="00A819BB"/>
    <w:rsid w:val="00A86B38"/>
    <w:rsid w:val="00A95591"/>
    <w:rsid w:val="00AA06C8"/>
    <w:rsid w:val="00AA6EE5"/>
    <w:rsid w:val="00AB7183"/>
    <w:rsid w:val="00AB7B38"/>
    <w:rsid w:val="00AC33D2"/>
    <w:rsid w:val="00AC4064"/>
    <w:rsid w:val="00AC4186"/>
    <w:rsid w:val="00AC5273"/>
    <w:rsid w:val="00AD433F"/>
    <w:rsid w:val="00AD5154"/>
    <w:rsid w:val="00AD661E"/>
    <w:rsid w:val="00AD74AC"/>
    <w:rsid w:val="00AE5117"/>
    <w:rsid w:val="00AE54C4"/>
    <w:rsid w:val="00AE619D"/>
    <w:rsid w:val="00AE689E"/>
    <w:rsid w:val="00AF077A"/>
    <w:rsid w:val="00AF18D8"/>
    <w:rsid w:val="00AF2145"/>
    <w:rsid w:val="00AF3117"/>
    <w:rsid w:val="00AF475F"/>
    <w:rsid w:val="00AF5A15"/>
    <w:rsid w:val="00AF7AEA"/>
    <w:rsid w:val="00B0181F"/>
    <w:rsid w:val="00B03261"/>
    <w:rsid w:val="00B06151"/>
    <w:rsid w:val="00B06A32"/>
    <w:rsid w:val="00B10206"/>
    <w:rsid w:val="00B14A5D"/>
    <w:rsid w:val="00B16FC7"/>
    <w:rsid w:val="00B17760"/>
    <w:rsid w:val="00B25F58"/>
    <w:rsid w:val="00B27620"/>
    <w:rsid w:val="00B3358B"/>
    <w:rsid w:val="00B339DC"/>
    <w:rsid w:val="00B37CEF"/>
    <w:rsid w:val="00B41063"/>
    <w:rsid w:val="00B42D64"/>
    <w:rsid w:val="00B42F67"/>
    <w:rsid w:val="00B43EF4"/>
    <w:rsid w:val="00B44140"/>
    <w:rsid w:val="00B4588B"/>
    <w:rsid w:val="00B50A7D"/>
    <w:rsid w:val="00B519D8"/>
    <w:rsid w:val="00B55707"/>
    <w:rsid w:val="00B561AA"/>
    <w:rsid w:val="00B60435"/>
    <w:rsid w:val="00B62D63"/>
    <w:rsid w:val="00B6727A"/>
    <w:rsid w:val="00B67AE1"/>
    <w:rsid w:val="00B67E3C"/>
    <w:rsid w:val="00B734CD"/>
    <w:rsid w:val="00B758DE"/>
    <w:rsid w:val="00B87BDE"/>
    <w:rsid w:val="00B921B0"/>
    <w:rsid w:val="00B92CB3"/>
    <w:rsid w:val="00B92EB8"/>
    <w:rsid w:val="00BA152F"/>
    <w:rsid w:val="00BA17B1"/>
    <w:rsid w:val="00BA47F5"/>
    <w:rsid w:val="00BA63CD"/>
    <w:rsid w:val="00BA66BF"/>
    <w:rsid w:val="00BA678C"/>
    <w:rsid w:val="00BA7231"/>
    <w:rsid w:val="00BB1057"/>
    <w:rsid w:val="00BD4CA5"/>
    <w:rsid w:val="00BE168E"/>
    <w:rsid w:val="00BE3856"/>
    <w:rsid w:val="00BE4BB6"/>
    <w:rsid w:val="00BE4FC7"/>
    <w:rsid w:val="00BE5D00"/>
    <w:rsid w:val="00BE6357"/>
    <w:rsid w:val="00BE7B9B"/>
    <w:rsid w:val="00BF0246"/>
    <w:rsid w:val="00BF0415"/>
    <w:rsid w:val="00BF41BE"/>
    <w:rsid w:val="00C067B1"/>
    <w:rsid w:val="00C06FA2"/>
    <w:rsid w:val="00C12274"/>
    <w:rsid w:val="00C1370B"/>
    <w:rsid w:val="00C16D94"/>
    <w:rsid w:val="00C1718B"/>
    <w:rsid w:val="00C24803"/>
    <w:rsid w:val="00C267BD"/>
    <w:rsid w:val="00C361BA"/>
    <w:rsid w:val="00C447E9"/>
    <w:rsid w:val="00C50AC2"/>
    <w:rsid w:val="00C51147"/>
    <w:rsid w:val="00C51FB2"/>
    <w:rsid w:val="00C56676"/>
    <w:rsid w:val="00C6120B"/>
    <w:rsid w:val="00C624BA"/>
    <w:rsid w:val="00C670D8"/>
    <w:rsid w:val="00C7035B"/>
    <w:rsid w:val="00C7250A"/>
    <w:rsid w:val="00C728CC"/>
    <w:rsid w:val="00C76E83"/>
    <w:rsid w:val="00C77514"/>
    <w:rsid w:val="00C80231"/>
    <w:rsid w:val="00C83108"/>
    <w:rsid w:val="00C865DA"/>
    <w:rsid w:val="00C86C65"/>
    <w:rsid w:val="00C87154"/>
    <w:rsid w:val="00C8723C"/>
    <w:rsid w:val="00C87486"/>
    <w:rsid w:val="00C877EE"/>
    <w:rsid w:val="00C90455"/>
    <w:rsid w:val="00C92DEA"/>
    <w:rsid w:val="00C9325A"/>
    <w:rsid w:val="00C96474"/>
    <w:rsid w:val="00C9727F"/>
    <w:rsid w:val="00CA2A40"/>
    <w:rsid w:val="00CA3901"/>
    <w:rsid w:val="00CA4A92"/>
    <w:rsid w:val="00CA50CD"/>
    <w:rsid w:val="00CA52C0"/>
    <w:rsid w:val="00CA79E1"/>
    <w:rsid w:val="00CA7C81"/>
    <w:rsid w:val="00CB1087"/>
    <w:rsid w:val="00CB5101"/>
    <w:rsid w:val="00CB72EB"/>
    <w:rsid w:val="00CC03AF"/>
    <w:rsid w:val="00CC04B4"/>
    <w:rsid w:val="00CC1F6A"/>
    <w:rsid w:val="00CC402A"/>
    <w:rsid w:val="00CC4F2C"/>
    <w:rsid w:val="00CD33CA"/>
    <w:rsid w:val="00CD37CA"/>
    <w:rsid w:val="00CD3EBC"/>
    <w:rsid w:val="00CD578B"/>
    <w:rsid w:val="00CD7C03"/>
    <w:rsid w:val="00CE2B39"/>
    <w:rsid w:val="00CE54D7"/>
    <w:rsid w:val="00CE6770"/>
    <w:rsid w:val="00CE721E"/>
    <w:rsid w:val="00CF0789"/>
    <w:rsid w:val="00CF0B91"/>
    <w:rsid w:val="00CF1ED7"/>
    <w:rsid w:val="00CF55E5"/>
    <w:rsid w:val="00D05158"/>
    <w:rsid w:val="00D057D9"/>
    <w:rsid w:val="00D1037B"/>
    <w:rsid w:val="00D109D6"/>
    <w:rsid w:val="00D13094"/>
    <w:rsid w:val="00D13C76"/>
    <w:rsid w:val="00D16CCD"/>
    <w:rsid w:val="00D2421D"/>
    <w:rsid w:val="00D333E6"/>
    <w:rsid w:val="00D342AA"/>
    <w:rsid w:val="00D36298"/>
    <w:rsid w:val="00D374AE"/>
    <w:rsid w:val="00D37654"/>
    <w:rsid w:val="00D40303"/>
    <w:rsid w:val="00D43F8B"/>
    <w:rsid w:val="00D475BB"/>
    <w:rsid w:val="00D506AC"/>
    <w:rsid w:val="00D60BC0"/>
    <w:rsid w:val="00D61C8C"/>
    <w:rsid w:val="00D630AC"/>
    <w:rsid w:val="00D716F8"/>
    <w:rsid w:val="00D81079"/>
    <w:rsid w:val="00D872D5"/>
    <w:rsid w:val="00D96816"/>
    <w:rsid w:val="00DA35E4"/>
    <w:rsid w:val="00DA38C3"/>
    <w:rsid w:val="00DA4DCA"/>
    <w:rsid w:val="00DB11FA"/>
    <w:rsid w:val="00DB3A55"/>
    <w:rsid w:val="00DB67BD"/>
    <w:rsid w:val="00DC09CB"/>
    <w:rsid w:val="00DD03A2"/>
    <w:rsid w:val="00DD1C70"/>
    <w:rsid w:val="00DD3FBA"/>
    <w:rsid w:val="00DD52A5"/>
    <w:rsid w:val="00DD5C43"/>
    <w:rsid w:val="00DE2EB1"/>
    <w:rsid w:val="00DE5601"/>
    <w:rsid w:val="00DF01F7"/>
    <w:rsid w:val="00DF30BA"/>
    <w:rsid w:val="00DF4DFB"/>
    <w:rsid w:val="00DF4F15"/>
    <w:rsid w:val="00DF5205"/>
    <w:rsid w:val="00DF6426"/>
    <w:rsid w:val="00DF707F"/>
    <w:rsid w:val="00DF73CB"/>
    <w:rsid w:val="00E001D0"/>
    <w:rsid w:val="00E0129F"/>
    <w:rsid w:val="00E01455"/>
    <w:rsid w:val="00E103A8"/>
    <w:rsid w:val="00E15D34"/>
    <w:rsid w:val="00E16164"/>
    <w:rsid w:val="00E21827"/>
    <w:rsid w:val="00E21979"/>
    <w:rsid w:val="00E23BE8"/>
    <w:rsid w:val="00E25FC5"/>
    <w:rsid w:val="00E261B4"/>
    <w:rsid w:val="00E27A1E"/>
    <w:rsid w:val="00E33517"/>
    <w:rsid w:val="00E42080"/>
    <w:rsid w:val="00E42AAB"/>
    <w:rsid w:val="00E42BEC"/>
    <w:rsid w:val="00E511C3"/>
    <w:rsid w:val="00E56254"/>
    <w:rsid w:val="00E74759"/>
    <w:rsid w:val="00E74A8C"/>
    <w:rsid w:val="00E75196"/>
    <w:rsid w:val="00E762E4"/>
    <w:rsid w:val="00E812EF"/>
    <w:rsid w:val="00E82CC6"/>
    <w:rsid w:val="00E87431"/>
    <w:rsid w:val="00E92C88"/>
    <w:rsid w:val="00E94D84"/>
    <w:rsid w:val="00EA7E68"/>
    <w:rsid w:val="00EB003F"/>
    <w:rsid w:val="00EB0ECB"/>
    <w:rsid w:val="00EB6BD9"/>
    <w:rsid w:val="00EB7155"/>
    <w:rsid w:val="00EC0E42"/>
    <w:rsid w:val="00EC3F79"/>
    <w:rsid w:val="00EC7BB5"/>
    <w:rsid w:val="00ED10AC"/>
    <w:rsid w:val="00ED2E0A"/>
    <w:rsid w:val="00ED2E85"/>
    <w:rsid w:val="00ED3C31"/>
    <w:rsid w:val="00ED6201"/>
    <w:rsid w:val="00ED7A16"/>
    <w:rsid w:val="00EE29D6"/>
    <w:rsid w:val="00EE3559"/>
    <w:rsid w:val="00EE4334"/>
    <w:rsid w:val="00EE69FE"/>
    <w:rsid w:val="00EE7641"/>
    <w:rsid w:val="00EF2503"/>
    <w:rsid w:val="00EF6134"/>
    <w:rsid w:val="00EF74C2"/>
    <w:rsid w:val="00F072D2"/>
    <w:rsid w:val="00F07738"/>
    <w:rsid w:val="00F12863"/>
    <w:rsid w:val="00F13D2C"/>
    <w:rsid w:val="00F14666"/>
    <w:rsid w:val="00F155D7"/>
    <w:rsid w:val="00F156D5"/>
    <w:rsid w:val="00F160D8"/>
    <w:rsid w:val="00F170F2"/>
    <w:rsid w:val="00F17FB9"/>
    <w:rsid w:val="00F228D9"/>
    <w:rsid w:val="00F22F81"/>
    <w:rsid w:val="00F24FA0"/>
    <w:rsid w:val="00F2551A"/>
    <w:rsid w:val="00F263F6"/>
    <w:rsid w:val="00F27AD3"/>
    <w:rsid w:val="00F30899"/>
    <w:rsid w:val="00F318A7"/>
    <w:rsid w:val="00F32228"/>
    <w:rsid w:val="00F34109"/>
    <w:rsid w:val="00F34894"/>
    <w:rsid w:val="00F405DB"/>
    <w:rsid w:val="00F42E28"/>
    <w:rsid w:val="00F46295"/>
    <w:rsid w:val="00F46722"/>
    <w:rsid w:val="00F51834"/>
    <w:rsid w:val="00F53291"/>
    <w:rsid w:val="00F5546F"/>
    <w:rsid w:val="00F5559E"/>
    <w:rsid w:val="00F578E9"/>
    <w:rsid w:val="00F62AA6"/>
    <w:rsid w:val="00F62C9A"/>
    <w:rsid w:val="00F71A8D"/>
    <w:rsid w:val="00F7321C"/>
    <w:rsid w:val="00F7443E"/>
    <w:rsid w:val="00F8178B"/>
    <w:rsid w:val="00F83B9B"/>
    <w:rsid w:val="00F84A41"/>
    <w:rsid w:val="00F859E9"/>
    <w:rsid w:val="00F859F4"/>
    <w:rsid w:val="00F90F76"/>
    <w:rsid w:val="00F94C90"/>
    <w:rsid w:val="00F96070"/>
    <w:rsid w:val="00F972DC"/>
    <w:rsid w:val="00FA06A2"/>
    <w:rsid w:val="00FA10B7"/>
    <w:rsid w:val="00FA11D3"/>
    <w:rsid w:val="00FA1E35"/>
    <w:rsid w:val="00FA2524"/>
    <w:rsid w:val="00FB03C6"/>
    <w:rsid w:val="00FB49C7"/>
    <w:rsid w:val="00FB6A82"/>
    <w:rsid w:val="00FC0E54"/>
    <w:rsid w:val="00FC1C56"/>
    <w:rsid w:val="00FD1E06"/>
    <w:rsid w:val="00FD1F6D"/>
    <w:rsid w:val="00FD246F"/>
    <w:rsid w:val="00FE00AD"/>
    <w:rsid w:val="00FE0E8B"/>
    <w:rsid w:val="00FE1EA0"/>
    <w:rsid w:val="00FE57E7"/>
    <w:rsid w:val="00FE664F"/>
    <w:rsid w:val="00FF06B4"/>
    <w:rsid w:val="00FF15AC"/>
    <w:rsid w:val="00FF29DD"/>
    <w:rsid w:val="00FF60CF"/>
    <w:rsid w:val="00FF695E"/>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081D05BB-9CF5-42B7-91DB-7AEF1AF8D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36DD"/>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F22F81"/>
    <w:pPr>
      <w:ind w:left="720"/>
      <w:contextualSpacing/>
    </w:pPr>
  </w:style>
  <w:style w:type="paragraph" w:styleId="Header">
    <w:name w:val="header"/>
    <w:basedOn w:val="Normal"/>
    <w:link w:val="HeaderChar"/>
    <w:uiPriority w:val="99"/>
    <w:unhideWhenUsed/>
    <w:rsid w:val="006704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04C5"/>
    <w:rPr>
      <w:lang w:val="ro-RO"/>
    </w:rPr>
  </w:style>
  <w:style w:type="paragraph" w:styleId="Footer">
    <w:name w:val="footer"/>
    <w:basedOn w:val="Normal"/>
    <w:link w:val="FooterChar"/>
    <w:uiPriority w:val="99"/>
    <w:unhideWhenUsed/>
    <w:rsid w:val="006704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04C5"/>
    <w:rPr>
      <w:lang w:val="ro-RO"/>
    </w:rPr>
  </w:style>
  <w:style w:type="character" w:styleId="CommentReference">
    <w:name w:val="annotation reference"/>
    <w:basedOn w:val="DefaultParagraphFont"/>
    <w:uiPriority w:val="99"/>
    <w:semiHidden/>
    <w:unhideWhenUsed/>
    <w:rsid w:val="005879EE"/>
    <w:rPr>
      <w:sz w:val="16"/>
      <w:szCs w:val="16"/>
    </w:rPr>
  </w:style>
  <w:style w:type="paragraph" w:styleId="CommentText">
    <w:name w:val="annotation text"/>
    <w:basedOn w:val="Normal"/>
    <w:link w:val="CommentTextChar"/>
    <w:uiPriority w:val="99"/>
    <w:semiHidden/>
    <w:unhideWhenUsed/>
    <w:rsid w:val="005879EE"/>
    <w:pPr>
      <w:spacing w:line="240" w:lineRule="auto"/>
    </w:pPr>
    <w:rPr>
      <w:sz w:val="20"/>
      <w:szCs w:val="20"/>
    </w:rPr>
  </w:style>
  <w:style w:type="character" w:customStyle="1" w:styleId="CommentTextChar">
    <w:name w:val="Comment Text Char"/>
    <w:basedOn w:val="DefaultParagraphFont"/>
    <w:link w:val="CommentText"/>
    <w:uiPriority w:val="99"/>
    <w:semiHidden/>
    <w:rsid w:val="005879EE"/>
    <w:rPr>
      <w:sz w:val="20"/>
      <w:szCs w:val="20"/>
      <w:lang w:val="ro-RO"/>
    </w:rPr>
  </w:style>
  <w:style w:type="paragraph" w:styleId="CommentSubject">
    <w:name w:val="annotation subject"/>
    <w:basedOn w:val="CommentText"/>
    <w:next w:val="CommentText"/>
    <w:link w:val="CommentSubjectChar"/>
    <w:uiPriority w:val="99"/>
    <w:semiHidden/>
    <w:unhideWhenUsed/>
    <w:rsid w:val="005879EE"/>
    <w:rPr>
      <w:b/>
      <w:bCs/>
    </w:rPr>
  </w:style>
  <w:style w:type="character" w:customStyle="1" w:styleId="CommentSubjectChar">
    <w:name w:val="Comment Subject Char"/>
    <w:basedOn w:val="CommentTextChar"/>
    <w:link w:val="CommentSubject"/>
    <w:uiPriority w:val="99"/>
    <w:semiHidden/>
    <w:rsid w:val="005879EE"/>
    <w:rPr>
      <w:b/>
      <w:bCs/>
      <w:sz w:val="20"/>
      <w:szCs w:val="20"/>
      <w:lang w:val="ro-RO"/>
    </w:rPr>
  </w:style>
  <w:style w:type="paragraph" w:styleId="BalloonText">
    <w:name w:val="Balloon Text"/>
    <w:basedOn w:val="Normal"/>
    <w:link w:val="BalloonTextChar"/>
    <w:uiPriority w:val="99"/>
    <w:semiHidden/>
    <w:unhideWhenUsed/>
    <w:rsid w:val="005879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79EE"/>
    <w:rPr>
      <w:rFonts w:ascii="Segoe UI" w:hAnsi="Segoe UI" w:cs="Segoe UI"/>
      <w:sz w:val="18"/>
      <w:szCs w:val="18"/>
      <w:lang w:val="ro-RO"/>
    </w:rPr>
  </w:style>
  <w:style w:type="paragraph" w:styleId="FootnoteText">
    <w:name w:val="footnote text"/>
    <w:aliases w:val="Footnote,Fußnote,Tekst przypisu,Tekst przypisu Znak Znak Znak Znak,Tekst przypisu Znak Znak Znak Znak Znak,Tekst przypisu Znak Znak Znak Znak Znak Znak Znak,Tekst przypisu Znak Znak Znak Znak Znak Znak Znak Znak Zn,fn,single space"/>
    <w:basedOn w:val="Normal"/>
    <w:link w:val="FootnoteTextChar"/>
    <w:uiPriority w:val="99"/>
    <w:unhideWhenUsed/>
    <w:rsid w:val="009746E7"/>
    <w:pPr>
      <w:spacing w:after="0" w:line="240" w:lineRule="auto"/>
    </w:pPr>
    <w:rPr>
      <w:sz w:val="20"/>
      <w:szCs w:val="20"/>
    </w:rPr>
  </w:style>
  <w:style w:type="character" w:customStyle="1" w:styleId="FootnoteTextChar">
    <w:name w:val="Footnote Text Char"/>
    <w:aliases w:val="Footnote Char,Fußnote Char,Tekst przypisu Char,Tekst przypisu Znak Znak Znak Znak Char,Tekst przypisu Znak Znak Znak Znak Znak Char,Tekst przypisu Znak Znak Znak Znak Znak Znak Znak Char,fn Char,single space Char"/>
    <w:basedOn w:val="DefaultParagraphFont"/>
    <w:link w:val="FootnoteText"/>
    <w:uiPriority w:val="99"/>
    <w:rsid w:val="009746E7"/>
    <w:rPr>
      <w:sz w:val="20"/>
      <w:szCs w:val="20"/>
      <w:lang w:val="ro-RO"/>
    </w:rPr>
  </w:style>
  <w:style w:type="character" w:styleId="FootnoteReference">
    <w:name w:val="footnote reference"/>
    <w:aliases w:val="BVI fnr Char1 Char Char Char Char Char Char1 Char Caracter Char Char Char Char Char Char,Footnote Reference Number Char Char Char Char Char Char Char1 Char Caracter Char Char Char Char Char Char Char Char Char Char Caracter,BVI,SUPERS"/>
    <w:basedOn w:val="DefaultParagraphFont"/>
    <w:link w:val="SUPERSChar1"/>
    <w:uiPriority w:val="99"/>
    <w:unhideWhenUsed/>
    <w:rsid w:val="009746E7"/>
    <w:rPr>
      <w:vertAlign w:val="superscript"/>
    </w:rPr>
  </w:style>
  <w:style w:type="character" w:customStyle="1" w:styleId="FootnoteTextChar1">
    <w:name w:val="Footnote Text Char1"/>
    <w:aliases w:val="Footnote Char1,Fußnote Char1,Tekst przypisu Char1,Tekst przypisu Znak Znak Znak Znak Char1,Tekst przypisu Znak Znak Znak Znak Znak Char1,Tekst przypisu Znak Znak Znak Znak Znak Znak Znak Char1,fn Char1,single space Char1"/>
    <w:uiPriority w:val="99"/>
    <w:locked/>
    <w:rsid w:val="00DB67BD"/>
    <w:rPr>
      <w:rFonts w:eastAsia="Calibri"/>
      <w:lang w:val="en-GB"/>
    </w:rPr>
  </w:style>
  <w:style w:type="character" w:customStyle="1" w:styleId="ListParagraphChar">
    <w:name w:val="List Paragraph Char"/>
    <w:link w:val="ListParagraph"/>
    <w:uiPriority w:val="99"/>
    <w:locked/>
    <w:rsid w:val="00DB67BD"/>
    <w:rPr>
      <w:lang w:val="ro-RO"/>
    </w:rPr>
  </w:style>
  <w:style w:type="paragraph" w:customStyle="1" w:styleId="SUPERSChar1">
    <w:name w:val="SUPERS Char1"/>
    <w:basedOn w:val="Normal"/>
    <w:next w:val="Normal"/>
    <w:link w:val="FootnoteReference"/>
    <w:uiPriority w:val="99"/>
    <w:rsid w:val="00DB67BD"/>
    <w:pPr>
      <w:suppressAutoHyphens/>
      <w:spacing w:line="240" w:lineRule="exact"/>
    </w:pPr>
    <w:rPr>
      <w:vertAlign w:val="superscript"/>
      <w:lang w:val="en-US"/>
    </w:rPr>
  </w:style>
  <w:style w:type="paragraph" w:styleId="NormalWeb">
    <w:name w:val="Normal (Web)"/>
    <w:basedOn w:val="Normal"/>
    <w:uiPriority w:val="99"/>
    <w:rsid w:val="00DD52A5"/>
    <w:pPr>
      <w:suppressAutoHyphens/>
      <w:spacing w:after="280" w:line="276" w:lineRule="auto"/>
      <w:ind w:firstLine="709"/>
      <w:jc w:val="both"/>
    </w:pPr>
    <w:rPr>
      <w:rFonts w:ascii="Arial" w:eastAsia="Times New Roman" w:hAnsi="Arial" w:cs="Arial"/>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637782">
      <w:bodyDiv w:val="1"/>
      <w:marLeft w:val="0"/>
      <w:marRight w:val="0"/>
      <w:marTop w:val="0"/>
      <w:marBottom w:val="0"/>
      <w:divBdr>
        <w:top w:val="none" w:sz="0" w:space="0" w:color="auto"/>
        <w:left w:val="none" w:sz="0" w:space="0" w:color="auto"/>
        <w:bottom w:val="none" w:sz="0" w:space="0" w:color="auto"/>
        <w:right w:val="none" w:sz="0" w:space="0" w:color="auto"/>
      </w:divBdr>
    </w:div>
    <w:div w:id="381489058">
      <w:bodyDiv w:val="1"/>
      <w:marLeft w:val="0"/>
      <w:marRight w:val="0"/>
      <w:marTop w:val="0"/>
      <w:marBottom w:val="0"/>
      <w:divBdr>
        <w:top w:val="none" w:sz="0" w:space="0" w:color="auto"/>
        <w:left w:val="none" w:sz="0" w:space="0" w:color="auto"/>
        <w:bottom w:val="none" w:sz="0" w:space="0" w:color="auto"/>
        <w:right w:val="none" w:sz="0" w:space="0" w:color="auto"/>
      </w:divBdr>
    </w:div>
    <w:div w:id="408188320">
      <w:bodyDiv w:val="1"/>
      <w:marLeft w:val="0"/>
      <w:marRight w:val="0"/>
      <w:marTop w:val="0"/>
      <w:marBottom w:val="0"/>
      <w:divBdr>
        <w:top w:val="none" w:sz="0" w:space="0" w:color="auto"/>
        <w:left w:val="none" w:sz="0" w:space="0" w:color="auto"/>
        <w:bottom w:val="none" w:sz="0" w:space="0" w:color="auto"/>
        <w:right w:val="none" w:sz="0" w:space="0" w:color="auto"/>
      </w:divBdr>
      <w:divsChild>
        <w:div w:id="647828452">
          <w:marLeft w:val="0"/>
          <w:marRight w:val="0"/>
          <w:marTop w:val="0"/>
          <w:marBottom w:val="0"/>
          <w:divBdr>
            <w:top w:val="none" w:sz="0" w:space="0" w:color="auto"/>
            <w:left w:val="none" w:sz="0" w:space="0" w:color="auto"/>
            <w:bottom w:val="none" w:sz="0" w:space="0" w:color="auto"/>
            <w:right w:val="none" w:sz="0" w:space="0" w:color="auto"/>
          </w:divBdr>
          <w:divsChild>
            <w:div w:id="1462655684">
              <w:marLeft w:val="0"/>
              <w:marRight w:val="0"/>
              <w:marTop w:val="0"/>
              <w:marBottom w:val="0"/>
              <w:divBdr>
                <w:top w:val="none" w:sz="0" w:space="0" w:color="auto"/>
                <w:left w:val="none" w:sz="0" w:space="0" w:color="auto"/>
                <w:bottom w:val="none" w:sz="0" w:space="0" w:color="auto"/>
                <w:right w:val="none" w:sz="0" w:space="0" w:color="auto"/>
              </w:divBdr>
              <w:divsChild>
                <w:div w:id="58552840">
                  <w:marLeft w:val="0"/>
                  <w:marRight w:val="0"/>
                  <w:marTop w:val="0"/>
                  <w:marBottom w:val="0"/>
                  <w:divBdr>
                    <w:top w:val="none" w:sz="0" w:space="0" w:color="auto"/>
                    <w:left w:val="none" w:sz="0" w:space="0" w:color="auto"/>
                    <w:bottom w:val="none" w:sz="0" w:space="0" w:color="auto"/>
                    <w:right w:val="none" w:sz="0" w:space="0" w:color="auto"/>
                  </w:divBdr>
                  <w:divsChild>
                    <w:div w:id="145440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8576813">
      <w:bodyDiv w:val="1"/>
      <w:marLeft w:val="0"/>
      <w:marRight w:val="0"/>
      <w:marTop w:val="0"/>
      <w:marBottom w:val="0"/>
      <w:divBdr>
        <w:top w:val="none" w:sz="0" w:space="0" w:color="auto"/>
        <w:left w:val="none" w:sz="0" w:space="0" w:color="auto"/>
        <w:bottom w:val="none" w:sz="0" w:space="0" w:color="auto"/>
        <w:right w:val="none" w:sz="0" w:space="0" w:color="auto"/>
      </w:divBdr>
      <w:divsChild>
        <w:div w:id="1433161564">
          <w:marLeft w:val="0"/>
          <w:marRight w:val="0"/>
          <w:marTop w:val="0"/>
          <w:marBottom w:val="0"/>
          <w:divBdr>
            <w:top w:val="none" w:sz="0" w:space="0" w:color="auto"/>
            <w:left w:val="none" w:sz="0" w:space="0" w:color="auto"/>
            <w:bottom w:val="none" w:sz="0" w:space="0" w:color="auto"/>
            <w:right w:val="none" w:sz="0" w:space="0" w:color="auto"/>
          </w:divBdr>
          <w:divsChild>
            <w:div w:id="746417412">
              <w:marLeft w:val="0"/>
              <w:marRight w:val="0"/>
              <w:marTop w:val="0"/>
              <w:marBottom w:val="0"/>
              <w:divBdr>
                <w:top w:val="none" w:sz="0" w:space="0" w:color="auto"/>
                <w:left w:val="none" w:sz="0" w:space="0" w:color="auto"/>
                <w:bottom w:val="none" w:sz="0" w:space="0" w:color="auto"/>
                <w:right w:val="none" w:sz="0" w:space="0" w:color="auto"/>
              </w:divBdr>
              <w:divsChild>
                <w:div w:id="1749644067">
                  <w:marLeft w:val="0"/>
                  <w:marRight w:val="0"/>
                  <w:marTop w:val="0"/>
                  <w:marBottom w:val="0"/>
                  <w:divBdr>
                    <w:top w:val="none" w:sz="0" w:space="0" w:color="auto"/>
                    <w:left w:val="none" w:sz="0" w:space="0" w:color="auto"/>
                    <w:bottom w:val="none" w:sz="0" w:space="0" w:color="auto"/>
                    <w:right w:val="none" w:sz="0" w:space="0" w:color="auto"/>
                  </w:divBdr>
                  <w:divsChild>
                    <w:div w:id="138806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3472528">
      <w:bodyDiv w:val="1"/>
      <w:marLeft w:val="0"/>
      <w:marRight w:val="0"/>
      <w:marTop w:val="0"/>
      <w:marBottom w:val="0"/>
      <w:divBdr>
        <w:top w:val="none" w:sz="0" w:space="0" w:color="auto"/>
        <w:left w:val="none" w:sz="0" w:space="0" w:color="auto"/>
        <w:bottom w:val="none" w:sz="0" w:space="0" w:color="auto"/>
        <w:right w:val="none" w:sz="0" w:space="0" w:color="auto"/>
      </w:divBdr>
    </w:div>
    <w:div w:id="768162832">
      <w:bodyDiv w:val="1"/>
      <w:marLeft w:val="0"/>
      <w:marRight w:val="0"/>
      <w:marTop w:val="0"/>
      <w:marBottom w:val="0"/>
      <w:divBdr>
        <w:top w:val="none" w:sz="0" w:space="0" w:color="auto"/>
        <w:left w:val="none" w:sz="0" w:space="0" w:color="auto"/>
        <w:bottom w:val="none" w:sz="0" w:space="0" w:color="auto"/>
        <w:right w:val="none" w:sz="0" w:space="0" w:color="auto"/>
      </w:divBdr>
    </w:div>
    <w:div w:id="873730224">
      <w:bodyDiv w:val="1"/>
      <w:marLeft w:val="0"/>
      <w:marRight w:val="0"/>
      <w:marTop w:val="0"/>
      <w:marBottom w:val="0"/>
      <w:divBdr>
        <w:top w:val="none" w:sz="0" w:space="0" w:color="auto"/>
        <w:left w:val="none" w:sz="0" w:space="0" w:color="auto"/>
        <w:bottom w:val="none" w:sz="0" w:space="0" w:color="auto"/>
        <w:right w:val="none" w:sz="0" w:space="0" w:color="auto"/>
      </w:divBdr>
    </w:div>
    <w:div w:id="924998957">
      <w:bodyDiv w:val="1"/>
      <w:marLeft w:val="0"/>
      <w:marRight w:val="0"/>
      <w:marTop w:val="0"/>
      <w:marBottom w:val="0"/>
      <w:divBdr>
        <w:top w:val="none" w:sz="0" w:space="0" w:color="auto"/>
        <w:left w:val="none" w:sz="0" w:space="0" w:color="auto"/>
        <w:bottom w:val="none" w:sz="0" w:space="0" w:color="auto"/>
        <w:right w:val="none" w:sz="0" w:space="0" w:color="auto"/>
      </w:divBdr>
    </w:div>
    <w:div w:id="1019239907">
      <w:bodyDiv w:val="1"/>
      <w:marLeft w:val="0"/>
      <w:marRight w:val="0"/>
      <w:marTop w:val="0"/>
      <w:marBottom w:val="0"/>
      <w:divBdr>
        <w:top w:val="none" w:sz="0" w:space="0" w:color="auto"/>
        <w:left w:val="none" w:sz="0" w:space="0" w:color="auto"/>
        <w:bottom w:val="none" w:sz="0" w:space="0" w:color="auto"/>
        <w:right w:val="none" w:sz="0" w:space="0" w:color="auto"/>
      </w:divBdr>
    </w:div>
    <w:div w:id="1175341421">
      <w:bodyDiv w:val="1"/>
      <w:marLeft w:val="0"/>
      <w:marRight w:val="0"/>
      <w:marTop w:val="0"/>
      <w:marBottom w:val="0"/>
      <w:divBdr>
        <w:top w:val="none" w:sz="0" w:space="0" w:color="auto"/>
        <w:left w:val="none" w:sz="0" w:space="0" w:color="auto"/>
        <w:bottom w:val="none" w:sz="0" w:space="0" w:color="auto"/>
        <w:right w:val="none" w:sz="0" w:space="0" w:color="auto"/>
      </w:divBdr>
    </w:div>
    <w:div w:id="1421948275">
      <w:bodyDiv w:val="1"/>
      <w:marLeft w:val="0"/>
      <w:marRight w:val="0"/>
      <w:marTop w:val="0"/>
      <w:marBottom w:val="0"/>
      <w:divBdr>
        <w:top w:val="none" w:sz="0" w:space="0" w:color="auto"/>
        <w:left w:val="none" w:sz="0" w:space="0" w:color="auto"/>
        <w:bottom w:val="none" w:sz="0" w:space="0" w:color="auto"/>
        <w:right w:val="none" w:sz="0" w:space="0" w:color="auto"/>
      </w:divBdr>
    </w:div>
    <w:div w:id="1431007916">
      <w:bodyDiv w:val="1"/>
      <w:marLeft w:val="0"/>
      <w:marRight w:val="0"/>
      <w:marTop w:val="0"/>
      <w:marBottom w:val="0"/>
      <w:divBdr>
        <w:top w:val="none" w:sz="0" w:space="0" w:color="auto"/>
        <w:left w:val="none" w:sz="0" w:space="0" w:color="auto"/>
        <w:bottom w:val="none" w:sz="0" w:space="0" w:color="auto"/>
        <w:right w:val="none" w:sz="0" w:space="0" w:color="auto"/>
      </w:divBdr>
    </w:div>
    <w:div w:id="1521580310">
      <w:bodyDiv w:val="1"/>
      <w:marLeft w:val="0"/>
      <w:marRight w:val="0"/>
      <w:marTop w:val="0"/>
      <w:marBottom w:val="0"/>
      <w:divBdr>
        <w:top w:val="none" w:sz="0" w:space="0" w:color="auto"/>
        <w:left w:val="none" w:sz="0" w:space="0" w:color="auto"/>
        <w:bottom w:val="none" w:sz="0" w:space="0" w:color="auto"/>
        <w:right w:val="none" w:sz="0" w:space="0" w:color="auto"/>
      </w:divBdr>
    </w:div>
    <w:div w:id="1778670762">
      <w:bodyDiv w:val="1"/>
      <w:marLeft w:val="0"/>
      <w:marRight w:val="0"/>
      <w:marTop w:val="0"/>
      <w:marBottom w:val="0"/>
      <w:divBdr>
        <w:top w:val="none" w:sz="0" w:space="0" w:color="auto"/>
        <w:left w:val="none" w:sz="0" w:space="0" w:color="auto"/>
        <w:bottom w:val="none" w:sz="0" w:space="0" w:color="auto"/>
        <w:right w:val="none" w:sz="0" w:space="0" w:color="auto"/>
      </w:divBdr>
    </w:div>
    <w:div w:id="1785925290">
      <w:bodyDiv w:val="1"/>
      <w:marLeft w:val="0"/>
      <w:marRight w:val="0"/>
      <w:marTop w:val="0"/>
      <w:marBottom w:val="0"/>
      <w:divBdr>
        <w:top w:val="none" w:sz="0" w:space="0" w:color="auto"/>
        <w:left w:val="none" w:sz="0" w:space="0" w:color="auto"/>
        <w:bottom w:val="none" w:sz="0" w:space="0" w:color="auto"/>
        <w:right w:val="none" w:sz="0" w:space="0" w:color="auto"/>
      </w:divBdr>
    </w:div>
    <w:div w:id="1824615786">
      <w:bodyDiv w:val="1"/>
      <w:marLeft w:val="0"/>
      <w:marRight w:val="0"/>
      <w:marTop w:val="0"/>
      <w:marBottom w:val="0"/>
      <w:divBdr>
        <w:top w:val="none" w:sz="0" w:space="0" w:color="auto"/>
        <w:left w:val="none" w:sz="0" w:space="0" w:color="auto"/>
        <w:bottom w:val="none" w:sz="0" w:space="0" w:color="auto"/>
        <w:right w:val="none" w:sz="0" w:space="0" w:color="auto"/>
      </w:divBdr>
    </w:div>
    <w:div w:id="1905142466">
      <w:bodyDiv w:val="1"/>
      <w:marLeft w:val="0"/>
      <w:marRight w:val="0"/>
      <w:marTop w:val="0"/>
      <w:marBottom w:val="0"/>
      <w:divBdr>
        <w:top w:val="none" w:sz="0" w:space="0" w:color="auto"/>
        <w:left w:val="none" w:sz="0" w:space="0" w:color="auto"/>
        <w:bottom w:val="none" w:sz="0" w:space="0" w:color="auto"/>
        <w:right w:val="none" w:sz="0" w:space="0" w:color="auto"/>
      </w:divBdr>
    </w:div>
    <w:div w:id="1907298014">
      <w:bodyDiv w:val="1"/>
      <w:marLeft w:val="0"/>
      <w:marRight w:val="0"/>
      <w:marTop w:val="0"/>
      <w:marBottom w:val="0"/>
      <w:divBdr>
        <w:top w:val="none" w:sz="0" w:space="0" w:color="auto"/>
        <w:left w:val="none" w:sz="0" w:space="0" w:color="auto"/>
        <w:bottom w:val="none" w:sz="0" w:space="0" w:color="auto"/>
        <w:right w:val="none" w:sz="0" w:space="0" w:color="auto"/>
      </w:divBdr>
    </w:div>
    <w:div w:id="1911844230">
      <w:bodyDiv w:val="1"/>
      <w:marLeft w:val="0"/>
      <w:marRight w:val="0"/>
      <w:marTop w:val="0"/>
      <w:marBottom w:val="0"/>
      <w:divBdr>
        <w:top w:val="none" w:sz="0" w:space="0" w:color="auto"/>
        <w:left w:val="none" w:sz="0" w:space="0" w:color="auto"/>
        <w:bottom w:val="none" w:sz="0" w:space="0" w:color="auto"/>
        <w:right w:val="none" w:sz="0" w:space="0" w:color="auto"/>
      </w:divBdr>
    </w:div>
    <w:div w:id="2056585668">
      <w:bodyDiv w:val="1"/>
      <w:marLeft w:val="0"/>
      <w:marRight w:val="0"/>
      <w:marTop w:val="0"/>
      <w:marBottom w:val="0"/>
      <w:divBdr>
        <w:top w:val="none" w:sz="0" w:space="0" w:color="auto"/>
        <w:left w:val="none" w:sz="0" w:space="0" w:color="auto"/>
        <w:bottom w:val="none" w:sz="0" w:space="0" w:color="auto"/>
        <w:right w:val="none" w:sz="0" w:space="0" w:color="auto"/>
      </w:divBdr>
    </w:div>
    <w:div w:id="2063092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BF091545DF5430EA6AAEAE65AB5A483"/>
        <w:category>
          <w:name w:val="General"/>
          <w:gallery w:val="placeholder"/>
        </w:category>
        <w:types>
          <w:type w:val="bbPlcHdr"/>
        </w:types>
        <w:behaviors>
          <w:behavior w:val="content"/>
        </w:behaviors>
        <w:guid w:val="{828B5E21-1880-46AD-86CB-EBC6EFD5E32A}"/>
      </w:docPartPr>
      <w:docPartBody>
        <w:p w:rsidR="00ED5B3A" w:rsidRDefault="005F4EA3" w:rsidP="005F4EA3">
          <w:pPr>
            <w:pStyle w:val="6BF091545DF5430EA6AAEAE65AB5A483"/>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hyphenationZone w:val="425"/>
  <w:characterSpacingControl w:val="doNotCompress"/>
  <w:compat>
    <w:useFELayout/>
    <w:compatSetting w:name="compatibilityMode" w:uri="http://schemas.microsoft.com/office/word" w:val="12"/>
  </w:compat>
  <w:rsids>
    <w:rsidRoot w:val="00EC30AA"/>
    <w:rsid w:val="000069C4"/>
    <w:rsid w:val="002201BB"/>
    <w:rsid w:val="00380767"/>
    <w:rsid w:val="003A3581"/>
    <w:rsid w:val="003C565D"/>
    <w:rsid w:val="004C41A1"/>
    <w:rsid w:val="004D7935"/>
    <w:rsid w:val="00521A6A"/>
    <w:rsid w:val="005F4EA3"/>
    <w:rsid w:val="005F5A98"/>
    <w:rsid w:val="006569BF"/>
    <w:rsid w:val="007260C7"/>
    <w:rsid w:val="007E2DAF"/>
    <w:rsid w:val="00A6098D"/>
    <w:rsid w:val="00AA72C7"/>
    <w:rsid w:val="00B34C2B"/>
    <w:rsid w:val="00D35A8A"/>
    <w:rsid w:val="00DC6C38"/>
    <w:rsid w:val="00DF7914"/>
    <w:rsid w:val="00E41BD3"/>
    <w:rsid w:val="00EC30AA"/>
    <w:rsid w:val="00ED5B3A"/>
    <w:rsid w:val="00F46396"/>
    <w:rsid w:val="00F876AA"/>
    <w:rsid w:val="00FD75FA"/>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41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F4EA3"/>
    <w:rPr>
      <w:color w:val="808080"/>
    </w:rPr>
  </w:style>
  <w:style w:type="paragraph" w:customStyle="1" w:styleId="F8C64A9800D0422085EDA2283C482DCF">
    <w:name w:val="F8C64A9800D0422085EDA2283C482DCF"/>
    <w:rsid w:val="00EC30AA"/>
  </w:style>
  <w:style w:type="paragraph" w:customStyle="1" w:styleId="6BF091545DF5430EA6AAEAE65AB5A483">
    <w:name w:val="6BF091545DF5430EA6AAEAE65AB5A483"/>
    <w:rsid w:val="005F4EA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3ED767-BE52-4A39-A6A7-03980EBFB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2760</Words>
  <Characters>15738</Characters>
  <Application>Microsoft Office Word</Application>
  <DocSecurity>0</DocSecurity>
  <Lines>131</Lines>
  <Paragraphs>36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Ministerul Finantelor Publice</Company>
  <LinksUpToDate>false</LinksUpToDate>
  <CharactersWithSpaces>18462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RAPORT PRIVIND EXECUȚIA BUGETARĂ PE TRIMESTRUL AL iiI-LEA AL ANULUI 2020</dc:creator>
  <cp:lastModifiedBy>FLORIN-ANDREI DAIA</cp:lastModifiedBy>
  <cp:revision>3</cp:revision>
  <cp:lastPrinted>2020-09-15T08:19:00Z</cp:lastPrinted>
  <dcterms:created xsi:type="dcterms:W3CDTF">2020-10-30T09:05:00Z</dcterms:created>
  <dcterms:modified xsi:type="dcterms:W3CDTF">2020-10-30T09:25:00Z</dcterms:modified>
</cp:coreProperties>
</file>