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color w:val="auto"/>
          <w:sz w:val="22"/>
          <w:szCs w:val="22"/>
          <w:lang w:val="ro-RO"/>
        </w:rPr>
        <w:id w:val="-1877152274"/>
        <w:docPartObj>
          <w:docPartGallery w:val="Table of Contents"/>
          <w:docPartUnique/>
        </w:docPartObj>
      </w:sdtPr>
      <w:sdtEndPr>
        <w:rPr>
          <w:b/>
          <w:bCs/>
          <w:noProof/>
        </w:rPr>
      </w:sdtEndPr>
      <w:sdtContent>
        <w:p w:rsidR="00F22950" w:rsidRPr="009C6832" w:rsidRDefault="00F22950" w:rsidP="0047638C">
          <w:pPr>
            <w:pStyle w:val="TOCHeading"/>
            <w:rPr>
              <w:rFonts w:asciiTheme="minorHAnsi" w:eastAsiaTheme="minorHAnsi" w:hAnsiTheme="minorHAnsi" w:cstheme="minorBidi"/>
              <w:color w:val="auto"/>
              <w:sz w:val="22"/>
              <w:szCs w:val="22"/>
              <w:lang w:val="ro-RO"/>
            </w:rPr>
          </w:pPr>
        </w:p>
        <w:p w:rsidR="00F22950" w:rsidRPr="009C6832" w:rsidRDefault="00F22950" w:rsidP="0047638C">
          <w:pPr>
            <w:pStyle w:val="TOCHeading"/>
            <w:rPr>
              <w:rFonts w:asciiTheme="minorHAnsi" w:eastAsiaTheme="minorHAnsi" w:hAnsiTheme="minorHAnsi" w:cstheme="minorBidi"/>
              <w:color w:val="auto"/>
              <w:sz w:val="22"/>
              <w:szCs w:val="22"/>
              <w:lang w:val="ro-RO"/>
            </w:rPr>
          </w:pPr>
        </w:p>
        <w:p w:rsidR="00F22950" w:rsidRPr="009C6832" w:rsidRDefault="00F22950" w:rsidP="0047638C">
          <w:pPr>
            <w:pStyle w:val="TOCHeading"/>
            <w:rPr>
              <w:rFonts w:asciiTheme="minorHAnsi" w:eastAsiaTheme="minorHAnsi" w:hAnsiTheme="minorHAnsi" w:cstheme="minorBidi"/>
              <w:color w:val="auto"/>
              <w:sz w:val="22"/>
              <w:szCs w:val="22"/>
              <w:lang w:val="ro-RO"/>
            </w:rPr>
          </w:pPr>
        </w:p>
        <w:p w:rsidR="00F22950" w:rsidRPr="009C6832" w:rsidRDefault="00F22950" w:rsidP="00F22950"/>
        <w:p w:rsidR="00F22950" w:rsidRPr="009C6832" w:rsidRDefault="00F22950" w:rsidP="00F22950"/>
        <w:p w:rsidR="00F22950" w:rsidRPr="009C6832" w:rsidRDefault="00F22950" w:rsidP="00F22950"/>
        <w:p w:rsidR="00F22950" w:rsidRPr="009C6832" w:rsidRDefault="00F22950" w:rsidP="00F22950"/>
        <w:p w:rsidR="00F22950" w:rsidRPr="009C6832" w:rsidRDefault="00F22950" w:rsidP="00F22950"/>
        <w:p w:rsidR="00F22950" w:rsidRPr="009C6832" w:rsidRDefault="00F22950" w:rsidP="00F22950"/>
        <w:p w:rsidR="00F22950" w:rsidRPr="009C6832" w:rsidRDefault="00F22950" w:rsidP="00F22950"/>
        <w:p w:rsidR="00F22950" w:rsidRPr="009C6832" w:rsidRDefault="00F22950" w:rsidP="00F22950">
          <w:pPr>
            <w:jc w:val="center"/>
            <w:rPr>
              <w:b/>
              <w:bCs/>
              <w:sz w:val="40"/>
              <w:szCs w:val="40"/>
            </w:rPr>
          </w:pPr>
          <w:r w:rsidRPr="009C6832">
            <w:rPr>
              <w:b/>
              <w:bCs/>
              <w:sz w:val="40"/>
              <w:szCs w:val="40"/>
            </w:rPr>
            <w:t xml:space="preserve">Raport privind </w:t>
          </w:r>
          <w:r w:rsidR="00A442C4" w:rsidRPr="009C6832">
            <w:rPr>
              <w:b/>
              <w:bCs/>
              <w:sz w:val="40"/>
              <w:szCs w:val="40"/>
            </w:rPr>
            <w:t>situația</w:t>
          </w:r>
          <w:r w:rsidRPr="009C6832">
            <w:rPr>
              <w:b/>
              <w:bCs/>
              <w:sz w:val="40"/>
              <w:szCs w:val="40"/>
            </w:rPr>
            <w:t xml:space="preserve"> economică şi bugetară</w:t>
          </w:r>
        </w:p>
        <w:p w:rsidR="00F22950" w:rsidRPr="009C6832" w:rsidRDefault="00F22950" w:rsidP="00F22950">
          <w:pPr>
            <w:jc w:val="center"/>
            <w:rPr>
              <w:b/>
              <w:bCs/>
              <w:sz w:val="40"/>
              <w:szCs w:val="40"/>
            </w:rPr>
          </w:pPr>
          <w:r w:rsidRPr="009C6832">
            <w:rPr>
              <w:b/>
              <w:bCs/>
              <w:sz w:val="40"/>
              <w:szCs w:val="40"/>
            </w:rPr>
            <w:t xml:space="preserve">pe primele </w:t>
          </w:r>
          <w:r w:rsidR="00A442C4" w:rsidRPr="009C6832">
            <w:rPr>
              <w:b/>
              <w:bCs/>
              <w:sz w:val="40"/>
              <w:szCs w:val="40"/>
            </w:rPr>
            <w:t>șase</w:t>
          </w:r>
          <w:r w:rsidRPr="009C6832">
            <w:rPr>
              <w:b/>
              <w:bCs/>
              <w:sz w:val="40"/>
              <w:szCs w:val="40"/>
            </w:rPr>
            <w:t xml:space="preserve"> luni ale anului </w:t>
          </w:r>
          <w:r w:rsidR="007B1A18" w:rsidRPr="009C6832">
            <w:rPr>
              <w:b/>
              <w:bCs/>
              <w:sz w:val="40"/>
              <w:szCs w:val="40"/>
            </w:rPr>
            <w:t>2017</w:t>
          </w:r>
        </w:p>
        <w:p w:rsidR="00F22950" w:rsidRPr="009C6832" w:rsidRDefault="00F22950" w:rsidP="00F22950"/>
        <w:p w:rsidR="00F22950" w:rsidRPr="009C6832" w:rsidRDefault="00F22950" w:rsidP="0047638C">
          <w:pPr>
            <w:pStyle w:val="TOCHeading"/>
            <w:rPr>
              <w:rFonts w:asciiTheme="minorHAnsi" w:eastAsiaTheme="minorHAnsi" w:hAnsiTheme="minorHAnsi" w:cstheme="minorBidi"/>
              <w:color w:val="auto"/>
              <w:sz w:val="22"/>
              <w:szCs w:val="22"/>
              <w:lang w:val="ro-RO"/>
            </w:rPr>
          </w:pPr>
        </w:p>
        <w:p w:rsidR="00F22950" w:rsidRPr="009C6832" w:rsidRDefault="00F22950" w:rsidP="0047638C">
          <w:pPr>
            <w:pStyle w:val="TOCHeading"/>
            <w:rPr>
              <w:rFonts w:asciiTheme="minorHAnsi" w:eastAsiaTheme="minorHAnsi" w:hAnsiTheme="minorHAnsi" w:cstheme="minorBidi"/>
              <w:color w:val="auto"/>
              <w:sz w:val="22"/>
              <w:szCs w:val="22"/>
              <w:lang w:val="ro-RO"/>
            </w:rPr>
          </w:pPr>
        </w:p>
        <w:p w:rsidR="00F22950" w:rsidRPr="009C6832" w:rsidRDefault="00F22950" w:rsidP="00F22950"/>
        <w:p w:rsidR="00F22950" w:rsidRPr="009C6832" w:rsidRDefault="00F22950" w:rsidP="00F22950"/>
        <w:p w:rsidR="00F22950" w:rsidRPr="009C6832" w:rsidRDefault="00F22950" w:rsidP="00F22950"/>
        <w:p w:rsidR="00F22950" w:rsidRPr="009C6832" w:rsidRDefault="00F22950" w:rsidP="00F22950"/>
        <w:p w:rsidR="00F22950" w:rsidRPr="009C6832" w:rsidRDefault="00F22950" w:rsidP="0047638C">
          <w:pPr>
            <w:pStyle w:val="TOCHeading"/>
            <w:rPr>
              <w:rFonts w:asciiTheme="minorHAnsi" w:eastAsiaTheme="minorHAnsi" w:hAnsiTheme="minorHAnsi" w:cstheme="minorBidi"/>
              <w:color w:val="auto"/>
              <w:sz w:val="22"/>
              <w:szCs w:val="22"/>
              <w:lang w:val="ro-RO"/>
            </w:rPr>
          </w:pPr>
        </w:p>
        <w:p w:rsidR="00F22950" w:rsidRPr="009C6832" w:rsidRDefault="00F22950" w:rsidP="0047638C">
          <w:pPr>
            <w:pStyle w:val="TOCHeading"/>
            <w:rPr>
              <w:rFonts w:asciiTheme="minorHAnsi" w:eastAsiaTheme="minorHAnsi" w:hAnsiTheme="minorHAnsi" w:cstheme="minorBidi"/>
              <w:color w:val="auto"/>
              <w:sz w:val="22"/>
              <w:szCs w:val="22"/>
              <w:lang w:val="ro-RO"/>
            </w:rPr>
          </w:pPr>
        </w:p>
        <w:p w:rsidR="00F22950" w:rsidRPr="009C6832" w:rsidRDefault="00F22950" w:rsidP="0047638C">
          <w:pPr>
            <w:pStyle w:val="TOCHeading"/>
            <w:rPr>
              <w:rFonts w:asciiTheme="minorHAnsi" w:eastAsiaTheme="minorHAnsi" w:hAnsiTheme="minorHAnsi" w:cstheme="minorBidi"/>
              <w:color w:val="auto"/>
              <w:sz w:val="22"/>
              <w:szCs w:val="22"/>
              <w:lang w:val="ro-RO"/>
            </w:rPr>
          </w:pPr>
        </w:p>
        <w:p w:rsidR="00F22950" w:rsidRPr="009C6832" w:rsidRDefault="00F22950" w:rsidP="0047638C">
          <w:pPr>
            <w:pStyle w:val="TOCHeading"/>
            <w:rPr>
              <w:rFonts w:asciiTheme="minorHAnsi" w:eastAsiaTheme="minorHAnsi" w:hAnsiTheme="minorHAnsi" w:cstheme="minorBidi"/>
              <w:color w:val="auto"/>
              <w:sz w:val="22"/>
              <w:szCs w:val="22"/>
              <w:lang w:val="ro-RO"/>
            </w:rPr>
          </w:pPr>
        </w:p>
        <w:p w:rsidR="00F22950" w:rsidRPr="009C6832" w:rsidRDefault="00F22950" w:rsidP="0047638C">
          <w:pPr>
            <w:pStyle w:val="TOCHeading"/>
            <w:rPr>
              <w:rFonts w:asciiTheme="minorHAnsi" w:eastAsiaTheme="minorHAnsi" w:hAnsiTheme="minorHAnsi" w:cstheme="minorBidi"/>
              <w:color w:val="auto"/>
              <w:sz w:val="22"/>
              <w:szCs w:val="22"/>
              <w:lang w:val="ro-RO"/>
            </w:rPr>
          </w:pPr>
        </w:p>
        <w:p w:rsidR="00F22950" w:rsidRPr="009C6832" w:rsidRDefault="00F22950" w:rsidP="0047638C">
          <w:pPr>
            <w:pStyle w:val="TOCHeading"/>
            <w:rPr>
              <w:rFonts w:asciiTheme="minorHAnsi" w:eastAsiaTheme="minorHAnsi" w:hAnsiTheme="minorHAnsi" w:cstheme="minorBidi"/>
              <w:color w:val="auto"/>
              <w:sz w:val="22"/>
              <w:szCs w:val="22"/>
              <w:lang w:val="ro-RO"/>
            </w:rPr>
          </w:pPr>
        </w:p>
        <w:p w:rsidR="00F22950" w:rsidRPr="009C6832" w:rsidRDefault="00F22950" w:rsidP="0047638C">
          <w:pPr>
            <w:pStyle w:val="TOCHeading"/>
            <w:rPr>
              <w:rFonts w:asciiTheme="minorHAnsi" w:eastAsiaTheme="minorHAnsi" w:hAnsiTheme="minorHAnsi" w:cstheme="minorBidi"/>
              <w:color w:val="auto"/>
              <w:sz w:val="22"/>
              <w:szCs w:val="22"/>
              <w:lang w:val="ro-RO"/>
            </w:rPr>
          </w:pPr>
        </w:p>
        <w:p w:rsidR="00F22950" w:rsidRPr="009C6832" w:rsidRDefault="00F22950" w:rsidP="0047638C">
          <w:pPr>
            <w:pStyle w:val="TOCHeading"/>
            <w:rPr>
              <w:rFonts w:asciiTheme="minorHAnsi" w:eastAsiaTheme="minorHAnsi" w:hAnsiTheme="minorHAnsi" w:cstheme="minorBidi"/>
              <w:color w:val="auto"/>
              <w:sz w:val="22"/>
              <w:szCs w:val="22"/>
              <w:lang w:val="ro-RO"/>
            </w:rPr>
          </w:pPr>
        </w:p>
        <w:p w:rsidR="007C4F03" w:rsidRPr="009C6832" w:rsidRDefault="00601209" w:rsidP="0047638C">
          <w:pPr>
            <w:pStyle w:val="TOCHeading"/>
            <w:rPr>
              <w:rFonts w:asciiTheme="minorHAnsi" w:hAnsiTheme="minorHAnsi" w:cs="Arial"/>
              <w:b/>
              <w:color w:val="auto"/>
              <w:sz w:val="36"/>
              <w:lang w:val="ro-RO"/>
            </w:rPr>
          </w:pPr>
          <w:r w:rsidRPr="009C6832">
            <w:rPr>
              <w:rFonts w:asciiTheme="minorHAnsi" w:hAnsiTheme="minorHAnsi" w:cs="Arial"/>
              <w:b/>
              <w:color w:val="auto"/>
              <w:lang w:val="ro-RO"/>
            </w:rPr>
            <w:t>Cuprins</w:t>
          </w:r>
        </w:p>
        <w:p w:rsidR="00601209" w:rsidRPr="009C6832" w:rsidRDefault="00601209" w:rsidP="0047638C"/>
        <w:p w:rsidR="00AC4B34" w:rsidRPr="009C6832" w:rsidRDefault="0091356D" w:rsidP="00197AF4">
          <w:pPr>
            <w:pStyle w:val="TOC1"/>
            <w:spacing w:line="480" w:lineRule="auto"/>
            <w:rPr>
              <w:rFonts w:eastAsiaTheme="minorEastAsia" w:cs="Arial"/>
              <w:noProof/>
              <w:sz w:val="28"/>
              <w:szCs w:val="28"/>
              <w:lang w:eastAsia="ro-RO"/>
            </w:rPr>
          </w:pPr>
          <w:r w:rsidRPr="009C6832">
            <w:fldChar w:fldCharType="begin"/>
          </w:r>
          <w:r w:rsidR="007C4F03" w:rsidRPr="009C6832">
            <w:instrText xml:space="preserve"> TOC \o "1-3" \h \z \u </w:instrText>
          </w:r>
          <w:r w:rsidRPr="009C6832">
            <w:fldChar w:fldCharType="separate"/>
          </w:r>
          <w:hyperlink w:anchor="_Toc456259611" w:history="1">
            <w:r w:rsidR="00AC4B34" w:rsidRPr="009C6832">
              <w:rPr>
                <w:rStyle w:val="Hyperlink"/>
                <w:rFonts w:cs="Arial"/>
                <w:b/>
                <w:noProof/>
                <w:sz w:val="28"/>
                <w:szCs w:val="28"/>
              </w:rPr>
              <w:t>I.</w:t>
            </w:r>
            <w:r w:rsidR="00AC4B34" w:rsidRPr="009C6832">
              <w:rPr>
                <w:rFonts w:eastAsiaTheme="minorEastAsia" w:cs="Arial"/>
                <w:noProof/>
                <w:sz w:val="28"/>
                <w:szCs w:val="28"/>
                <w:lang w:eastAsia="ro-RO"/>
              </w:rPr>
              <w:tab/>
            </w:r>
            <w:r w:rsidR="00AC4B34" w:rsidRPr="009C6832">
              <w:rPr>
                <w:rStyle w:val="Hyperlink"/>
                <w:rFonts w:cs="Arial"/>
                <w:b/>
                <w:noProof/>
                <w:sz w:val="28"/>
                <w:szCs w:val="28"/>
              </w:rPr>
              <w:t>Evoluţii macroeconomice recente ale economiei româneşti</w:t>
            </w:r>
            <w:r w:rsidR="00AC4B34" w:rsidRPr="009C6832">
              <w:rPr>
                <w:rFonts w:cs="Arial"/>
                <w:noProof/>
                <w:webHidden/>
                <w:sz w:val="28"/>
                <w:szCs w:val="28"/>
              </w:rPr>
              <w:tab/>
            </w:r>
            <w:r w:rsidRPr="009C6832">
              <w:rPr>
                <w:rFonts w:cs="Arial"/>
                <w:noProof/>
                <w:webHidden/>
                <w:sz w:val="28"/>
                <w:szCs w:val="28"/>
              </w:rPr>
              <w:fldChar w:fldCharType="begin"/>
            </w:r>
            <w:r w:rsidR="00AC4B34" w:rsidRPr="009C6832">
              <w:rPr>
                <w:rFonts w:cs="Arial"/>
                <w:noProof/>
                <w:webHidden/>
                <w:sz w:val="28"/>
                <w:szCs w:val="28"/>
              </w:rPr>
              <w:instrText xml:space="preserve"> PAGEREF _Toc456259611 \h </w:instrText>
            </w:r>
            <w:r w:rsidRPr="009C6832">
              <w:rPr>
                <w:rFonts w:cs="Arial"/>
                <w:noProof/>
                <w:webHidden/>
                <w:sz w:val="28"/>
                <w:szCs w:val="28"/>
              </w:rPr>
            </w:r>
            <w:r w:rsidRPr="009C6832">
              <w:rPr>
                <w:rFonts w:cs="Arial"/>
                <w:noProof/>
                <w:webHidden/>
                <w:sz w:val="28"/>
                <w:szCs w:val="28"/>
              </w:rPr>
              <w:fldChar w:fldCharType="separate"/>
            </w:r>
            <w:r w:rsidR="00C410EC">
              <w:rPr>
                <w:rFonts w:cs="Arial"/>
                <w:noProof/>
                <w:webHidden/>
                <w:sz w:val="28"/>
                <w:szCs w:val="28"/>
              </w:rPr>
              <w:t>2</w:t>
            </w:r>
            <w:r w:rsidRPr="009C6832">
              <w:rPr>
                <w:rFonts w:cs="Arial"/>
                <w:noProof/>
                <w:webHidden/>
                <w:sz w:val="28"/>
                <w:szCs w:val="28"/>
              </w:rPr>
              <w:fldChar w:fldCharType="end"/>
            </w:r>
          </w:hyperlink>
        </w:p>
        <w:p w:rsidR="00AC4B34" w:rsidRPr="009C6832" w:rsidRDefault="00974E1A" w:rsidP="00197AF4">
          <w:pPr>
            <w:pStyle w:val="TOC1"/>
            <w:spacing w:line="480" w:lineRule="auto"/>
            <w:rPr>
              <w:rFonts w:eastAsiaTheme="minorEastAsia" w:cs="Arial"/>
              <w:noProof/>
              <w:sz w:val="28"/>
              <w:szCs w:val="28"/>
              <w:lang w:eastAsia="ro-RO"/>
            </w:rPr>
          </w:pPr>
          <w:hyperlink w:anchor="_Toc456259612" w:history="1">
            <w:r w:rsidR="00AC4B34" w:rsidRPr="009C6832">
              <w:rPr>
                <w:rStyle w:val="Hyperlink"/>
                <w:rFonts w:cs="Arial"/>
                <w:b/>
                <w:noProof/>
                <w:sz w:val="28"/>
                <w:szCs w:val="28"/>
              </w:rPr>
              <w:t>II.</w:t>
            </w:r>
            <w:r w:rsidR="00AC4B34" w:rsidRPr="009C6832">
              <w:rPr>
                <w:rFonts w:eastAsiaTheme="minorEastAsia" w:cs="Arial"/>
                <w:noProof/>
                <w:sz w:val="28"/>
                <w:szCs w:val="28"/>
                <w:lang w:eastAsia="ro-RO"/>
              </w:rPr>
              <w:tab/>
            </w:r>
            <w:r w:rsidR="00AC4B34" w:rsidRPr="009C6832">
              <w:rPr>
                <w:rStyle w:val="Hyperlink"/>
                <w:rFonts w:cs="Arial"/>
                <w:b/>
                <w:noProof/>
                <w:sz w:val="28"/>
                <w:szCs w:val="28"/>
              </w:rPr>
              <w:t xml:space="preserve">Politica fiscal-bugetară </w:t>
            </w:r>
            <w:r w:rsidR="00191D8D" w:rsidRPr="009C6832">
              <w:rPr>
                <w:rStyle w:val="Hyperlink"/>
                <w:rFonts w:cs="Arial"/>
                <w:b/>
                <w:noProof/>
                <w:sz w:val="28"/>
                <w:szCs w:val="28"/>
              </w:rPr>
              <w:t>aferentă</w:t>
            </w:r>
            <w:r w:rsidR="00AC4B34" w:rsidRPr="009C6832">
              <w:rPr>
                <w:rStyle w:val="Hyperlink"/>
                <w:rFonts w:cs="Arial"/>
                <w:b/>
                <w:noProof/>
                <w:sz w:val="28"/>
                <w:szCs w:val="28"/>
              </w:rPr>
              <w:t xml:space="preserve"> anul</w:t>
            </w:r>
            <w:r w:rsidR="00191D8D" w:rsidRPr="009C6832">
              <w:rPr>
                <w:rStyle w:val="Hyperlink"/>
                <w:rFonts w:cs="Arial"/>
                <w:b/>
                <w:noProof/>
                <w:sz w:val="28"/>
                <w:szCs w:val="28"/>
              </w:rPr>
              <w:t>ui</w:t>
            </w:r>
            <w:r w:rsidR="00AC4B34" w:rsidRPr="009C6832">
              <w:rPr>
                <w:rStyle w:val="Hyperlink"/>
                <w:rFonts w:cs="Arial"/>
                <w:b/>
                <w:noProof/>
                <w:sz w:val="28"/>
                <w:szCs w:val="28"/>
              </w:rPr>
              <w:t xml:space="preserve"> 201</w:t>
            </w:r>
            <w:r w:rsidR="00DD201B" w:rsidRPr="009C6832">
              <w:rPr>
                <w:rStyle w:val="Hyperlink"/>
                <w:rFonts w:cs="Arial"/>
                <w:b/>
                <w:noProof/>
                <w:sz w:val="28"/>
                <w:szCs w:val="28"/>
              </w:rPr>
              <w:t>7</w:t>
            </w:r>
            <w:r w:rsidR="00AC4B34" w:rsidRPr="009C6832">
              <w:rPr>
                <w:rFonts w:cs="Arial"/>
                <w:noProof/>
                <w:webHidden/>
                <w:sz w:val="28"/>
                <w:szCs w:val="28"/>
              </w:rPr>
              <w:tab/>
            </w:r>
            <w:r w:rsidR="0091356D" w:rsidRPr="009C6832">
              <w:rPr>
                <w:rFonts w:cs="Arial"/>
                <w:noProof/>
                <w:webHidden/>
                <w:sz w:val="28"/>
                <w:szCs w:val="28"/>
              </w:rPr>
              <w:fldChar w:fldCharType="begin"/>
            </w:r>
            <w:r w:rsidR="00AC4B34" w:rsidRPr="009C6832">
              <w:rPr>
                <w:rFonts w:cs="Arial"/>
                <w:noProof/>
                <w:webHidden/>
                <w:sz w:val="28"/>
                <w:szCs w:val="28"/>
              </w:rPr>
              <w:instrText xml:space="preserve"> PAGEREF _Toc456259612 \h </w:instrText>
            </w:r>
            <w:r w:rsidR="0091356D" w:rsidRPr="009C6832">
              <w:rPr>
                <w:rFonts w:cs="Arial"/>
                <w:noProof/>
                <w:webHidden/>
                <w:sz w:val="28"/>
                <w:szCs w:val="28"/>
              </w:rPr>
            </w:r>
            <w:r w:rsidR="0091356D" w:rsidRPr="009C6832">
              <w:rPr>
                <w:rFonts w:cs="Arial"/>
                <w:noProof/>
                <w:webHidden/>
                <w:sz w:val="28"/>
                <w:szCs w:val="28"/>
              </w:rPr>
              <w:fldChar w:fldCharType="separate"/>
            </w:r>
            <w:r w:rsidR="00C410EC">
              <w:rPr>
                <w:rFonts w:cs="Arial"/>
                <w:noProof/>
                <w:webHidden/>
                <w:sz w:val="28"/>
                <w:szCs w:val="28"/>
              </w:rPr>
              <w:t>7</w:t>
            </w:r>
            <w:r w:rsidR="0091356D" w:rsidRPr="009C6832">
              <w:rPr>
                <w:rFonts w:cs="Arial"/>
                <w:noProof/>
                <w:webHidden/>
                <w:sz w:val="28"/>
                <w:szCs w:val="28"/>
              </w:rPr>
              <w:fldChar w:fldCharType="end"/>
            </w:r>
          </w:hyperlink>
        </w:p>
        <w:p w:rsidR="00AC4B34" w:rsidRPr="009C6832" w:rsidRDefault="00974E1A" w:rsidP="00197AF4">
          <w:pPr>
            <w:pStyle w:val="TOC1"/>
            <w:spacing w:line="480" w:lineRule="auto"/>
            <w:rPr>
              <w:rFonts w:eastAsiaTheme="minorEastAsia" w:cs="Arial"/>
              <w:noProof/>
              <w:sz w:val="28"/>
              <w:szCs w:val="28"/>
              <w:lang w:eastAsia="ro-RO"/>
            </w:rPr>
          </w:pPr>
          <w:hyperlink w:anchor="_Toc456259613" w:history="1">
            <w:r w:rsidR="00AC4B34" w:rsidRPr="009C6832">
              <w:rPr>
                <w:rStyle w:val="Hyperlink"/>
                <w:rFonts w:cs="Arial"/>
                <w:b/>
                <w:noProof/>
                <w:sz w:val="28"/>
                <w:szCs w:val="28"/>
              </w:rPr>
              <w:t>III.</w:t>
            </w:r>
            <w:r w:rsidR="00AC4B34" w:rsidRPr="009C6832">
              <w:rPr>
                <w:rFonts w:eastAsiaTheme="minorEastAsia" w:cs="Arial"/>
                <w:noProof/>
                <w:sz w:val="28"/>
                <w:szCs w:val="28"/>
                <w:lang w:eastAsia="ro-RO"/>
              </w:rPr>
              <w:tab/>
            </w:r>
            <w:r w:rsidR="00AC4B34" w:rsidRPr="009C6832">
              <w:rPr>
                <w:rStyle w:val="Hyperlink"/>
                <w:rFonts w:cs="Arial"/>
                <w:b/>
                <w:noProof/>
                <w:sz w:val="28"/>
                <w:szCs w:val="28"/>
              </w:rPr>
              <w:t xml:space="preserve">Execuția bugetară pe </w:t>
            </w:r>
            <w:r w:rsidR="00191D8D" w:rsidRPr="009C6832">
              <w:rPr>
                <w:rStyle w:val="Hyperlink"/>
                <w:rFonts w:cs="Arial"/>
                <w:b/>
                <w:noProof/>
                <w:sz w:val="28"/>
                <w:szCs w:val="28"/>
              </w:rPr>
              <w:t xml:space="preserve">primul semestru al </w:t>
            </w:r>
            <w:r w:rsidR="00AC4B34" w:rsidRPr="009C6832">
              <w:rPr>
                <w:rStyle w:val="Hyperlink"/>
                <w:rFonts w:cs="Arial"/>
                <w:b/>
                <w:noProof/>
                <w:sz w:val="28"/>
                <w:szCs w:val="28"/>
              </w:rPr>
              <w:t>anului 201</w:t>
            </w:r>
            <w:r w:rsidR="00DD201B" w:rsidRPr="009C6832">
              <w:rPr>
                <w:rStyle w:val="Hyperlink"/>
                <w:rFonts w:cs="Arial"/>
                <w:b/>
                <w:noProof/>
                <w:sz w:val="28"/>
                <w:szCs w:val="28"/>
              </w:rPr>
              <w:t>7</w:t>
            </w:r>
            <w:r w:rsidR="00AC4B34" w:rsidRPr="009C6832">
              <w:rPr>
                <w:rFonts w:cs="Arial"/>
                <w:noProof/>
                <w:webHidden/>
                <w:sz w:val="28"/>
                <w:szCs w:val="28"/>
              </w:rPr>
              <w:tab/>
            </w:r>
            <w:r w:rsidR="0091356D" w:rsidRPr="009C6832">
              <w:rPr>
                <w:rFonts w:cs="Arial"/>
                <w:noProof/>
                <w:webHidden/>
                <w:sz w:val="28"/>
                <w:szCs w:val="28"/>
              </w:rPr>
              <w:fldChar w:fldCharType="begin"/>
            </w:r>
            <w:r w:rsidR="00AC4B34" w:rsidRPr="009C6832">
              <w:rPr>
                <w:rFonts w:cs="Arial"/>
                <w:noProof/>
                <w:webHidden/>
                <w:sz w:val="28"/>
                <w:szCs w:val="28"/>
              </w:rPr>
              <w:instrText xml:space="preserve"> PAGEREF _Toc456259613 \h </w:instrText>
            </w:r>
            <w:r w:rsidR="0091356D" w:rsidRPr="009C6832">
              <w:rPr>
                <w:rFonts w:cs="Arial"/>
                <w:noProof/>
                <w:webHidden/>
                <w:sz w:val="28"/>
                <w:szCs w:val="28"/>
              </w:rPr>
            </w:r>
            <w:r w:rsidR="0091356D" w:rsidRPr="009C6832">
              <w:rPr>
                <w:rFonts w:cs="Arial"/>
                <w:noProof/>
                <w:webHidden/>
                <w:sz w:val="28"/>
                <w:szCs w:val="28"/>
              </w:rPr>
              <w:fldChar w:fldCharType="separate"/>
            </w:r>
            <w:r w:rsidR="00C410EC">
              <w:rPr>
                <w:rFonts w:cs="Arial"/>
                <w:noProof/>
                <w:webHidden/>
                <w:sz w:val="28"/>
                <w:szCs w:val="28"/>
              </w:rPr>
              <w:t>14</w:t>
            </w:r>
            <w:r w:rsidR="0091356D" w:rsidRPr="009C6832">
              <w:rPr>
                <w:rFonts w:cs="Arial"/>
                <w:noProof/>
                <w:webHidden/>
                <w:sz w:val="28"/>
                <w:szCs w:val="28"/>
              </w:rPr>
              <w:fldChar w:fldCharType="end"/>
            </w:r>
          </w:hyperlink>
        </w:p>
        <w:p w:rsidR="00AC4B34" w:rsidRPr="009C6832" w:rsidRDefault="00974E1A" w:rsidP="00197AF4">
          <w:pPr>
            <w:pStyle w:val="TOC1"/>
            <w:spacing w:line="480" w:lineRule="auto"/>
            <w:rPr>
              <w:rFonts w:eastAsiaTheme="minorEastAsia" w:cs="Arial"/>
              <w:noProof/>
              <w:sz w:val="28"/>
              <w:szCs w:val="28"/>
              <w:lang w:eastAsia="ro-RO"/>
            </w:rPr>
          </w:pPr>
          <w:hyperlink w:anchor="_Toc456259614" w:history="1">
            <w:r w:rsidR="00AC4B34" w:rsidRPr="009C6832">
              <w:rPr>
                <w:rStyle w:val="Hyperlink"/>
                <w:rFonts w:cs="Arial"/>
                <w:b/>
                <w:noProof/>
                <w:sz w:val="28"/>
                <w:szCs w:val="28"/>
              </w:rPr>
              <w:t>IV.</w:t>
            </w:r>
            <w:r w:rsidR="00AC4B34" w:rsidRPr="009C6832">
              <w:rPr>
                <w:rFonts w:eastAsiaTheme="minorEastAsia" w:cs="Arial"/>
                <w:noProof/>
                <w:sz w:val="28"/>
                <w:szCs w:val="28"/>
                <w:lang w:eastAsia="ro-RO"/>
              </w:rPr>
              <w:tab/>
            </w:r>
            <w:r w:rsidR="00AC4B34" w:rsidRPr="009C6832">
              <w:rPr>
                <w:rStyle w:val="Hyperlink"/>
                <w:rFonts w:cs="Arial"/>
                <w:b/>
                <w:noProof/>
                <w:sz w:val="28"/>
                <w:szCs w:val="28"/>
              </w:rPr>
              <w:t>Finanțarea deficitului bugetar şi datoria publică</w:t>
            </w:r>
            <w:r w:rsidR="00AC4B34" w:rsidRPr="009C6832">
              <w:rPr>
                <w:rFonts w:cs="Arial"/>
                <w:noProof/>
                <w:webHidden/>
                <w:sz w:val="28"/>
                <w:szCs w:val="28"/>
              </w:rPr>
              <w:tab/>
            </w:r>
            <w:r w:rsidR="0091356D" w:rsidRPr="009C6832">
              <w:rPr>
                <w:rFonts w:cs="Arial"/>
                <w:noProof/>
                <w:webHidden/>
                <w:sz w:val="28"/>
                <w:szCs w:val="28"/>
              </w:rPr>
              <w:fldChar w:fldCharType="begin"/>
            </w:r>
            <w:r w:rsidR="00AC4B34" w:rsidRPr="009C6832">
              <w:rPr>
                <w:rFonts w:cs="Arial"/>
                <w:noProof/>
                <w:webHidden/>
                <w:sz w:val="28"/>
                <w:szCs w:val="28"/>
              </w:rPr>
              <w:instrText xml:space="preserve"> PAGEREF _Toc456259614 \h </w:instrText>
            </w:r>
            <w:r w:rsidR="0091356D" w:rsidRPr="009C6832">
              <w:rPr>
                <w:rFonts w:cs="Arial"/>
                <w:noProof/>
                <w:webHidden/>
                <w:sz w:val="28"/>
                <w:szCs w:val="28"/>
              </w:rPr>
            </w:r>
            <w:r w:rsidR="0091356D" w:rsidRPr="009C6832">
              <w:rPr>
                <w:rFonts w:cs="Arial"/>
                <w:noProof/>
                <w:webHidden/>
                <w:sz w:val="28"/>
                <w:szCs w:val="28"/>
              </w:rPr>
              <w:fldChar w:fldCharType="separate"/>
            </w:r>
            <w:r w:rsidR="00C410EC">
              <w:rPr>
                <w:rFonts w:cs="Arial"/>
                <w:noProof/>
                <w:webHidden/>
                <w:sz w:val="28"/>
                <w:szCs w:val="28"/>
              </w:rPr>
              <w:t>22</w:t>
            </w:r>
            <w:r w:rsidR="0091356D" w:rsidRPr="009C6832">
              <w:rPr>
                <w:rFonts w:cs="Arial"/>
                <w:noProof/>
                <w:webHidden/>
                <w:sz w:val="28"/>
                <w:szCs w:val="28"/>
              </w:rPr>
              <w:fldChar w:fldCharType="end"/>
            </w:r>
          </w:hyperlink>
        </w:p>
        <w:p w:rsidR="00AC4B34" w:rsidRPr="009C6832" w:rsidRDefault="00974E1A" w:rsidP="00197AF4">
          <w:pPr>
            <w:pStyle w:val="TOC1"/>
            <w:spacing w:line="480" w:lineRule="auto"/>
            <w:rPr>
              <w:rFonts w:eastAsiaTheme="minorEastAsia" w:cs="Arial"/>
              <w:noProof/>
              <w:sz w:val="28"/>
              <w:szCs w:val="28"/>
              <w:lang w:eastAsia="ro-RO"/>
            </w:rPr>
          </w:pPr>
          <w:hyperlink w:anchor="_Toc456259615" w:history="1">
            <w:r w:rsidR="00AC4B34" w:rsidRPr="009C6832">
              <w:rPr>
                <w:rStyle w:val="Hyperlink"/>
                <w:rFonts w:cs="Arial"/>
                <w:b/>
                <w:noProof/>
                <w:sz w:val="28"/>
                <w:szCs w:val="28"/>
              </w:rPr>
              <w:t>V.</w:t>
            </w:r>
            <w:r w:rsidR="00AC4B34" w:rsidRPr="009C6832">
              <w:rPr>
                <w:rFonts w:eastAsiaTheme="minorEastAsia" w:cs="Arial"/>
                <w:noProof/>
                <w:sz w:val="28"/>
                <w:szCs w:val="28"/>
                <w:lang w:eastAsia="ro-RO"/>
              </w:rPr>
              <w:tab/>
            </w:r>
            <w:r w:rsidR="00AC4B34" w:rsidRPr="009C6832">
              <w:rPr>
                <w:rStyle w:val="Hyperlink"/>
                <w:rFonts w:cs="Arial"/>
                <w:b/>
                <w:noProof/>
                <w:sz w:val="28"/>
                <w:szCs w:val="28"/>
              </w:rPr>
              <w:t>Absorbția fondurilor externe nerambursabile</w:t>
            </w:r>
            <w:r w:rsidR="00AC4B34" w:rsidRPr="009C6832">
              <w:rPr>
                <w:rFonts w:cs="Arial"/>
                <w:noProof/>
                <w:webHidden/>
                <w:sz w:val="28"/>
                <w:szCs w:val="28"/>
              </w:rPr>
              <w:tab/>
            </w:r>
            <w:r w:rsidR="0091356D" w:rsidRPr="009C6832">
              <w:rPr>
                <w:rFonts w:cs="Arial"/>
                <w:noProof/>
                <w:webHidden/>
                <w:sz w:val="28"/>
                <w:szCs w:val="28"/>
              </w:rPr>
              <w:fldChar w:fldCharType="begin"/>
            </w:r>
            <w:r w:rsidR="00AC4B34" w:rsidRPr="009C6832">
              <w:rPr>
                <w:rFonts w:cs="Arial"/>
                <w:noProof/>
                <w:webHidden/>
                <w:sz w:val="28"/>
                <w:szCs w:val="28"/>
              </w:rPr>
              <w:instrText xml:space="preserve"> PAGEREF _Toc456259615 \h </w:instrText>
            </w:r>
            <w:r w:rsidR="0091356D" w:rsidRPr="009C6832">
              <w:rPr>
                <w:rFonts w:cs="Arial"/>
                <w:noProof/>
                <w:webHidden/>
                <w:sz w:val="28"/>
                <w:szCs w:val="28"/>
              </w:rPr>
            </w:r>
            <w:r w:rsidR="0091356D" w:rsidRPr="009C6832">
              <w:rPr>
                <w:rFonts w:cs="Arial"/>
                <w:noProof/>
                <w:webHidden/>
                <w:sz w:val="28"/>
                <w:szCs w:val="28"/>
              </w:rPr>
              <w:fldChar w:fldCharType="separate"/>
            </w:r>
            <w:r w:rsidR="00C410EC">
              <w:rPr>
                <w:rFonts w:cs="Arial"/>
                <w:noProof/>
                <w:webHidden/>
                <w:sz w:val="28"/>
                <w:szCs w:val="28"/>
              </w:rPr>
              <w:t>24</w:t>
            </w:r>
            <w:r w:rsidR="0091356D" w:rsidRPr="009C6832">
              <w:rPr>
                <w:rFonts w:cs="Arial"/>
                <w:noProof/>
                <w:webHidden/>
                <w:sz w:val="28"/>
                <w:szCs w:val="28"/>
              </w:rPr>
              <w:fldChar w:fldCharType="end"/>
            </w:r>
          </w:hyperlink>
        </w:p>
        <w:p w:rsidR="00AC4B34" w:rsidRPr="009C6832" w:rsidRDefault="00974E1A" w:rsidP="00197AF4">
          <w:pPr>
            <w:pStyle w:val="TOC1"/>
            <w:spacing w:line="480" w:lineRule="auto"/>
            <w:rPr>
              <w:rFonts w:eastAsiaTheme="minorEastAsia"/>
              <w:noProof/>
              <w:lang w:eastAsia="ro-RO"/>
            </w:rPr>
          </w:pPr>
          <w:hyperlink w:anchor="_Toc456259616" w:history="1">
            <w:r w:rsidR="00AC4B34" w:rsidRPr="009C6832">
              <w:rPr>
                <w:rStyle w:val="Hyperlink"/>
                <w:rFonts w:cs="Arial"/>
                <w:b/>
                <w:noProof/>
                <w:sz w:val="28"/>
                <w:szCs w:val="28"/>
              </w:rPr>
              <w:t>Concluzii</w:t>
            </w:r>
            <w:r w:rsidR="00AC4B34" w:rsidRPr="009C6832">
              <w:rPr>
                <w:rFonts w:cs="Arial"/>
                <w:noProof/>
                <w:webHidden/>
                <w:sz w:val="28"/>
                <w:szCs w:val="28"/>
              </w:rPr>
              <w:tab/>
            </w:r>
            <w:r w:rsidR="0091356D" w:rsidRPr="009C6832">
              <w:rPr>
                <w:rFonts w:cs="Arial"/>
                <w:noProof/>
                <w:webHidden/>
                <w:sz w:val="28"/>
                <w:szCs w:val="28"/>
              </w:rPr>
              <w:fldChar w:fldCharType="begin"/>
            </w:r>
            <w:r w:rsidR="00AC4B34" w:rsidRPr="009C6832">
              <w:rPr>
                <w:rFonts w:cs="Arial"/>
                <w:noProof/>
                <w:webHidden/>
                <w:sz w:val="28"/>
                <w:szCs w:val="28"/>
              </w:rPr>
              <w:instrText xml:space="preserve"> PAGEREF _Toc456259616 \h </w:instrText>
            </w:r>
            <w:r w:rsidR="0091356D" w:rsidRPr="009C6832">
              <w:rPr>
                <w:rFonts w:cs="Arial"/>
                <w:noProof/>
                <w:webHidden/>
                <w:sz w:val="28"/>
                <w:szCs w:val="28"/>
              </w:rPr>
            </w:r>
            <w:r w:rsidR="0091356D" w:rsidRPr="009C6832">
              <w:rPr>
                <w:rFonts w:cs="Arial"/>
                <w:noProof/>
                <w:webHidden/>
                <w:sz w:val="28"/>
                <w:szCs w:val="28"/>
              </w:rPr>
              <w:fldChar w:fldCharType="separate"/>
            </w:r>
            <w:r w:rsidR="00C410EC">
              <w:rPr>
                <w:rFonts w:cs="Arial"/>
                <w:noProof/>
                <w:webHidden/>
                <w:sz w:val="28"/>
                <w:szCs w:val="28"/>
              </w:rPr>
              <w:t>27</w:t>
            </w:r>
            <w:r w:rsidR="0091356D" w:rsidRPr="009C6832">
              <w:rPr>
                <w:rFonts w:cs="Arial"/>
                <w:noProof/>
                <w:webHidden/>
                <w:sz w:val="28"/>
                <w:szCs w:val="28"/>
              </w:rPr>
              <w:fldChar w:fldCharType="end"/>
            </w:r>
          </w:hyperlink>
        </w:p>
        <w:p w:rsidR="007C4F03" w:rsidRPr="009C6832" w:rsidRDefault="0091356D" w:rsidP="00197AF4">
          <w:pPr>
            <w:spacing w:line="480" w:lineRule="auto"/>
          </w:pPr>
          <w:r w:rsidRPr="009C6832">
            <w:rPr>
              <w:b/>
              <w:bCs/>
              <w:noProof/>
            </w:rPr>
            <w:fldChar w:fldCharType="end"/>
          </w:r>
        </w:p>
      </w:sdtContent>
    </w:sdt>
    <w:p w:rsidR="00386E53" w:rsidRPr="009C6832" w:rsidRDefault="00386E53" w:rsidP="0047638C"/>
    <w:p w:rsidR="007C4F03" w:rsidRPr="009C6832" w:rsidRDefault="007C4F03" w:rsidP="0047638C"/>
    <w:p w:rsidR="007C4F03" w:rsidRPr="009C6832" w:rsidRDefault="007C4F03" w:rsidP="0047638C"/>
    <w:p w:rsidR="007C4F03" w:rsidRPr="009C6832" w:rsidRDefault="007C4F03" w:rsidP="0047638C"/>
    <w:p w:rsidR="007C4F03" w:rsidRPr="009C6832" w:rsidRDefault="007C4F03" w:rsidP="0047638C"/>
    <w:p w:rsidR="007C4F03" w:rsidRPr="009C6832" w:rsidRDefault="007C4F03" w:rsidP="0047638C"/>
    <w:p w:rsidR="007C4F03" w:rsidRPr="00B6374D" w:rsidRDefault="00EE2635" w:rsidP="00B6374D">
      <w:pPr>
        <w:pStyle w:val="ListParagraph"/>
        <w:numPr>
          <w:ilvl w:val="0"/>
          <w:numId w:val="1"/>
        </w:numPr>
        <w:ind w:left="567" w:hanging="283"/>
        <w:outlineLvl w:val="0"/>
        <w:rPr>
          <w:rFonts w:cs="Arial"/>
          <w:b/>
          <w:sz w:val="28"/>
          <w:szCs w:val="28"/>
        </w:rPr>
      </w:pPr>
      <w:bookmarkStart w:id="0" w:name="_Toc299543078"/>
      <w:bookmarkStart w:id="1" w:name="_Toc425320856"/>
      <w:bookmarkStart w:id="2" w:name="_Toc456256932"/>
      <w:bookmarkStart w:id="3" w:name="_Toc456257456"/>
      <w:bookmarkStart w:id="4" w:name="_Toc456258314"/>
      <w:bookmarkStart w:id="5" w:name="_Toc456258418"/>
      <w:bookmarkStart w:id="6" w:name="_Toc456259611"/>
      <w:r w:rsidRPr="009C6832">
        <w:rPr>
          <w:rFonts w:cs="Arial"/>
          <w:b/>
          <w:sz w:val="28"/>
          <w:szCs w:val="28"/>
        </w:rPr>
        <w:t>Evoluții</w:t>
      </w:r>
      <w:r w:rsidR="007C4F03" w:rsidRPr="009C6832">
        <w:rPr>
          <w:rFonts w:cs="Arial"/>
          <w:b/>
          <w:sz w:val="28"/>
          <w:szCs w:val="28"/>
        </w:rPr>
        <w:t xml:space="preserve"> macroeconomice recente ale economiei </w:t>
      </w:r>
      <w:bookmarkEnd w:id="0"/>
      <w:bookmarkEnd w:id="1"/>
      <w:bookmarkEnd w:id="2"/>
      <w:bookmarkEnd w:id="3"/>
      <w:bookmarkEnd w:id="4"/>
      <w:bookmarkEnd w:id="5"/>
      <w:bookmarkEnd w:id="6"/>
      <w:r w:rsidRPr="009C6832">
        <w:rPr>
          <w:rFonts w:cs="Arial"/>
          <w:b/>
          <w:sz w:val="28"/>
          <w:szCs w:val="28"/>
        </w:rPr>
        <w:t>românești</w:t>
      </w:r>
    </w:p>
    <w:p w:rsidR="00D75673" w:rsidRPr="009C6832" w:rsidRDefault="009774BD" w:rsidP="0077567F">
      <w:pPr>
        <w:spacing w:after="120"/>
        <w:ind w:firstLine="567"/>
        <w:outlineLvl w:val="0"/>
        <w:rPr>
          <w:rFonts w:eastAsia="Times New Roman" w:cs="Arial"/>
          <w:sz w:val="24"/>
          <w:szCs w:val="24"/>
        </w:rPr>
      </w:pPr>
      <w:r>
        <w:rPr>
          <w:rFonts w:eastAsia="Times New Roman" w:cs="Arial"/>
          <w:sz w:val="24"/>
          <w:szCs w:val="24"/>
        </w:rPr>
        <w:t>În primul semestru</w:t>
      </w:r>
      <w:r w:rsidR="00D75673" w:rsidRPr="009C6832">
        <w:rPr>
          <w:rFonts w:eastAsia="Times New Roman" w:cs="Arial"/>
          <w:sz w:val="24"/>
          <w:szCs w:val="24"/>
        </w:rPr>
        <w:t xml:space="preserve"> din anul 2017, economia românească a continuat ritmul susținut de creștere început î</w:t>
      </w:r>
      <w:r>
        <w:rPr>
          <w:rFonts w:eastAsia="Times New Roman" w:cs="Arial"/>
          <w:sz w:val="24"/>
          <w:szCs w:val="24"/>
        </w:rPr>
        <w:t>n anul 2013, majorându-se cu 5,8% comparativ cu semestrul</w:t>
      </w:r>
      <w:r w:rsidR="00D75673" w:rsidRPr="009C6832">
        <w:rPr>
          <w:rFonts w:eastAsia="Times New Roman" w:cs="Arial"/>
          <w:sz w:val="24"/>
          <w:szCs w:val="24"/>
        </w:rPr>
        <w:t xml:space="preserve"> I din 2016, situând România pe primul loc din UE din punct de vedere al </w:t>
      </w:r>
      <w:r w:rsidR="00531E2B" w:rsidRPr="009C6832">
        <w:rPr>
          <w:rFonts w:eastAsia="Times New Roman" w:cs="Arial"/>
          <w:sz w:val="24"/>
          <w:szCs w:val="24"/>
        </w:rPr>
        <w:t>performanțelor</w:t>
      </w:r>
      <w:r w:rsidR="00D75673" w:rsidRPr="009C6832">
        <w:rPr>
          <w:rFonts w:eastAsia="Times New Roman" w:cs="Arial"/>
          <w:sz w:val="24"/>
          <w:szCs w:val="24"/>
        </w:rPr>
        <w:t xml:space="preserve"> economice, </w:t>
      </w:r>
      <w:r w:rsidR="00531E2B" w:rsidRPr="009C6832">
        <w:rPr>
          <w:rFonts w:eastAsia="Times New Roman" w:cs="Arial"/>
          <w:sz w:val="24"/>
          <w:szCs w:val="24"/>
        </w:rPr>
        <w:t>creștere</w:t>
      </w:r>
      <w:r w:rsidR="00D75673" w:rsidRPr="009C6832">
        <w:rPr>
          <w:rFonts w:eastAsia="Times New Roman" w:cs="Arial"/>
          <w:sz w:val="24"/>
          <w:szCs w:val="24"/>
        </w:rPr>
        <w:t xml:space="preserve"> economică fiind mai mult decât dubl</w:t>
      </w:r>
      <w:r>
        <w:rPr>
          <w:rFonts w:eastAsia="Times New Roman" w:cs="Arial"/>
          <w:sz w:val="24"/>
          <w:szCs w:val="24"/>
        </w:rPr>
        <w:t>ul celei înregistrate de UE (2,2</w:t>
      </w:r>
      <w:r w:rsidR="00D75673" w:rsidRPr="009C6832">
        <w:rPr>
          <w:rFonts w:eastAsia="Times New Roman" w:cs="Arial"/>
          <w:sz w:val="24"/>
          <w:szCs w:val="24"/>
        </w:rPr>
        <w:t xml:space="preserve">%). </w:t>
      </w:r>
    </w:p>
    <w:p w:rsidR="00D75673" w:rsidRPr="009C6832" w:rsidRDefault="00CB0DBE" w:rsidP="0077567F">
      <w:pPr>
        <w:spacing w:after="120"/>
        <w:ind w:firstLine="567"/>
        <w:rPr>
          <w:rFonts w:eastAsia="Times New Roman" w:cs="Arial"/>
          <w:sz w:val="24"/>
          <w:szCs w:val="24"/>
        </w:rPr>
      </w:pPr>
      <w:r w:rsidRPr="009774BD">
        <w:rPr>
          <w:rFonts w:eastAsia="Times New Roman" w:cs="Arial"/>
          <w:sz w:val="24"/>
          <w:szCs w:val="24"/>
        </w:rPr>
        <w:t>Deși</w:t>
      </w:r>
      <w:r w:rsidR="009774BD" w:rsidRPr="009774BD">
        <w:rPr>
          <w:rFonts w:eastAsia="Times New Roman" w:cs="Arial"/>
          <w:sz w:val="24"/>
          <w:szCs w:val="24"/>
        </w:rPr>
        <w:t xml:space="preserve"> </w:t>
      </w:r>
      <w:r w:rsidRPr="009774BD">
        <w:rPr>
          <w:rFonts w:eastAsia="Times New Roman" w:cs="Arial"/>
          <w:sz w:val="24"/>
          <w:szCs w:val="24"/>
        </w:rPr>
        <w:t>creșterea</w:t>
      </w:r>
      <w:r w:rsidR="009774BD" w:rsidRPr="009774BD">
        <w:rPr>
          <w:rFonts w:eastAsia="Times New Roman" w:cs="Arial"/>
          <w:sz w:val="24"/>
          <w:szCs w:val="24"/>
        </w:rPr>
        <w:t xml:space="preserve"> puterii de cumpărare este net superioară celei înregistrate în 2016, consumul </w:t>
      </w:r>
      <w:r w:rsidRPr="009774BD">
        <w:rPr>
          <w:rFonts w:eastAsia="Times New Roman" w:cs="Arial"/>
          <w:sz w:val="24"/>
          <w:szCs w:val="24"/>
        </w:rPr>
        <w:t>populației</w:t>
      </w:r>
      <w:r w:rsidR="009774BD" w:rsidRPr="009774BD">
        <w:rPr>
          <w:rFonts w:eastAsia="Times New Roman" w:cs="Arial"/>
          <w:sz w:val="24"/>
          <w:szCs w:val="24"/>
        </w:rPr>
        <w:t xml:space="preserve"> înregistrează o dinamică sub cea de anul trecut, respectiv 7,7% </w:t>
      </w:r>
      <w:r w:rsidRPr="009774BD">
        <w:rPr>
          <w:rFonts w:eastAsia="Times New Roman" w:cs="Arial"/>
          <w:sz w:val="24"/>
          <w:szCs w:val="24"/>
        </w:rPr>
        <w:t>față</w:t>
      </w:r>
      <w:r w:rsidR="009774BD" w:rsidRPr="009774BD">
        <w:rPr>
          <w:rFonts w:eastAsia="Times New Roman" w:cs="Arial"/>
          <w:sz w:val="24"/>
          <w:szCs w:val="24"/>
        </w:rPr>
        <w:t xml:space="preserve"> de 9,8%</w:t>
      </w:r>
      <w:r w:rsidR="00E77879">
        <w:rPr>
          <w:rFonts w:eastAsia="Times New Roman" w:cs="Arial"/>
          <w:sz w:val="24"/>
          <w:szCs w:val="24"/>
        </w:rPr>
        <w:t xml:space="preserve"> </w:t>
      </w:r>
      <w:r w:rsidR="009774BD" w:rsidRPr="009774BD">
        <w:rPr>
          <w:rFonts w:eastAsia="Times New Roman" w:cs="Arial"/>
          <w:sz w:val="24"/>
          <w:szCs w:val="24"/>
        </w:rPr>
        <w:t xml:space="preserve"> în primul semestru din 2016. Formarea brută de capital fix s-a majorat în semestrul I din acest an cu 1,1% faţă de semestrul I 2016.</w:t>
      </w:r>
    </w:p>
    <w:p w:rsidR="0077567F" w:rsidRPr="009C6832" w:rsidRDefault="009774BD" w:rsidP="009414F6">
      <w:pPr>
        <w:ind w:firstLine="567"/>
        <w:rPr>
          <w:rFonts w:eastAsia="Times New Roman" w:cs="Arial"/>
          <w:sz w:val="24"/>
          <w:szCs w:val="24"/>
        </w:rPr>
      </w:pPr>
      <w:r w:rsidRPr="009774BD">
        <w:rPr>
          <w:rFonts w:eastAsia="Times New Roman" w:cs="Arial"/>
          <w:sz w:val="24"/>
          <w:szCs w:val="24"/>
        </w:rPr>
        <w:t xml:space="preserve">Exportul net a înregistrat o </w:t>
      </w:r>
      <w:r w:rsidR="00CB0DBE" w:rsidRPr="009774BD">
        <w:rPr>
          <w:rFonts w:eastAsia="Times New Roman" w:cs="Arial"/>
          <w:sz w:val="24"/>
          <w:szCs w:val="24"/>
        </w:rPr>
        <w:t>ușoară</w:t>
      </w:r>
      <w:r w:rsidRPr="009774BD">
        <w:rPr>
          <w:rFonts w:eastAsia="Times New Roman" w:cs="Arial"/>
          <w:sz w:val="24"/>
          <w:szCs w:val="24"/>
        </w:rPr>
        <w:t xml:space="preserve"> </w:t>
      </w:r>
      <w:r w:rsidR="00CB0DBE" w:rsidRPr="009774BD">
        <w:rPr>
          <w:rFonts w:eastAsia="Times New Roman" w:cs="Arial"/>
          <w:sz w:val="24"/>
          <w:szCs w:val="24"/>
        </w:rPr>
        <w:t>contribuție</w:t>
      </w:r>
      <w:r w:rsidRPr="009774BD">
        <w:rPr>
          <w:rFonts w:eastAsia="Times New Roman" w:cs="Arial"/>
          <w:sz w:val="24"/>
          <w:szCs w:val="24"/>
        </w:rPr>
        <w:t xml:space="preserve"> negativă la </w:t>
      </w:r>
      <w:r w:rsidR="00CB0DBE" w:rsidRPr="009774BD">
        <w:rPr>
          <w:rFonts w:eastAsia="Times New Roman" w:cs="Arial"/>
          <w:sz w:val="24"/>
          <w:szCs w:val="24"/>
        </w:rPr>
        <w:t>creșterea</w:t>
      </w:r>
      <w:r w:rsidRPr="009774BD">
        <w:rPr>
          <w:rFonts w:eastAsia="Times New Roman" w:cs="Arial"/>
          <w:sz w:val="24"/>
          <w:szCs w:val="24"/>
        </w:rPr>
        <w:t xml:space="preserve"> reală a produsului intern brut (0,7 procente)</w:t>
      </w:r>
    </w:p>
    <w:p w:rsidR="00D75673" w:rsidRPr="009C6832" w:rsidRDefault="00D75673" w:rsidP="0077567F">
      <w:pPr>
        <w:spacing w:after="120"/>
        <w:jc w:val="center"/>
        <w:rPr>
          <w:rFonts w:eastAsia="Times New Roman" w:cs="Arial"/>
          <w:b/>
          <w:bCs/>
          <w:sz w:val="24"/>
          <w:szCs w:val="24"/>
        </w:rPr>
      </w:pPr>
      <w:r w:rsidRPr="009C6832">
        <w:rPr>
          <w:rFonts w:eastAsia="Times New Roman" w:cs="Arial"/>
          <w:b/>
          <w:bCs/>
          <w:sz w:val="24"/>
          <w:szCs w:val="24"/>
        </w:rPr>
        <w:t>Contribuția la creșterea reală a PIB a elementelor de cheltuieli</w:t>
      </w:r>
    </w:p>
    <w:p w:rsidR="00D75673" w:rsidRPr="00B6374D" w:rsidRDefault="001F3C47" w:rsidP="00B6374D">
      <w:pPr>
        <w:jc w:val="center"/>
        <w:rPr>
          <w:rFonts w:eastAsia="Times New Roman" w:cs="Arial"/>
          <w:b/>
          <w:bCs/>
          <w:sz w:val="24"/>
          <w:szCs w:val="24"/>
        </w:rPr>
      </w:pPr>
      <w:r w:rsidRPr="001F3C47">
        <w:rPr>
          <w:rFonts w:eastAsia="Times New Roman" w:cs="Arial"/>
          <w:b/>
          <w:bCs/>
          <w:noProof/>
          <w:sz w:val="24"/>
          <w:szCs w:val="24"/>
          <w:lang w:eastAsia="ro-RO"/>
        </w:rPr>
        <w:drawing>
          <wp:inline distT="0" distB="0" distL="0" distR="0">
            <wp:extent cx="5486401" cy="2743200"/>
            <wp:effectExtent l="19050" t="0" r="19049"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75673" w:rsidRPr="009C6832" w:rsidRDefault="00D75673" w:rsidP="0077567F">
      <w:pPr>
        <w:keepNext/>
        <w:spacing w:after="120"/>
        <w:rPr>
          <w:rFonts w:eastAsia="Times New Roman" w:cs="Arial"/>
          <w:sz w:val="24"/>
          <w:szCs w:val="24"/>
        </w:rPr>
      </w:pPr>
      <w:r w:rsidRPr="009C6832">
        <w:rPr>
          <w:rFonts w:eastAsia="Times New Roman" w:cs="Arial"/>
          <w:sz w:val="24"/>
          <w:szCs w:val="24"/>
        </w:rPr>
        <w:tab/>
      </w:r>
      <w:r w:rsidR="009414F6" w:rsidRPr="009C6832">
        <w:rPr>
          <w:rFonts w:eastAsia="Times New Roman" w:cs="Arial"/>
          <w:sz w:val="24"/>
          <w:szCs w:val="24"/>
        </w:rPr>
        <w:tab/>
      </w:r>
      <w:r w:rsidRPr="009C6832">
        <w:rPr>
          <w:rFonts w:eastAsia="Times New Roman" w:cs="Arial"/>
          <w:sz w:val="24"/>
          <w:szCs w:val="24"/>
        </w:rPr>
        <w:t xml:space="preserve">Pe sectoare de activitate, sunt de remarcat </w:t>
      </w:r>
      <w:r w:rsidR="00531E2B" w:rsidRPr="009C6832">
        <w:rPr>
          <w:rFonts w:eastAsia="Times New Roman" w:cs="Arial"/>
          <w:sz w:val="24"/>
          <w:szCs w:val="24"/>
        </w:rPr>
        <w:t>evoluțiile</w:t>
      </w:r>
      <w:r w:rsidRPr="009C6832">
        <w:rPr>
          <w:rFonts w:eastAsia="Times New Roman" w:cs="Arial"/>
          <w:sz w:val="24"/>
          <w:szCs w:val="24"/>
        </w:rPr>
        <w:t xml:space="preserve"> valorii adăugate brute din i</w:t>
      </w:r>
      <w:r w:rsidR="002370C1">
        <w:rPr>
          <w:rFonts w:eastAsia="Times New Roman" w:cs="Arial"/>
          <w:sz w:val="24"/>
          <w:szCs w:val="24"/>
        </w:rPr>
        <w:t>ndustrie (7,3%) şi servicii (6,3</w:t>
      </w:r>
      <w:r w:rsidRPr="009C6832">
        <w:rPr>
          <w:rFonts w:eastAsia="Times New Roman" w:cs="Arial"/>
          <w:sz w:val="24"/>
          <w:szCs w:val="24"/>
        </w:rPr>
        <w:t xml:space="preserve">%), </w:t>
      </w:r>
      <w:r w:rsidR="00531E2B" w:rsidRPr="009C6832">
        <w:rPr>
          <w:rFonts w:eastAsia="Times New Roman" w:cs="Arial"/>
          <w:sz w:val="24"/>
          <w:szCs w:val="24"/>
        </w:rPr>
        <w:t>contribuțiile</w:t>
      </w:r>
      <w:r w:rsidRPr="009C6832">
        <w:rPr>
          <w:rFonts w:eastAsia="Times New Roman" w:cs="Arial"/>
          <w:sz w:val="24"/>
          <w:szCs w:val="24"/>
        </w:rPr>
        <w:t xml:space="preserve"> lor la </w:t>
      </w:r>
      <w:r w:rsidR="00531E2B" w:rsidRPr="009C6832">
        <w:rPr>
          <w:rFonts w:eastAsia="Times New Roman" w:cs="Arial"/>
          <w:sz w:val="24"/>
          <w:szCs w:val="24"/>
        </w:rPr>
        <w:t>creșterea</w:t>
      </w:r>
      <w:r w:rsidR="002370C1">
        <w:rPr>
          <w:rFonts w:eastAsia="Times New Roman" w:cs="Arial"/>
          <w:sz w:val="24"/>
          <w:szCs w:val="24"/>
        </w:rPr>
        <w:t xml:space="preserve"> reală a PIB fiind de 1,7</w:t>
      </w:r>
      <w:r w:rsidRPr="009C6832">
        <w:rPr>
          <w:rFonts w:eastAsia="Times New Roman" w:cs="Arial"/>
          <w:sz w:val="24"/>
          <w:szCs w:val="24"/>
        </w:rPr>
        <w:t xml:space="preserve"> procente, respectiv 3,8 procente. </w:t>
      </w:r>
      <w:r w:rsidR="006662DC">
        <w:rPr>
          <w:rFonts w:eastAsia="Times New Roman" w:cs="Arial"/>
          <w:sz w:val="24"/>
          <w:szCs w:val="24"/>
        </w:rPr>
        <w:t>Î</w:t>
      </w:r>
      <w:r w:rsidRPr="009C6832">
        <w:rPr>
          <w:rFonts w:eastAsia="Times New Roman" w:cs="Arial"/>
          <w:sz w:val="24"/>
          <w:szCs w:val="24"/>
        </w:rPr>
        <w:t xml:space="preserve">n cadrul serviciilor, </w:t>
      </w:r>
      <w:r w:rsidR="00531E2B" w:rsidRPr="009C6832">
        <w:rPr>
          <w:rFonts w:eastAsia="Times New Roman" w:cs="Arial"/>
          <w:sz w:val="24"/>
          <w:szCs w:val="24"/>
        </w:rPr>
        <w:t>creșteri</w:t>
      </w:r>
      <w:r w:rsidRPr="009C6832">
        <w:rPr>
          <w:rFonts w:eastAsia="Times New Roman" w:cs="Arial"/>
          <w:sz w:val="24"/>
          <w:szCs w:val="24"/>
        </w:rPr>
        <w:t xml:space="preserve"> spectaculoase au înregistrat „</w:t>
      </w:r>
      <w:r w:rsidR="00531E2B" w:rsidRPr="009C6832">
        <w:rPr>
          <w:rFonts w:eastAsia="Times New Roman" w:cs="Arial"/>
          <w:sz w:val="24"/>
          <w:szCs w:val="24"/>
        </w:rPr>
        <w:t>informațiile</w:t>
      </w:r>
      <w:r w:rsidR="002370C1">
        <w:rPr>
          <w:rFonts w:eastAsia="Times New Roman" w:cs="Arial"/>
          <w:sz w:val="24"/>
          <w:szCs w:val="24"/>
        </w:rPr>
        <w:t xml:space="preserve"> </w:t>
      </w:r>
      <w:r w:rsidRPr="009C6832">
        <w:rPr>
          <w:rFonts w:eastAsia="Times New Roman" w:cs="Arial"/>
          <w:sz w:val="24"/>
          <w:szCs w:val="24"/>
        </w:rPr>
        <w:t xml:space="preserve">şi </w:t>
      </w:r>
      <w:r w:rsidR="00531E2B" w:rsidRPr="009C6832">
        <w:rPr>
          <w:rFonts w:eastAsia="Times New Roman" w:cs="Arial"/>
          <w:sz w:val="24"/>
          <w:szCs w:val="24"/>
        </w:rPr>
        <w:t>comunicațiile</w:t>
      </w:r>
      <w:r w:rsidR="002370C1">
        <w:rPr>
          <w:rFonts w:eastAsia="Times New Roman" w:cs="Arial"/>
          <w:sz w:val="24"/>
          <w:szCs w:val="24"/>
        </w:rPr>
        <w:t>” (12,7</w:t>
      </w:r>
      <w:r w:rsidRPr="009C6832">
        <w:rPr>
          <w:rFonts w:eastAsia="Times New Roman" w:cs="Arial"/>
          <w:sz w:val="24"/>
          <w:szCs w:val="24"/>
        </w:rPr>
        <w:t>%) şi „</w:t>
      </w:r>
      <w:r w:rsidR="00531E2B" w:rsidRPr="009C6832">
        <w:rPr>
          <w:rFonts w:eastAsia="Times New Roman" w:cs="Arial"/>
          <w:sz w:val="24"/>
          <w:szCs w:val="24"/>
        </w:rPr>
        <w:t>comerțul</w:t>
      </w:r>
      <w:r w:rsidRPr="009C6832">
        <w:rPr>
          <w:rFonts w:eastAsia="Times New Roman" w:cs="Arial"/>
          <w:sz w:val="24"/>
          <w:szCs w:val="24"/>
        </w:rPr>
        <w:t>, transportul, depozitare</w:t>
      </w:r>
      <w:r w:rsidR="002370C1">
        <w:rPr>
          <w:rFonts w:eastAsia="Times New Roman" w:cs="Arial"/>
          <w:sz w:val="24"/>
          <w:szCs w:val="24"/>
        </w:rPr>
        <w:t>a, hoteluri şi restaurante" (8,1</w:t>
      </w:r>
      <w:r w:rsidRPr="009C6832">
        <w:rPr>
          <w:rFonts w:eastAsia="Times New Roman" w:cs="Arial"/>
          <w:sz w:val="24"/>
          <w:szCs w:val="24"/>
        </w:rPr>
        <w:t xml:space="preserve">%). </w:t>
      </w:r>
      <w:r w:rsidR="00531E2B" w:rsidRPr="009C6832">
        <w:rPr>
          <w:rFonts w:eastAsia="Times New Roman" w:cs="Arial"/>
          <w:sz w:val="24"/>
          <w:szCs w:val="24"/>
        </w:rPr>
        <w:t>Evoluția</w:t>
      </w:r>
      <w:r w:rsidRPr="009C6832">
        <w:rPr>
          <w:rFonts w:eastAsia="Times New Roman" w:cs="Arial"/>
          <w:sz w:val="24"/>
          <w:szCs w:val="24"/>
        </w:rPr>
        <w:t xml:space="preserve"> din agricultură a fost una </w:t>
      </w:r>
      <w:r w:rsidR="00D12BA2">
        <w:rPr>
          <w:rFonts w:eastAsia="Times New Roman" w:cs="Arial"/>
          <w:sz w:val="24"/>
          <w:szCs w:val="24"/>
        </w:rPr>
        <w:t>pozitivă</w:t>
      </w:r>
      <w:r w:rsidRPr="009C6832">
        <w:rPr>
          <w:rFonts w:eastAsia="Times New Roman" w:cs="Arial"/>
          <w:sz w:val="24"/>
          <w:szCs w:val="24"/>
        </w:rPr>
        <w:t xml:space="preserve">, cu o </w:t>
      </w:r>
      <w:r w:rsidR="00531E2B" w:rsidRPr="009C6832">
        <w:rPr>
          <w:rFonts w:eastAsia="Times New Roman" w:cs="Arial"/>
          <w:sz w:val="24"/>
          <w:szCs w:val="24"/>
        </w:rPr>
        <w:t>creștere</w:t>
      </w:r>
      <w:r w:rsidRPr="009C6832">
        <w:rPr>
          <w:rFonts w:eastAsia="Times New Roman" w:cs="Arial"/>
          <w:sz w:val="24"/>
          <w:szCs w:val="24"/>
        </w:rPr>
        <w:t xml:space="preserve"> a va</w:t>
      </w:r>
      <w:r w:rsidR="00D12BA2">
        <w:rPr>
          <w:rFonts w:eastAsia="Times New Roman" w:cs="Arial"/>
          <w:sz w:val="24"/>
          <w:szCs w:val="24"/>
        </w:rPr>
        <w:t xml:space="preserve">lorii adăugate brute de </w:t>
      </w:r>
      <w:r w:rsidR="002370C1">
        <w:rPr>
          <w:rFonts w:eastAsia="Times New Roman" w:cs="Arial"/>
          <w:sz w:val="24"/>
          <w:szCs w:val="24"/>
        </w:rPr>
        <w:t xml:space="preserve">2,3%, în timp ce în sectorul </w:t>
      </w:r>
      <w:r w:rsidR="00CB0DBE">
        <w:rPr>
          <w:rFonts w:eastAsia="Times New Roman" w:cs="Arial"/>
          <w:sz w:val="24"/>
          <w:szCs w:val="24"/>
        </w:rPr>
        <w:t>construcțiilor</w:t>
      </w:r>
      <w:r w:rsidR="002370C1">
        <w:rPr>
          <w:rFonts w:eastAsia="Times New Roman" w:cs="Arial"/>
          <w:sz w:val="24"/>
          <w:szCs w:val="24"/>
        </w:rPr>
        <w:t xml:space="preserve"> s-a înregistrat o reducere de 4,7%.</w:t>
      </w:r>
    </w:p>
    <w:p w:rsidR="001F3C47" w:rsidRDefault="001F3C47" w:rsidP="0077567F">
      <w:pPr>
        <w:keepNext/>
        <w:spacing w:after="120"/>
        <w:rPr>
          <w:rFonts w:eastAsia="Times New Roman" w:cs="Arial"/>
          <w:sz w:val="24"/>
          <w:szCs w:val="24"/>
        </w:rPr>
      </w:pPr>
    </w:p>
    <w:p w:rsidR="00E37BD3" w:rsidRPr="009C6832" w:rsidRDefault="00E37BD3" w:rsidP="0077567F">
      <w:pPr>
        <w:keepNext/>
        <w:spacing w:after="120"/>
        <w:rPr>
          <w:rFonts w:eastAsia="Times New Roman" w:cs="Arial"/>
          <w:sz w:val="24"/>
          <w:szCs w:val="24"/>
        </w:rPr>
      </w:pPr>
    </w:p>
    <w:p w:rsidR="00B6374D" w:rsidRDefault="00B6374D" w:rsidP="009414F6">
      <w:pPr>
        <w:ind w:firstLine="0"/>
        <w:jc w:val="center"/>
        <w:rPr>
          <w:rFonts w:eastAsia="Times New Roman" w:cs="Arial"/>
          <w:b/>
          <w:bCs/>
          <w:sz w:val="24"/>
          <w:szCs w:val="24"/>
        </w:rPr>
      </w:pPr>
    </w:p>
    <w:p w:rsidR="00B6374D" w:rsidRDefault="00B6374D" w:rsidP="009414F6">
      <w:pPr>
        <w:ind w:firstLine="0"/>
        <w:jc w:val="center"/>
        <w:rPr>
          <w:rFonts w:eastAsia="Times New Roman" w:cs="Arial"/>
          <w:b/>
          <w:bCs/>
          <w:sz w:val="24"/>
          <w:szCs w:val="24"/>
        </w:rPr>
      </w:pPr>
    </w:p>
    <w:p w:rsidR="00D75673" w:rsidRPr="009C6832" w:rsidRDefault="00D75673" w:rsidP="009414F6">
      <w:pPr>
        <w:ind w:firstLine="0"/>
        <w:jc w:val="center"/>
        <w:rPr>
          <w:rFonts w:eastAsia="Times New Roman" w:cs="Arial"/>
          <w:sz w:val="24"/>
          <w:szCs w:val="24"/>
        </w:rPr>
      </w:pPr>
      <w:r w:rsidRPr="009C6832">
        <w:rPr>
          <w:rFonts w:eastAsia="Times New Roman" w:cs="Arial"/>
          <w:b/>
          <w:bCs/>
          <w:sz w:val="24"/>
          <w:szCs w:val="24"/>
        </w:rPr>
        <w:t>Contribuția la creșterea reală a PIB a elementelor de creare</w:t>
      </w:r>
    </w:p>
    <w:p w:rsidR="00BA444B" w:rsidRPr="00BA444B" w:rsidRDefault="00B16822" w:rsidP="00BA444B">
      <w:pPr>
        <w:ind w:firstLine="0"/>
        <w:jc w:val="center"/>
        <w:rPr>
          <w:rFonts w:eastAsia="Times New Roman" w:cs="Times New Roman"/>
        </w:rPr>
      </w:pPr>
      <w:r>
        <w:rPr>
          <w:rFonts w:eastAsia="Times New Roman" w:cs="Times New Roman"/>
        </w:rPr>
        <w:object w:dxaOrig="8951" w:dyaOrig="4074">
          <v:shape id="_x0000_i1026" type="#_x0000_t75" style="width:447.55pt;height:203.7pt" o:ole="">
            <v:imagedata r:id="rId9" o:title=""/>
          </v:shape>
          <o:OLEObject Type="Embed" ProgID="Excel.Sheet.12" ShapeID="_x0000_i1026" DrawAspect="Content" ObjectID="_1566403238" r:id="rId10"/>
        </w:object>
      </w:r>
    </w:p>
    <w:p w:rsidR="008863DB" w:rsidRPr="00BA444B" w:rsidRDefault="008863DB" w:rsidP="008863DB">
      <w:pPr>
        <w:spacing w:after="120"/>
        <w:ind w:firstLine="709"/>
        <w:rPr>
          <w:rFonts w:eastAsia="Times New Roman" w:cs="Arial"/>
          <w:sz w:val="24"/>
          <w:szCs w:val="24"/>
        </w:rPr>
      </w:pPr>
      <w:r w:rsidRPr="00BA444B">
        <w:rPr>
          <w:rFonts w:eastAsia="Times New Roman" w:cs="Arial"/>
          <w:sz w:val="24"/>
          <w:szCs w:val="24"/>
        </w:rPr>
        <w:t xml:space="preserve">În primele </w:t>
      </w:r>
      <w:r w:rsidR="004E2452" w:rsidRPr="00BA444B">
        <w:rPr>
          <w:rFonts w:eastAsia="Times New Roman" w:cs="Arial"/>
          <w:sz w:val="24"/>
          <w:szCs w:val="24"/>
        </w:rPr>
        <w:t>șase</w:t>
      </w:r>
      <w:r w:rsidRPr="00BA444B">
        <w:rPr>
          <w:rFonts w:eastAsia="Times New Roman" w:cs="Arial"/>
          <w:sz w:val="24"/>
          <w:szCs w:val="24"/>
        </w:rPr>
        <w:t xml:space="preserve"> luni ale anului 2017, volumul </w:t>
      </w:r>
      <w:r w:rsidR="004E2452" w:rsidRPr="00BA444B">
        <w:rPr>
          <w:rFonts w:eastAsia="Times New Roman" w:cs="Arial"/>
          <w:sz w:val="24"/>
          <w:szCs w:val="24"/>
        </w:rPr>
        <w:t>producției</w:t>
      </w:r>
      <w:r w:rsidRPr="00BA444B">
        <w:rPr>
          <w:rFonts w:eastAsia="Times New Roman" w:cs="Arial"/>
          <w:sz w:val="24"/>
          <w:szCs w:val="24"/>
        </w:rPr>
        <w:t xml:space="preserve"> industriale a crescut cu 8,0%, </w:t>
      </w:r>
      <w:r w:rsidR="004E2452" w:rsidRPr="00BA444B">
        <w:rPr>
          <w:rFonts w:eastAsia="Times New Roman" w:cs="Arial"/>
          <w:sz w:val="24"/>
          <w:szCs w:val="24"/>
        </w:rPr>
        <w:t>față</w:t>
      </w:r>
      <w:r w:rsidRPr="00BA444B">
        <w:rPr>
          <w:rFonts w:eastAsia="Times New Roman" w:cs="Arial"/>
          <w:sz w:val="24"/>
          <w:szCs w:val="24"/>
        </w:rPr>
        <w:t xml:space="preserve"> de </w:t>
      </w:r>
      <w:r w:rsidR="004E2452" w:rsidRPr="00BA444B">
        <w:rPr>
          <w:rFonts w:eastAsia="Times New Roman" w:cs="Arial"/>
          <w:sz w:val="24"/>
          <w:szCs w:val="24"/>
        </w:rPr>
        <w:t>aceeași</w:t>
      </w:r>
      <w:r w:rsidRPr="00BA444B">
        <w:rPr>
          <w:rFonts w:eastAsia="Times New Roman" w:cs="Arial"/>
          <w:sz w:val="24"/>
          <w:szCs w:val="24"/>
        </w:rPr>
        <w:t xml:space="preserve"> perioadă a anului anterior, cea mai mare </w:t>
      </w:r>
      <w:r w:rsidR="004E2452" w:rsidRPr="00BA444B">
        <w:rPr>
          <w:rFonts w:eastAsia="Times New Roman" w:cs="Arial"/>
          <w:sz w:val="24"/>
          <w:szCs w:val="24"/>
        </w:rPr>
        <w:t>creștere</w:t>
      </w:r>
      <w:r w:rsidRPr="00BA444B">
        <w:rPr>
          <w:rFonts w:eastAsia="Times New Roman" w:cs="Arial"/>
          <w:sz w:val="24"/>
          <w:szCs w:val="24"/>
        </w:rPr>
        <w:t xml:space="preserve"> pentru această perioadă din ultimii trei ani. Această </w:t>
      </w:r>
      <w:r w:rsidR="00CB0DBE" w:rsidRPr="00BA444B">
        <w:rPr>
          <w:rFonts w:eastAsia="Times New Roman" w:cs="Arial"/>
          <w:sz w:val="24"/>
          <w:szCs w:val="24"/>
        </w:rPr>
        <w:t>creștere</w:t>
      </w:r>
      <w:r w:rsidRPr="00BA444B">
        <w:rPr>
          <w:rFonts w:eastAsia="Times New Roman" w:cs="Arial"/>
          <w:sz w:val="24"/>
          <w:szCs w:val="24"/>
        </w:rPr>
        <w:t xml:space="preserve"> s-a datorat, în principal, </w:t>
      </w:r>
      <w:r w:rsidR="00CB0DBE" w:rsidRPr="00BA444B">
        <w:rPr>
          <w:rFonts w:eastAsia="Times New Roman" w:cs="Arial"/>
          <w:sz w:val="24"/>
          <w:szCs w:val="24"/>
        </w:rPr>
        <w:t>producției</w:t>
      </w:r>
      <w:r w:rsidRPr="00BA444B">
        <w:rPr>
          <w:rFonts w:eastAsia="Times New Roman" w:cs="Arial"/>
          <w:sz w:val="24"/>
          <w:szCs w:val="24"/>
        </w:rPr>
        <w:t xml:space="preserve"> de bunuri de capital, care s-au majorat cu 12,7%. De asemenea, este de subliniat că, cea mai mare </w:t>
      </w:r>
      <w:r w:rsidR="00CB0DBE" w:rsidRPr="00BA444B">
        <w:rPr>
          <w:rFonts w:eastAsia="Times New Roman" w:cs="Arial"/>
          <w:sz w:val="24"/>
          <w:szCs w:val="24"/>
        </w:rPr>
        <w:t>contribuție</w:t>
      </w:r>
      <w:r w:rsidRPr="00BA444B">
        <w:rPr>
          <w:rFonts w:eastAsia="Times New Roman" w:cs="Arial"/>
          <w:sz w:val="24"/>
          <w:szCs w:val="24"/>
        </w:rPr>
        <w:t xml:space="preserve"> la </w:t>
      </w:r>
      <w:r w:rsidR="00CB0DBE" w:rsidRPr="00BA444B">
        <w:rPr>
          <w:rFonts w:eastAsia="Times New Roman" w:cs="Arial"/>
          <w:sz w:val="24"/>
          <w:szCs w:val="24"/>
        </w:rPr>
        <w:t>creșterea</w:t>
      </w:r>
      <w:r w:rsidRPr="00BA444B">
        <w:rPr>
          <w:rFonts w:eastAsia="Times New Roman" w:cs="Arial"/>
          <w:sz w:val="24"/>
          <w:szCs w:val="24"/>
        </w:rPr>
        <w:t xml:space="preserve"> </w:t>
      </w:r>
      <w:r w:rsidR="00CB0DBE" w:rsidRPr="00BA444B">
        <w:rPr>
          <w:rFonts w:eastAsia="Times New Roman" w:cs="Arial"/>
          <w:sz w:val="24"/>
          <w:szCs w:val="24"/>
        </w:rPr>
        <w:t>producției</w:t>
      </w:r>
      <w:r w:rsidRPr="00BA444B">
        <w:rPr>
          <w:rFonts w:eastAsia="Times New Roman" w:cs="Arial"/>
          <w:sz w:val="24"/>
          <w:szCs w:val="24"/>
        </w:rPr>
        <w:t xml:space="preserve"> industriale a avut-o cererea externă, produsele </w:t>
      </w:r>
      <w:r w:rsidR="00CB0DBE" w:rsidRPr="00BA444B">
        <w:rPr>
          <w:rFonts w:eastAsia="Times New Roman" w:cs="Arial"/>
          <w:sz w:val="24"/>
          <w:szCs w:val="24"/>
        </w:rPr>
        <w:t>românești</w:t>
      </w:r>
      <w:r w:rsidRPr="00BA444B">
        <w:rPr>
          <w:rFonts w:eastAsia="Times New Roman" w:cs="Arial"/>
          <w:sz w:val="24"/>
          <w:szCs w:val="24"/>
        </w:rPr>
        <w:t xml:space="preserve"> fiind tot mai competitive pe </w:t>
      </w:r>
      <w:r w:rsidR="00CB0DBE" w:rsidRPr="00BA444B">
        <w:rPr>
          <w:rFonts w:eastAsia="Times New Roman" w:cs="Arial"/>
          <w:sz w:val="24"/>
          <w:szCs w:val="24"/>
        </w:rPr>
        <w:t>piața</w:t>
      </w:r>
      <w:r w:rsidRPr="00BA444B">
        <w:rPr>
          <w:rFonts w:eastAsia="Times New Roman" w:cs="Arial"/>
          <w:sz w:val="24"/>
          <w:szCs w:val="24"/>
        </w:rPr>
        <w:t xml:space="preserve"> externă.</w:t>
      </w:r>
    </w:p>
    <w:p w:rsidR="00D75673" w:rsidRPr="009C6832" w:rsidRDefault="009C6832" w:rsidP="0077567F">
      <w:pPr>
        <w:spacing w:after="120"/>
        <w:ind w:firstLine="709"/>
        <w:rPr>
          <w:rFonts w:eastAsia="Times New Roman" w:cs="Arial"/>
          <w:sz w:val="24"/>
          <w:szCs w:val="24"/>
        </w:rPr>
      </w:pPr>
      <w:r w:rsidRPr="009C6832">
        <w:rPr>
          <w:rFonts w:eastAsia="Times New Roman" w:cs="Arial"/>
          <w:sz w:val="24"/>
          <w:szCs w:val="24"/>
        </w:rPr>
        <w:t>Investițiile</w:t>
      </w:r>
      <w:r w:rsidR="00D75673" w:rsidRPr="009C6832">
        <w:rPr>
          <w:rFonts w:eastAsia="Times New Roman" w:cs="Arial"/>
          <w:sz w:val="24"/>
          <w:szCs w:val="24"/>
        </w:rPr>
        <w:t xml:space="preserve"> nete realizate în economia </w:t>
      </w:r>
      <w:r w:rsidRPr="009C6832">
        <w:rPr>
          <w:rFonts w:eastAsia="Times New Roman" w:cs="Arial"/>
          <w:sz w:val="24"/>
          <w:szCs w:val="24"/>
        </w:rPr>
        <w:t>națională</w:t>
      </w:r>
      <w:r w:rsidR="008863DB">
        <w:rPr>
          <w:rFonts w:eastAsia="Times New Roman" w:cs="Arial"/>
          <w:sz w:val="24"/>
          <w:szCs w:val="24"/>
        </w:rPr>
        <w:t xml:space="preserve"> au înregistrat o scădere de 0,2</w:t>
      </w:r>
      <w:r w:rsidR="00D75673" w:rsidRPr="009C6832">
        <w:rPr>
          <w:rFonts w:eastAsia="Times New Roman" w:cs="Arial"/>
          <w:sz w:val="24"/>
          <w:szCs w:val="24"/>
        </w:rPr>
        <w:t xml:space="preserve">%, în </w:t>
      </w:r>
      <w:r w:rsidR="008863DB">
        <w:rPr>
          <w:rFonts w:eastAsia="Times New Roman" w:cs="Arial"/>
          <w:sz w:val="24"/>
          <w:szCs w:val="24"/>
        </w:rPr>
        <w:t>semestrul</w:t>
      </w:r>
      <w:r w:rsidR="00D75673" w:rsidRPr="009C6832">
        <w:rPr>
          <w:rFonts w:eastAsia="Times New Roman" w:cs="Arial"/>
          <w:sz w:val="24"/>
          <w:szCs w:val="24"/>
        </w:rPr>
        <w:t xml:space="preserve"> I 2017 comparativ cu </w:t>
      </w:r>
      <w:r w:rsidR="008863DB">
        <w:rPr>
          <w:rFonts w:eastAsia="Times New Roman" w:cs="Arial"/>
          <w:sz w:val="24"/>
          <w:szCs w:val="24"/>
        </w:rPr>
        <w:t>semestrul</w:t>
      </w:r>
      <w:r w:rsidR="00D75673" w:rsidRPr="009C6832">
        <w:rPr>
          <w:rFonts w:eastAsia="Times New Roman" w:cs="Arial"/>
          <w:sz w:val="24"/>
          <w:szCs w:val="24"/>
        </w:rPr>
        <w:t xml:space="preserve"> I 2016. Cea mai mare parte a cheltuielilor pentru </w:t>
      </w:r>
      <w:r w:rsidRPr="009C6832">
        <w:rPr>
          <w:rFonts w:eastAsia="Times New Roman" w:cs="Arial"/>
          <w:sz w:val="24"/>
          <w:szCs w:val="24"/>
        </w:rPr>
        <w:t>investiții</w:t>
      </w:r>
      <w:r w:rsidR="008863DB">
        <w:rPr>
          <w:rFonts w:eastAsia="Times New Roman" w:cs="Arial"/>
          <w:sz w:val="24"/>
          <w:szCs w:val="24"/>
        </w:rPr>
        <w:t xml:space="preserve"> (46,4</w:t>
      </w:r>
      <w:r w:rsidR="00D75673" w:rsidRPr="009C6832">
        <w:rPr>
          <w:rFonts w:eastAsia="Times New Roman" w:cs="Arial"/>
          <w:sz w:val="24"/>
          <w:szCs w:val="24"/>
        </w:rPr>
        <w:t>%) a fost orientată spre</w:t>
      </w:r>
      <w:r w:rsidR="008863DB">
        <w:rPr>
          <w:rFonts w:eastAsia="Times New Roman" w:cs="Arial"/>
          <w:sz w:val="24"/>
          <w:szCs w:val="24"/>
        </w:rPr>
        <w:t xml:space="preserve"> lucrările de </w:t>
      </w:r>
      <w:r w:rsidR="00CB0DBE">
        <w:rPr>
          <w:rFonts w:eastAsia="Times New Roman" w:cs="Arial"/>
          <w:sz w:val="24"/>
          <w:szCs w:val="24"/>
        </w:rPr>
        <w:t>construcții</w:t>
      </w:r>
      <w:r w:rsidR="008863DB">
        <w:rPr>
          <w:rFonts w:eastAsia="Times New Roman" w:cs="Arial"/>
          <w:sz w:val="24"/>
          <w:szCs w:val="24"/>
        </w:rPr>
        <w:t xml:space="preserve"> noi</w:t>
      </w:r>
      <w:r w:rsidR="00D75673" w:rsidRPr="009C6832">
        <w:rPr>
          <w:rFonts w:eastAsia="Times New Roman" w:cs="Arial"/>
          <w:sz w:val="24"/>
          <w:szCs w:val="24"/>
        </w:rPr>
        <w:t xml:space="preserve">, volumul acestora  </w:t>
      </w:r>
      <w:r w:rsidR="008863DB">
        <w:rPr>
          <w:rFonts w:eastAsia="Times New Roman" w:cs="Arial"/>
          <w:sz w:val="24"/>
          <w:szCs w:val="24"/>
        </w:rPr>
        <w:t>majorându-se cu 2,2</w:t>
      </w:r>
      <w:r w:rsidR="00D75673" w:rsidRPr="009C6832">
        <w:rPr>
          <w:rFonts w:eastAsia="Times New Roman" w:cs="Arial"/>
          <w:sz w:val="24"/>
          <w:szCs w:val="24"/>
        </w:rPr>
        <w:t>%.</w:t>
      </w:r>
    </w:p>
    <w:p w:rsidR="00D75673" w:rsidRPr="009C6832" w:rsidRDefault="00D75673" w:rsidP="0077567F">
      <w:pPr>
        <w:spacing w:after="120"/>
        <w:ind w:firstLine="709"/>
        <w:rPr>
          <w:rFonts w:eastAsia="Times New Roman" w:cs="Arial"/>
          <w:sz w:val="24"/>
          <w:szCs w:val="24"/>
        </w:rPr>
      </w:pPr>
      <w:r w:rsidRPr="009C6832">
        <w:rPr>
          <w:rFonts w:eastAsia="Times New Roman" w:cs="Arial"/>
          <w:sz w:val="24"/>
          <w:szCs w:val="24"/>
        </w:rPr>
        <w:t xml:space="preserve">Volumul cifrei de afaceri pentru comerțul cu amănuntul s-a majorat în primele cinci luni ale anului 2017, comparativ </w:t>
      </w:r>
      <w:r w:rsidR="00446370">
        <w:rPr>
          <w:rFonts w:eastAsia="Times New Roman" w:cs="Arial"/>
          <w:sz w:val="24"/>
          <w:szCs w:val="24"/>
        </w:rPr>
        <w:t xml:space="preserve">cu </w:t>
      </w:r>
      <w:r w:rsidRPr="009C6832">
        <w:rPr>
          <w:rFonts w:eastAsia="Times New Roman" w:cs="Arial"/>
          <w:sz w:val="24"/>
          <w:szCs w:val="24"/>
        </w:rPr>
        <w:t xml:space="preserve">aceeași perioadă din 2016, cu 7,9%, în principal datorită vânzărilor de </w:t>
      </w:r>
      <w:r w:rsidR="00531E2B" w:rsidRPr="009C6832">
        <w:rPr>
          <w:rFonts w:eastAsia="Times New Roman" w:cs="Arial"/>
          <w:sz w:val="24"/>
          <w:szCs w:val="24"/>
        </w:rPr>
        <w:t>carburanți</w:t>
      </w:r>
      <w:r w:rsidRPr="009C6832">
        <w:rPr>
          <w:rFonts w:eastAsia="Times New Roman" w:cs="Arial"/>
          <w:sz w:val="24"/>
          <w:szCs w:val="24"/>
        </w:rPr>
        <w:t xml:space="preserve"> în magazine specializate  (+11,1%) şi a comerțului cu amănuntul prin intermediul caselor de comenzi sau prin internet (+33,1%).</w:t>
      </w:r>
    </w:p>
    <w:p w:rsidR="00D75673" w:rsidRPr="009C6832" w:rsidRDefault="00D75673" w:rsidP="0077567F">
      <w:pPr>
        <w:spacing w:after="120"/>
        <w:ind w:firstLine="709"/>
        <w:rPr>
          <w:rFonts w:eastAsia="Times New Roman" w:cs="Arial"/>
          <w:sz w:val="24"/>
          <w:szCs w:val="24"/>
        </w:rPr>
      </w:pPr>
      <w:r w:rsidRPr="009C6832">
        <w:rPr>
          <w:rFonts w:eastAsia="Times New Roman" w:cs="Arial"/>
          <w:sz w:val="24"/>
          <w:szCs w:val="24"/>
        </w:rPr>
        <w:t>Creșteri substanțiale s-au înregistrat, în această perioadă, şi în cazul mărfurilor nealimentare (+10,2%), în special datorită vânzărilor de textile, îmbrăcăminte, încălțăminte şi articole din piele (+25,1%), alte produse comercializate în magazine specializate (+23,0%) şi  mobilă, articole de iluminat, aparate electrice, articole de fierărie şi vopsitorie (+11,6%). Şi vânzările de produse alimentare, băuturi şi tutun  şi-au menținut trendul ascendent, acestea crescând cu 3,6% în primele 5 luni ale acestui an.</w:t>
      </w:r>
    </w:p>
    <w:p w:rsidR="00D75673" w:rsidRPr="009C6832" w:rsidRDefault="00D75673" w:rsidP="0077567F">
      <w:pPr>
        <w:spacing w:after="120"/>
        <w:ind w:firstLine="709"/>
        <w:rPr>
          <w:rFonts w:eastAsia="Times New Roman" w:cs="Arial"/>
          <w:sz w:val="24"/>
          <w:szCs w:val="24"/>
        </w:rPr>
      </w:pPr>
      <w:r w:rsidRPr="009C6832">
        <w:rPr>
          <w:rFonts w:eastAsia="Times New Roman" w:cs="Arial"/>
          <w:sz w:val="24"/>
          <w:szCs w:val="24"/>
        </w:rPr>
        <w:t>Exporturile de bunuri şi-au acceler</w:t>
      </w:r>
      <w:r w:rsidR="009774BD">
        <w:rPr>
          <w:rFonts w:eastAsia="Times New Roman" w:cs="Arial"/>
          <w:sz w:val="24"/>
          <w:szCs w:val="24"/>
        </w:rPr>
        <w:t>at ritmul de creștere, de la 4,2%, în primele 6 luni ale anului 2017, până la 9,6</w:t>
      </w:r>
      <w:r w:rsidRPr="009C6832">
        <w:rPr>
          <w:rFonts w:eastAsia="Times New Roman" w:cs="Arial"/>
          <w:sz w:val="24"/>
          <w:szCs w:val="24"/>
        </w:rPr>
        <w:t>% în perioada similară a anului curent. Valoarea exporturilor intracomunitare de bunur</w:t>
      </w:r>
      <w:r w:rsidR="009774BD">
        <w:rPr>
          <w:rFonts w:eastAsia="Times New Roman" w:cs="Arial"/>
          <w:sz w:val="24"/>
          <w:szCs w:val="24"/>
        </w:rPr>
        <w:t>i a înregistrat o creștere cu 10,3</w:t>
      </w:r>
      <w:r w:rsidRPr="009C6832">
        <w:rPr>
          <w:rFonts w:eastAsia="Times New Roman" w:cs="Arial"/>
          <w:sz w:val="24"/>
          <w:szCs w:val="24"/>
        </w:rPr>
        <w:t>%, ponderea exportului destinat statelor UE în</w:t>
      </w:r>
      <w:r w:rsidR="009774BD">
        <w:rPr>
          <w:rFonts w:eastAsia="Times New Roman" w:cs="Arial"/>
          <w:sz w:val="24"/>
          <w:szCs w:val="24"/>
        </w:rPr>
        <w:t xml:space="preserve"> total exporturi reprezentând 76,0</w:t>
      </w:r>
      <w:r w:rsidRPr="009C6832">
        <w:rPr>
          <w:rFonts w:eastAsia="Times New Roman" w:cs="Arial"/>
          <w:sz w:val="24"/>
          <w:szCs w:val="24"/>
        </w:rPr>
        <w:t>%. Importurile de</w:t>
      </w:r>
      <w:r w:rsidR="009774BD">
        <w:rPr>
          <w:rFonts w:eastAsia="Times New Roman" w:cs="Arial"/>
          <w:sz w:val="24"/>
          <w:szCs w:val="24"/>
        </w:rPr>
        <w:t xml:space="preserve"> bunuri au crescut, în primele 6 luni ale anului  2017 cu 12,4</w:t>
      </w:r>
      <w:r w:rsidRPr="009C6832">
        <w:rPr>
          <w:rFonts w:eastAsia="Times New Roman" w:cs="Arial"/>
          <w:sz w:val="24"/>
          <w:szCs w:val="24"/>
        </w:rPr>
        <w:t>%. Valoarea importurilor provenite din zona UE</w:t>
      </w:r>
      <w:r w:rsidR="009774BD">
        <w:rPr>
          <w:rFonts w:eastAsia="Times New Roman" w:cs="Arial"/>
          <w:sz w:val="24"/>
          <w:szCs w:val="24"/>
        </w:rPr>
        <w:t xml:space="preserve"> a înregistrat o creștere cu 9,6%, ajungând să reprezinte 75,8</w:t>
      </w:r>
      <w:r w:rsidRPr="009C6832">
        <w:rPr>
          <w:rFonts w:eastAsia="Times New Roman" w:cs="Arial"/>
          <w:sz w:val="24"/>
          <w:szCs w:val="24"/>
        </w:rPr>
        <w:t xml:space="preserve">% din importurile românești. </w:t>
      </w:r>
    </w:p>
    <w:p w:rsidR="004E2452" w:rsidRDefault="004E2452" w:rsidP="008B66B3">
      <w:pPr>
        <w:spacing w:after="120"/>
        <w:ind w:firstLine="709"/>
        <w:rPr>
          <w:rFonts w:eastAsia="Times New Roman" w:cs="Arial"/>
          <w:sz w:val="24"/>
          <w:szCs w:val="24"/>
        </w:rPr>
      </w:pPr>
    </w:p>
    <w:p w:rsidR="009414F6" w:rsidRDefault="009774BD" w:rsidP="008B66B3">
      <w:pPr>
        <w:spacing w:after="120"/>
        <w:ind w:firstLine="709"/>
        <w:rPr>
          <w:rFonts w:eastAsia="Times New Roman" w:cs="Arial"/>
          <w:sz w:val="24"/>
          <w:szCs w:val="24"/>
        </w:rPr>
      </w:pPr>
      <w:r>
        <w:rPr>
          <w:rFonts w:eastAsia="Times New Roman" w:cs="Arial"/>
          <w:sz w:val="24"/>
          <w:szCs w:val="24"/>
        </w:rPr>
        <w:t>În primele 6</w:t>
      </w:r>
      <w:r w:rsidR="00D75673" w:rsidRPr="009C6832">
        <w:rPr>
          <w:rFonts w:eastAsia="Times New Roman" w:cs="Arial"/>
          <w:sz w:val="24"/>
          <w:szCs w:val="24"/>
        </w:rPr>
        <w:t xml:space="preserve"> luni din 2017</w:t>
      </w:r>
      <w:r w:rsidR="00525D24">
        <w:rPr>
          <w:rFonts w:eastAsia="Times New Roman" w:cs="Arial"/>
          <w:sz w:val="24"/>
          <w:szCs w:val="24"/>
        </w:rPr>
        <w:t xml:space="preserve"> i</w:t>
      </w:r>
      <w:r w:rsidR="00D75673" w:rsidRPr="009C6832">
        <w:rPr>
          <w:rFonts w:eastAsia="Times New Roman" w:cs="Arial"/>
          <w:sz w:val="24"/>
          <w:szCs w:val="24"/>
        </w:rPr>
        <w:t>nvestițiile străine direct</w:t>
      </w:r>
      <w:r>
        <w:rPr>
          <w:rFonts w:eastAsia="Times New Roman" w:cs="Arial"/>
          <w:sz w:val="24"/>
          <w:szCs w:val="24"/>
        </w:rPr>
        <w:t>e au totalizat o valoare de 1.841</w:t>
      </w:r>
      <w:r w:rsidR="00D75673" w:rsidRPr="009C6832">
        <w:rPr>
          <w:rFonts w:eastAsia="Times New Roman" w:cs="Arial"/>
          <w:sz w:val="24"/>
          <w:szCs w:val="24"/>
        </w:rPr>
        <w:t xml:space="preserve"> milioane euro.</w:t>
      </w:r>
      <w:r w:rsidR="00147BBC">
        <w:rPr>
          <w:rFonts w:eastAsia="Times New Roman" w:cs="Arial"/>
          <w:sz w:val="24"/>
          <w:szCs w:val="24"/>
        </w:rPr>
        <w:t xml:space="preserve"> </w:t>
      </w:r>
      <w:r w:rsidR="008B66B3" w:rsidRPr="008B66B3">
        <w:rPr>
          <w:rFonts w:eastAsia="Times New Roman" w:cs="Arial"/>
          <w:sz w:val="24"/>
          <w:szCs w:val="24"/>
        </w:rPr>
        <w:t>Este de evidențiat faptul că, investițiile reale în economie (participațiile la capital și profitul reinvestit) s-au majorat în primele 6 luni ale anului 2017 cu 28,6% totalizând 2.179 milioane euro</w:t>
      </w:r>
      <w:r w:rsidR="004E2452">
        <w:rPr>
          <w:rFonts w:eastAsia="Times New Roman" w:cs="Arial"/>
          <w:sz w:val="24"/>
          <w:szCs w:val="24"/>
        </w:rPr>
        <w:t>.</w:t>
      </w:r>
    </w:p>
    <w:p w:rsidR="004E2452" w:rsidRPr="009C6832" w:rsidRDefault="004E2452" w:rsidP="008B66B3">
      <w:pPr>
        <w:spacing w:after="120"/>
        <w:ind w:firstLine="709"/>
        <w:rPr>
          <w:rFonts w:eastAsia="Times New Roman" w:cs="Times New Roman"/>
          <w:b/>
          <w:bCs/>
        </w:rPr>
      </w:pPr>
    </w:p>
    <w:p w:rsidR="00D75673" w:rsidRPr="009C6832" w:rsidRDefault="00D75673" w:rsidP="00D75673">
      <w:pPr>
        <w:spacing w:after="0" w:line="240" w:lineRule="auto"/>
        <w:jc w:val="center"/>
        <w:rPr>
          <w:rFonts w:eastAsia="Times New Roman" w:cs="Times New Roman"/>
          <w:b/>
          <w:bCs/>
        </w:rPr>
      </w:pPr>
      <w:r w:rsidRPr="009C6832">
        <w:rPr>
          <w:rFonts w:eastAsia="Times New Roman" w:cs="Times New Roman"/>
          <w:b/>
          <w:bCs/>
        </w:rPr>
        <w:t>Evoluția comerțului exterior</w:t>
      </w:r>
    </w:p>
    <w:p w:rsidR="00D75673" w:rsidRPr="009C6832" w:rsidRDefault="00066A53" w:rsidP="00D75673">
      <w:pPr>
        <w:spacing w:after="0" w:line="240" w:lineRule="auto"/>
        <w:jc w:val="center"/>
        <w:rPr>
          <w:rFonts w:eastAsia="Times New Roman" w:cs="Times New Roman"/>
          <w:b/>
          <w:bCs/>
        </w:rPr>
      </w:pPr>
      <w:r>
        <w:rPr>
          <w:rFonts w:eastAsia="Times New Roman" w:cs="Times New Roman"/>
          <w:b/>
          <w:bCs/>
        </w:rPr>
        <w:t>Ianuarie – iunie</w:t>
      </w:r>
      <w:r w:rsidR="00D75673" w:rsidRPr="009C6832">
        <w:rPr>
          <w:rFonts w:eastAsia="Times New Roman" w:cs="Times New Roman"/>
          <w:b/>
          <w:bCs/>
        </w:rPr>
        <w:t xml:space="preserve"> 2017</w:t>
      </w:r>
    </w:p>
    <w:p w:rsidR="009414F6" w:rsidRPr="009C6832" w:rsidRDefault="009414F6" w:rsidP="00D75673">
      <w:pPr>
        <w:spacing w:after="0" w:line="240" w:lineRule="auto"/>
        <w:jc w:val="center"/>
        <w:rPr>
          <w:rFonts w:eastAsia="Times New Roman" w:cs="Times New Roman"/>
          <w:b/>
          <w:bCs/>
        </w:rPr>
      </w:pPr>
    </w:p>
    <w:p w:rsidR="00D75673" w:rsidRPr="009C6832" w:rsidRDefault="00066A53" w:rsidP="009414F6">
      <w:pPr>
        <w:spacing w:after="120"/>
        <w:ind w:firstLine="0"/>
        <w:jc w:val="center"/>
        <w:rPr>
          <w:rFonts w:eastAsia="Times New Roman" w:cs="Times New Roman"/>
          <w:b/>
          <w:bCs/>
        </w:rPr>
      </w:pPr>
      <w:r>
        <w:rPr>
          <w:rFonts w:ascii="Arial" w:hAnsi="Arial" w:cs="Arial"/>
          <w:noProof/>
          <w:lang w:eastAsia="ro-RO"/>
        </w:rPr>
        <w:drawing>
          <wp:inline distT="0" distB="0" distL="0" distR="0">
            <wp:extent cx="4984827" cy="2990335"/>
            <wp:effectExtent l="19050" t="0" r="25323" b="515"/>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7567F" w:rsidRPr="009C6832" w:rsidRDefault="0077567F" w:rsidP="009414F6">
      <w:pPr>
        <w:spacing w:after="120"/>
        <w:ind w:firstLine="0"/>
        <w:jc w:val="center"/>
        <w:rPr>
          <w:rFonts w:eastAsia="Times New Roman" w:cs="Times New Roman"/>
          <w:b/>
          <w:bCs/>
        </w:rPr>
      </w:pPr>
    </w:p>
    <w:p w:rsidR="00D75673" w:rsidRPr="009C6832" w:rsidRDefault="00D75673" w:rsidP="0077567F">
      <w:pPr>
        <w:spacing w:after="120"/>
        <w:ind w:firstLine="709"/>
        <w:rPr>
          <w:rFonts w:eastAsia="Times New Roman" w:cs="Arial"/>
          <w:sz w:val="24"/>
          <w:szCs w:val="24"/>
        </w:rPr>
      </w:pPr>
      <w:r w:rsidRPr="009C6832">
        <w:rPr>
          <w:rFonts w:eastAsia="Times New Roman" w:cs="Arial"/>
          <w:sz w:val="24"/>
          <w:szCs w:val="24"/>
        </w:rPr>
        <w:t xml:space="preserve">Inflația anuală a revenit în teritoriu pozitiv încă de la începutul anului, ajungând în luna iunie la 0,85%. Această </w:t>
      </w:r>
      <w:r w:rsidR="00531E2B" w:rsidRPr="009C6832">
        <w:rPr>
          <w:rFonts w:eastAsia="Times New Roman" w:cs="Arial"/>
          <w:sz w:val="24"/>
          <w:szCs w:val="24"/>
        </w:rPr>
        <w:t>evoluție</w:t>
      </w:r>
      <w:r w:rsidRPr="009C6832">
        <w:rPr>
          <w:rFonts w:eastAsia="Times New Roman" w:cs="Arial"/>
          <w:sz w:val="24"/>
          <w:szCs w:val="24"/>
        </w:rPr>
        <w:t xml:space="preserve"> s-a datorat eliminării efectului reducerii cotei de TVA cu 4 puncte procentuale din luna ianuarie 2016. Măsurile luate începând cu luna ianuarie 2017, cu efecte de reducere a </w:t>
      </w:r>
      <w:r w:rsidR="00531E2B" w:rsidRPr="009C6832">
        <w:rPr>
          <w:rFonts w:eastAsia="Times New Roman" w:cs="Arial"/>
          <w:sz w:val="24"/>
          <w:szCs w:val="24"/>
        </w:rPr>
        <w:t>inflației</w:t>
      </w:r>
      <w:r w:rsidRPr="009C6832">
        <w:rPr>
          <w:rFonts w:eastAsia="Times New Roman" w:cs="Arial"/>
          <w:sz w:val="24"/>
          <w:szCs w:val="24"/>
        </w:rPr>
        <w:t xml:space="preserve">, respectiv reducerea cotei de TVA cu 1 punct procentual şi eliminarea euro-accizei pentru </w:t>
      </w:r>
      <w:r w:rsidR="00531E2B" w:rsidRPr="009C6832">
        <w:rPr>
          <w:rFonts w:eastAsia="Times New Roman" w:cs="Arial"/>
          <w:sz w:val="24"/>
          <w:szCs w:val="24"/>
        </w:rPr>
        <w:t>carburanți</w:t>
      </w:r>
      <w:r w:rsidRPr="009C6832">
        <w:rPr>
          <w:rFonts w:eastAsia="Times New Roman" w:cs="Arial"/>
          <w:sz w:val="24"/>
          <w:szCs w:val="24"/>
        </w:rPr>
        <w:t xml:space="preserve">, au fost compensate de trendul ascendent al </w:t>
      </w:r>
      <w:r w:rsidR="00531E2B" w:rsidRPr="009C6832">
        <w:rPr>
          <w:rFonts w:eastAsia="Times New Roman" w:cs="Arial"/>
          <w:sz w:val="24"/>
          <w:szCs w:val="24"/>
        </w:rPr>
        <w:t>cotației</w:t>
      </w:r>
      <w:r w:rsidR="00CB0DBE">
        <w:rPr>
          <w:rFonts w:eastAsia="Times New Roman" w:cs="Arial"/>
          <w:sz w:val="24"/>
          <w:szCs w:val="24"/>
        </w:rPr>
        <w:t xml:space="preserve"> </w:t>
      </w:r>
      <w:r w:rsidR="00531E2B" w:rsidRPr="009C6832">
        <w:rPr>
          <w:rFonts w:eastAsia="Times New Roman" w:cs="Arial"/>
          <w:sz w:val="24"/>
          <w:szCs w:val="24"/>
        </w:rPr>
        <w:t>țițeiului</w:t>
      </w:r>
      <w:r w:rsidRPr="009C6832">
        <w:rPr>
          <w:rFonts w:eastAsia="Times New Roman" w:cs="Arial"/>
          <w:sz w:val="24"/>
          <w:szCs w:val="24"/>
        </w:rPr>
        <w:t xml:space="preserve"> pe </w:t>
      </w:r>
      <w:r w:rsidR="00531E2B" w:rsidRPr="009C6832">
        <w:rPr>
          <w:rFonts w:eastAsia="Times New Roman" w:cs="Arial"/>
          <w:sz w:val="24"/>
          <w:szCs w:val="24"/>
        </w:rPr>
        <w:t>piețele</w:t>
      </w:r>
      <w:r w:rsidR="00CB0DBE">
        <w:rPr>
          <w:rFonts w:eastAsia="Times New Roman" w:cs="Arial"/>
          <w:sz w:val="24"/>
          <w:szCs w:val="24"/>
        </w:rPr>
        <w:t xml:space="preserve"> </w:t>
      </w:r>
      <w:r w:rsidR="00531E2B" w:rsidRPr="009C6832">
        <w:rPr>
          <w:rFonts w:eastAsia="Times New Roman" w:cs="Arial"/>
          <w:sz w:val="24"/>
          <w:szCs w:val="24"/>
        </w:rPr>
        <w:t>internaționale</w:t>
      </w:r>
      <w:r w:rsidR="00F93CAD" w:rsidRPr="009C6832">
        <w:rPr>
          <w:rFonts w:eastAsia="Times New Roman" w:cs="Arial"/>
          <w:sz w:val="24"/>
          <w:szCs w:val="24"/>
        </w:rPr>
        <w:t>,</w:t>
      </w:r>
      <w:r w:rsidRPr="009C6832">
        <w:rPr>
          <w:rFonts w:eastAsia="Times New Roman" w:cs="Arial"/>
          <w:sz w:val="24"/>
          <w:szCs w:val="24"/>
        </w:rPr>
        <w:t xml:space="preserve"> dar şi de o </w:t>
      </w:r>
      <w:r w:rsidR="00531E2B" w:rsidRPr="009C6832">
        <w:rPr>
          <w:rFonts w:eastAsia="Times New Roman" w:cs="Arial"/>
          <w:sz w:val="24"/>
          <w:szCs w:val="24"/>
        </w:rPr>
        <w:t>creștere</w:t>
      </w:r>
      <w:r w:rsidRPr="009C6832">
        <w:rPr>
          <w:rFonts w:eastAsia="Times New Roman" w:cs="Arial"/>
          <w:sz w:val="24"/>
          <w:szCs w:val="24"/>
        </w:rPr>
        <w:t xml:space="preserve"> mai accentuată a </w:t>
      </w:r>
      <w:r w:rsidR="00531E2B" w:rsidRPr="009C6832">
        <w:rPr>
          <w:rFonts w:eastAsia="Times New Roman" w:cs="Arial"/>
          <w:sz w:val="24"/>
          <w:szCs w:val="24"/>
        </w:rPr>
        <w:t>prețurilor</w:t>
      </w:r>
      <w:r w:rsidRPr="009C6832">
        <w:rPr>
          <w:rFonts w:eastAsia="Times New Roman" w:cs="Arial"/>
          <w:sz w:val="24"/>
          <w:szCs w:val="24"/>
        </w:rPr>
        <w:t xml:space="preserve"> la nivelul produselor agroalimentare.</w:t>
      </w:r>
    </w:p>
    <w:p w:rsidR="004E2452" w:rsidRDefault="004E2452" w:rsidP="0077567F">
      <w:pPr>
        <w:spacing w:after="120"/>
        <w:ind w:firstLine="709"/>
        <w:rPr>
          <w:rFonts w:eastAsia="Times New Roman" w:cs="Arial"/>
          <w:sz w:val="24"/>
          <w:szCs w:val="24"/>
        </w:rPr>
      </w:pPr>
    </w:p>
    <w:p w:rsidR="009414F6" w:rsidRPr="009C6832" w:rsidRDefault="00D75673" w:rsidP="0077567F">
      <w:pPr>
        <w:spacing w:after="120"/>
        <w:ind w:firstLine="709"/>
        <w:rPr>
          <w:rFonts w:eastAsia="Times New Roman" w:cs="Arial"/>
          <w:sz w:val="24"/>
          <w:szCs w:val="24"/>
        </w:rPr>
      </w:pPr>
      <w:r w:rsidRPr="009C6832">
        <w:rPr>
          <w:rFonts w:eastAsia="Times New Roman" w:cs="Arial"/>
          <w:sz w:val="24"/>
          <w:szCs w:val="24"/>
        </w:rPr>
        <w:t xml:space="preserve">În primele 6 luni ale anului comparativ cu perioada corespunzătoare a anului anterior prețurile de consum au înregistrat o </w:t>
      </w:r>
      <w:r w:rsidR="00531E2B" w:rsidRPr="009C6832">
        <w:rPr>
          <w:rFonts w:eastAsia="Times New Roman" w:cs="Arial"/>
          <w:sz w:val="24"/>
          <w:szCs w:val="24"/>
        </w:rPr>
        <w:t>ușoară</w:t>
      </w:r>
      <w:r w:rsidR="00CB0DBE">
        <w:rPr>
          <w:rFonts w:eastAsia="Times New Roman" w:cs="Arial"/>
          <w:sz w:val="24"/>
          <w:szCs w:val="24"/>
        </w:rPr>
        <w:t xml:space="preserve"> </w:t>
      </w:r>
      <w:r w:rsidR="00531E2B" w:rsidRPr="009C6832">
        <w:rPr>
          <w:rFonts w:eastAsia="Times New Roman" w:cs="Arial"/>
          <w:sz w:val="24"/>
          <w:szCs w:val="24"/>
        </w:rPr>
        <w:t>creștere</w:t>
      </w:r>
      <w:r w:rsidRPr="009C6832">
        <w:rPr>
          <w:rFonts w:eastAsia="Times New Roman" w:cs="Arial"/>
          <w:sz w:val="24"/>
          <w:szCs w:val="24"/>
        </w:rPr>
        <w:t xml:space="preserve"> de 0,42%. </w:t>
      </w:r>
      <w:r w:rsidR="00531E2B" w:rsidRPr="009C6832">
        <w:rPr>
          <w:rFonts w:eastAsia="Times New Roman" w:cs="Arial"/>
          <w:sz w:val="24"/>
          <w:szCs w:val="24"/>
        </w:rPr>
        <w:t>Creșterea</w:t>
      </w:r>
      <w:r w:rsidRPr="009C6832">
        <w:rPr>
          <w:rFonts w:eastAsia="Times New Roman" w:cs="Arial"/>
          <w:sz w:val="24"/>
          <w:szCs w:val="24"/>
        </w:rPr>
        <w:t xml:space="preserve"> cea mai </w:t>
      </w:r>
      <w:r w:rsidR="00531E2B" w:rsidRPr="009C6832">
        <w:rPr>
          <w:rFonts w:eastAsia="Times New Roman" w:cs="Arial"/>
          <w:sz w:val="24"/>
          <w:szCs w:val="24"/>
        </w:rPr>
        <w:t>pronunțată</w:t>
      </w:r>
      <w:r w:rsidRPr="009C6832">
        <w:rPr>
          <w:rFonts w:eastAsia="Times New Roman" w:cs="Arial"/>
          <w:sz w:val="24"/>
          <w:szCs w:val="24"/>
        </w:rPr>
        <w:t xml:space="preserve"> s-a înregistrat la mărfurile alimentare ( 1,93%), în timp ce </w:t>
      </w:r>
      <w:r w:rsidR="00531E2B" w:rsidRPr="009C6832">
        <w:rPr>
          <w:rFonts w:eastAsia="Times New Roman" w:cs="Arial"/>
          <w:sz w:val="24"/>
          <w:szCs w:val="24"/>
        </w:rPr>
        <w:t>prețurile</w:t>
      </w:r>
      <w:r w:rsidRPr="009C6832">
        <w:rPr>
          <w:rFonts w:eastAsia="Times New Roman" w:cs="Arial"/>
          <w:sz w:val="24"/>
          <w:szCs w:val="24"/>
        </w:rPr>
        <w:t xml:space="preserve"> mărfurilor nealimentare au crescut cu 0,05%, iar tarifele la servicii au înregistrat o scădere de 1,30%.</w:t>
      </w:r>
    </w:p>
    <w:p w:rsidR="0077567F" w:rsidRPr="009C6832" w:rsidRDefault="0077567F" w:rsidP="0077567F">
      <w:pPr>
        <w:spacing w:after="120"/>
        <w:ind w:firstLine="709"/>
        <w:rPr>
          <w:rFonts w:eastAsia="Times New Roman" w:cs="Times New Roman"/>
          <w:b/>
          <w:bCs/>
        </w:rPr>
      </w:pPr>
    </w:p>
    <w:p w:rsidR="00D75673" w:rsidRPr="009C6832" w:rsidRDefault="00D75673" w:rsidP="00D75673">
      <w:pPr>
        <w:jc w:val="center"/>
        <w:rPr>
          <w:rFonts w:eastAsia="Times New Roman" w:cs="Times New Roman"/>
          <w:b/>
          <w:bCs/>
        </w:rPr>
      </w:pPr>
      <w:r w:rsidRPr="009C6832">
        <w:rPr>
          <w:rFonts w:eastAsia="Times New Roman" w:cs="Times New Roman"/>
          <w:b/>
          <w:bCs/>
        </w:rPr>
        <w:t>Contribuții la rata anuală a inflației (%)</w:t>
      </w:r>
    </w:p>
    <w:p w:rsidR="00D75673" w:rsidRPr="009C6832" w:rsidRDefault="00D75673" w:rsidP="009414F6">
      <w:pPr>
        <w:ind w:firstLine="0"/>
        <w:rPr>
          <w:rFonts w:eastAsia="Times New Roman" w:cs="Times New Roman"/>
          <w:b/>
          <w:noProof/>
          <w:lang w:val="en-US"/>
        </w:rPr>
      </w:pPr>
      <w:r w:rsidRPr="009C6832">
        <w:rPr>
          <w:rFonts w:eastAsia="Times New Roman" w:cs="Times New Roman"/>
          <w:b/>
          <w:noProof/>
          <w:shd w:val="clear" w:color="auto" w:fill="DEEAF6" w:themeFill="accent1" w:themeFillTint="33"/>
          <w:lang w:eastAsia="ro-RO"/>
        </w:rPr>
        <w:drawing>
          <wp:inline distT="0" distB="0" distL="0" distR="0">
            <wp:extent cx="5760720" cy="2628900"/>
            <wp:effectExtent l="19050" t="19050" r="11430" b="19050"/>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3"/>
                    <pic:cNvPicPr>
                      <a:picLocks noChangeArrowheads="1"/>
                    </pic:cNvPicPr>
                  </pic:nvPicPr>
                  <pic:blipFill>
                    <a:blip r:embed="rId12">
                      <a:extLst>
                        <a:ext uri="{28A0092B-C50C-407E-A947-70E740481C1C}">
                          <a14:useLocalDpi xmlns:a14="http://schemas.microsoft.com/office/drawing/2010/main" val="0"/>
                        </a:ext>
                      </a:extLst>
                    </a:blip>
                    <a:srcRect b="-17"/>
                    <a:stretch>
                      <a:fillRect/>
                    </a:stretch>
                  </pic:blipFill>
                  <pic:spPr bwMode="auto">
                    <a:xfrm>
                      <a:off x="0" y="0"/>
                      <a:ext cx="5760720" cy="2628900"/>
                    </a:xfrm>
                    <a:prstGeom prst="rect">
                      <a:avLst/>
                    </a:prstGeom>
                    <a:noFill/>
                    <a:ln w="6350" cmpd="sng">
                      <a:solidFill>
                        <a:schemeClr val="accent1">
                          <a:lumMod val="20000"/>
                          <a:lumOff val="80000"/>
                        </a:schemeClr>
                      </a:solidFill>
                      <a:miter lim="800000"/>
                      <a:headEnd/>
                      <a:tailEnd/>
                    </a:ln>
                    <a:effectLst/>
                  </pic:spPr>
                </pic:pic>
              </a:graphicData>
            </a:graphic>
          </wp:inline>
        </w:drawing>
      </w:r>
    </w:p>
    <w:p w:rsidR="00D75673" w:rsidRPr="009C6832" w:rsidRDefault="00D75673" w:rsidP="0077567F">
      <w:pPr>
        <w:spacing w:after="120"/>
        <w:ind w:firstLine="709"/>
        <w:rPr>
          <w:rFonts w:eastAsia="Times New Roman" w:cs="Arial"/>
          <w:sz w:val="24"/>
          <w:szCs w:val="24"/>
        </w:rPr>
      </w:pPr>
      <w:r w:rsidRPr="009C6832">
        <w:rPr>
          <w:rFonts w:eastAsia="Times New Roman" w:cs="Arial"/>
          <w:b/>
          <w:sz w:val="24"/>
          <w:szCs w:val="24"/>
        </w:rPr>
        <w:t>Cursul mediu de schimb leu/euro</w:t>
      </w:r>
      <w:r w:rsidRPr="009C6832">
        <w:rPr>
          <w:rFonts w:eastAsia="Times New Roman" w:cs="Arial"/>
          <w:sz w:val="24"/>
          <w:szCs w:val="24"/>
        </w:rPr>
        <w:t xml:space="preserve"> s-a situat în primele 6 luni ale anului curent la valoarea de 4,5362 lei/euro, înregistrând depreciere față de perioada corespunzătoare din 2016 atât în termeni nominali  (-0,9%), cât şi în termeni reali (-0,48%). În perioada ianuarie - iunie 2017 raportul euro/$ a fost de 1,08, cursul mediu al dolarului în această perioadă fiind de 4,1927 lei/$.</w:t>
      </w:r>
    </w:p>
    <w:p w:rsidR="00D75673" w:rsidRPr="009C6832" w:rsidRDefault="00D75673" w:rsidP="0077567F">
      <w:pPr>
        <w:spacing w:after="120"/>
        <w:ind w:firstLine="709"/>
        <w:rPr>
          <w:rFonts w:eastAsia="Times New Roman" w:cs="Arial"/>
          <w:sz w:val="24"/>
          <w:szCs w:val="24"/>
        </w:rPr>
      </w:pPr>
      <w:r w:rsidRPr="009C6832">
        <w:rPr>
          <w:rFonts w:eastAsia="Times New Roman" w:cs="Arial"/>
          <w:b/>
          <w:bCs/>
          <w:sz w:val="24"/>
          <w:szCs w:val="24"/>
        </w:rPr>
        <w:t>Efectivul salariaților</w:t>
      </w:r>
      <w:r w:rsidRPr="009C6832">
        <w:rPr>
          <w:rFonts w:eastAsia="Times New Roman" w:cs="Arial"/>
          <w:sz w:val="24"/>
          <w:szCs w:val="24"/>
        </w:rPr>
        <w:t xml:space="preserve"> a avut o tendință constantă de </w:t>
      </w:r>
      <w:r w:rsidR="00531E2B" w:rsidRPr="009C6832">
        <w:rPr>
          <w:rFonts w:eastAsia="Times New Roman" w:cs="Arial"/>
          <w:sz w:val="24"/>
          <w:szCs w:val="24"/>
        </w:rPr>
        <w:t>creștere</w:t>
      </w:r>
      <w:r w:rsidR="00B6374D">
        <w:rPr>
          <w:rFonts w:eastAsia="Times New Roman" w:cs="Arial"/>
          <w:sz w:val="24"/>
          <w:szCs w:val="24"/>
        </w:rPr>
        <w:t xml:space="preserve"> în primele 6</w:t>
      </w:r>
      <w:r w:rsidRPr="009C6832">
        <w:rPr>
          <w:rFonts w:eastAsia="Times New Roman" w:cs="Arial"/>
          <w:sz w:val="24"/>
          <w:szCs w:val="24"/>
        </w:rPr>
        <w:t xml:space="preserve"> luni ale anului </w:t>
      </w:r>
      <w:r w:rsidR="00531E2B" w:rsidRPr="009C6832">
        <w:rPr>
          <w:rFonts w:eastAsia="Times New Roman" w:cs="Arial"/>
          <w:sz w:val="24"/>
          <w:szCs w:val="24"/>
        </w:rPr>
        <w:t>față</w:t>
      </w:r>
      <w:r w:rsidRPr="009C6832">
        <w:rPr>
          <w:rFonts w:eastAsia="Times New Roman" w:cs="Arial"/>
          <w:sz w:val="24"/>
          <w:szCs w:val="24"/>
        </w:rPr>
        <w:t xml:space="preserve"> de perioada corespunzătoare  din 2016. La </w:t>
      </w:r>
      <w:r w:rsidR="00531E2B" w:rsidRPr="009C6832">
        <w:rPr>
          <w:rFonts w:eastAsia="Times New Roman" w:cs="Arial"/>
          <w:sz w:val="24"/>
          <w:szCs w:val="24"/>
        </w:rPr>
        <w:t>sfârșitul</w:t>
      </w:r>
      <w:r w:rsidRPr="009C6832">
        <w:rPr>
          <w:rFonts w:eastAsia="Times New Roman" w:cs="Arial"/>
          <w:sz w:val="24"/>
          <w:szCs w:val="24"/>
        </w:rPr>
        <w:t xml:space="preserve"> luni</w:t>
      </w:r>
      <w:r w:rsidR="00B6374D">
        <w:rPr>
          <w:rFonts w:eastAsia="Times New Roman" w:cs="Arial"/>
          <w:sz w:val="24"/>
          <w:szCs w:val="24"/>
        </w:rPr>
        <w:t>i iunie</w:t>
      </w:r>
      <w:r w:rsidRPr="009C6832">
        <w:rPr>
          <w:rFonts w:eastAsia="Times New Roman" w:cs="Arial"/>
          <w:sz w:val="24"/>
          <w:szCs w:val="24"/>
        </w:rPr>
        <w:t xml:space="preserve"> efectivul sal</w:t>
      </w:r>
      <w:r w:rsidR="00B6374D">
        <w:rPr>
          <w:rFonts w:eastAsia="Times New Roman" w:cs="Arial"/>
          <w:sz w:val="24"/>
          <w:szCs w:val="24"/>
        </w:rPr>
        <w:t>ariaților a fost mai mare cu 3,2</w:t>
      </w:r>
      <w:r w:rsidRPr="009C6832">
        <w:rPr>
          <w:rFonts w:eastAsia="Times New Roman" w:cs="Arial"/>
          <w:sz w:val="24"/>
          <w:szCs w:val="24"/>
        </w:rPr>
        <w:t xml:space="preserve">% </w:t>
      </w:r>
      <w:r w:rsidR="00531E2B" w:rsidRPr="009C6832">
        <w:rPr>
          <w:rFonts w:eastAsia="Times New Roman" w:cs="Arial"/>
          <w:sz w:val="24"/>
          <w:szCs w:val="24"/>
        </w:rPr>
        <w:t>față</w:t>
      </w:r>
      <w:r w:rsidRPr="009C6832">
        <w:rPr>
          <w:rFonts w:eastAsia="Times New Roman" w:cs="Arial"/>
          <w:sz w:val="24"/>
          <w:szCs w:val="24"/>
        </w:rPr>
        <w:t xml:space="preserve"> de luna corespunzătoare anului 2016.</w:t>
      </w:r>
    </w:p>
    <w:p w:rsidR="00D75673" w:rsidRPr="009C6832" w:rsidRDefault="00D75673" w:rsidP="0077567F">
      <w:pPr>
        <w:spacing w:after="120"/>
        <w:ind w:firstLine="709"/>
        <w:rPr>
          <w:rFonts w:eastAsia="Times New Roman" w:cs="Arial"/>
          <w:sz w:val="24"/>
          <w:szCs w:val="24"/>
        </w:rPr>
      </w:pPr>
      <w:r w:rsidRPr="009C6832">
        <w:rPr>
          <w:rFonts w:eastAsia="Times New Roman" w:cs="Arial"/>
          <w:sz w:val="24"/>
          <w:szCs w:val="24"/>
        </w:rPr>
        <w:t>Numărul</w:t>
      </w:r>
      <w:r w:rsidR="00B6374D">
        <w:rPr>
          <w:rFonts w:eastAsia="Times New Roman" w:cs="Arial"/>
          <w:sz w:val="24"/>
          <w:szCs w:val="24"/>
        </w:rPr>
        <w:t xml:space="preserve"> </w:t>
      </w:r>
      <w:r w:rsidRPr="009C6832">
        <w:rPr>
          <w:rFonts w:eastAsia="Times New Roman" w:cs="Arial"/>
          <w:sz w:val="24"/>
          <w:szCs w:val="24"/>
        </w:rPr>
        <w:t xml:space="preserve">mediu al salariaților (calculat ca media </w:t>
      </w:r>
      <w:r w:rsidR="00B6374D">
        <w:rPr>
          <w:rFonts w:eastAsia="Times New Roman" w:cs="Arial"/>
          <w:sz w:val="24"/>
          <w:szCs w:val="24"/>
        </w:rPr>
        <w:t>efectivelor lunare) în primele 6</w:t>
      </w:r>
      <w:r w:rsidRPr="009C6832">
        <w:rPr>
          <w:rFonts w:eastAsia="Times New Roman" w:cs="Arial"/>
          <w:sz w:val="24"/>
          <w:szCs w:val="24"/>
        </w:rPr>
        <w:t xml:space="preserve"> luni ale anului a crescut cu 3,4% </w:t>
      </w:r>
      <w:r w:rsidR="00531E2B" w:rsidRPr="009C6832">
        <w:rPr>
          <w:rFonts w:eastAsia="Times New Roman" w:cs="Arial"/>
          <w:sz w:val="24"/>
          <w:szCs w:val="24"/>
        </w:rPr>
        <w:t>față</w:t>
      </w:r>
      <w:r w:rsidRPr="009C6832">
        <w:rPr>
          <w:rFonts w:eastAsia="Times New Roman" w:cs="Arial"/>
          <w:sz w:val="24"/>
          <w:szCs w:val="24"/>
        </w:rPr>
        <w:t xml:space="preserve"> de aceeași perioadă a anului 2016. Pe sectoare, creșterea în sectorul bugetar a fost de 2,1% şi în sectorul concurențial de 3,7% </w:t>
      </w:r>
      <w:r w:rsidR="00C82AAE" w:rsidRPr="009C6832">
        <w:rPr>
          <w:rFonts w:eastAsia="Times New Roman" w:cs="Arial"/>
          <w:sz w:val="24"/>
          <w:szCs w:val="24"/>
        </w:rPr>
        <w:t>față</w:t>
      </w:r>
      <w:r w:rsidRPr="009C6832">
        <w:rPr>
          <w:rFonts w:eastAsia="Times New Roman" w:cs="Arial"/>
          <w:sz w:val="24"/>
          <w:szCs w:val="24"/>
        </w:rPr>
        <w:t xml:space="preserve"> de aceeași perioadă a anului 2016. Salariații din sectorul bugetar reprezentau 19,2% din totalul </w:t>
      </w:r>
      <w:r w:rsidR="00C82AAE" w:rsidRPr="009C6832">
        <w:rPr>
          <w:rFonts w:eastAsia="Times New Roman" w:cs="Arial"/>
          <w:sz w:val="24"/>
          <w:szCs w:val="24"/>
        </w:rPr>
        <w:t>salariaților</w:t>
      </w:r>
      <w:r w:rsidRPr="009C6832">
        <w:rPr>
          <w:rFonts w:eastAsia="Times New Roman" w:cs="Arial"/>
          <w:sz w:val="24"/>
          <w:szCs w:val="24"/>
        </w:rPr>
        <w:t xml:space="preserve"> din economie, în timp ce </w:t>
      </w:r>
      <w:r w:rsidR="00C82AAE" w:rsidRPr="009C6832">
        <w:rPr>
          <w:rFonts w:eastAsia="Times New Roman" w:cs="Arial"/>
          <w:sz w:val="24"/>
          <w:szCs w:val="24"/>
        </w:rPr>
        <w:t>salariații</w:t>
      </w:r>
      <w:r w:rsidRPr="009C6832">
        <w:rPr>
          <w:rFonts w:eastAsia="Times New Roman" w:cs="Arial"/>
          <w:sz w:val="24"/>
          <w:szCs w:val="24"/>
        </w:rPr>
        <w:t xml:space="preserve"> din sectorul concurențial 80,8 %. </w:t>
      </w:r>
    </w:p>
    <w:p w:rsidR="00D75673" w:rsidRPr="009C6832" w:rsidRDefault="00D75673" w:rsidP="0077567F">
      <w:pPr>
        <w:spacing w:after="120"/>
        <w:ind w:firstLine="709"/>
        <w:rPr>
          <w:rFonts w:eastAsia="Times New Roman" w:cs="Arial"/>
          <w:sz w:val="24"/>
          <w:szCs w:val="24"/>
        </w:rPr>
      </w:pPr>
      <w:r w:rsidRPr="009C6832">
        <w:rPr>
          <w:rFonts w:eastAsia="Times New Roman" w:cs="Arial"/>
          <w:b/>
          <w:bCs/>
          <w:sz w:val="24"/>
          <w:szCs w:val="24"/>
        </w:rPr>
        <w:t>În sectorul bugetar</w:t>
      </w:r>
      <w:r w:rsidRPr="009C6832">
        <w:rPr>
          <w:rFonts w:eastAsia="Times New Roman" w:cs="Arial"/>
          <w:sz w:val="24"/>
          <w:szCs w:val="24"/>
        </w:rPr>
        <w:t xml:space="preserve"> cele mai mari </w:t>
      </w:r>
      <w:r w:rsidR="00C82AAE" w:rsidRPr="009C6832">
        <w:rPr>
          <w:rFonts w:eastAsia="Times New Roman" w:cs="Arial"/>
          <w:sz w:val="24"/>
          <w:szCs w:val="24"/>
        </w:rPr>
        <w:t>creșteri</w:t>
      </w:r>
      <w:r w:rsidRPr="009C6832">
        <w:rPr>
          <w:rFonts w:eastAsia="Times New Roman" w:cs="Arial"/>
          <w:sz w:val="24"/>
          <w:szCs w:val="24"/>
        </w:rPr>
        <w:t xml:space="preserve"> de </w:t>
      </w:r>
      <w:r w:rsidR="00C82AAE" w:rsidRPr="009C6832">
        <w:rPr>
          <w:rFonts w:eastAsia="Times New Roman" w:cs="Arial"/>
          <w:sz w:val="24"/>
          <w:szCs w:val="24"/>
        </w:rPr>
        <w:t>salariați</w:t>
      </w:r>
      <w:r w:rsidRPr="009C6832">
        <w:rPr>
          <w:rFonts w:eastAsia="Times New Roman" w:cs="Arial"/>
          <w:sz w:val="24"/>
          <w:szCs w:val="24"/>
        </w:rPr>
        <w:t xml:space="preserve"> au fost în sănătate şi </w:t>
      </w:r>
      <w:r w:rsidR="00C82AAE" w:rsidRPr="009C6832">
        <w:rPr>
          <w:rFonts w:eastAsia="Times New Roman" w:cs="Arial"/>
          <w:sz w:val="24"/>
          <w:szCs w:val="24"/>
        </w:rPr>
        <w:t>asistență</w:t>
      </w:r>
      <w:r w:rsidR="00B6374D">
        <w:rPr>
          <w:rFonts w:eastAsia="Times New Roman" w:cs="Arial"/>
          <w:sz w:val="24"/>
          <w:szCs w:val="24"/>
        </w:rPr>
        <w:t xml:space="preserve"> socială cu aproximativ 4,6</w:t>
      </w:r>
      <w:r w:rsidRPr="009C6832">
        <w:rPr>
          <w:rFonts w:eastAsia="Times New Roman" w:cs="Arial"/>
          <w:sz w:val="24"/>
          <w:szCs w:val="24"/>
        </w:rPr>
        <w:t>%. În administrația</w:t>
      </w:r>
      <w:r w:rsidR="00B6374D">
        <w:rPr>
          <w:rFonts w:eastAsia="Times New Roman" w:cs="Arial"/>
          <w:sz w:val="24"/>
          <w:szCs w:val="24"/>
        </w:rPr>
        <w:t xml:space="preserve"> publică creșterea a fost de 1,9</w:t>
      </w:r>
      <w:r w:rsidRPr="009C6832">
        <w:rPr>
          <w:rFonts w:eastAsia="Times New Roman" w:cs="Arial"/>
          <w:sz w:val="24"/>
          <w:szCs w:val="24"/>
        </w:rPr>
        <w:t xml:space="preserve">%, în timp ce în învățământ </w:t>
      </w:r>
      <w:r w:rsidR="00B6374D">
        <w:rPr>
          <w:rFonts w:eastAsia="Times New Roman" w:cs="Arial"/>
          <w:sz w:val="24"/>
          <w:szCs w:val="24"/>
        </w:rPr>
        <w:t>s-a înregistrat o scădere cu 0,3</w:t>
      </w:r>
      <w:r w:rsidRPr="009C6832">
        <w:rPr>
          <w:rFonts w:eastAsia="Times New Roman" w:cs="Arial"/>
          <w:sz w:val="24"/>
          <w:szCs w:val="24"/>
        </w:rPr>
        <w:t xml:space="preserve">%. Salariații din sectorul bugetar erau </w:t>
      </w:r>
      <w:r w:rsidR="00C82AAE" w:rsidRPr="009C6832">
        <w:rPr>
          <w:rFonts w:eastAsia="Times New Roman" w:cs="Arial"/>
          <w:sz w:val="24"/>
          <w:szCs w:val="24"/>
        </w:rPr>
        <w:t>distribuiți</w:t>
      </w:r>
      <w:r w:rsidRPr="009C6832">
        <w:rPr>
          <w:rFonts w:eastAsia="Times New Roman" w:cs="Arial"/>
          <w:sz w:val="24"/>
          <w:szCs w:val="24"/>
        </w:rPr>
        <w:t xml:space="preserve"> astfel: 21,9% în administrația publică, 38,5% în activitățile de învățământ şi 39,6% în sănătate şi </w:t>
      </w:r>
      <w:r w:rsidR="00C82AAE" w:rsidRPr="009C6832">
        <w:rPr>
          <w:rFonts w:eastAsia="Times New Roman" w:cs="Arial"/>
          <w:sz w:val="24"/>
          <w:szCs w:val="24"/>
        </w:rPr>
        <w:t>asistență</w:t>
      </w:r>
      <w:r w:rsidRPr="009C6832">
        <w:rPr>
          <w:rFonts w:eastAsia="Times New Roman" w:cs="Arial"/>
          <w:sz w:val="24"/>
          <w:szCs w:val="24"/>
        </w:rPr>
        <w:t xml:space="preserve"> socială.</w:t>
      </w:r>
    </w:p>
    <w:p w:rsidR="00D75673" w:rsidRPr="009C6832" w:rsidRDefault="00D75673" w:rsidP="0077567F">
      <w:pPr>
        <w:spacing w:after="120"/>
        <w:ind w:firstLine="709"/>
        <w:rPr>
          <w:rFonts w:eastAsia="Times New Roman" w:cs="Arial"/>
          <w:sz w:val="24"/>
          <w:szCs w:val="24"/>
        </w:rPr>
      </w:pPr>
      <w:r w:rsidRPr="009C6832">
        <w:rPr>
          <w:rFonts w:eastAsia="Times New Roman" w:cs="Arial"/>
          <w:b/>
          <w:bCs/>
          <w:sz w:val="24"/>
          <w:szCs w:val="24"/>
        </w:rPr>
        <w:t>În sectorul concurențial</w:t>
      </w:r>
      <w:r w:rsidR="00B6374D">
        <w:rPr>
          <w:rFonts w:eastAsia="Times New Roman" w:cs="Arial"/>
          <w:b/>
          <w:bCs/>
          <w:sz w:val="24"/>
          <w:szCs w:val="24"/>
        </w:rPr>
        <w:t xml:space="preserve"> </w:t>
      </w:r>
      <w:r w:rsidRPr="009C6832">
        <w:rPr>
          <w:rFonts w:eastAsia="Times New Roman" w:cs="Arial"/>
          <w:sz w:val="24"/>
          <w:szCs w:val="24"/>
        </w:rPr>
        <w:t>creșteri semnificative ale numă</w:t>
      </w:r>
      <w:r w:rsidR="00B6374D">
        <w:rPr>
          <w:rFonts w:eastAsia="Times New Roman" w:cs="Arial"/>
          <w:sz w:val="24"/>
          <w:szCs w:val="24"/>
        </w:rPr>
        <w:t>rului de salariați, în primele 6</w:t>
      </w:r>
      <w:r w:rsidRPr="009C6832">
        <w:rPr>
          <w:rFonts w:eastAsia="Times New Roman" w:cs="Arial"/>
          <w:sz w:val="24"/>
          <w:szCs w:val="24"/>
        </w:rPr>
        <w:t xml:space="preserve"> luni, au </w:t>
      </w:r>
      <w:r w:rsidR="00B6374D">
        <w:rPr>
          <w:rFonts w:eastAsia="Times New Roman" w:cs="Arial"/>
          <w:sz w:val="24"/>
          <w:szCs w:val="24"/>
        </w:rPr>
        <w:t>fost în</w:t>
      </w:r>
      <w:r w:rsidR="00CB0DBE">
        <w:rPr>
          <w:rFonts w:eastAsia="Times New Roman" w:cs="Arial"/>
          <w:sz w:val="24"/>
          <w:szCs w:val="24"/>
        </w:rPr>
        <w:t xml:space="preserve"> </w:t>
      </w:r>
      <w:r w:rsidR="00B6374D">
        <w:rPr>
          <w:rFonts w:eastAsia="Times New Roman" w:cs="Arial"/>
          <w:sz w:val="24"/>
          <w:szCs w:val="24"/>
        </w:rPr>
        <w:t>agricultură 5,5</w:t>
      </w:r>
      <w:r w:rsidRPr="009C6832">
        <w:rPr>
          <w:rFonts w:eastAsia="Times New Roman" w:cs="Arial"/>
          <w:sz w:val="24"/>
          <w:szCs w:val="24"/>
        </w:rPr>
        <w:t xml:space="preserve">%, servicii comerciale (exclusiv sectorul bugetar) 4,9%, </w:t>
      </w:r>
      <w:r w:rsidR="00C82AAE" w:rsidRPr="009C6832">
        <w:rPr>
          <w:rFonts w:eastAsia="Times New Roman" w:cs="Arial"/>
          <w:sz w:val="24"/>
          <w:szCs w:val="24"/>
        </w:rPr>
        <w:t>construcții</w:t>
      </w:r>
      <w:r w:rsidRPr="009C6832">
        <w:rPr>
          <w:rFonts w:eastAsia="Times New Roman" w:cs="Arial"/>
          <w:sz w:val="24"/>
          <w:szCs w:val="24"/>
        </w:rPr>
        <w:t xml:space="preserve"> 2,7%.</w:t>
      </w:r>
    </w:p>
    <w:p w:rsidR="002C735C" w:rsidRPr="009C6832" w:rsidRDefault="002C735C" w:rsidP="002C735C">
      <w:pPr>
        <w:spacing w:after="120"/>
        <w:ind w:firstLine="709"/>
        <w:rPr>
          <w:rFonts w:eastAsia="Times New Roman" w:cs="Arial"/>
          <w:sz w:val="24"/>
          <w:szCs w:val="24"/>
        </w:rPr>
      </w:pPr>
      <w:r w:rsidRPr="009C6832">
        <w:rPr>
          <w:rFonts w:eastAsia="Times New Roman" w:cs="Arial"/>
          <w:sz w:val="24"/>
          <w:szCs w:val="24"/>
        </w:rPr>
        <w:t xml:space="preserve">Distribuția </w:t>
      </w:r>
      <w:r w:rsidRPr="009C6832">
        <w:rPr>
          <w:rFonts w:eastAsia="Times New Roman" w:cs="Arial"/>
          <w:b/>
          <w:bCs/>
          <w:sz w:val="24"/>
          <w:szCs w:val="24"/>
        </w:rPr>
        <w:t>salariaților pe activități economice</w:t>
      </w:r>
      <w:r>
        <w:rPr>
          <w:rFonts w:eastAsia="Times New Roman" w:cs="Arial"/>
          <w:sz w:val="24"/>
          <w:szCs w:val="24"/>
        </w:rPr>
        <w:t xml:space="preserve"> în primele 6</w:t>
      </w:r>
      <w:r w:rsidRPr="009C6832">
        <w:rPr>
          <w:rFonts w:eastAsia="Times New Roman" w:cs="Arial"/>
          <w:sz w:val="24"/>
          <w:szCs w:val="24"/>
        </w:rPr>
        <w:t xml:space="preserve"> l</w:t>
      </w:r>
      <w:r>
        <w:rPr>
          <w:rFonts w:eastAsia="Times New Roman" w:cs="Arial"/>
          <w:sz w:val="24"/>
          <w:szCs w:val="24"/>
        </w:rPr>
        <w:t>uni ale anului ne arată că: 28,6</w:t>
      </w:r>
      <w:r w:rsidRPr="009C6832">
        <w:rPr>
          <w:rFonts w:eastAsia="Times New Roman" w:cs="Arial"/>
          <w:sz w:val="24"/>
          <w:szCs w:val="24"/>
        </w:rPr>
        <w:t>% din totalul salariaților erau în industrie (din care 85,1% în industria prelucrătoare); 15,9% în comerț; 7,9% în construcții; 7,4% în învățământ; 7,6% în sănătate și asistență</w:t>
      </w:r>
      <w:r>
        <w:rPr>
          <w:rFonts w:eastAsia="Times New Roman" w:cs="Arial"/>
          <w:sz w:val="24"/>
          <w:szCs w:val="24"/>
        </w:rPr>
        <w:t xml:space="preserve"> socială; 1,7</w:t>
      </w:r>
      <w:r w:rsidRPr="009C6832">
        <w:rPr>
          <w:rFonts w:eastAsia="Times New Roman" w:cs="Arial"/>
          <w:sz w:val="24"/>
          <w:szCs w:val="24"/>
        </w:rPr>
        <w:t>% agricultură, vânătoare și servicii anexe; 5,5% în transporturi și depozitare; 4,2% în administrația publică și apărare,  asigurări sociale din sistemul public.</w:t>
      </w:r>
    </w:p>
    <w:p w:rsidR="002C735C" w:rsidRPr="009C6832" w:rsidRDefault="002C735C" w:rsidP="002C735C">
      <w:pPr>
        <w:spacing w:after="120"/>
        <w:ind w:firstLine="709"/>
        <w:rPr>
          <w:rFonts w:eastAsia="Times New Roman" w:cs="Arial"/>
          <w:sz w:val="24"/>
          <w:szCs w:val="24"/>
        </w:rPr>
      </w:pPr>
      <w:r w:rsidRPr="009C6832">
        <w:rPr>
          <w:rFonts w:eastAsia="Times New Roman" w:cs="Arial"/>
          <w:sz w:val="24"/>
          <w:szCs w:val="24"/>
        </w:rPr>
        <w:t>Creșteri semnificative ale numă</w:t>
      </w:r>
      <w:r>
        <w:rPr>
          <w:rFonts w:eastAsia="Times New Roman" w:cs="Arial"/>
          <w:sz w:val="24"/>
          <w:szCs w:val="24"/>
        </w:rPr>
        <w:t>rului de salariați, în primele 6</w:t>
      </w:r>
      <w:r w:rsidRPr="009C6832">
        <w:rPr>
          <w:rFonts w:eastAsia="Times New Roman" w:cs="Arial"/>
          <w:sz w:val="24"/>
          <w:szCs w:val="24"/>
        </w:rPr>
        <w:t xml:space="preserve"> luni, s-au înregistrat în următoarele activități economice: activități de servicii în tehnologia informației</w:t>
      </w:r>
      <w:r>
        <w:rPr>
          <w:rFonts w:eastAsia="Times New Roman" w:cs="Arial"/>
          <w:sz w:val="24"/>
          <w:szCs w:val="24"/>
        </w:rPr>
        <w:t xml:space="preserve"> 13,0</w:t>
      </w:r>
      <w:r w:rsidRPr="009C6832">
        <w:rPr>
          <w:rFonts w:eastAsia="Times New Roman" w:cs="Arial"/>
          <w:sz w:val="24"/>
          <w:szCs w:val="24"/>
        </w:rPr>
        <w:t>%; hoteluri și restaurante 11,9%; fabricarea hârti</w:t>
      </w:r>
      <w:r>
        <w:rPr>
          <w:rFonts w:eastAsia="Times New Roman" w:cs="Arial"/>
          <w:sz w:val="24"/>
          <w:szCs w:val="24"/>
        </w:rPr>
        <w:t>ei și produselor din hârtie 9,7%; informații și comunicații 7,5</w:t>
      </w:r>
      <w:r w:rsidRPr="009C6832">
        <w:rPr>
          <w:rFonts w:eastAsia="Times New Roman" w:cs="Arial"/>
          <w:sz w:val="24"/>
          <w:szCs w:val="24"/>
        </w:rPr>
        <w:t xml:space="preserve">%; fabricarea produselor </w:t>
      </w:r>
      <w:r>
        <w:rPr>
          <w:rFonts w:eastAsia="Times New Roman" w:cs="Arial"/>
          <w:sz w:val="24"/>
          <w:szCs w:val="24"/>
        </w:rPr>
        <w:t>din cauciuc și mase plastice 7,6</w:t>
      </w:r>
      <w:r w:rsidRPr="009C6832">
        <w:rPr>
          <w:rFonts w:eastAsia="Times New Roman" w:cs="Arial"/>
          <w:sz w:val="24"/>
          <w:szCs w:val="24"/>
        </w:rPr>
        <w:t xml:space="preserve">%; fabricarea autovehiculelor de transport rutier, a </w:t>
      </w:r>
      <w:r>
        <w:rPr>
          <w:rFonts w:eastAsia="Times New Roman" w:cs="Arial"/>
          <w:sz w:val="24"/>
          <w:szCs w:val="24"/>
        </w:rPr>
        <w:t>remorcilor și semiremorcilor 6,7%; transporturi aeriene 5,5</w:t>
      </w:r>
      <w:r w:rsidRPr="009C6832">
        <w:rPr>
          <w:rFonts w:eastAsia="Times New Roman" w:cs="Arial"/>
          <w:sz w:val="24"/>
          <w:szCs w:val="24"/>
        </w:rPr>
        <w:t>%.</w:t>
      </w:r>
    </w:p>
    <w:p w:rsidR="002C735C" w:rsidRPr="009C6832" w:rsidRDefault="002C735C" w:rsidP="002C735C">
      <w:pPr>
        <w:spacing w:after="120"/>
        <w:ind w:firstLine="709"/>
        <w:rPr>
          <w:rFonts w:eastAsia="Times New Roman" w:cs="Arial"/>
          <w:sz w:val="24"/>
          <w:szCs w:val="24"/>
        </w:rPr>
      </w:pPr>
      <w:r w:rsidRPr="009C6832">
        <w:rPr>
          <w:rFonts w:eastAsia="Times New Roman" w:cs="Arial"/>
          <w:sz w:val="24"/>
          <w:szCs w:val="24"/>
        </w:rPr>
        <w:t>Creșterea sa</w:t>
      </w:r>
      <w:r>
        <w:rPr>
          <w:rFonts w:eastAsia="Times New Roman" w:cs="Arial"/>
          <w:sz w:val="24"/>
          <w:szCs w:val="24"/>
        </w:rPr>
        <w:t>lariului mediu brut în primele 6</w:t>
      </w:r>
      <w:r w:rsidRPr="009C6832">
        <w:rPr>
          <w:rFonts w:eastAsia="Times New Roman" w:cs="Arial"/>
          <w:sz w:val="24"/>
          <w:szCs w:val="24"/>
        </w:rPr>
        <w:t xml:space="preserve"> luni nu a influențat numărul de salariați, tendința de creștere menținând-se constantă.</w:t>
      </w:r>
    </w:p>
    <w:p w:rsidR="002C735C" w:rsidRDefault="002C735C" w:rsidP="002C735C">
      <w:pPr>
        <w:spacing w:after="120"/>
        <w:ind w:firstLine="709"/>
        <w:rPr>
          <w:rFonts w:eastAsia="Times New Roman" w:cs="Arial"/>
          <w:sz w:val="24"/>
          <w:szCs w:val="24"/>
        </w:rPr>
      </w:pPr>
      <w:r>
        <w:rPr>
          <w:rFonts w:eastAsia="Times New Roman" w:cs="Arial"/>
          <w:sz w:val="24"/>
          <w:szCs w:val="24"/>
        </w:rPr>
        <w:t>În primele 6</w:t>
      </w:r>
      <w:r w:rsidRPr="009C6832">
        <w:rPr>
          <w:rFonts w:eastAsia="Times New Roman" w:cs="Arial"/>
          <w:sz w:val="24"/>
          <w:szCs w:val="24"/>
        </w:rPr>
        <w:t xml:space="preserve"> luni ale anului 2017, câștigul salarial mediu brut </w:t>
      </w:r>
      <w:r>
        <w:rPr>
          <w:rFonts w:eastAsia="Times New Roman" w:cs="Arial"/>
          <w:sz w:val="24"/>
          <w:szCs w:val="24"/>
        </w:rPr>
        <w:t>pe total economie a fost de 3</w:t>
      </w:r>
      <w:r w:rsidR="00666AAF">
        <w:rPr>
          <w:rFonts w:eastAsia="Times New Roman" w:cs="Arial"/>
          <w:sz w:val="24"/>
          <w:szCs w:val="24"/>
        </w:rPr>
        <w:t>.</w:t>
      </w:r>
      <w:r>
        <w:rPr>
          <w:rFonts w:eastAsia="Times New Roman" w:cs="Arial"/>
          <w:sz w:val="24"/>
          <w:szCs w:val="24"/>
        </w:rPr>
        <w:t>237</w:t>
      </w:r>
      <w:r w:rsidRPr="009C6832">
        <w:rPr>
          <w:rFonts w:eastAsia="Times New Roman" w:cs="Arial"/>
          <w:sz w:val="24"/>
          <w:szCs w:val="24"/>
        </w:rPr>
        <w:t xml:space="preserve"> lei, </w:t>
      </w:r>
      <w:r>
        <w:rPr>
          <w:rFonts w:eastAsia="Times New Roman" w:cs="Arial"/>
          <w:b/>
          <w:bCs/>
          <w:sz w:val="24"/>
          <w:szCs w:val="24"/>
        </w:rPr>
        <w:t>cu 15,5</w:t>
      </w:r>
      <w:r w:rsidRPr="009C6832">
        <w:rPr>
          <w:rFonts w:eastAsia="Times New Roman" w:cs="Arial"/>
          <w:b/>
          <w:bCs/>
          <w:sz w:val="24"/>
          <w:szCs w:val="24"/>
        </w:rPr>
        <w:t>% mai mare decât cel înregistrat în perioada corespunzătoare a anului 2016.</w:t>
      </w:r>
      <w:r w:rsidRPr="009C6832">
        <w:rPr>
          <w:rFonts w:eastAsia="Times New Roman" w:cs="Arial"/>
          <w:sz w:val="24"/>
          <w:szCs w:val="24"/>
        </w:rPr>
        <w:t xml:space="preserve"> </w:t>
      </w:r>
    </w:p>
    <w:p w:rsidR="002C735C" w:rsidRPr="009C6832" w:rsidRDefault="002C735C" w:rsidP="002C735C">
      <w:pPr>
        <w:spacing w:after="120"/>
        <w:ind w:firstLine="709"/>
        <w:rPr>
          <w:rFonts w:eastAsia="Times New Roman" w:cs="Arial"/>
          <w:sz w:val="24"/>
          <w:szCs w:val="24"/>
        </w:rPr>
      </w:pPr>
      <w:r w:rsidRPr="00977627">
        <w:rPr>
          <w:rFonts w:eastAsia="Times New Roman" w:cs="Arial"/>
          <w:b/>
          <w:bCs/>
          <w:i/>
          <w:iCs/>
          <w:sz w:val="24"/>
          <w:szCs w:val="24"/>
        </w:rPr>
        <w:t>Șomajul înregistrat</w:t>
      </w:r>
      <w:r w:rsidRPr="00977627">
        <w:rPr>
          <w:rFonts w:eastAsia="Times New Roman" w:cs="Arial"/>
          <w:sz w:val="24"/>
          <w:szCs w:val="24"/>
        </w:rPr>
        <w:t xml:space="preserve"> la nivel național a avut un trend descrescător începând cu luna septembrie 2016, astfel rata șomajului înregistrat la sfârșitul lunii iunie 2017 a ajuns la 4,15%, mai mică cu 0,54</w:t>
      </w:r>
      <w:r w:rsidRPr="009C6832">
        <w:rPr>
          <w:rFonts w:eastAsia="Times New Roman" w:cs="Arial"/>
          <w:sz w:val="24"/>
          <w:szCs w:val="24"/>
        </w:rPr>
        <w:t xml:space="preserve"> puncte procentuale față de perioada corespunzătoare a anului anterior. </w:t>
      </w:r>
      <w:r>
        <w:rPr>
          <w:rFonts w:eastAsia="Times New Roman" w:cs="Arial"/>
          <w:sz w:val="24"/>
          <w:szCs w:val="24"/>
        </w:rPr>
        <w:t>Numărul total de șomeri la sfârșitul lunii iunie a fost de 364,65 mii persoane.</w:t>
      </w:r>
    </w:p>
    <w:p w:rsidR="009414F6" w:rsidRPr="009C6832" w:rsidRDefault="009414F6" w:rsidP="009414F6">
      <w:pPr>
        <w:ind w:firstLine="708"/>
        <w:rPr>
          <w:rFonts w:eastAsia="Times New Roman" w:cs="Arial"/>
          <w:sz w:val="24"/>
          <w:szCs w:val="24"/>
        </w:rPr>
      </w:pPr>
    </w:p>
    <w:p w:rsidR="009414F6" w:rsidRPr="009C6832" w:rsidRDefault="009414F6" w:rsidP="009414F6">
      <w:pPr>
        <w:ind w:firstLine="708"/>
        <w:rPr>
          <w:rFonts w:eastAsia="Times New Roman" w:cs="Arial"/>
          <w:sz w:val="24"/>
          <w:szCs w:val="24"/>
        </w:rPr>
      </w:pPr>
    </w:p>
    <w:p w:rsidR="002C735C" w:rsidRDefault="002C735C">
      <w:pPr>
        <w:rPr>
          <w:rFonts w:eastAsia="Times New Roman" w:cs="Arial"/>
          <w:sz w:val="24"/>
          <w:szCs w:val="24"/>
        </w:rPr>
      </w:pPr>
      <w:r>
        <w:rPr>
          <w:rFonts w:eastAsia="Times New Roman" w:cs="Arial"/>
          <w:sz w:val="24"/>
          <w:szCs w:val="24"/>
        </w:rPr>
        <w:br w:type="page"/>
      </w:r>
    </w:p>
    <w:p w:rsidR="009414F6" w:rsidRPr="009C6832" w:rsidRDefault="009414F6" w:rsidP="009414F6">
      <w:pPr>
        <w:ind w:firstLine="708"/>
        <w:rPr>
          <w:rFonts w:eastAsia="Times New Roman" w:cs="Arial"/>
          <w:sz w:val="24"/>
          <w:szCs w:val="24"/>
        </w:rPr>
      </w:pPr>
    </w:p>
    <w:p w:rsidR="0056154D" w:rsidRPr="009C6832" w:rsidRDefault="00E3087D" w:rsidP="00191D8D">
      <w:pPr>
        <w:pStyle w:val="ListParagraph"/>
        <w:numPr>
          <w:ilvl w:val="0"/>
          <w:numId w:val="1"/>
        </w:numPr>
        <w:tabs>
          <w:tab w:val="left" w:pos="7371"/>
        </w:tabs>
        <w:ind w:left="567" w:hanging="283"/>
        <w:outlineLvl w:val="0"/>
        <w:rPr>
          <w:rFonts w:cs="Arial"/>
          <w:b/>
          <w:sz w:val="28"/>
          <w:szCs w:val="28"/>
        </w:rPr>
      </w:pPr>
      <w:bookmarkStart w:id="7" w:name="_Toc456256933"/>
      <w:bookmarkStart w:id="8" w:name="_Toc456257457"/>
      <w:bookmarkStart w:id="9" w:name="_Toc456258315"/>
      <w:bookmarkStart w:id="10" w:name="_Toc456258420"/>
      <w:bookmarkStart w:id="11" w:name="_Toc456259612"/>
      <w:r w:rsidRPr="009C6832">
        <w:rPr>
          <w:rFonts w:cs="Arial"/>
          <w:b/>
          <w:sz w:val="28"/>
          <w:szCs w:val="28"/>
        </w:rPr>
        <w:t xml:space="preserve">Politica fiscal-bugetară </w:t>
      </w:r>
      <w:r w:rsidR="00191D8D" w:rsidRPr="009C6832">
        <w:rPr>
          <w:rFonts w:cs="Arial"/>
          <w:b/>
          <w:sz w:val="28"/>
          <w:szCs w:val="28"/>
        </w:rPr>
        <w:t>aferentă</w:t>
      </w:r>
      <w:r w:rsidRPr="009C6832">
        <w:rPr>
          <w:rFonts w:cs="Arial"/>
          <w:b/>
          <w:sz w:val="28"/>
          <w:szCs w:val="28"/>
        </w:rPr>
        <w:t xml:space="preserve"> anul</w:t>
      </w:r>
      <w:r w:rsidR="00191D8D" w:rsidRPr="009C6832">
        <w:rPr>
          <w:rFonts w:cs="Arial"/>
          <w:b/>
          <w:sz w:val="28"/>
          <w:szCs w:val="28"/>
        </w:rPr>
        <w:t>ui</w:t>
      </w:r>
      <w:bookmarkEnd w:id="7"/>
      <w:bookmarkEnd w:id="8"/>
      <w:bookmarkEnd w:id="9"/>
      <w:bookmarkEnd w:id="10"/>
      <w:bookmarkEnd w:id="11"/>
      <w:r w:rsidR="001854D7">
        <w:rPr>
          <w:rFonts w:cs="Arial"/>
          <w:b/>
          <w:sz w:val="28"/>
          <w:szCs w:val="28"/>
        </w:rPr>
        <w:t xml:space="preserve"> </w:t>
      </w:r>
      <w:r w:rsidR="00E3539E" w:rsidRPr="009C6832">
        <w:rPr>
          <w:rFonts w:cs="Arial"/>
          <w:b/>
          <w:sz w:val="28"/>
          <w:szCs w:val="28"/>
        </w:rPr>
        <w:t>2017</w:t>
      </w:r>
    </w:p>
    <w:p w:rsidR="00D6065B" w:rsidRPr="009C6832" w:rsidRDefault="00D6065B" w:rsidP="00D6065B">
      <w:pPr>
        <w:pStyle w:val="ListParagraph"/>
        <w:ind w:left="567"/>
        <w:outlineLvl w:val="0"/>
        <w:rPr>
          <w:rFonts w:cs="Arial"/>
          <w:b/>
          <w:sz w:val="28"/>
          <w:szCs w:val="28"/>
        </w:rPr>
      </w:pPr>
    </w:p>
    <w:p w:rsidR="000651AF" w:rsidRPr="009C6832" w:rsidRDefault="00D56048" w:rsidP="00060B8F">
      <w:pPr>
        <w:spacing w:after="120"/>
        <w:ind w:firstLine="680"/>
        <w:rPr>
          <w:rFonts w:cs="Arial"/>
          <w:sz w:val="24"/>
          <w:szCs w:val="24"/>
        </w:rPr>
      </w:pPr>
      <w:r w:rsidRPr="009C6832">
        <w:rPr>
          <w:rFonts w:cs="Arial"/>
          <w:sz w:val="24"/>
          <w:szCs w:val="24"/>
        </w:rPr>
        <w:t>Construcția bug</w:t>
      </w:r>
      <w:r w:rsidR="000651AF" w:rsidRPr="009C6832">
        <w:rPr>
          <w:rFonts w:cs="Arial"/>
          <w:sz w:val="24"/>
          <w:szCs w:val="24"/>
        </w:rPr>
        <w:t xml:space="preserve">etară pe anul </w:t>
      </w:r>
      <w:r w:rsidR="00E3539E" w:rsidRPr="009C6832">
        <w:rPr>
          <w:rFonts w:cs="Arial"/>
          <w:sz w:val="24"/>
          <w:szCs w:val="24"/>
        </w:rPr>
        <w:t xml:space="preserve">2017 </w:t>
      </w:r>
      <w:r w:rsidR="000651AF" w:rsidRPr="009C6832">
        <w:rPr>
          <w:rFonts w:cs="Arial"/>
          <w:sz w:val="24"/>
          <w:szCs w:val="24"/>
        </w:rPr>
        <w:t>a avut la bază următoarele obiective:</w:t>
      </w:r>
    </w:p>
    <w:p w:rsidR="0047248B" w:rsidRPr="009C6832" w:rsidRDefault="0047248B" w:rsidP="00060B8F">
      <w:pPr>
        <w:spacing w:after="120"/>
        <w:ind w:firstLine="680"/>
        <w:rPr>
          <w:rFonts w:cs="Arial"/>
          <w:sz w:val="24"/>
          <w:szCs w:val="24"/>
        </w:rPr>
      </w:pPr>
    </w:p>
    <w:p w:rsidR="00E3539E" w:rsidRPr="009C6832" w:rsidRDefault="00E3539E" w:rsidP="00060B8F">
      <w:pPr>
        <w:pStyle w:val="ListParagraph"/>
        <w:numPr>
          <w:ilvl w:val="1"/>
          <w:numId w:val="2"/>
        </w:numPr>
        <w:tabs>
          <w:tab w:val="left" w:pos="851"/>
        </w:tabs>
        <w:spacing w:after="120"/>
        <w:ind w:left="1418" w:hanging="284"/>
        <w:contextualSpacing w:val="0"/>
        <w:rPr>
          <w:rFonts w:cs="Arial"/>
          <w:sz w:val="24"/>
          <w:szCs w:val="24"/>
        </w:rPr>
      </w:pPr>
      <w:r w:rsidRPr="009C6832">
        <w:rPr>
          <w:rFonts w:cs="Arial"/>
          <w:sz w:val="24"/>
          <w:szCs w:val="24"/>
        </w:rPr>
        <w:t xml:space="preserve">Stimularea,  continuarea, consolidarea și menținerea unei creșteri economice inteligente, sustenabile și incluzive, de natură a furniza premisele consolidării unui stat puternic, proactiv și a unei societăți echilibrate, pentru a mări încrederea investitorilor în economia românească;              </w:t>
      </w:r>
    </w:p>
    <w:p w:rsidR="00E3539E" w:rsidRPr="009C6832" w:rsidRDefault="00E3539E" w:rsidP="00060B8F">
      <w:pPr>
        <w:pStyle w:val="ListParagraph"/>
        <w:numPr>
          <w:ilvl w:val="1"/>
          <w:numId w:val="2"/>
        </w:numPr>
        <w:tabs>
          <w:tab w:val="left" w:pos="851"/>
        </w:tabs>
        <w:spacing w:after="120"/>
        <w:ind w:left="1418" w:hanging="284"/>
        <w:contextualSpacing w:val="0"/>
        <w:rPr>
          <w:rFonts w:cs="Arial"/>
          <w:sz w:val="24"/>
          <w:szCs w:val="24"/>
        </w:rPr>
      </w:pPr>
      <w:r w:rsidRPr="009C6832">
        <w:rPr>
          <w:rFonts w:cs="Arial"/>
          <w:sz w:val="24"/>
          <w:szCs w:val="24"/>
        </w:rPr>
        <w:t xml:space="preserve">Alocarea unor sume importante pentru </w:t>
      </w:r>
      <w:r w:rsidR="00BA2D78" w:rsidRPr="009C6832">
        <w:rPr>
          <w:rFonts w:cs="Arial"/>
          <w:sz w:val="24"/>
          <w:szCs w:val="24"/>
        </w:rPr>
        <w:t>susținerea</w:t>
      </w:r>
      <w:r w:rsidRPr="009C6832">
        <w:rPr>
          <w:rFonts w:cs="Arial"/>
          <w:sz w:val="24"/>
          <w:szCs w:val="24"/>
        </w:rPr>
        <w:t xml:space="preserve">  investițiilor publice prin prioritizarea investițiilor publice semnificative pentru asigurarea infrastructurii şi serviciilor, pentru </w:t>
      </w:r>
      <w:r w:rsidR="00BA2D78" w:rsidRPr="009C6832">
        <w:rPr>
          <w:rFonts w:cs="Arial"/>
          <w:sz w:val="24"/>
          <w:szCs w:val="24"/>
        </w:rPr>
        <w:t>îmbunătățirea</w:t>
      </w:r>
      <w:r w:rsidR="00A26E1A">
        <w:rPr>
          <w:rFonts w:cs="Arial"/>
          <w:sz w:val="24"/>
          <w:szCs w:val="24"/>
        </w:rPr>
        <w:t xml:space="preserve"> </w:t>
      </w:r>
      <w:r w:rsidR="00BA2D78" w:rsidRPr="009C6832">
        <w:rPr>
          <w:rFonts w:cs="Arial"/>
          <w:sz w:val="24"/>
          <w:szCs w:val="24"/>
        </w:rPr>
        <w:t>calității</w:t>
      </w:r>
      <w:r w:rsidR="00A26E1A">
        <w:rPr>
          <w:rFonts w:cs="Arial"/>
          <w:sz w:val="24"/>
          <w:szCs w:val="24"/>
        </w:rPr>
        <w:t xml:space="preserve"> </w:t>
      </w:r>
      <w:r w:rsidR="00BA2D78" w:rsidRPr="009C6832">
        <w:rPr>
          <w:rFonts w:cs="Arial"/>
          <w:sz w:val="24"/>
          <w:szCs w:val="24"/>
        </w:rPr>
        <w:t>vieții</w:t>
      </w:r>
      <w:r w:rsidRPr="009C6832">
        <w:rPr>
          <w:rFonts w:cs="Arial"/>
          <w:sz w:val="24"/>
          <w:szCs w:val="24"/>
        </w:rPr>
        <w:t xml:space="preserve">, cu  efect multiplicator şi aport direct la formarea brută de capital fix; </w:t>
      </w:r>
    </w:p>
    <w:p w:rsidR="00E3539E" w:rsidRPr="009C6832" w:rsidRDefault="00E3539E" w:rsidP="00060B8F">
      <w:pPr>
        <w:pStyle w:val="ListParagraph"/>
        <w:numPr>
          <w:ilvl w:val="1"/>
          <w:numId w:val="2"/>
        </w:numPr>
        <w:tabs>
          <w:tab w:val="left" w:pos="851"/>
        </w:tabs>
        <w:spacing w:after="120"/>
        <w:ind w:left="1418" w:hanging="284"/>
        <w:contextualSpacing w:val="0"/>
        <w:rPr>
          <w:rFonts w:cs="Arial"/>
          <w:sz w:val="24"/>
          <w:szCs w:val="24"/>
        </w:rPr>
      </w:pPr>
      <w:r w:rsidRPr="009C6832">
        <w:rPr>
          <w:rFonts w:cs="Arial"/>
          <w:sz w:val="24"/>
          <w:szCs w:val="24"/>
        </w:rPr>
        <w:t>Crearea unei politici fiscale predictibile pentru susținerea mediului de afaceri și stimularea investițiilor în sectoarele cu valoare adăugată ridicată,  simplificarea fiscalității și fluidizarea proceselor interne,  pentru a crea premisa unei creșteri economice sustenabile;</w:t>
      </w:r>
    </w:p>
    <w:p w:rsidR="00E3539E" w:rsidRPr="009C6832" w:rsidRDefault="007C0390" w:rsidP="00060B8F">
      <w:pPr>
        <w:pStyle w:val="ListParagraph"/>
        <w:numPr>
          <w:ilvl w:val="1"/>
          <w:numId w:val="2"/>
        </w:numPr>
        <w:tabs>
          <w:tab w:val="left" w:pos="851"/>
        </w:tabs>
        <w:spacing w:after="120"/>
        <w:ind w:left="1418" w:hanging="284"/>
        <w:contextualSpacing w:val="0"/>
        <w:rPr>
          <w:rFonts w:cs="Arial"/>
          <w:sz w:val="24"/>
          <w:szCs w:val="24"/>
        </w:rPr>
      </w:pPr>
      <w:r w:rsidRPr="009C6832">
        <w:rPr>
          <w:rFonts w:cs="Arial"/>
          <w:sz w:val="24"/>
          <w:szCs w:val="24"/>
        </w:rPr>
        <w:t xml:space="preserve">Adoptarea de către </w:t>
      </w:r>
      <w:r w:rsidR="00E3539E" w:rsidRPr="009C6832">
        <w:rPr>
          <w:rFonts w:cs="Arial"/>
          <w:sz w:val="24"/>
          <w:szCs w:val="24"/>
        </w:rPr>
        <w:t xml:space="preserve">Guvern </w:t>
      </w:r>
      <w:r w:rsidRPr="009C6832">
        <w:rPr>
          <w:rFonts w:cs="Arial"/>
          <w:sz w:val="24"/>
          <w:szCs w:val="24"/>
        </w:rPr>
        <w:t xml:space="preserve">a unor măsuri </w:t>
      </w:r>
      <w:r w:rsidR="00E3539E" w:rsidRPr="009C6832">
        <w:rPr>
          <w:rFonts w:cs="Arial"/>
          <w:sz w:val="24"/>
          <w:szCs w:val="24"/>
        </w:rPr>
        <w:t>privind stimularea consumului prin adoptarea unor măsuri salariale pentru unele categorii de personal din sectorul bugetar, concomitent cu adoptarea unor măsuri sociale pentru asigurarea protecției sociale și securității sociale pentru persoane vârstnice, pensionari, studenți  și categoriile cele mai vulnerabile;</w:t>
      </w:r>
    </w:p>
    <w:p w:rsidR="00E3539E" w:rsidRPr="009C6832" w:rsidRDefault="00E3539E" w:rsidP="00060B8F">
      <w:pPr>
        <w:pStyle w:val="ListParagraph"/>
        <w:numPr>
          <w:ilvl w:val="1"/>
          <w:numId w:val="2"/>
        </w:numPr>
        <w:tabs>
          <w:tab w:val="left" w:pos="851"/>
        </w:tabs>
        <w:spacing w:after="120"/>
        <w:ind w:left="1418" w:hanging="284"/>
        <w:contextualSpacing w:val="0"/>
        <w:rPr>
          <w:rFonts w:cs="Arial"/>
          <w:sz w:val="24"/>
          <w:szCs w:val="24"/>
        </w:rPr>
      </w:pPr>
      <w:r w:rsidRPr="009C6832">
        <w:rPr>
          <w:rFonts w:cs="Arial"/>
          <w:sz w:val="24"/>
          <w:szCs w:val="24"/>
        </w:rPr>
        <w:t xml:space="preserve">Dezvoltarea şi diversificarea instrumentelor de management ale datoriei publice;  </w:t>
      </w:r>
    </w:p>
    <w:p w:rsidR="00E3539E" w:rsidRPr="009C6832" w:rsidRDefault="00E3539E" w:rsidP="00060B8F">
      <w:pPr>
        <w:pStyle w:val="ListParagraph"/>
        <w:numPr>
          <w:ilvl w:val="1"/>
          <w:numId w:val="2"/>
        </w:numPr>
        <w:tabs>
          <w:tab w:val="left" w:pos="851"/>
        </w:tabs>
        <w:spacing w:after="120"/>
        <w:ind w:left="1418" w:hanging="284"/>
        <w:contextualSpacing w:val="0"/>
        <w:rPr>
          <w:rFonts w:cs="Arial"/>
          <w:sz w:val="24"/>
          <w:szCs w:val="24"/>
        </w:rPr>
      </w:pPr>
      <w:r w:rsidRPr="009C6832">
        <w:rPr>
          <w:rFonts w:cs="Arial"/>
          <w:sz w:val="24"/>
          <w:szCs w:val="24"/>
        </w:rPr>
        <w:t>Îmbunătățirea, aplicarea și consolidarea guvernanței bugetare, creșterea transparenței bugetare și  eficientizarea cheltuielilor publice.</w:t>
      </w:r>
    </w:p>
    <w:p w:rsidR="0047248B" w:rsidRPr="009C6832" w:rsidRDefault="0047248B" w:rsidP="0047248B">
      <w:pPr>
        <w:pStyle w:val="ListParagraph"/>
        <w:tabs>
          <w:tab w:val="left" w:pos="851"/>
        </w:tabs>
        <w:spacing w:after="120"/>
        <w:ind w:left="1418" w:firstLine="0"/>
        <w:contextualSpacing w:val="0"/>
        <w:rPr>
          <w:rFonts w:cs="Arial"/>
          <w:sz w:val="24"/>
          <w:szCs w:val="24"/>
        </w:rPr>
      </w:pPr>
    </w:p>
    <w:p w:rsidR="00E3539E" w:rsidRPr="009C6832" w:rsidRDefault="007C4F03" w:rsidP="00060B8F">
      <w:pPr>
        <w:spacing w:after="120"/>
        <w:ind w:firstLine="680"/>
        <w:rPr>
          <w:rFonts w:cs="Arial"/>
          <w:b/>
          <w:bCs/>
          <w:sz w:val="24"/>
          <w:szCs w:val="24"/>
        </w:rPr>
      </w:pPr>
      <w:r w:rsidRPr="009C6832">
        <w:rPr>
          <w:rFonts w:cs="Arial"/>
          <w:b/>
          <w:bCs/>
          <w:sz w:val="24"/>
          <w:szCs w:val="24"/>
        </w:rPr>
        <w:t xml:space="preserve">Principalele măsuri </w:t>
      </w:r>
      <w:r w:rsidR="008A09B8" w:rsidRPr="009C6832">
        <w:rPr>
          <w:rFonts w:cs="Arial"/>
          <w:b/>
          <w:bCs/>
          <w:sz w:val="24"/>
          <w:szCs w:val="24"/>
        </w:rPr>
        <w:t>avute în vedere la elabora</w:t>
      </w:r>
      <w:r w:rsidR="001D00F4" w:rsidRPr="009C6832">
        <w:rPr>
          <w:rFonts w:cs="Arial"/>
          <w:b/>
          <w:bCs/>
          <w:sz w:val="24"/>
          <w:szCs w:val="24"/>
        </w:rPr>
        <w:t xml:space="preserve">rea </w:t>
      </w:r>
      <w:r w:rsidRPr="009C6832">
        <w:rPr>
          <w:rFonts w:cs="Arial"/>
          <w:b/>
          <w:bCs/>
          <w:sz w:val="24"/>
          <w:szCs w:val="24"/>
        </w:rPr>
        <w:t>bugetul</w:t>
      </w:r>
      <w:r w:rsidR="001D00F4" w:rsidRPr="009C6832">
        <w:rPr>
          <w:rFonts w:cs="Arial"/>
          <w:b/>
          <w:bCs/>
          <w:sz w:val="24"/>
          <w:szCs w:val="24"/>
        </w:rPr>
        <w:t>ui</w:t>
      </w:r>
      <w:r w:rsidRPr="009C6832">
        <w:rPr>
          <w:rFonts w:cs="Arial"/>
          <w:b/>
          <w:bCs/>
          <w:sz w:val="24"/>
          <w:szCs w:val="24"/>
        </w:rPr>
        <w:t xml:space="preserve"> pe anul </w:t>
      </w:r>
      <w:r w:rsidR="00DC7F79" w:rsidRPr="009C6832">
        <w:rPr>
          <w:rFonts w:cs="Arial"/>
          <w:b/>
          <w:bCs/>
          <w:sz w:val="24"/>
          <w:szCs w:val="24"/>
        </w:rPr>
        <w:t>2017</w:t>
      </w:r>
      <w:r w:rsidRPr="009C6832">
        <w:rPr>
          <w:rFonts w:cs="Arial"/>
          <w:b/>
          <w:bCs/>
          <w:sz w:val="24"/>
          <w:szCs w:val="24"/>
        </w:rPr>
        <w:t>:</w:t>
      </w:r>
    </w:p>
    <w:p w:rsidR="0047248B" w:rsidRPr="009C6832" w:rsidRDefault="0047248B" w:rsidP="00060B8F">
      <w:pPr>
        <w:spacing w:after="120"/>
        <w:ind w:firstLine="680"/>
        <w:rPr>
          <w:rFonts w:cs="Arial"/>
          <w:b/>
          <w:bCs/>
          <w:sz w:val="24"/>
          <w:szCs w:val="24"/>
        </w:rPr>
      </w:pPr>
    </w:p>
    <w:p w:rsidR="00E3539E" w:rsidRPr="009C6832" w:rsidRDefault="00E3539E" w:rsidP="0006566D">
      <w:pPr>
        <w:pStyle w:val="ListParagraph"/>
        <w:numPr>
          <w:ilvl w:val="0"/>
          <w:numId w:val="7"/>
        </w:numPr>
        <w:spacing w:after="120"/>
        <w:ind w:left="1208" w:hanging="357"/>
        <w:contextualSpacing w:val="0"/>
        <w:rPr>
          <w:rFonts w:cs="Arial"/>
          <w:bCs/>
          <w:sz w:val="24"/>
          <w:szCs w:val="24"/>
        </w:rPr>
      </w:pPr>
      <w:r w:rsidRPr="009C6832">
        <w:rPr>
          <w:rFonts w:cs="Arial"/>
          <w:bCs/>
          <w:sz w:val="24"/>
          <w:szCs w:val="24"/>
        </w:rPr>
        <w:t>reducerea nivelului cotei standard de TVA de la 2</w:t>
      </w:r>
      <w:r w:rsidR="00EC3D46" w:rsidRPr="009C6832">
        <w:rPr>
          <w:rFonts w:cs="Arial"/>
          <w:bCs/>
          <w:sz w:val="24"/>
          <w:szCs w:val="24"/>
        </w:rPr>
        <w:t>0</w:t>
      </w:r>
      <w:r w:rsidRPr="009C6832">
        <w:rPr>
          <w:rFonts w:cs="Arial"/>
          <w:bCs/>
          <w:sz w:val="24"/>
          <w:szCs w:val="24"/>
        </w:rPr>
        <w:t xml:space="preserve">% la </w:t>
      </w:r>
      <w:r w:rsidR="00EC3D46" w:rsidRPr="009C6832">
        <w:rPr>
          <w:rFonts w:cs="Arial"/>
          <w:bCs/>
          <w:sz w:val="24"/>
          <w:szCs w:val="24"/>
        </w:rPr>
        <w:t>19</w:t>
      </w:r>
      <w:r w:rsidRPr="009C6832">
        <w:rPr>
          <w:rFonts w:cs="Arial"/>
          <w:bCs/>
          <w:sz w:val="24"/>
          <w:szCs w:val="24"/>
        </w:rPr>
        <w:t>%</w:t>
      </w:r>
      <w:r w:rsidR="00BD4E32" w:rsidRPr="009C6832">
        <w:rPr>
          <w:rFonts w:cs="Arial"/>
          <w:bCs/>
          <w:sz w:val="24"/>
          <w:szCs w:val="24"/>
        </w:rPr>
        <w:t>;</w:t>
      </w:r>
    </w:p>
    <w:p w:rsidR="00EC3D46" w:rsidRPr="009C6832" w:rsidRDefault="00EC3D46" w:rsidP="0006566D">
      <w:pPr>
        <w:pStyle w:val="ListParagraph"/>
        <w:numPr>
          <w:ilvl w:val="0"/>
          <w:numId w:val="7"/>
        </w:numPr>
        <w:spacing w:after="120"/>
        <w:ind w:left="1208" w:hanging="357"/>
        <w:contextualSpacing w:val="0"/>
        <w:rPr>
          <w:rFonts w:cs="Arial"/>
          <w:bCs/>
          <w:sz w:val="24"/>
          <w:szCs w:val="24"/>
        </w:rPr>
      </w:pPr>
      <w:r w:rsidRPr="009C6832">
        <w:rPr>
          <w:rFonts w:eastAsia="Times New Roman" w:cs="Arial"/>
          <w:bCs/>
          <w:color w:val="000000"/>
          <w:kern w:val="1"/>
          <w:sz w:val="24"/>
          <w:szCs w:val="24"/>
        </w:rPr>
        <w:t>eliminarea impozitului pe construcții, începând cu data de 1 ianuarie 2017</w:t>
      </w:r>
      <w:r w:rsidR="00BD4E32" w:rsidRPr="009C6832">
        <w:rPr>
          <w:rFonts w:eastAsia="Times New Roman" w:cs="Arial"/>
          <w:bCs/>
          <w:color w:val="000000"/>
          <w:kern w:val="1"/>
          <w:sz w:val="24"/>
          <w:szCs w:val="24"/>
        </w:rPr>
        <w:t>;</w:t>
      </w:r>
    </w:p>
    <w:p w:rsidR="008A5038" w:rsidRPr="009C6832" w:rsidRDefault="00D511A6" w:rsidP="0006566D">
      <w:pPr>
        <w:pStyle w:val="ListParagraph"/>
        <w:numPr>
          <w:ilvl w:val="0"/>
          <w:numId w:val="7"/>
        </w:numPr>
        <w:tabs>
          <w:tab w:val="left" w:pos="993"/>
        </w:tabs>
        <w:suppressAutoHyphens/>
        <w:spacing w:after="120"/>
        <w:ind w:left="1208" w:hanging="357"/>
        <w:contextualSpacing w:val="0"/>
        <w:rPr>
          <w:rFonts w:cs="Arial"/>
          <w:kern w:val="1"/>
          <w:sz w:val="24"/>
          <w:szCs w:val="24"/>
          <w:lang w:eastAsia="zh-CN"/>
        </w:rPr>
      </w:pPr>
      <w:r w:rsidRPr="009C6832">
        <w:rPr>
          <w:rFonts w:cs="Arial"/>
          <w:color w:val="000000"/>
          <w:kern w:val="1"/>
          <w:sz w:val="24"/>
          <w:szCs w:val="24"/>
          <w:lang w:eastAsia="zh-CN"/>
        </w:rPr>
        <w:t>m</w:t>
      </w:r>
      <w:r w:rsidR="008A5038" w:rsidRPr="009C6832">
        <w:rPr>
          <w:rFonts w:cs="Arial"/>
          <w:color w:val="000000"/>
          <w:kern w:val="1"/>
          <w:sz w:val="24"/>
          <w:szCs w:val="24"/>
          <w:lang w:eastAsia="zh-CN"/>
        </w:rPr>
        <w:t>ajorarea, începând cu data de 01.01.2017 a nivelului accizei totale la țigarete de la 430,71 lei/1000 țigare</w:t>
      </w:r>
      <w:r w:rsidR="0017578C" w:rsidRPr="009C6832">
        <w:rPr>
          <w:rFonts w:cs="Arial"/>
          <w:color w:val="000000"/>
          <w:kern w:val="1"/>
          <w:sz w:val="24"/>
          <w:szCs w:val="24"/>
          <w:lang w:eastAsia="zh-CN"/>
        </w:rPr>
        <w:t>te la 435,58 lei/1000 țigarete</w:t>
      </w:r>
      <w:r w:rsidR="00BD4E32" w:rsidRPr="009C6832">
        <w:rPr>
          <w:rFonts w:cs="Arial"/>
          <w:color w:val="000000"/>
          <w:kern w:val="1"/>
          <w:sz w:val="24"/>
          <w:szCs w:val="24"/>
          <w:lang w:eastAsia="zh-CN"/>
        </w:rPr>
        <w:t>;</w:t>
      </w:r>
    </w:p>
    <w:p w:rsidR="008A5038" w:rsidRPr="009C6832" w:rsidRDefault="00D511A6" w:rsidP="0006566D">
      <w:pPr>
        <w:pStyle w:val="ListParagraph"/>
        <w:numPr>
          <w:ilvl w:val="0"/>
          <w:numId w:val="7"/>
        </w:numPr>
        <w:tabs>
          <w:tab w:val="left" w:pos="345"/>
        </w:tabs>
        <w:suppressAutoHyphens/>
        <w:spacing w:after="120"/>
        <w:ind w:left="1208" w:hanging="357"/>
        <w:contextualSpacing w:val="0"/>
        <w:rPr>
          <w:rFonts w:cs="Arial"/>
          <w:kern w:val="1"/>
          <w:sz w:val="24"/>
          <w:szCs w:val="24"/>
          <w:lang w:eastAsia="zh-CN"/>
        </w:rPr>
      </w:pPr>
      <w:r w:rsidRPr="009C6832">
        <w:rPr>
          <w:rFonts w:cs="Arial"/>
          <w:kern w:val="1"/>
          <w:sz w:val="24"/>
          <w:szCs w:val="24"/>
          <w:lang w:eastAsia="zh-CN"/>
        </w:rPr>
        <w:t>d</w:t>
      </w:r>
      <w:r w:rsidR="008A5038" w:rsidRPr="009C6832">
        <w:rPr>
          <w:rFonts w:cs="Arial"/>
          <w:kern w:val="1"/>
          <w:sz w:val="24"/>
          <w:szCs w:val="24"/>
          <w:lang w:eastAsia="zh-CN"/>
        </w:rPr>
        <w:t xml:space="preserve">iminuarea </w:t>
      </w:r>
      <w:r w:rsidR="000D4824">
        <w:rPr>
          <w:rFonts w:cs="Arial"/>
          <w:kern w:val="1"/>
          <w:sz w:val="24"/>
          <w:szCs w:val="24"/>
          <w:lang w:eastAsia="zh-CN"/>
        </w:rPr>
        <w:t xml:space="preserve">începând cu 1 ianuarie 2017 a </w:t>
      </w:r>
      <w:r w:rsidR="008A5038" w:rsidRPr="009C6832">
        <w:rPr>
          <w:rFonts w:cs="Arial"/>
          <w:kern w:val="1"/>
          <w:sz w:val="24"/>
          <w:szCs w:val="24"/>
          <w:lang w:eastAsia="zh-CN"/>
        </w:rPr>
        <w:t>nivelului accizelor pentru următoarele produse energetice:</w:t>
      </w:r>
    </w:p>
    <w:p w:rsidR="008A5038" w:rsidRPr="009C6832" w:rsidRDefault="008A5038" w:rsidP="0006566D">
      <w:pPr>
        <w:suppressAutoHyphens/>
        <w:overflowPunct w:val="0"/>
        <w:autoSpaceDE w:val="0"/>
        <w:spacing w:after="120"/>
        <w:ind w:left="1491"/>
        <w:textAlignment w:val="baseline"/>
        <w:rPr>
          <w:rFonts w:cs="Arial"/>
          <w:kern w:val="1"/>
          <w:sz w:val="24"/>
          <w:szCs w:val="24"/>
          <w:lang w:eastAsia="zh-CN"/>
        </w:rPr>
      </w:pPr>
      <w:r w:rsidRPr="009C6832">
        <w:rPr>
          <w:rFonts w:cs="Arial"/>
          <w:kern w:val="1"/>
          <w:sz w:val="24"/>
          <w:szCs w:val="24"/>
          <w:lang w:eastAsia="zh-CN"/>
        </w:rPr>
        <w:tab/>
        <w:t>- motorină: de la 1897,08 lei/1000 litri la 1518,04 lei/1000 litri;</w:t>
      </w:r>
    </w:p>
    <w:p w:rsidR="008A5038" w:rsidRPr="009C6832" w:rsidRDefault="008A5038" w:rsidP="0006566D">
      <w:pPr>
        <w:suppressAutoHyphens/>
        <w:overflowPunct w:val="0"/>
        <w:autoSpaceDE w:val="0"/>
        <w:spacing w:after="120"/>
        <w:ind w:left="1491"/>
        <w:textAlignment w:val="baseline"/>
        <w:rPr>
          <w:rFonts w:eastAsia="Arial" w:cs="Arial"/>
          <w:color w:val="000000"/>
          <w:kern w:val="1"/>
          <w:sz w:val="24"/>
          <w:szCs w:val="24"/>
          <w:lang w:eastAsia="zh-CN"/>
        </w:rPr>
      </w:pPr>
      <w:r w:rsidRPr="009C6832">
        <w:rPr>
          <w:rFonts w:cs="Arial"/>
          <w:kern w:val="1"/>
          <w:sz w:val="24"/>
          <w:szCs w:val="24"/>
          <w:lang w:eastAsia="zh-CN"/>
        </w:rPr>
        <w:tab/>
        <w:t>- benzină fără plumb: de la 2035,40 lei/1000 litri la 1656,36 lei/1000 litri;</w:t>
      </w:r>
    </w:p>
    <w:p w:rsidR="008A5038" w:rsidRPr="009C6832" w:rsidRDefault="007C0390" w:rsidP="0006566D">
      <w:pPr>
        <w:tabs>
          <w:tab w:val="left" w:pos="345"/>
        </w:tabs>
        <w:suppressAutoHyphens/>
        <w:overflowPunct w:val="0"/>
        <w:autoSpaceDE w:val="0"/>
        <w:spacing w:after="120"/>
        <w:ind w:left="1491"/>
        <w:textAlignment w:val="baseline"/>
        <w:rPr>
          <w:rFonts w:cs="Arial"/>
          <w:kern w:val="1"/>
          <w:sz w:val="24"/>
          <w:szCs w:val="24"/>
          <w:lang w:val="en-GB" w:eastAsia="zh-CN"/>
        </w:rPr>
      </w:pPr>
      <w:r w:rsidRPr="009C6832">
        <w:rPr>
          <w:rFonts w:eastAsia="Arial" w:cs="Arial"/>
          <w:color w:val="000000"/>
          <w:kern w:val="1"/>
          <w:sz w:val="24"/>
          <w:szCs w:val="24"/>
          <w:lang w:eastAsia="zh-CN"/>
        </w:rPr>
        <w:tab/>
      </w:r>
      <w:r w:rsidR="008A5038" w:rsidRPr="009C6832">
        <w:rPr>
          <w:rFonts w:cs="Arial"/>
          <w:color w:val="000000"/>
          <w:kern w:val="1"/>
          <w:sz w:val="24"/>
          <w:szCs w:val="24"/>
          <w:lang w:eastAsia="zh-CN"/>
        </w:rPr>
        <w:t>- benzină cu plumb: de la 2327,27 lei/1000 litri la 1948,23 lei/1000 litri.</w:t>
      </w:r>
    </w:p>
    <w:p w:rsidR="00EC3D46" w:rsidRPr="009C6832" w:rsidRDefault="00EC3D46" w:rsidP="0006566D">
      <w:pPr>
        <w:pStyle w:val="ListParagraph"/>
        <w:numPr>
          <w:ilvl w:val="0"/>
          <w:numId w:val="8"/>
        </w:numPr>
        <w:suppressAutoHyphens/>
        <w:spacing w:after="120"/>
        <w:ind w:left="1208" w:hanging="357"/>
        <w:contextualSpacing w:val="0"/>
        <w:rPr>
          <w:rFonts w:eastAsia="Times New Roman" w:cs="Arial"/>
          <w:kern w:val="1"/>
          <w:sz w:val="24"/>
          <w:szCs w:val="24"/>
          <w:lang w:eastAsia="zh-CN"/>
        </w:rPr>
      </w:pPr>
      <w:r w:rsidRPr="009C6832">
        <w:rPr>
          <w:rFonts w:eastAsia="Times New Roman" w:cs="Arial"/>
          <w:kern w:val="1"/>
          <w:sz w:val="24"/>
          <w:szCs w:val="24"/>
          <w:lang w:eastAsia="zh-CN"/>
        </w:rPr>
        <w:t>modificarea modalității de stabilire a impozitului datorat pentru veniturile obținute din transferul dreptului de proprietate şi al dezmembrămintelor acestuia, astfel:</w:t>
      </w:r>
    </w:p>
    <w:p w:rsidR="00BD4E32" w:rsidRPr="009C6832" w:rsidRDefault="00EC3D46" w:rsidP="0006566D">
      <w:pPr>
        <w:numPr>
          <w:ilvl w:val="0"/>
          <w:numId w:val="13"/>
        </w:numPr>
        <w:suppressAutoHyphens/>
        <w:spacing w:after="120"/>
        <w:ind w:left="2058" w:hanging="357"/>
        <w:rPr>
          <w:rFonts w:eastAsia="SimSun" w:cs="Arial"/>
          <w:kern w:val="1"/>
          <w:sz w:val="24"/>
          <w:szCs w:val="24"/>
          <w:lang w:eastAsia="zh-CN"/>
        </w:rPr>
      </w:pPr>
      <w:r w:rsidRPr="009C6832">
        <w:rPr>
          <w:rFonts w:eastAsia="Times New Roman" w:cs="Arial"/>
          <w:kern w:val="1"/>
          <w:sz w:val="24"/>
          <w:szCs w:val="24"/>
          <w:lang w:eastAsia="zh-CN"/>
        </w:rPr>
        <w:t xml:space="preserve">introducerea unui plafon neimpozabil în cazul veniturilor obținute ca urmare a  transferului dreptului de proprietate şi al dezmembrămintelor acestuia, prin acte juridice între vii asupra </w:t>
      </w:r>
      <w:r w:rsidR="00BA2D78" w:rsidRPr="009C6832">
        <w:rPr>
          <w:rFonts w:eastAsia="Times New Roman" w:cs="Arial"/>
          <w:kern w:val="1"/>
          <w:sz w:val="24"/>
          <w:szCs w:val="24"/>
          <w:lang w:eastAsia="zh-CN"/>
        </w:rPr>
        <w:t>construcțiilor</w:t>
      </w:r>
      <w:r w:rsidRPr="009C6832">
        <w:rPr>
          <w:rFonts w:eastAsia="Times New Roman" w:cs="Arial"/>
          <w:kern w:val="1"/>
          <w:sz w:val="24"/>
          <w:szCs w:val="24"/>
          <w:lang w:eastAsia="zh-CN"/>
        </w:rPr>
        <w:t xml:space="preserve"> de orice fel şi a terenurilor aferente acestora, precum şi asupra terenurilor de orice fel fără </w:t>
      </w:r>
      <w:r w:rsidR="00BA2D78" w:rsidRPr="009C6832">
        <w:rPr>
          <w:rFonts w:eastAsia="Times New Roman" w:cs="Arial"/>
          <w:kern w:val="1"/>
          <w:sz w:val="24"/>
          <w:szCs w:val="24"/>
          <w:lang w:eastAsia="zh-CN"/>
        </w:rPr>
        <w:t>construcții</w:t>
      </w:r>
      <w:r w:rsidRPr="009C6832">
        <w:rPr>
          <w:rFonts w:eastAsia="Times New Roman" w:cs="Arial"/>
          <w:kern w:val="1"/>
          <w:sz w:val="24"/>
          <w:szCs w:val="24"/>
          <w:lang w:eastAsia="zh-CN"/>
        </w:rPr>
        <w:t>, în sumă de 450.000 lei;</w:t>
      </w:r>
    </w:p>
    <w:p w:rsidR="00EC3D46" w:rsidRPr="009C6832" w:rsidRDefault="00EC3D46" w:rsidP="0006566D">
      <w:pPr>
        <w:numPr>
          <w:ilvl w:val="0"/>
          <w:numId w:val="13"/>
        </w:numPr>
        <w:suppressAutoHyphens/>
        <w:spacing w:after="120"/>
        <w:ind w:left="2058" w:hanging="357"/>
        <w:rPr>
          <w:rFonts w:eastAsia="SimSun" w:cs="Arial"/>
          <w:kern w:val="1"/>
          <w:sz w:val="24"/>
          <w:szCs w:val="24"/>
          <w:lang w:eastAsia="zh-CN"/>
        </w:rPr>
      </w:pPr>
      <w:r w:rsidRPr="009C6832">
        <w:rPr>
          <w:rFonts w:eastAsia="Times New Roman" w:cs="Arial"/>
          <w:kern w:val="1"/>
          <w:sz w:val="24"/>
          <w:szCs w:val="24"/>
          <w:lang w:eastAsia="zh-CN"/>
        </w:rPr>
        <w:t xml:space="preserve">impozitul se calculează prin aplicarea cotei de 3% la diferența dintre valoarea tranzacției și plafonul neimpozabil. </w:t>
      </w:r>
    </w:p>
    <w:p w:rsidR="00EC3D46" w:rsidRPr="009C6832" w:rsidRDefault="00EC3D46" w:rsidP="0006566D">
      <w:pPr>
        <w:pStyle w:val="ListParagraph"/>
        <w:numPr>
          <w:ilvl w:val="0"/>
          <w:numId w:val="9"/>
        </w:numPr>
        <w:suppressAutoHyphens/>
        <w:autoSpaceDE w:val="0"/>
        <w:spacing w:after="120"/>
        <w:ind w:left="1208" w:hanging="357"/>
        <w:contextualSpacing w:val="0"/>
        <w:rPr>
          <w:rFonts w:eastAsia="Times New Roman" w:cs="Arial"/>
          <w:kern w:val="1"/>
          <w:sz w:val="24"/>
          <w:szCs w:val="24"/>
          <w:lang w:eastAsia="zh-CN"/>
        </w:rPr>
      </w:pPr>
      <w:r w:rsidRPr="009C6832">
        <w:rPr>
          <w:rFonts w:eastAsia="SimSun" w:cs="Arial"/>
          <w:kern w:val="1"/>
          <w:sz w:val="24"/>
          <w:szCs w:val="24"/>
          <w:lang w:eastAsia="zh-CN"/>
        </w:rPr>
        <w:t xml:space="preserve">deducerea la calculul impozitului pe veniturile din salarii și asimilate salariilor </w:t>
      </w:r>
      <w:r w:rsidRPr="009C6832">
        <w:rPr>
          <w:rFonts w:eastAsia="Times New Roman" w:cs="Arial"/>
          <w:kern w:val="1"/>
          <w:sz w:val="24"/>
          <w:szCs w:val="24"/>
          <w:lang w:eastAsia="ro-RO"/>
        </w:rPr>
        <w:t xml:space="preserve">a contravalorii abonamentelor medicale suportate de </w:t>
      </w:r>
      <w:r w:rsidR="00BA2D78" w:rsidRPr="009C6832">
        <w:rPr>
          <w:rFonts w:eastAsia="Times New Roman" w:cs="Arial"/>
          <w:kern w:val="1"/>
          <w:sz w:val="24"/>
          <w:szCs w:val="24"/>
          <w:lang w:eastAsia="ro-RO"/>
        </w:rPr>
        <w:t>angajați</w:t>
      </w:r>
      <w:r w:rsidRPr="009C6832">
        <w:rPr>
          <w:rFonts w:eastAsia="Times New Roman" w:cs="Arial"/>
          <w:kern w:val="1"/>
          <w:sz w:val="24"/>
          <w:szCs w:val="24"/>
          <w:lang w:eastAsia="ro-RO"/>
        </w:rPr>
        <w:t xml:space="preserve">, </w:t>
      </w:r>
      <w:r w:rsidRPr="009C6832">
        <w:rPr>
          <w:rFonts w:eastAsia="SimSun" w:cs="Arial"/>
          <w:kern w:val="1"/>
          <w:sz w:val="24"/>
          <w:szCs w:val="24"/>
          <w:lang w:eastAsia="zh-CN"/>
        </w:rPr>
        <w:t xml:space="preserve">pe lângă </w:t>
      </w:r>
      <w:r w:rsidRPr="009C6832">
        <w:rPr>
          <w:rFonts w:eastAsia="Times New Roman" w:cs="Arial"/>
          <w:kern w:val="1"/>
          <w:sz w:val="24"/>
          <w:szCs w:val="24"/>
          <w:lang w:eastAsia="ro-RO"/>
        </w:rPr>
        <w:t>primele de asigurare voluntară de sănătate, în limita echivalentului în</w:t>
      </w:r>
      <w:r w:rsidR="00BD4E32" w:rsidRPr="009C6832">
        <w:rPr>
          <w:rFonts w:eastAsia="Times New Roman" w:cs="Arial"/>
          <w:kern w:val="1"/>
          <w:sz w:val="24"/>
          <w:szCs w:val="24"/>
          <w:lang w:eastAsia="ro-RO"/>
        </w:rPr>
        <w:t xml:space="preserve"> lei al sumei de 400 euro </w:t>
      </w:r>
      <w:r w:rsidR="00BA2D78" w:rsidRPr="009C6832">
        <w:rPr>
          <w:rFonts w:eastAsia="Times New Roman" w:cs="Arial"/>
          <w:kern w:val="1"/>
          <w:sz w:val="24"/>
          <w:szCs w:val="24"/>
          <w:lang w:eastAsia="ro-RO"/>
        </w:rPr>
        <w:t>anual</w:t>
      </w:r>
      <w:r w:rsidR="00BD4E32" w:rsidRPr="009C6832">
        <w:rPr>
          <w:rFonts w:eastAsia="Times New Roman" w:cs="Arial"/>
          <w:kern w:val="1"/>
          <w:sz w:val="24"/>
          <w:szCs w:val="24"/>
          <w:lang w:eastAsia="ro-RO"/>
        </w:rPr>
        <w:t>;</w:t>
      </w:r>
    </w:p>
    <w:p w:rsidR="00EC3D46" w:rsidRPr="009C6832" w:rsidRDefault="00EC3D46" w:rsidP="0006566D">
      <w:pPr>
        <w:pStyle w:val="ListParagraph"/>
        <w:numPr>
          <w:ilvl w:val="0"/>
          <w:numId w:val="9"/>
        </w:numPr>
        <w:suppressAutoHyphens/>
        <w:spacing w:after="120"/>
        <w:ind w:left="1208" w:hanging="357"/>
        <w:contextualSpacing w:val="0"/>
        <w:rPr>
          <w:rFonts w:eastAsia="Times New Roman" w:cs="Arial"/>
          <w:kern w:val="1"/>
          <w:sz w:val="24"/>
          <w:szCs w:val="24"/>
          <w:lang w:eastAsia="zh-CN"/>
        </w:rPr>
      </w:pPr>
      <w:r w:rsidRPr="009C6832">
        <w:rPr>
          <w:rFonts w:eastAsia="Times New Roman" w:cs="Arial"/>
          <w:kern w:val="1"/>
          <w:sz w:val="24"/>
          <w:szCs w:val="24"/>
          <w:lang w:eastAsia="zh-CN"/>
        </w:rPr>
        <w:t xml:space="preserve">eliminarea plafonului reprezentând  valoarea a de 5 ori </w:t>
      </w:r>
      <w:r w:rsidR="00BA2D78" w:rsidRPr="009C6832">
        <w:rPr>
          <w:rFonts w:eastAsia="Times New Roman" w:cs="Arial"/>
          <w:kern w:val="1"/>
          <w:sz w:val="24"/>
          <w:szCs w:val="24"/>
          <w:lang w:eastAsia="zh-CN"/>
        </w:rPr>
        <w:t>câștigul</w:t>
      </w:r>
      <w:r w:rsidRPr="009C6832">
        <w:rPr>
          <w:rFonts w:eastAsia="Times New Roman" w:cs="Arial"/>
          <w:kern w:val="1"/>
          <w:sz w:val="24"/>
          <w:szCs w:val="24"/>
          <w:lang w:eastAsia="zh-CN"/>
        </w:rPr>
        <w:t xml:space="preserve"> salarial mediu brut, aferent bazei lunare de calcul  a contribuțiilor de asigurări sociale, în cazul persoanelor care realizează venituri din salarii și asimilate salariilor</w:t>
      </w:r>
      <w:r w:rsidR="00BD4E32" w:rsidRPr="009C6832">
        <w:rPr>
          <w:rFonts w:eastAsia="Times New Roman" w:cs="Arial"/>
          <w:kern w:val="1"/>
          <w:sz w:val="24"/>
          <w:szCs w:val="24"/>
          <w:lang w:eastAsia="zh-CN"/>
        </w:rPr>
        <w:t>;</w:t>
      </w:r>
    </w:p>
    <w:p w:rsidR="00EC3D46" w:rsidRPr="009C6832" w:rsidRDefault="00EC3D46" w:rsidP="0006566D">
      <w:pPr>
        <w:pStyle w:val="ListParagraph"/>
        <w:numPr>
          <w:ilvl w:val="0"/>
          <w:numId w:val="9"/>
        </w:numPr>
        <w:suppressAutoHyphens/>
        <w:spacing w:after="120"/>
        <w:ind w:left="1208" w:hanging="357"/>
        <w:contextualSpacing w:val="0"/>
        <w:rPr>
          <w:rFonts w:eastAsia="Times New Roman" w:cs="Arial"/>
          <w:kern w:val="1"/>
          <w:sz w:val="24"/>
          <w:szCs w:val="24"/>
          <w:lang w:eastAsia="zh-CN"/>
        </w:rPr>
      </w:pPr>
      <w:r w:rsidRPr="009C6832">
        <w:rPr>
          <w:rFonts w:eastAsia="Times New Roman" w:cs="Arial"/>
          <w:kern w:val="1"/>
          <w:sz w:val="24"/>
          <w:szCs w:val="24"/>
          <w:lang w:eastAsia="zh-CN"/>
        </w:rPr>
        <w:t xml:space="preserve">eliminarea plafonului maxim al bazei lunare de calcul a contribuției de asigurări sociale de sănătate, reprezentând contravaloarea a 5 </w:t>
      </w:r>
      <w:r w:rsidR="009C6832" w:rsidRPr="009C6832">
        <w:rPr>
          <w:rFonts w:eastAsia="Times New Roman" w:cs="Arial"/>
          <w:kern w:val="1"/>
          <w:sz w:val="24"/>
          <w:szCs w:val="24"/>
          <w:lang w:eastAsia="zh-CN"/>
        </w:rPr>
        <w:t>câștiguri</w:t>
      </w:r>
      <w:r w:rsidRPr="009C6832">
        <w:rPr>
          <w:rFonts w:eastAsia="Times New Roman" w:cs="Arial"/>
          <w:kern w:val="1"/>
          <w:sz w:val="24"/>
          <w:szCs w:val="24"/>
          <w:lang w:eastAsia="zh-CN"/>
        </w:rPr>
        <w:t xml:space="preserve"> salariale medii brute, pentru veniturile din salarii şi asimilate salariilor,  </w:t>
      </w:r>
      <w:r w:rsidR="00BA2D78" w:rsidRPr="009C6832">
        <w:rPr>
          <w:rFonts w:eastAsia="Times New Roman" w:cs="Arial"/>
          <w:kern w:val="1"/>
          <w:sz w:val="24"/>
          <w:szCs w:val="24"/>
          <w:lang w:eastAsia="zh-CN"/>
        </w:rPr>
        <w:t>investiții</w:t>
      </w:r>
      <w:r w:rsidRPr="009C6832">
        <w:rPr>
          <w:rFonts w:eastAsia="Times New Roman" w:cs="Arial"/>
          <w:kern w:val="1"/>
          <w:sz w:val="24"/>
          <w:szCs w:val="24"/>
          <w:lang w:eastAsia="zh-CN"/>
        </w:rPr>
        <w:t xml:space="preserve"> și din alte surse. Astfel, contribuția de asigurări sociale de sănătate se datorează asupra venitului realizat</w:t>
      </w:r>
      <w:r w:rsidR="00BD4E32" w:rsidRPr="009C6832">
        <w:rPr>
          <w:rFonts w:eastAsia="Times New Roman" w:cs="Arial"/>
          <w:kern w:val="1"/>
          <w:sz w:val="24"/>
          <w:szCs w:val="24"/>
          <w:lang w:eastAsia="zh-CN"/>
        </w:rPr>
        <w:t>;</w:t>
      </w:r>
    </w:p>
    <w:p w:rsidR="007C0390" w:rsidRPr="009C6832" w:rsidRDefault="00EC3D46" w:rsidP="0006566D">
      <w:pPr>
        <w:pStyle w:val="ListParagraph"/>
        <w:numPr>
          <w:ilvl w:val="0"/>
          <w:numId w:val="9"/>
        </w:numPr>
        <w:suppressAutoHyphens/>
        <w:autoSpaceDE w:val="0"/>
        <w:autoSpaceDN w:val="0"/>
        <w:adjustRightInd w:val="0"/>
        <w:spacing w:after="120"/>
        <w:ind w:left="1208" w:hanging="357"/>
        <w:contextualSpacing w:val="0"/>
        <w:rPr>
          <w:rFonts w:eastAsia="Calibri" w:cs="Arial"/>
          <w:i/>
          <w:color w:val="000000"/>
          <w:sz w:val="24"/>
          <w:szCs w:val="24"/>
        </w:rPr>
      </w:pPr>
      <w:r w:rsidRPr="009C6832">
        <w:rPr>
          <w:rFonts w:eastAsia="Times New Roman" w:cs="Arial"/>
          <w:kern w:val="1"/>
          <w:sz w:val="24"/>
          <w:szCs w:val="24"/>
          <w:lang w:eastAsia="zh-CN"/>
        </w:rPr>
        <w:t xml:space="preserve">exceptarea de la plata CASS a persoanele care realizează venituri din </w:t>
      </w:r>
      <w:r w:rsidR="00BA2D78" w:rsidRPr="009C6832">
        <w:rPr>
          <w:rFonts w:eastAsia="Times New Roman" w:cs="Arial"/>
          <w:kern w:val="1"/>
          <w:sz w:val="24"/>
          <w:szCs w:val="24"/>
          <w:lang w:eastAsia="zh-CN"/>
        </w:rPr>
        <w:t>investiții</w:t>
      </w:r>
      <w:r w:rsidRPr="009C6832">
        <w:rPr>
          <w:rFonts w:eastAsia="Times New Roman" w:cs="Arial"/>
          <w:kern w:val="1"/>
          <w:sz w:val="24"/>
          <w:szCs w:val="24"/>
          <w:lang w:eastAsia="zh-CN"/>
        </w:rPr>
        <w:t xml:space="preserve"> şi/sau din alte surse pentru aceste venituri dacă, în cursul anului fiscal realizează venituri din salarii şi asimilate salariilor, venituri din pensii, venituri din </w:t>
      </w:r>
      <w:r w:rsidR="00BA2D78" w:rsidRPr="009C6832">
        <w:rPr>
          <w:rFonts w:eastAsia="Times New Roman" w:cs="Arial"/>
          <w:kern w:val="1"/>
          <w:sz w:val="24"/>
          <w:szCs w:val="24"/>
          <w:lang w:eastAsia="zh-CN"/>
        </w:rPr>
        <w:t>activități</w:t>
      </w:r>
      <w:r w:rsidRPr="009C6832">
        <w:rPr>
          <w:rFonts w:eastAsia="Times New Roman" w:cs="Arial"/>
          <w:kern w:val="1"/>
          <w:sz w:val="24"/>
          <w:szCs w:val="24"/>
          <w:lang w:eastAsia="zh-CN"/>
        </w:rPr>
        <w:t xml:space="preserve"> independente, venituri din asocierea cu o persoană juridică sau venituri din </w:t>
      </w:r>
      <w:r w:rsidR="00BA2D78" w:rsidRPr="009C6832">
        <w:rPr>
          <w:rFonts w:eastAsia="Times New Roman" w:cs="Arial"/>
          <w:kern w:val="1"/>
          <w:sz w:val="24"/>
          <w:szCs w:val="24"/>
          <w:lang w:eastAsia="zh-CN"/>
        </w:rPr>
        <w:t>activități</w:t>
      </w:r>
      <w:r w:rsidRPr="009C6832">
        <w:rPr>
          <w:rFonts w:eastAsia="Times New Roman" w:cs="Arial"/>
          <w:kern w:val="1"/>
          <w:sz w:val="24"/>
          <w:szCs w:val="24"/>
          <w:lang w:eastAsia="zh-CN"/>
        </w:rPr>
        <w:t xml:space="preserve"> agricol</w:t>
      </w:r>
      <w:r w:rsidR="00BD4E32" w:rsidRPr="009C6832">
        <w:rPr>
          <w:rFonts w:eastAsia="Times New Roman" w:cs="Arial"/>
          <w:kern w:val="1"/>
          <w:sz w:val="24"/>
          <w:szCs w:val="24"/>
          <w:lang w:eastAsia="zh-CN"/>
        </w:rPr>
        <w:t>e, silvicultură şi piscicultură;</w:t>
      </w:r>
    </w:p>
    <w:p w:rsidR="007C0390" w:rsidRPr="009C6832" w:rsidRDefault="00060B8F" w:rsidP="0006566D">
      <w:pPr>
        <w:pStyle w:val="ListParagraph"/>
        <w:numPr>
          <w:ilvl w:val="0"/>
          <w:numId w:val="9"/>
        </w:numPr>
        <w:shd w:val="clear" w:color="auto" w:fill="FFFFFF"/>
        <w:suppressAutoHyphens/>
        <w:autoSpaceDE w:val="0"/>
        <w:autoSpaceDN w:val="0"/>
        <w:adjustRightInd w:val="0"/>
        <w:spacing w:after="120"/>
        <w:ind w:left="1208" w:hanging="357"/>
        <w:contextualSpacing w:val="0"/>
        <w:textAlignment w:val="baseline"/>
        <w:rPr>
          <w:rFonts w:eastAsia="Times New Roman" w:cs="Arial"/>
          <w:color w:val="000000"/>
          <w:sz w:val="24"/>
          <w:szCs w:val="24"/>
        </w:rPr>
      </w:pPr>
      <w:r w:rsidRPr="009C6832">
        <w:rPr>
          <w:rFonts w:eastAsia="Calibri" w:cs="Arial"/>
          <w:color w:val="000000"/>
          <w:sz w:val="24"/>
          <w:szCs w:val="24"/>
        </w:rPr>
        <w:t>c</w:t>
      </w:r>
      <w:r w:rsidR="007C0390" w:rsidRPr="009C6832">
        <w:rPr>
          <w:rFonts w:eastAsia="Calibri" w:cs="Arial"/>
          <w:color w:val="000000"/>
          <w:sz w:val="24"/>
          <w:szCs w:val="24"/>
        </w:rPr>
        <w:t xml:space="preserve">reșterea salariul de bază minim brut pe </w:t>
      </w:r>
      <w:r w:rsidR="00BA2D78" w:rsidRPr="009C6832">
        <w:rPr>
          <w:rFonts w:eastAsia="Calibri" w:cs="Arial"/>
          <w:color w:val="000000"/>
          <w:sz w:val="24"/>
          <w:szCs w:val="24"/>
        </w:rPr>
        <w:t>țară</w:t>
      </w:r>
      <w:r w:rsidR="007C0390" w:rsidRPr="009C6832">
        <w:rPr>
          <w:rFonts w:eastAsia="Calibri" w:cs="Arial"/>
          <w:color w:val="000000"/>
          <w:sz w:val="24"/>
          <w:szCs w:val="24"/>
        </w:rPr>
        <w:t xml:space="preserve"> garantat în plată, î</w:t>
      </w:r>
      <w:r w:rsidR="00E3539E" w:rsidRPr="009C6832">
        <w:rPr>
          <w:rFonts w:eastAsia="Calibri" w:cs="Arial"/>
          <w:color w:val="000000"/>
          <w:sz w:val="24"/>
          <w:szCs w:val="24"/>
        </w:rPr>
        <w:t xml:space="preserve">ncepând cu data de 1 februarie 2017, </w:t>
      </w:r>
      <w:r w:rsidR="007C0390" w:rsidRPr="009C6832">
        <w:rPr>
          <w:rFonts w:eastAsia="Calibri" w:cs="Arial"/>
          <w:color w:val="000000"/>
          <w:sz w:val="24"/>
          <w:szCs w:val="24"/>
        </w:rPr>
        <w:t>la 1.450 lei lunar</w:t>
      </w:r>
      <w:r w:rsidR="00BD4E32" w:rsidRPr="009C6832">
        <w:rPr>
          <w:rFonts w:eastAsia="Calibri" w:cs="Arial"/>
          <w:color w:val="000000"/>
          <w:sz w:val="24"/>
          <w:szCs w:val="24"/>
        </w:rPr>
        <w:t>;</w:t>
      </w:r>
    </w:p>
    <w:p w:rsidR="00BD4E32" w:rsidRPr="009C6832" w:rsidRDefault="00F213DC" w:rsidP="0006566D">
      <w:pPr>
        <w:pStyle w:val="ListParagraph"/>
        <w:numPr>
          <w:ilvl w:val="0"/>
          <w:numId w:val="4"/>
        </w:numPr>
        <w:shd w:val="clear" w:color="auto" w:fill="FFFFFF"/>
        <w:suppressAutoHyphens/>
        <w:autoSpaceDE w:val="0"/>
        <w:autoSpaceDN w:val="0"/>
        <w:adjustRightInd w:val="0"/>
        <w:spacing w:after="120"/>
        <w:ind w:left="1208" w:hanging="357"/>
        <w:contextualSpacing w:val="0"/>
        <w:textAlignment w:val="baseline"/>
        <w:rPr>
          <w:rFonts w:eastAsia="Times New Roman" w:cs="Arial"/>
          <w:bCs/>
          <w:color w:val="000000"/>
          <w:sz w:val="24"/>
          <w:szCs w:val="24"/>
        </w:rPr>
      </w:pPr>
      <w:r w:rsidRPr="009C6832">
        <w:rPr>
          <w:rFonts w:eastAsia="Times New Roman" w:cs="Arial"/>
          <w:bCs/>
          <w:color w:val="000000"/>
          <w:sz w:val="24"/>
          <w:szCs w:val="24"/>
        </w:rPr>
        <w:t>majorarea cu 20%</w:t>
      </w:r>
      <w:r w:rsidRPr="009C6832">
        <w:rPr>
          <w:rFonts w:eastAsia="Times New Roman" w:cs="Arial"/>
          <w:color w:val="000000"/>
          <w:sz w:val="24"/>
          <w:szCs w:val="24"/>
        </w:rPr>
        <w:t xml:space="preserve"> față de nivelul acordat pentru luna ianuarie 2017 a cuantumului brut al salariilor de bază/indemnizațiilor, precum și a cuantumului sporurilor, indemnizațiilor şi al celorlalte elemente ale sistemului de salarizare care fac parte din salariul brut, pentru personalul </w:t>
      </w:r>
      <w:r w:rsidRPr="009C6832">
        <w:rPr>
          <w:rFonts w:eastAsia="Times New Roman" w:cs="Arial"/>
          <w:bCs/>
          <w:color w:val="000000"/>
          <w:sz w:val="24"/>
          <w:szCs w:val="24"/>
        </w:rPr>
        <w:t xml:space="preserve">plătit din fonduri publice din </w:t>
      </w:r>
      <w:r w:rsidR="00BA2D78" w:rsidRPr="009C6832">
        <w:rPr>
          <w:rFonts w:eastAsia="Times New Roman" w:cs="Arial"/>
          <w:bCs/>
          <w:color w:val="000000"/>
          <w:sz w:val="24"/>
          <w:szCs w:val="24"/>
        </w:rPr>
        <w:t>instituțiile</w:t>
      </w:r>
      <w:r w:rsidRPr="009C6832">
        <w:rPr>
          <w:rFonts w:eastAsia="Times New Roman" w:cs="Arial"/>
          <w:bCs/>
          <w:color w:val="000000"/>
          <w:sz w:val="24"/>
          <w:szCs w:val="24"/>
        </w:rPr>
        <w:t xml:space="preserve"> şi </w:t>
      </w:r>
      <w:r w:rsidR="00BA2D78" w:rsidRPr="009C6832">
        <w:rPr>
          <w:rFonts w:eastAsia="Times New Roman" w:cs="Arial"/>
          <w:bCs/>
          <w:color w:val="000000"/>
          <w:sz w:val="24"/>
          <w:szCs w:val="24"/>
        </w:rPr>
        <w:t>autoritățile</w:t>
      </w:r>
      <w:r w:rsidRPr="009C6832">
        <w:rPr>
          <w:rFonts w:eastAsia="Times New Roman" w:cs="Arial"/>
          <w:bCs/>
          <w:color w:val="000000"/>
          <w:sz w:val="24"/>
          <w:szCs w:val="24"/>
        </w:rPr>
        <w:t xml:space="preserve"> publice ale administrației publice locale</w:t>
      </w:r>
      <w:r w:rsidR="00BD4E32" w:rsidRPr="009C6832">
        <w:rPr>
          <w:rFonts w:eastAsia="Times New Roman" w:cs="Arial"/>
          <w:color w:val="000000"/>
          <w:sz w:val="24"/>
          <w:szCs w:val="24"/>
        </w:rPr>
        <w:t>;</w:t>
      </w:r>
    </w:p>
    <w:p w:rsidR="00BD4E32" w:rsidRPr="009C6832" w:rsidRDefault="00F213DC" w:rsidP="0006566D">
      <w:pPr>
        <w:pStyle w:val="ListParagraph"/>
        <w:numPr>
          <w:ilvl w:val="0"/>
          <w:numId w:val="4"/>
        </w:numPr>
        <w:shd w:val="clear" w:color="auto" w:fill="FFFFFF"/>
        <w:suppressAutoHyphens/>
        <w:autoSpaceDE w:val="0"/>
        <w:autoSpaceDN w:val="0"/>
        <w:adjustRightInd w:val="0"/>
        <w:spacing w:after="120"/>
        <w:ind w:left="1208" w:hanging="357"/>
        <w:contextualSpacing w:val="0"/>
        <w:textAlignment w:val="baseline"/>
        <w:rPr>
          <w:rFonts w:eastAsia="Times New Roman" w:cs="Arial"/>
          <w:bCs/>
          <w:color w:val="000000"/>
          <w:sz w:val="24"/>
          <w:szCs w:val="24"/>
        </w:rPr>
      </w:pPr>
      <w:r w:rsidRPr="009C6832">
        <w:rPr>
          <w:rFonts w:eastAsia="Times New Roman" w:cs="Arial"/>
          <w:bCs/>
          <w:color w:val="000000"/>
          <w:sz w:val="24"/>
          <w:szCs w:val="24"/>
        </w:rPr>
        <w:t>majorarea cu 50%</w:t>
      </w:r>
      <w:r w:rsidRPr="009C6832">
        <w:rPr>
          <w:rFonts w:eastAsia="Times New Roman" w:cs="Arial"/>
          <w:color w:val="000000"/>
          <w:sz w:val="24"/>
          <w:szCs w:val="24"/>
        </w:rPr>
        <w:t xml:space="preserve"> față de nivelul acordat pentru luna ianuarie 2017 a cuantumului brut al salariilor de bază, precum și  a cuantumului sporurilor, indemnizațiilor, compensațiilor şi al celorlalte elemente ale sistemului de salarizare care fac parte din salariul brut pentru </w:t>
      </w:r>
      <w:r w:rsidR="00E3539E" w:rsidRPr="009C6832">
        <w:rPr>
          <w:rFonts w:eastAsia="Times New Roman" w:cs="Arial"/>
          <w:bCs/>
          <w:color w:val="000000"/>
          <w:sz w:val="24"/>
          <w:szCs w:val="24"/>
        </w:rPr>
        <w:t>personalul din cadrul instituțiilor publice de spectacole sau concerte, </w:t>
      </w:r>
      <w:r w:rsidR="00E3539E" w:rsidRPr="009C6832">
        <w:rPr>
          <w:rFonts w:eastAsia="Times New Roman" w:cs="Arial"/>
          <w:color w:val="000000"/>
          <w:sz w:val="24"/>
          <w:szCs w:val="24"/>
        </w:rPr>
        <w:t>indiferent de subordonarea acestora</w:t>
      </w:r>
      <w:r w:rsidR="00BD4E32" w:rsidRPr="009C6832">
        <w:rPr>
          <w:rFonts w:eastAsia="Times New Roman" w:cs="Arial"/>
          <w:color w:val="000000"/>
          <w:sz w:val="24"/>
          <w:szCs w:val="24"/>
        </w:rPr>
        <w:t>;</w:t>
      </w:r>
    </w:p>
    <w:p w:rsidR="00AD228D" w:rsidRPr="009C6832" w:rsidRDefault="00060B8F" w:rsidP="0006566D">
      <w:pPr>
        <w:pStyle w:val="ListParagraph"/>
        <w:numPr>
          <w:ilvl w:val="0"/>
          <w:numId w:val="4"/>
        </w:numPr>
        <w:shd w:val="clear" w:color="auto" w:fill="FFFFFF"/>
        <w:suppressAutoHyphens/>
        <w:autoSpaceDE w:val="0"/>
        <w:autoSpaceDN w:val="0"/>
        <w:adjustRightInd w:val="0"/>
        <w:spacing w:after="120"/>
        <w:ind w:left="1208" w:hanging="357"/>
        <w:contextualSpacing w:val="0"/>
        <w:textAlignment w:val="baseline"/>
        <w:rPr>
          <w:rFonts w:eastAsia="Times New Roman" w:cs="Arial"/>
          <w:color w:val="000000"/>
          <w:sz w:val="24"/>
          <w:szCs w:val="24"/>
        </w:rPr>
      </w:pPr>
      <w:r w:rsidRPr="009C6832">
        <w:rPr>
          <w:rFonts w:eastAsia="Times New Roman" w:cs="Arial"/>
          <w:bCs/>
          <w:color w:val="000000"/>
          <w:sz w:val="24"/>
          <w:szCs w:val="24"/>
        </w:rPr>
        <w:t>m</w:t>
      </w:r>
      <w:r w:rsidR="00F213DC" w:rsidRPr="009C6832">
        <w:rPr>
          <w:rFonts w:eastAsia="Times New Roman" w:cs="Arial"/>
          <w:bCs/>
          <w:color w:val="000000"/>
          <w:sz w:val="24"/>
          <w:szCs w:val="24"/>
        </w:rPr>
        <w:t xml:space="preserve">ajorarea, </w:t>
      </w:r>
      <w:r w:rsidR="00E3539E" w:rsidRPr="009C6832">
        <w:rPr>
          <w:rFonts w:eastAsia="Times New Roman" w:cs="Arial"/>
          <w:bCs/>
          <w:color w:val="000000"/>
          <w:sz w:val="24"/>
          <w:szCs w:val="24"/>
        </w:rPr>
        <w:t xml:space="preserve">începând cu data de 1 iulie 2017, </w:t>
      </w:r>
      <w:r w:rsidR="00F213DC" w:rsidRPr="009C6832">
        <w:rPr>
          <w:rFonts w:eastAsia="Times New Roman" w:cs="Arial"/>
          <w:bCs/>
          <w:color w:val="000000"/>
          <w:sz w:val="24"/>
          <w:szCs w:val="24"/>
        </w:rPr>
        <w:t xml:space="preserve">a </w:t>
      </w:r>
      <w:r w:rsidR="00E3539E" w:rsidRPr="009C6832">
        <w:rPr>
          <w:rFonts w:eastAsia="Times New Roman" w:cs="Arial"/>
          <w:bCs/>
          <w:color w:val="000000"/>
          <w:sz w:val="24"/>
          <w:szCs w:val="24"/>
        </w:rPr>
        <w:t>valo</w:t>
      </w:r>
      <w:r w:rsidR="00F213DC" w:rsidRPr="009C6832">
        <w:rPr>
          <w:rFonts w:eastAsia="Times New Roman" w:cs="Arial"/>
          <w:bCs/>
          <w:color w:val="000000"/>
          <w:sz w:val="24"/>
          <w:szCs w:val="24"/>
        </w:rPr>
        <w:t>rii</w:t>
      </w:r>
      <w:r w:rsidR="00E3539E" w:rsidRPr="009C6832">
        <w:rPr>
          <w:rFonts w:eastAsia="Times New Roman" w:cs="Arial"/>
          <w:bCs/>
          <w:color w:val="000000"/>
          <w:sz w:val="24"/>
          <w:szCs w:val="24"/>
        </w:rPr>
        <w:t xml:space="preserve"> punctului de pensie </w:t>
      </w:r>
      <w:r w:rsidR="00BD4E32" w:rsidRPr="009C6832">
        <w:rPr>
          <w:rFonts w:eastAsia="Times New Roman" w:cs="Arial"/>
          <w:bCs/>
          <w:color w:val="000000"/>
          <w:sz w:val="24"/>
          <w:szCs w:val="24"/>
        </w:rPr>
        <w:t>la  1000 lei;</w:t>
      </w:r>
    </w:p>
    <w:p w:rsidR="00E3539E" w:rsidRPr="009C6832" w:rsidRDefault="00AD228D" w:rsidP="0006566D">
      <w:pPr>
        <w:pStyle w:val="ListParagraph"/>
        <w:numPr>
          <w:ilvl w:val="0"/>
          <w:numId w:val="4"/>
        </w:numPr>
        <w:shd w:val="clear" w:color="auto" w:fill="FFFFFF"/>
        <w:suppressAutoHyphens/>
        <w:autoSpaceDE w:val="0"/>
        <w:autoSpaceDN w:val="0"/>
        <w:adjustRightInd w:val="0"/>
        <w:spacing w:after="120"/>
        <w:ind w:left="1208" w:hanging="357"/>
        <w:contextualSpacing w:val="0"/>
        <w:textAlignment w:val="baseline"/>
        <w:rPr>
          <w:rFonts w:eastAsia="Times New Roman" w:cs="Arial"/>
          <w:color w:val="000000"/>
          <w:sz w:val="24"/>
          <w:szCs w:val="24"/>
        </w:rPr>
      </w:pPr>
      <w:r w:rsidRPr="009C6832">
        <w:rPr>
          <w:rFonts w:eastAsia="Times New Roman" w:cs="Arial"/>
          <w:bCs/>
          <w:color w:val="000000"/>
          <w:sz w:val="24"/>
          <w:szCs w:val="24"/>
        </w:rPr>
        <w:t>m</w:t>
      </w:r>
      <w:r w:rsidR="00F213DC" w:rsidRPr="009C6832">
        <w:rPr>
          <w:rFonts w:eastAsia="Times New Roman" w:cs="Arial"/>
          <w:bCs/>
          <w:color w:val="000000"/>
          <w:sz w:val="24"/>
          <w:szCs w:val="24"/>
        </w:rPr>
        <w:t xml:space="preserve">ajorarea, </w:t>
      </w:r>
      <w:r w:rsidR="00E3539E" w:rsidRPr="009C6832">
        <w:rPr>
          <w:rFonts w:eastAsia="Times New Roman" w:cs="Arial"/>
          <w:bCs/>
          <w:color w:val="000000"/>
          <w:sz w:val="24"/>
          <w:szCs w:val="24"/>
        </w:rPr>
        <w:t xml:space="preserve">începând cu 1 martie 2017, </w:t>
      </w:r>
      <w:r w:rsidR="00F213DC" w:rsidRPr="009C6832">
        <w:rPr>
          <w:rFonts w:eastAsia="Times New Roman" w:cs="Arial"/>
          <w:bCs/>
          <w:color w:val="000000"/>
          <w:sz w:val="24"/>
          <w:szCs w:val="24"/>
        </w:rPr>
        <w:t xml:space="preserve">la 520 lei a </w:t>
      </w:r>
      <w:r w:rsidR="00E3539E" w:rsidRPr="009C6832">
        <w:rPr>
          <w:rFonts w:eastAsia="Times New Roman" w:cs="Arial"/>
          <w:bCs/>
          <w:color w:val="000000"/>
          <w:sz w:val="24"/>
          <w:szCs w:val="24"/>
        </w:rPr>
        <w:t>nivelul</w:t>
      </w:r>
      <w:r w:rsidR="00F213DC" w:rsidRPr="009C6832">
        <w:rPr>
          <w:rFonts w:eastAsia="Times New Roman" w:cs="Arial"/>
          <w:bCs/>
          <w:color w:val="000000"/>
          <w:sz w:val="24"/>
          <w:szCs w:val="24"/>
        </w:rPr>
        <w:t>ui</w:t>
      </w:r>
      <w:r w:rsidR="00E3539E" w:rsidRPr="009C6832">
        <w:rPr>
          <w:rFonts w:eastAsia="Times New Roman" w:cs="Arial"/>
          <w:bCs/>
          <w:color w:val="000000"/>
          <w:sz w:val="24"/>
          <w:szCs w:val="24"/>
        </w:rPr>
        <w:t xml:space="preserve"> indemnizației sociale pentru pensionari, </w:t>
      </w:r>
      <w:r w:rsidR="00E3539E" w:rsidRPr="009C6832">
        <w:rPr>
          <w:rFonts w:eastAsia="Times New Roman" w:cs="Arial"/>
          <w:color w:val="000000"/>
          <w:sz w:val="24"/>
          <w:szCs w:val="24"/>
        </w:rPr>
        <w:t>prevăzută de Ordonanța de urgență a Guvernului nr 6/2009 privind instituirea pensiei sociale minime garantate</w:t>
      </w:r>
      <w:r w:rsidR="00BD4E32" w:rsidRPr="009C6832">
        <w:rPr>
          <w:rFonts w:eastAsia="Times New Roman" w:cs="Arial"/>
          <w:color w:val="000000"/>
          <w:sz w:val="24"/>
          <w:szCs w:val="24"/>
        </w:rPr>
        <w:t>;</w:t>
      </w:r>
    </w:p>
    <w:p w:rsidR="00E3539E" w:rsidRPr="009C6832" w:rsidRDefault="00060B8F" w:rsidP="0006566D">
      <w:pPr>
        <w:numPr>
          <w:ilvl w:val="0"/>
          <w:numId w:val="4"/>
        </w:numPr>
        <w:shd w:val="clear" w:color="auto" w:fill="FFFFFF"/>
        <w:spacing w:after="120"/>
        <w:ind w:left="1208" w:hanging="357"/>
        <w:textAlignment w:val="baseline"/>
        <w:rPr>
          <w:rFonts w:eastAsia="Times New Roman" w:cs="Arial"/>
          <w:color w:val="000000"/>
          <w:sz w:val="24"/>
          <w:szCs w:val="24"/>
        </w:rPr>
      </w:pPr>
      <w:r w:rsidRPr="009C6832">
        <w:rPr>
          <w:rFonts w:eastAsia="Times New Roman" w:cs="Arial"/>
          <w:bCs/>
          <w:color w:val="000000"/>
          <w:sz w:val="24"/>
          <w:szCs w:val="24"/>
        </w:rPr>
        <w:t>f</w:t>
      </w:r>
      <w:r w:rsidR="00E3539E" w:rsidRPr="009C6832">
        <w:rPr>
          <w:rFonts w:eastAsia="Times New Roman" w:cs="Arial"/>
          <w:bCs/>
          <w:color w:val="000000"/>
          <w:sz w:val="24"/>
          <w:szCs w:val="24"/>
        </w:rPr>
        <w:t>inanțarea</w:t>
      </w:r>
      <w:r w:rsidR="00E77879">
        <w:rPr>
          <w:rFonts w:eastAsia="Times New Roman" w:cs="Arial"/>
          <w:bCs/>
          <w:color w:val="000000"/>
          <w:sz w:val="24"/>
          <w:szCs w:val="24"/>
        </w:rPr>
        <w:t xml:space="preserve"> i</w:t>
      </w:r>
      <w:r w:rsidR="00D10850">
        <w:rPr>
          <w:rFonts w:eastAsia="Times New Roman" w:cs="Arial"/>
          <w:bCs/>
          <w:color w:val="000000"/>
          <w:sz w:val="24"/>
          <w:szCs w:val="24"/>
        </w:rPr>
        <w:t xml:space="preserve">ntegral de la bugetul de stat a </w:t>
      </w:r>
      <w:r w:rsidR="00E3539E" w:rsidRPr="009C6832">
        <w:rPr>
          <w:rFonts w:eastAsia="Times New Roman" w:cs="Arial"/>
          <w:bCs/>
          <w:color w:val="000000"/>
          <w:sz w:val="24"/>
          <w:szCs w:val="24"/>
        </w:rPr>
        <w:t xml:space="preserve">drepturilor asistenților personali ai persoanelor cu handicap grav sau a </w:t>
      </w:r>
      <w:r w:rsidR="00BA2D78" w:rsidRPr="009C6832">
        <w:rPr>
          <w:rFonts w:eastAsia="Times New Roman" w:cs="Arial"/>
          <w:bCs/>
          <w:color w:val="000000"/>
          <w:sz w:val="24"/>
          <w:szCs w:val="24"/>
        </w:rPr>
        <w:t>indemnizațiilor</w:t>
      </w:r>
      <w:r w:rsidR="00E3539E" w:rsidRPr="009C6832">
        <w:rPr>
          <w:rFonts w:eastAsia="Times New Roman" w:cs="Arial"/>
          <w:bCs/>
          <w:color w:val="000000"/>
          <w:sz w:val="24"/>
          <w:szCs w:val="24"/>
        </w:rPr>
        <w:t xml:space="preserve"> lunare ale persoanelor cu handicap grav,</w:t>
      </w:r>
      <w:r w:rsidR="00E3539E" w:rsidRPr="009C6832">
        <w:rPr>
          <w:rFonts w:eastAsia="Times New Roman" w:cs="Arial"/>
          <w:color w:val="000000"/>
          <w:sz w:val="24"/>
          <w:szCs w:val="24"/>
        </w:rPr>
        <w:t> acordate potrivit Legii nr. 448/2006 privind protecția şi promovarea drepturilor persoanelor cu handicap, republicată, cu modificările şi completările ulterioare</w:t>
      </w:r>
      <w:r w:rsidR="00BD4E32" w:rsidRPr="009C6832">
        <w:rPr>
          <w:rFonts w:eastAsia="Times New Roman" w:cs="Arial"/>
          <w:iCs/>
          <w:color w:val="000000"/>
          <w:kern w:val="1"/>
          <w:sz w:val="24"/>
          <w:szCs w:val="24"/>
        </w:rPr>
        <w:t>;</w:t>
      </w:r>
    </w:p>
    <w:p w:rsidR="00E3539E" w:rsidRPr="009C6832" w:rsidRDefault="00060B8F" w:rsidP="0006566D">
      <w:pPr>
        <w:pStyle w:val="ListParagraph"/>
        <w:numPr>
          <w:ilvl w:val="0"/>
          <w:numId w:val="4"/>
        </w:numPr>
        <w:shd w:val="clear" w:color="auto" w:fill="FFFFFF"/>
        <w:spacing w:after="120"/>
        <w:ind w:left="1208" w:hanging="357"/>
        <w:contextualSpacing w:val="0"/>
        <w:textAlignment w:val="baseline"/>
        <w:rPr>
          <w:rFonts w:eastAsia="Times New Roman" w:cs="Arial"/>
          <w:color w:val="000000"/>
          <w:sz w:val="24"/>
          <w:szCs w:val="24"/>
        </w:rPr>
      </w:pPr>
      <w:r w:rsidRPr="009C6832">
        <w:rPr>
          <w:rFonts w:eastAsia="Times New Roman" w:cs="Arial"/>
          <w:bCs/>
          <w:color w:val="000000"/>
          <w:sz w:val="24"/>
          <w:szCs w:val="24"/>
        </w:rPr>
        <w:t>a</w:t>
      </w:r>
      <w:r w:rsidR="00F213DC" w:rsidRPr="009C6832">
        <w:rPr>
          <w:rFonts w:eastAsia="Times New Roman" w:cs="Arial"/>
          <w:bCs/>
          <w:color w:val="000000"/>
          <w:sz w:val="24"/>
          <w:szCs w:val="24"/>
        </w:rPr>
        <w:t>cordarea gratuității la transport intern feroviar</w:t>
      </w:r>
      <w:r w:rsidR="00F213DC" w:rsidRPr="009C6832">
        <w:rPr>
          <w:rFonts w:eastAsia="Times New Roman" w:cs="Arial"/>
          <w:color w:val="000000"/>
          <w:sz w:val="24"/>
          <w:szCs w:val="24"/>
        </w:rPr>
        <w:t xml:space="preserve"> la toate categoriile de trenuri, clasa a II-a pentru </w:t>
      </w:r>
      <w:r w:rsidR="00E3539E" w:rsidRPr="009C6832">
        <w:rPr>
          <w:rFonts w:eastAsia="Times New Roman" w:cs="Arial"/>
          <w:bCs/>
          <w:color w:val="000000"/>
          <w:sz w:val="24"/>
          <w:szCs w:val="24"/>
        </w:rPr>
        <w:t>studenții înmatriculați la forma de învățământ cu frecvență, în instituțiile de învățământ superior</w:t>
      </w:r>
      <w:r w:rsidR="00F213DC" w:rsidRPr="009C6832">
        <w:rPr>
          <w:rFonts w:eastAsia="Times New Roman" w:cs="Arial"/>
          <w:bCs/>
          <w:color w:val="000000"/>
          <w:sz w:val="24"/>
          <w:szCs w:val="24"/>
        </w:rPr>
        <w:t xml:space="preserve"> acreditate</w:t>
      </w:r>
      <w:r w:rsidR="00BD4E32" w:rsidRPr="009C6832">
        <w:rPr>
          <w:rFonts w:eastAsia="Times New Roman" w:cs="Arial"/>
          <w:bCs/>
          <w:color w:val="000000"/>
          <w:sz w:val="24"/>
          <w:szCs w:val="24"/>
        </w:rPr>
        <w:t>;</w:t>
      </w:r>
    </w:p>
    <w:p w:rsidR="00E3539E" w:rsidRPr="009C6832" w:rsidRDefault="00060B8F" w:rsidP="0006566D">
      <w:pPr>
        <w:numPr>
          <w:ilvl w:val="0"/>
          <w:numId w:val="4"/>
        </w:numPr>
        <w:shd w:val="clear" w:color="auto" w:fill="FFFFFF"/>
        <w:spacing w:after="120"/>
        <w:ind w:left="1208" w:hanging="357"/>
        <w:textAlignment w:val="baseline"/>
        <w:rPr>
          <w:rFonts w:eastAsia="Times New Roman" w:cs="Arial"/>
          <w:color w:val="000000"/>
          <w:sz w:val="24"/>
          <w:szCs w:val="24"/>
        </w:rPr>
      </w:pPr>
      <w:r w:rsidRPr="009C6832">
        <w:rPr>
          <w:rFonts w:eastAsia="Times New Roman" w:cs="Arial"/>
          <w:bCs/>
          <w:color w:val="000000"/>
          <w:sz w:val="24"/>
          <w:szCs w:val="24"/>
        </w:rPr>
        <w:t>s</w:t>
      </w:r>
      <w:r w:rsidR="00D511A6" w:rsidRPr="009C6832">
        <w:rPr>
          <w:rFonts w:eastAsia="Times New Roman" w:cs="Arial"/>
          <w:bCs/>
          <w:color w:val="000000"/>
          <w:sz w:val="24"/>
          <w:szCs w:val="24"/>
        </w:rPr>
        <w:t xml:space="preserve">tabilirea </w:t>
      </w:r>
      <w:r w:rsidR="00E3539E" w:rsidRPr="009C6832">
        <w:rPr>
          <w:rFonts w:eastAsia="Times New Roman" w:cs="Arial"/>
          <w:bCs/>
          <w:color w:val="000000"/>
          <w:sz w:val="24"/>
          <w:szCs w:val="24"/>
        </w:rPr>
        <w:t>cuantumul</w:t>
      </w:r>
      <w:r w:rsidR="00D511A6" w:rsidRPr="009C6832">
        <w:rPr>
          <w:rFonts w:eastAsia="Times New Roman" w:cs="Arial"/>
          <w:bCs/>
          <w:color w:val="000000"/>
          <w:sz w:val="24"/>
          <w:szCs w:val="24"/>
        </w:rPr>
        <w:t>ui</w:t>
      </w:r>
      <w:r w:rsidR="00E3539E" w:rsidRPr="009C6832">
        <w:rPr>
          <w:rFonts w:eastAsia="Times New Roman" w:cs="Arial"/>
          <w:bCs/>
          <w:color w:val="000000"/>
          <w:sz w:val="24"/>
          <w:szCs w:val="24"/>
        </w:rPr>
        <w:t xml:space="preserve"> alocat pentru constituirea fondului de burse și </w:t>
      </w:r>
      <w:r w:rsidR="00D511A6" w:rsidRPr="009C6832">
        <w:rPr>
          <w:rFonts w:eastAsia="Times New Roman" w:cs="Arial"/>
          <w:bCs/>
          <w:color w:val="000000"/>
          <w:sz w:val="24"/>
          <w:szCs w:val="24"/>
        </w:rPr>
        <w:t xml:space="preserve">protecție socială a studenților </w:t>
      </w:r>
      <w:r w:rsidR="00E3539E" w:rsidRPr="009C6832">
        <w:rPr>
          <w:rFonts w:eastAsia="Times New Roman" w:cs="Arial"/>
          <w:bCs/>
          <w:color w:val="000000"/>
          <w:sz w:val="24"/>
          <w:szCs w:val="24"/>
        </w:rPr>
        <w:t xml:space="preserve">la 201 lei/lună </w:t>
      </w:r>
      <w:r w:rsidR="00E3539E" w:rsidRPr="009C6832">
        <w:rPr>
          <w:rFonts w:eastAsia="Times New Roman" w:cs="Arial"/>
          <w:color w:val="000000"/>
          <w:sz w:val="24"/>
          <w:szCs w:val="24"/>
        </w:rPr>
        <w:t xml:space="preserve">pe perioada derulării activităților didactice/student de la învățământul cu </w:t>
      </w:r>
      <w:r w:rsidR="00BD4E32" w:rsidRPr="009C6832">
        <w:rPr>
          <w:rFonts w:eastAsia="Times New Roman" w:cs="Arial"/>
          <w:color w:val="000000"/>
          <w:sz w:val="24"/>
          <w:szCs w:val="24"/>
        </w:rPr>
        <w:t>frecvență, fără taxă de studii;</w:t>
      </w:r>
    </w:p>
    <w:p w:rsidR="00E3539E" w:rsidRPr="009C6832" w:rsidRDefault="00060B8F" w:rsidP="0006566D">
      <w:pPr>
        <w:numPr>
          <w:ilvl w:val="0"/>
          <w:numId w:val="4"/>
        </w:numPr>
        <w:shd w:val="clear" w:color="auto" w:fill="FFFFFF"/>
        <w:spacing w:after="120"/>
        <w:ind w:left="1208" w:hanging="357"/>
        <w:textAlignment w:val="baseline"/>
        <w:rPr>
          <w:rFonts w:eastAsia="Calibri" w:cs="Arial"/>
          <w:color w:val="000000"/>
          <w:sz w:val="24"/>
          <w:szCs w:val="24"/>
        </w:rPr>
      </w:pPr>
      <w:r w:rsidRPr="009C6832">
        <w:rPr>
          <w:rFonts w:eastAsia="Times New Roman" w:cs="Arial"/>
          <w:color w:val="000000"/>
          <w:sz w:val="24"/>
          <w:szCs w:val="24"/>
        </w:rPr>
        <w:t>s</w:t>
      </w:r>
      <w:r w:rsidR="00E3539E" w:rsidRPr="009C6832">
        <w:rPr>
          <w:rFonts w:eastAsia="Times New Roman" w:cs="Arial"/>
          <w:color w:val="000000"/>
          <w:sz w:val="24"/>
          <w:szCs w:val="24"/>
        </w:rPr>
        <w:t>c</w:t>
      </w:r>
      <w:r w:rsidR="00E3539E" w:rsidRPr="009C6832">
        <w:rPr>
          <w:rFonts w:eastAsia="Calibri" w:cs="Arial"/>
          <w:bCs/>
          <w:color w:val="000000"/>
          <w:sz w:val="24"/>
          <w:szCs w:val="24"/>
        </w:rPr>
        <w:t>utirea de impozit  pentru pensiile  mai mici  sau egale  cu 2.000 de lei;</w:t>
      </w:r>
    </w:p>
    <w:p w:rsidR="00E3539E" w:rsidRPr="009C6832" w:rsidRDefault="00060B8F" w:rsidP="0006566D">
      <w:pPr>
        <w:numPr>
          <w:ilvl w:val="0"/>
          <w:numId w:val="4"/>
        </w:numPr>
        <w:shd w:val="clear" w:color="auto" w:fill="FFFFFF"/>
        <w:spacing w:after="120"/>
        <w:ind w:left="1208" w:hanging="357"/>
        <w:textAlignment w:val="baseline"/>
        <w:rPr>
          <w:rFonts w:eastAsia="Times New Roman" w:cs="Arial"/>
          <w:color w:val="000000"/>
          <w:sz w:val="24"/>
          <w:szCs w:val="24"/>
        </w:rPr>
      </w:pPr>
      <w:r w:rsidRPr="009C6832">
        <w:rPr>
          <w:rFonts w:eastAsia="Calibri" w:cs="Arial"/>
          <w:bCs/>
          <w:color w:val="000000"/>
          <w:sz w:val="24"/>
          <w:szCs w:val="24"/>
          <w:shd w:val="clear" w:color="auto" w:fill="FFFFFF"/>
        </w:rPr>
        <w:t>e</w:t>
      </w:r>
      <w:r w:rsidR="00E3539E" w:rsidRPr="009C6832">
        <w:rPr>
          <w:rFonts w:eastAsia="Calibri" w:cs="Arial"/>
          <w:bCs/>
          <w:color w:val="000000"/>
          <w:sz w:val="24"/>
          <w:szCs w:val="24"/>
          <w:shd w:val="clear" w:color="auto" w:fill="FFFFFF"/>
        </w:rPr>
        <w:t xml:space="preserve">liminarea </w:t>
      </w:r>
      <w:r w:rsidR="00BA2D78" w:rsidRPr="009C6832">
        <w:rPr>
          <w:rFonts w:eastAsia="Calibri" w:cs="Arial"/>
          <w:bCs/>
          <w:color w:val="000000"/>
          <w:sz w:val="24"/>
          <w:szCs w:val="24"/>
          <w:shd w:val="clear" w:color="auto" w:fill="FFFFFF"/>
        </w:rPr>
        <w:t>obligației</w:t>
      </w:r>
      <w:r w:rsidR="00E3539E" w:rsidRPr="009C6832">
        <w:rPr>
          <w:rFonts w:eastAsia="Calibri" w:cs="Arial"/>
          <w:bCs/>
          <w:color w:val="000000"/>
          <w:sz w:val="24"/>
          <w:szCs w:val="24"/>
          <w:shd w:val="clear" w:color="auto" w:fill="FFFFFF"/>
        </w:rPr>
        <w:t xml:space="preserve"> pensionarilor de a plăti </w:t>
      </w:r>
      <w:r w:rsidR="00BA2D78" w:rsidRPr="009C6832">
        <w:rPr>
          <w:rFonts w:eastAsia="Calibri" w:cs="Arial"/>
          <w:bCs/>
          <w:color w:val="000000"/>
          <w:sz w:val="24"/>
          <w:szCs w:val="24"/>
          <w:shd w:val="clear" w:color="auto" w:fill="FFFFFF"/>
        </w:rPr>
        <w:t>contribuții</w:t>
      </w:r>
      <w:r w:rsidR="00E3539E" w:rsidRPr="009C6832">
        <w:rPr>
          <w:rFonts w:eastAsia="Calibri" w:cs="Arial"/>
          <w:bCs/>
          <w:color w:val="000000"/>
          <w:sz w:val="24"/>
          <w:szCs w:val="24"/>
          <w:shd w:val="clear" w:color="auto" w:fill="FFFFFF"/>
        </w:rPr>
        <w:t xml:space="preserve"> sociale de asigurări de săn</w:t>
      </w:r>
      <w:r w:rsidR="00BD4E32" w:rsidRPr="009C6832">
        <w:rPr>
          <w:rFonts w:eastAsia="Calibri" w:cs="Arial"/>
          <w:bCs/>
          <w:color w:val="000000"/>
          <w:sz w:val="24"/>
          <w:szCs w:val="24"/>
          <w:shd w:val="clear" w:color="auto" w:fill="FFFFFF"/>
        </w:rPr>
        <w:t>ătate;</w:t>
      </w:r>
    </w:p>
    <w:p w:rsidR="001F084B" w:rsidRPr="009C6832" w:rsidRDefault="00060B8F" w:rsidP="0006566D">
      <w:pPr>
        <w:numPr>
          <w:ilvl w:val="0"/>
          <w:numId w:val="4"/>
        </w:numPr>
        <w:shd w:val="clear" w:color="auto" w:fill="FFFFFF"/>
        <w:spacing w:after="120"/>
        <w:ind w:left="1208" w:hanging="357"/>
        <w:textAlignment w:val="baseline"/>
        <w:rPr>
          <w:rFonts w:eastAsia="Times New Roman" w:cs="Arial"/>
          <w:color w:val="000000"/>
          <w:sz w:val="24"/>
          <w:szCs w:val="24"/>
        </w:rPr>
      </w:pPr>
      <w:r w:rsidRPr="009C6832">
        <w:rPr>
          <w:rFonts w:eastAsia="Times New Roman" w:cs="Arial"/>
          <w:bCs/>
          <w:color w:val="000000"/>
          <w:sz w:val="24"/>
          <w:szCs w:val="24"/>
        </w:rPr>
        <w:t>r</w:t>
      </w:r>
      <w:r w:rsidR="001F084B" w:rsidRPr="009C6832">
        <w:rPr>
          <w:rFonts w:eastAsia="Times New Roman" w:cs="Arial"/>
          <w:bCs/>
          <w:color w:val="000000"/>
          <w:sz w:val="24"/>
          <w:szCs w:val="24"/>
        </w:rPr>
        <w:t>epartizarea unei cote de minim 90% din profitul net realizat sub formă de dividende/vărsăminte la bugetul de stat pentru companii naționale și societăți cu capital integral sau majoritar de stat</w:t>
      </w:r>
      <w:r w:rsidR="00BD4E32" w:rsidRPr="009C6832">
        <w:rPr>
          <w:rFonts w:eastAsia="Times New Roman" w:cs="Arial"/>
          <w:bCs/>
          <w:color w:val="000000"/>
          <w:sz w:val="24"/>
          <w:szCs w:val="24"/>
        </w:rPr>
        <w:t>.</w:t>
      </w:r>
    </w:p>
    <w:p w:rsidR="007C4F03" w:rsidRPr="009C6832" w:rsidRDefault="007C4F03" w:rsidP="009414F6">
      <w:pPr>
        <w:ind w:firstLine="680"/>
        <w:rPr>
          <w:rFonts w:cs="Arial"/>
          <w:b/>
          <w:bCs/>
          <w:color w:val="000000" w:themeColor="text1"/>
          <w:sz w:val="24"/>
          <w:szCs w:val="24"/>
        </w:rPr>
      </w:pPr>
      <w:r w:rsidRPr="009C6832">
        <w:rPr>
          <w:rFonts w:cs="Arial"/>
          <w:b/>
          <w:bCs/>
          <w:color w:val="000000" w:themeColor="text1"/>
          <w:sz w:val="24"/>
          <w:szCs w:val="24"/>
        </w:rPr>
        <w:t xml:space="preserve">Măsuri </w:t>
      </w:r>
      <w:r w:rsidR="00AD228D" w:rsidRPr="009C6832">
        <w:rPr>
          <w:rFonts w:cs="Arial"/>
          <w:b/>
          <w:bCs/>
          <w:color w:val="000000" w:themeColor="text1"/>
          <w:sz w:val="24"/>
          <w:szCs w:val="24"/>
        </w:rPr>
        <w:t xml:space="preserve">care au fost aprobate </w:t>
      </w:r>
      <w:r w:rsidR="00BA2D78" w:rsidRPr="009C6832">
        <w:rPr>
          <w:rFonts w:cs="Arial"/>
          <w:b/>
          <w:bCs/>
          <w:color w:val="000000" w:themeColor="text1"/>
          <w:sz w:val="24"/>
          <w:szCs w:val="24"/>
        </w:rPr>
        <w:t>după</w:t>
      </w:r>
      <w:r w:rsidR="00AD228D" w:rsidRPr="009C6832">
        <w:rPr>
          <w:rFonts w:cs="Arial"/>
          <w:b/>
          <w:bCs/>
          <w:color w:val="000000" w:themeColor="text1"/>
          <w:sz w:val="24"/>
          <w:szCs w:val="24"/>
        </w:rPr>
        <w:t xml:space="preserve"> adoptarea </w:t>
      </w:r>
      <w:r w:rsidR="00BA2D78" w:rsidRPr="009C6832">
        <w:rPr>
          <w:rFonts w:cs="Arial"/>
          <w:b/>
          <w:bCs/>
          <w:color w:val="000000" w:themeColor="text1"/>
          <w:sz w:val="24"/>
          <w:szCs w:val="24"/>
        </w:rPr>
        <w:t>legilor</w:t>
      </w:r>
      <w:r w:rsidR="00AD228D" w:rsidRPr="009C6832">
        <w:rPr>
          <w:rFonts w:cs="Arial"/>
          <w:b/>
          <w:bCs/>
          <w:color w:val="000000" w:themeColor="text1"/>
          <w:sz w:val="24"/>
          <w:szCs w:val="24"/>
        </w:rPr>
        <w:t xml:space="preserve"> bugetare anual</w:t>
      </w:r>
      <w:r w:rsidR="00D908ED" w:rsidRPr="009C6832">
        <w:rPr>
          <w:rFonts w:cs="Arial"/>
          <w:b/>
          <w:bCs/>
          <w:color w:val="000000" w:themeColor="text1"/>
          <w:sz w:val="24"/>
          <w:szCs w:val="24"/>
        </w:rPr>
        <w:t>e</w:t>
      </w:r>
      <w:r w:rsidR="00AD228D" w:rsidRPr="009C6832">
        <w:rPr>
          <w:rFonts w:cs="Arial"/>
          <w:b/>
          <w:bCs/>
          <w:color w:val="000000" w:themeColor="text1"/>
          <w:sz w:val="24"/>
          <w:szCs w:val="24"/>
        </w:rPr>
        <w:t xml:space="preserve"> și care </w:t>
      </w:r>
      <w:r w:rsidRPr="009C6832">
        <w:rPr>
          <w:rFonts w:cs="Arial"/>
          <w:b/>
          <w:bCs/>
          <w:color w:val="000000" w:themeColor="text1"/>
          <w:sz w:val="24"/>
          <w:szCs w:val="24"/>
        </w:rPr>
        <w:t xml:space="preserve">urmează </w:t>
      </w:r>
      <w:r w:rsidR="00AD228D" w:rsidRPr="009C6832">
        <w:rPr>
          <w:rFonts w:cs="Arial"/>
          <w:b/>
          <w:bCs/>
          <w:color w:val="000000" w:themeColor="text1"/>
          <w:sz w:val="24"/>
          <w:szCs w:val="24"/>
        </w:rPr>
        <w:t>să</w:t>
      </w:r>
      <w:r w:rsidRPr="009C6832">
        <w:rPr>
          <w:rFonts w:cs="Arial"/>
          <w:b/>
          <w:bCs/>
          <w:color w:val="000000" w:themeColor="text1"/>
          <w:sz w:val="24"/>
          <w:szCs w:val="24"/>
        </w:rPr>
        <w:t xml:space="preserve"> fi</w:t>
      </w:r>
      <w:r w:rsidR="00AD228D" w:rsidRPr="009C6832">
        <w:rPr>
          <w:rFonts w:cs="Arial"/>
          <w:b/>
          <w:bCs/>
          <w:color w:val="000000" w:themeColor="text1"/>
          <w:sz w:val="24"/>
          <w:szCs w:val="24"/>
        </w:rPr>
        <w:t>e</w:t>
      </w:r>
      <w:r w:rsidRPr="009C6832">
        <w:rPr>
          <w:rFonts w:cs="Arial"/>
          <w:b/>
          <w:bCs/>
          <w:color w:val="000000" w:themeColor="text1"/>
          <w:sz w:val="24"/>
          <w:szCs w:val="24"/>
        </w:rPr>
        <w:t xml:space="preserve"> luate în calcul la elaborarea </w:t>
      </w:r>
      <w:r w:rsidR="00D908ED" w:rsidRPr="009C6832">
        <w:rPr>
          <w:rFonts w:cs="Arial"/>
          <w:b/>
          <w:bCs/>
          <w:color w:val="000000" w:themeColor="text1"/>
          <w:sz w:val="24"/>
          <w:szCs w:val="24"/>
        </w:rPr>
        <w:t>rectificărilor</w:t>
      </w:r>
      <w:r w:rsidRPr="009C6832">
        <w:rPr>
          <w:rFonts w:cs="Arial"/>
          <w:b/>
          <w:bCs/>
          <w:color w:val="000000" w:themeColor="text1"/>
          <w:sz w:val="24"/>
          <w:szCs w:val="24"/>
        </w:rPr>
        <w:t xml:space="preserve"> bugetare:</w:t>
      </w:r>
    </w:p>
    <w:p w:rsidR="0047248B" w:rsidRPr="009C6832" w:rsidRDefault="00DF66E3" w:rsidP="009414F6">
      <w:pPr>
        <w:ind w:firstLine="680"/>
        <w:rPr>
          <w:rFonts w:cs="Arial"/>
          <w:bCs/>
          <w:color w:val="000000" w:themeColor="text1"/>
          <w:sz w:val="24"/>
          <w:szCs w:val="24"/>
          <w:lang w:val="en-US"/>
        </w:rPr>
      </w:pPr>
      <w:r w:rsidRPr="009C6832">
        <w:rPr>
          <w:rFonts w:cs="Arial"/>
          <w:bCs/>
          <w:color w:val="000000" w:themeColor="text1"/>
          <w:sz w:val="24"/>
          <w:szCs w:val="24"/>
        </w:rPr>
        <w:t>Pe partea de venituri</w:t>
      </w:r>
      <w:r w:rsidR="00004284" w:rsidRPr="009C6832">
        <w:rPr>
          <w:rFonts w:cs="Arial"/>
          <w:bCs/>
          <w:color w:val="000000" w:themeColor="text1"/>
          <w:sz w:val="24"/>
          <w:szCs w:val="24"/>
        </w:rPr>
        <w:t>, au fost aprobate următoarele măsuri</w:t>
      </w:r>
      <w:r w:rsidR="00004284" w:rsidRPr="009C6832">
        <w:rPr>
          <w:rFonts w:cs="Arial"/>
          <w:bCs/>
          <w:color w:val="000000" w:themeColor="text1"/>
          <w:sz w:val="24"/>
          <w:szCs w:val="24"/>
          <w:lang w:val="en-US"/>
        </w:rPr>
        <w:t>:</w:t>
      </w:r>
    </w:p>
    <w:p w:rsidR="0047248B" w:rsidRPr="00A26E1A" w:rsidRDefault="0047248B" w:rsidP="00174F48">
      <w:pPr>
        <w:pStyle w:val="ListParagraph"/>
        <w:numPr>
          <w:ilvl w:val="0"/>
          <w:numId w:val="14"/>
        </w:numPr>
        <w:spacing w:before="120" w:after="120"/>
        <w:ind w:left="1395" w:hanging="357"/>
        <w:contextualSpacing w:val="0"/>
        <w:rPr>
          <w:rFonts w:cs="Arial"/>
          <w:bCs/>
          <w:sz w:val="24"/>
          <w:szCs w:val="24"/>
        </w:rPr>
      </w:pPr>
      <w:r w:rsidRPr="00A26E1A">
        <w:rPr>
          <w:rFonts w:cs="Arial"/>
          <w:bCs/>
          <w:sz w:val="24"/>
          <w:szCs w:val="24"/>
        </w:rPr>
        <w:t xml:space="preserve">asigurarea plății de către angajator a contribuției pentru pensii și sănătate la nivelul salariului minim pentru toți salariații, inclusiv pentru cei cu timp parțial de lucru si cei cu plata </w:t>
      </w:r>
      <w:r w:rsidR="00C27619" w:rsidRPr="00A26E1A">
        <w:rPr>
          <w:rFonts w:cs="Arial"/>
          <w:bCs/>
          <w:sz w:val="24"/>
          <w:szCs w:val="24"/>
        </w:rPr>
        <w:t>î</w:t>
      </w:r>
      <w:r w:rsidRPr="00A26E1A">
        <w:rPr>
          <w:rFonts w:cs="Arial"/>
          <w:bCs/>
          <w:sz w:val="24"/>
          <w:szCs w:val="24"/>
        </w:rPr>
        <w:t>n acord</w:t>
      </w:r>
      <w:r w:rsidR="00174F48" w:rsidRPr="00A26E1A">
        <w:rPr>
          <w:rFonts w:cs="Arial"/>
          <w:bCs/>
          <w:sz w:val="24"/>
          <w:szCs w:val="24"/>
        </w:rPr>
        <w:t>;</w:t>
      </w:r>
    </w:p>
    <w:p w:rsidR="00F77BD7" w:rsidRPr="00A26E1A" w:rsidRDefault="000D4824" w:rsidP="00174F48">
      <w:pPr>
        <w:pStyle w:val="ListParagraph"/>
        <w:numPr>
          <w:ilvl w:val="0"/>
          <w:numId w:val="14"/>
        </w:numPr>
        <w:spacing w:before="120" w:after="120"/>
        <w:ind w:left="1395" w:hanging="357"/>
        <w:rPr>
          <w:rFonts w:cs="Arial"/>
          <w:bCs/>
          <w:sz w:val="24"/>
          <w:szCs w:val="24"/>
        </w:rPr>
      </w:pPr>
      <w:r w:rsidRPr="00A26E1A">
        <w:rPr>
          <w:rFonts w:cs="Arial"/>
          <w:bCs/>
          <w:sz w:val="24"/>
          <w:szCs w:val="24"/>
        </w:rPr>
        <w:t xml:space="preserve">creșterea </w:t>
      </w:r>
      <w:r w:rsidR="00F77BD7" w:rsidRPr="00A26E1A">
        <w:rPr>
          <w:rFonts w:cs="Arial"/>
          <w:bCs/>
          <w:sz w:val="24"/>
          <w:szCs w:val="24"/>
        </w:rPr>
        <w:t>nivelul accizelor la produsele energetice începân</w:t>
      </w:r>
      <w:r w:rsidR="00174F48" w:rsidRPr="00A26E1A">
        <w:rPr>
          <w:rFonts w:cs="Arial"/>
          <w:bCs/>
          <w:sz w:val="24"/>
          <w:szCs w:val="24"/>
        </w:rPr>
        <w:t>d cu 15 septembrie 2017;</w:t>
      </w:r>
    </w:p>
    <w:p w:rsidR="00F77BD7" w:rsidRPr="00A26E1A" w:rsidRDefault="00F77BD7" w:rsidP="00174F48">
      <w:pPr>
        <w:pStyle w:val="ListParagraph"/>
        <w:numPr>
          <w:ilvl w:val="0"/>
          <w:numId w:val="14"/>
        </w:numPr>
        <w:spacing w:after="0"/>
        <w:ind w:left="1395" w:hanging="357"/>
        <w:contextualSpacing w:val="0"/>
        <w:rPr>
          <w:rFonts w:cs="Arial"/>
          <w:bCs/>
          <w:sz w:val="24"/>
          <w:szCs w:val="24"/>
        </w:rPr>
      </w:pPr>
      <w:r w:rsidRPr="00A26E1A">
        <w:rPr>
          <w:rFonts w:cs="Arial"/>
          <w:bCs/>
          <w:sz w:val="24"/>
          <w:szCs w:val="24"/>
        </w:rPr>
        <w:t>majorarea la nivelul salariului de bază minim brut a vărsămintelor datorate de persoanele juridice, pentru persoane cu handicap neîncadrate</w:t>
      </w:r>
      <w:r w:rsidR="00174F48" w:rsidRPr="00A26E1A">
        <w:rPr>
          <w:rFonts w:cs="Arial"/>
          <w:bCs/>
          <w:sz w:val="24"/>
          <w:szCs w:val="24"/>
        </w:rPr>
        <w:t xml:space="preserve"> conform legii;</w:t>
      </w:r>
    </w:p>
    <w:p w:rsidR="00FD7CCF" w:rsidRPr="00A26E1A" w:rsidRDefault="00FD7CCF" w:rsidP="00174F48">
      <w:pPr>
        <w:pStyle w:val="ListParagraph"/>
        <w:numPr>
          <w:ilvl w:val="0"/>
          <w:numId w:val="14"/>
        </w:numPr>
        <w:spacing w:after="0"/>
        <w:ind w:left="1395" w:hanging="357"/>
        <w:contextualSpacing w:val="0"/>
        <w:rPr>
          <w:rFonts w:cs="Arial"/>
          <w:bCs/>
          <w:sz w:val="24"/>
          <w:szCs w:val="24"/>
        </w:rPr>
      </w:pPr>
      <w:r w:rsidRPr="00A26E1A">
        <w:rPr>
          <w:rFonts w:cs="Arial"/>
          <w:bCs/>
          <w:sz w:val="24"/>
          <w:szCs w:val="24"/>
        </w:rPr>
        <w:t xml:space="preserve">repartiția sub formă de dividende/vărsăminte la bugetul de stat a sumelor repartizate în anii anteriori la alte rezerve și utilizate ca sursă proprie de </w:t>
      </w:r>
      <w:r w:rsidR="00C27619" w:rsidRPr="00A26E1A">
        <w:rPr>
          <w:rFonts w:cs="Arial"/>
          <w:bCs/>
          <w:sz w:val="24"/>
          <w:szCs w:val="24"/>
        </w:rPr>
        <w:t>finanțare</w:t>
      </w:r>
      <w:r w:rsidRPr="00A26E1A">
        <w:rPr>
          <w:rFonts w:cs="Arial"/>
          <w:bCs/>
          <w:sz w:val="24"/>
          <w:szCs w:val="24"/>
        </w:rPr>
        <w:t xml:space="preserve"> și a rezultatului reportat existent în sold la data de 31 decembrie a fiecărui an conform prevederilor OUG 29/2017</w:t>
      </w:r>
      <w:r w:rsidR="00174F48" w:rsidRPr="00A26E1A">
        <w:rPr>
          <w:rFonts w:cs="Arial"/>
          <w:bCs/>
          <w:sz w:val="24"/>
          <w:szCs w:val="24"/>
        </w:rPr>
        <w:t>.</w:t>
      </w:r>
    </w:p>
    <w:p w:rsidR="00174F48" w:rsidRPr="00174F48" w:rsidRDefault="00174F48" w:rsidP="00174F48">
      <w:pPr>
        <w:pStyle w:val="ListParagraph"/>
        <w:spacing w:after="0"/>
        <w:ind w:left="1395" w:firstLine="0"/>
        <w:contextualSpacing w:val="0"/>
        <w:rPr>
          <w:rFonts w:cs="Arial"/>
          <w:bCs/>
          <w:color w:val="FF0000"/>
          <w:sz w:val="24"/>
          <w:szCs w:val="24"/>
        </w:rPr>
      </w:pPr>
    </w:p>
    <w:p w:rsidR="00DF66E3" w:rsidRPr="009C6832" w:rsidRDefault="00DF66E3" w:rsidP="00DF66E3">
      <w:pPr>
        <w:ind w:firstLine="680"/>
        <w:rPr>
          <w:rFonts w:cs="Arial"/>
          <w:bCs/>
          <w:color w:val="000000" w:themeColor="text1"/>
          <w:sz w:val="24"/>
          <w:szCs w:val="24"/>
          <w:lang w:val="en-US"/>
        </w:rPr>
      </w:pPr>
      <w:r w:rsidRPr="009C6832">
        <w:rPr>
          <w:rFonts w:cs="Arial"/>
          <w:bCs/>
          <w:color w:val="000000" w:themeColor="text1"/>
          <w:sz w:val="24"/>
          <w:szCs w:val="24"/>
        </w:rPr>
        <w:t>Pe partea de cheltuieli</w:t>
      </w:r>
      <w:r w:rsidR="00004284" w:rsidRPr="009C6832">
        <w:rPr>
          <w:rFonts w:cs="Arial"/>
          <w:bCs/>
          <w:color w:val="000000" w:themeColor="text1"/>
          <w:sz w:val="24"/>
          <w:szCs w:val="24"/>
        </w:rPr>
        <w:t>, au fost aprobate măsuri prin</w:t>
      </w:r>
      <w:r w:rsidR="00004284" w:rsidRPr="009C6832">
        <w:rPr>
          <w:rFonts w:cs="Arial"/>
          <w:bCs/>
          <w:color w:val="000000" w:themeColor="text1"/>
          <w:sz w:val="24"/>
          <w:szCs w:val="24"/>
          <w:lang w:val="en-US"/>
        </w:rPr>
        <w:t>:</w:t>
      </w:r>
    </w:p>
    <w:p w:rsidR="00DF66E3" w:rsidRDefault="00DF66E3" w:rsidP="00DF66E3">
      <w:pPr>
        <w:spacing w:after="120"/>
        <w:ind w:left="1040" w:firstLine="0"/>
        <w:rPr>
          <w:rFonts w:cs="Arial"/>
          <w:i/>
        </w:rPr>
      </w:pPr>
      <w:r w:rsidRPr="009C6832">
        <w:rPr>
          <w:rFonts w:cs="Arial"/>
          <w:i/>
        </w:rPr>
        <w:t>Legea nr. 115/2017 pentru aprobarea Ordonanței de urgență a Guvernului nr. 9/2017</w:t>
      </w:r>
    </w:p>
    <w:p w:rsidR="00741CC2" w:rsidRPr="009C6832" w:rsidRDefault="00741CC2" w:rsidP="00741CC2">
      <w:pPr>
        <w:pStyle w:val="ListParagraph"/>
        <w:numPr>
          <w:ilvl w:val="0"/>
          <w:numId w:val="14"/>
        </w:numPr>
        <w:spacing w:after="120"/>
        <w:ind w:left="1395" w:hanging="357"/>
        <w:rPr>
          <w:rFonts w:cs="Arial"/>
          <w:bCs/>
          <w:color w:val="000000" w:themeColor="text1"/>
          <w:sz w:val="24"/>
          <w:szCs w:val="24"/>
        </w:rPr>
      </w:pPr>
      <w:r w:rsidRPr="009C6832">
        <w:rPr>
          <w:rFonts w:cs="Arial"/>
          <w:bCs/>
          <w:color w:val="000000" w:themeColor="text1"/>
          <w:sz w:val="24"/>
          <w:szCs w:val="24"/>
        </w:rPr>
        <w:t>acordarea din luna aprilie a.c. a sumei reprezentând 50% din solda de merit;</w:t>
      </w:r>
    </w:p>
    <w:p w:rsidR="00741CC2" w:rsidRPr="009C6832" w:rsidRDefault="00741CC2" w:rsidP="00741CC2">
      <w:pPr>
        <w:pStyle w:val="ListParagraph"/>
        <w:numPr>
          <w:ilvl w:val="0"/>
          <w:numId w:val="14"/>
        </w:numPr>
        <w:spacing w:after="120"/>
        <w:ind w:left="1395" w:hanging="357"/>
        <w:rPr>
          <w:rFonts w:cs="Arial"/>
          <w:bCs/>
          <w:color w:val="000000" w:themeColor="text1"/>
          <w:sz w:val="24"/>
          <w:szCs w:val="24"/>
        </w:rPr>
      </w:pPr>
      <w:r w:rsidRPr="009C6832">
        <w:rPr>
          <w:rFonts w:cs="Arial"/>
          <w:bCs/>
          <w:color w:val="000000" w:themeColor="text1"/>
          <w:sz w:val="24"/>
          <w:szCs w:val="24"/>
        </w:rPr>
        <w:t>majorare</w:t>
      </w:r>
      <w:r>
        <w:rPr>
          <w:rFonts w:cs="Arial"/>
          <w:bCs/>
          <w:color w:val="000000" w:themeColor="text1"/>
          <w:sz w:val="24"/>
          <w:szCs w:val="24"/>
        </w:rPr>
        <w:t>a</w:t>
      </w:r>
      <w:r w:rsidRPr="009C6832">
        <w:rPr>
          <w:rFonts w:cs="Arial"/>
          <w:bCs/>
          <w:color w:val="000000" w:themeColor="text1"/>
          <w:sz w:val="24"/>
          <w:szCs w:val="24"/>
        </w:rPr>
        <w:t xml:space="preserve"> de 40% din solda de funcție/salariul de funcție pentru asigurarea, la domiciliu, în afara programului normal de lucru, a continuității îndeplinirii atribuțiilor specifice;</w:t>
      </w:r>
    </w:p>
    <w:p w:rsidR="00A63A72" w:rsidRPr="009C6832" w:rsidRDefault="00A63A72" w:rsidP="00A63A72">
      <w:pPr>
        <w:pStyle w:val="ListParagraph"/>
        <w:numPr>
          <w:ilvl w:val="0"/>
          <w:numId w:val="14"/>
        </w:numPr>
        <w:spacing w:after="120"/>
        <w:ind w:left="1395" w:hanging="357"/>
        <w:rPr>
          <w:rFonts w:cs="Arial"/>
          <w:bCs/>
          <w:color w:val="000000" w:themeColor="text1"/>
          <w:sz w:val="24"/>
          <w:szCs w:val="24"/>
        </w:rPr>
      </w:pPr>
      <w:r w:rsidRPr="009C6832">
        <w:rPr>
          <w:rFonts w:cs="Arial"/>
          <w:bCs/>
          <w:color w:val="000000" w:themeColor="text1"/>
          <w:sz w:val="24"/>
          <w:szCs w:val="24"/>
        </w:rPr>
        <w:t>indemnizațiile şi alte asemenea drepturi specifice acordate proporțional cu timpul efectiv lucrat - pe baza pontajelor, precum şi drepturile salariale acordate pentru risc şi suprasolicitare neuropsihică sau, după caz, pentru risc şi pericol deosebit să se determine prin raportare la salariul de bază/solda de funcție/salariul de funcție cuvenit, al cărei/cărui cuantum nu poate fi mai mic decât nivelul salariului de bază minim brut pe țară garantat în plată.</w:t>
      </w:r>
    </w:p>
    <w:p w:rsidR="00DF66E3" w:rsidRPr="009C6832" w:rsidRDefault="00DF66E3" w:rsidP="00DF66E3">
      <w:pPr>
        <w:spacing w:after="120"/>
        <w:ind w:left="1040" w:firstLine="0"/>
        <w:rPr>
          <w:rFonts w:cs="Arial"/>
          <w:i/>
        </w:rPr>
      </w:pPr>
      <w:r w:rsidRPr="009C6832">
        <w:rPr>
          <w:rFonts w:cs="Arial"/>
          <w:i/>
        </w:rPr>
        <w:t>Legea nr. 137/2017 pentru aprobarea Ordonanței de urgență a Guvernului nr. 2/2017</w:t>
      </w:r>
    </w:p>
    <w:p w:rsidR="00A63A72" w:rsidRPr="009C6832" w:rsidRDefault="00A63A72" w:rsidP="00A63A72">
      <w:pPr>
        <w:pStyle w:val="ListParagraph"/>
        <w:numPr>
          <w:ilvl w:val="0"/>
          <w:numId w:val="14"/>
        </w:numPr>
        <w:spacing w:after="120"/>
        <w:ind w:left="1395" w:hanging="357"/>
        <w:rPr>
          <w:rFonts w:cs="Arial"/>
          <w:bCs/>
          <w:i/>
          <w:color w:val="000000" w:themeColor="text1"/>
          <w:sz w:val="24"/>
          <w:szCs w:val="24"/>
        </w:rPr>
      </w:pPr>
      <w:r w:rsidRPr="009C6832">
        <w:rPr>
          <w:rFonts w:cs="Arial"/>
          <w:bCs/>
          <w:color w:val="000000" w:themeColor="text1"/>
          <w:sz w:val="24"/>
          <w:szCs w:val="24"/>
        </w:rPr>
        <w:t>majorarea cu 20% a salariilor de bază pentru personalul din cadrul oficiilor teritoriale pentru întreprinderile mici şi mijlocii şi cooperație;</w:t>
      </w:r>
    </w:p>
    <w:p w:rsidR="00A63A72" w:rsidRPr="009C6832" w:rsidRDefault="00A63A72" w:rsidP="00A63A72">
      <w:pPr>
        <w:pStyle w:val="ListParagraph"/>
        <w:numPr>
          <w:ilvl w:val="0"/>
          <w:numId w:val="14"/>
        </w:numPr>
        <w:spacing w:after="120"/>
        <w:ind w:left="1395" w:hanging="357"/>
        <w:rPr>
          <w:rFonts w:cs="Arial"/>
          <w:bCs/>
          <w:i/>
          <w:color w:val="000000" w:themeColor="text1"/>
          <w:sz w:val="24"/>
          <w:szCs w:val="24"/>
        </w:rPr>
      </w:pPr>
      <w:r w:rsidRPr="009C6832">
        <w:rPr>
          <w:rFonts w:cs="Arial"/>
          <w:bCs/>
          <w:color w:val="000000" w:themeColor="text1"/>
          <w:sz w:val="24"/>
          <w:szCs w:val="24"/>
        </w:rPr>
        <w:t>majorarea cu 20% a salariilor de bază pentru personalul din cadrul Agenției Naționale pentru Protecția Mediului, agențiilor județene pentru protecția mediului, Gărzii Naționale de Mediu şi Administrației Rezervației Biosferei "Delta Dunării";</w:t>
      </w:r>
    </w:p>
    <w:p w:rsidR="00A63A72" w:rsidRPr="009C6832" w:rsidRDefault="00A63A72" w:rsidP="00A63A72">
      <w:pPr>
        <w:pStyle w:val="ListParagraph"/>
        <w:numPr>
          <w:ilvl w:val="0"/>
          <w:numId w:val="14"/>
        </w:numPr>
        <w:spacing w:after="120"/>
        <w:ind w:left="1395" w:hanging="357"/>
        <w:rPr>
          <w:rFonts w:cs="Arial"/>
          <w:bCs/>
          <w:color w:val="000000" w:themeColor="text1"/>
          <w:sz w:val="24"/>
          <w:szCs w:val="24"/>
          <w:lang w:val="pt-BR"/>
        </w:rPr>
      </w:pPr>
      <w:r w:rsidRPr="009C6832">
        <w:rPr>
          <w:rFonts w:cs="Arial"/>
          <w:bCs/>
          <w:color w:val="000000" w:themeColor="text1"/>
          <w:sz w:val="24"/>
          <w:szCs w:val="24"/>
        </w:rPr>
        <w:t>majorarea cu 20% a salariilor de bază pentru personalul din cadrul Autorității Naționale pentru Protecția Consumatorilor şi al comisariatelor regionale şi județene pentru protecția consumatorilor.</w:t>
      </w:r>
    </w:p>
    <w:p w:rsidR="00004284" w:rsidRPr="009C6832" w:rsidRDefault="00004284" w:rsidP="00A63A72">
      <w:pPr>
        <w:pStyle w:val="ListParagraph"/>
        <w:numPr>
          <w:ilvl w:val="0"/>
          <w:numId w:val="14"/>
        </w:numPr>
        <w:spacing w:after="120"/>
        <w:ind w:left="1395" w:hanging="357"/>
        <w:rPr>
          <w:rFonts w:cs="Arial"/>
          <w:bCs/>
          <w:color w:val="000000" w:themeColor="text1"/>
          <w:sz w:val="24"/>
          <w:szCs w:val="24"/>
          <w:lang w:val="pt-BR"/>
        </w:rPr>
      </w:pPr>
      <w:r w:rsidRPr="009C6832">
        <w:rPr>
          <w:rFonts w:cs="Arial"/>
          <w:bCs/>
          <w:color w:val="000000" w:themeColor="text1"/>
          <w:sz w:val="24"/>
          <w:szCs w:val="24"/>
        </w:rPr>
        <w:t>extindere</w:t>
      </w:r>
      <w:r w:rsidR="00741CC2">
        <w:rPr>
          <w:rFonts w:cs="Arial"/>
          <w:bCs/>
          <w:color w:val="000000" w:themeColor="text1"/>
          <w:sz w:val="24"/>
          <w:szCs w:val="24"/>
        </w:rPr>
        <w:t>a</w:t>
      </w:r>
      <w:r w:rsidRPr="009C6832">
        <w:rPr>
          <w:rFonts w:cs="Arial"/>
          <w:bCs/>
          <w:color w:val="000000" w:themeColor="text1"/>
          <w:sz w:val="24"/>
          <w:szCs w:val="24"/>
        </w:rPr>
        <w:t xml:space="preserve"> acordării bursei studenților pe toată durata anului universitar (12 luni);</w:t>
      </w:r>
    </w:p>
    <w:p w:rsidR="00DF66E3" w:rsidRPr="009C6832" w:rsidRDefault="00DF66E3" w:rsidP="00DF66E3">
      <w:pPr>
        <w:spacing w:after="120"/>
        <w:ind w:left="1038" w:firstLine="0"/>
        <w:rPr>
          <w:rFonts w:cs="Arial"/>
          <w:bCs/>
          <w:color w:val="000000" w:themeColor="text1"/>
          <w:sz w:val="24"/>
          <w:szCs w:val="24"/>
        </w:rPr>
      </w:pPr>
      <w:r w:rsidRPr="009C6832">
        <w:rPr>
          <w:rFonts w:cs="Arial"/>
          <w:i/>
        </w:rPr>
        <w:t>Legea nr. 152/2017 pentru aprobarea Ordonanței de urgență a Guvernului nr. 99/2016</w:t>
      </w:r>
    </w:p>
    <w:p w:rsidR="00A63A72" w:rsidRPr="009C6832" w:rsidRDefault="00A63A72" w:rsidP="00A63A72">
      <w:pPr>
        <w:pStyle w:val="ListParagraph"/>
        <w:numPr>
          <w:ilvl w:val="0"/>
          <w:numId w:val="14"/>
        </w:numPr>
        <w:spacing w:after="120"/>
        <w:ind w:left="1395" w:hanging="357"/>
        <w:rPr>
          <w:rFonts w:cs="Arial"/>
          <w:bCs/>
          <w:color w:val="000000" w:themeColor="text1"/>
          <w:sz w:val="24"/>
          <w:szCs w:val="24"/>
        </w:rPr>
      </w:pPr>
      <w:r w:rsidRPr="009C6832">
        <w:rPr>
          <w:rFonts w:cs="Arial"/>
          <w:bCs/>
          <w:color w:val="000000" w:themeColor="text1"/>
          <w:sz w:val="24"/>
          <w:szCs w:val="24"/>
        </w:rPr>
        <w:t>majorarea cu 30% a salariilor de bază pentru personalul care nu a beneficiat de majorări salariale potrivit Ordonanței de urgență a Guvernului nr. 2/2017 din bibliotecile naționale sau de importanță națională, din cadrul Bibliotecii Academiei Române precum și din muzeele de importanță națională, stabilite potrivit legii;</w:t>
      </w:r>
    </w:p>
    <w:p w:rsidR="00A63A72" w:rsidRPr="009C6832" w:rsidRDefault="00A63A72" w:rsidP="00A63A72">
      <w:pPr>
        <w:pStyle w:val="ListParagraph"/>
        <w:numPr>
          <w:ilvl w:val="0"/>
          <w:numId w:val="14"/>
        </w:numPr>
        <w:spacing w:after="120"/>
        <w:ind w:left="1395" w:hanging="357"/>
        <w:rPr>
          <w:rFonts w:cs="Arial"/>
          <w:bCs/>
          <w:color w:val="000000" w:themeColor="text1"/>
          <w:sz w:val="24"/>
          <w:szCs w:val="24"/>
        </w:rPr>
      </w:pPr>
      <w:r w:rsidRPr="009C6832">
        <w:rPr>
          <w:rFonts w:cs="Arial"/>
          <w:bCs/>
          <w:color w:val="000000" w:themeColor="text1"/>
          <w:sz w:val="24"/>
          <w:szCs w:val="24"/>
        </w:rPr>
        <w:t>majorarea cu 20% a salariilor de bază pentru personalul din instituțiile şi autoritățile subordonate Ministerului Agriculturii şi Dezvoltării Rurale, inclusiv oficiile de studii pedologice şi agrochimice, cu excepția Agenției de Plăți şi Intervenție pentru Agricultură, a Agenției pentru Finanțarea Investițiilor Rurale şi a direcțiilor pentru agricultură județene şi a municipiului București;</w:t>
      </w:r>
    </w:p>
    <w:p w:rsidR="00A63A72" w:rsidRPr="009C6832" w:rsidRDefault="00A63A72" w:rsidP="00A63A72">
      <w:pPr>
        <w:pStyle w:val="ListParagraph"/>
        <w:numPr>
          <w:ilvl w:val="0"/>
          <w:numId w:val="14"/>
        </w:numPr>
        <w:spacing w:after="120"/>
        <w:ind w:left="1395" w:hanging="357"/>
        <w:rPr>
          <w:rFonts w:cs="Arial"/>
          <w:bCs/>
          <w:color w:val="000000" w:themeColor="text1"/>
          <w:sz w:val="24"/>
          <w:szCs w:val="24"/>
        </w:rPr>
      </w:pPr>
      <w:r w:rsidRPr="009C6832">
        <w:rPr>
          <w:rFonts w:cs="Arial"/>
          <w:bCs/>
          <w:color w:val="000000" w:themeColor="text1"/>
          <w:sz w:val="24"/>
          <w:szCs w:val="24"/>
        </w:rPr>
        <w:t>majorarea cu 20% a salariilor de bază pentru personalul Academiei de Științe Agricole şi Silvice "Gheorghe Ionescu-Șișești" şi din unitățile de cercetare-dezvoltare din subordine;</w:t>
      </w:r>
    </w:p>
    <w:p w:rsidR="00A63A72" w:rsidRPr="009C6832" w:rsidRDefault="00A63A72" w:rsidP="00A63A72">
      <w:pPr>
        <w:pStyle w:val="ListParagraph"/>
        <w:numPr>
          <w:ilvl w:val="0"/>
          <w:numId w:val="14"/>
        </w:numPr>
        <w:spacing w:after="120"/>
        <w:ind w:left="1395" w:hanging="357"/>
        <w:rPr>
          <w:rFonts w:cs="Arial"/>
          <w:bCs/>
          <w:color w:val="000000" w:themeColor="text1"/>
          <w:sz w:val="24"/>
          <w:szCs w:val="24"/>
        </w:rPr>
      </w:pPr>
      <w:r w:rsidRPr="009C6832">
        <w:rPr>
          <w:rFonts w:cs="Arial"/>
          <w:bCs/>
          <w:color w:val="000000" w:themeColor="text1"/>
          <w:sz w:val="24"/>
          <w:szCs w:val="24"/>
        </w:rPr>
        <w:t>majorarea cu 20% a salariilor de bază pentru personalul din unitățile care funcționează în subordinea Ministerului Tineretului şi Sportului;</w:t>
      </w:r>
    </w:p>
    <w:p w:rsidR="00A63A72" w:rsidRPr="009C6832" w:rsidRDefault="00A63A72" w:rsidP="00A63A72">
      <w:pPr>
        <w:pStyle w:val="ListParagraph"/>
        <w:numPr>
          <w:ilvl w:val="0"/>
          <w:numId w:val="14"/>
        </w:numPr>
        <w:spacing w:after="120"/>
        <w:ind w:left="1395" w:hanging="357"/>
        <w:rPr>
          <w:rFonts w:cs="Arial"/>
          <w:bCs/>
          <w:color w:val="000000" w:themeColor="text1"/>
          <w:sz w:val="24"/>
          <w:szCs w:val="24"/>
        </w:rPr>
      </w:pPr>
      <w:r w:rsidRPr="009C6832">
        <w:rPr>
          <w:rFonts w:cs="Arial"/>
          <w:bCs/>
          <w:color w:val="000000" w:themeColor="text1"/>
          <w:sz w:val="24"/>
          <w:szCs w:val="24"/>
        </w:rPr>
        <w:t>majorarea cu 20% a salariilor de bază pentru personalul medical din cabinetele medicale din structurile teritoriale de expertiză medicală şi recuperare a capacității de muncă din subordinea Casei Naționale de Pensii Publice;</w:t>
      </w:r>
    </w:p>
    <w:p w:rsidR="00A63A72" w:rsidRPr="009C6832" w:rsidRDefault="00A63A72" w:rsidP="00A63A72">
      <w:pPr>
        <w:pStyle w:val="ListParagraph"/>
        <w:numPr>
          <w:ilvl w:val="0"/>
          <w:numId w:val="14"/>
        </w:numPr>
        <w:spacing w:after="120"/>
        <w:ind w:left="1395" w:hanging="357"/>
        <w:rPr>
          <w:rFonts w:cs="Arial"/>
          <w:bCs/>
          <w:color w:val="000000" w:themeColor="text1"/>
          <w:sz w:val="24"/>
          <w:szCs w:val="24"/>
        </w:rPr>
      </w:pPr>
      <w:r w:rsidRPr="009C6832">
        <w:rPr>
          <w:rFonts w:cs="Arial"/>
          <w:bCs/>
          <w:color w:val="000000" w:themeColor="text1"/>
          <w:sz w:val="24"/>
          <w:szCs w:val="24"/>
        </w:rPr>
        <w:t>majorarea cu 20% a salariilor de bază pentru personalul din cadrul instituțiilor publice de spectacole sau concerte aflate în subordinea Ministerului Culturii şi Identității Naționale, precum şi personalul din direcțiile județene de cultură, respectiv a municipiului București;</w:t>
      </w:r>
    </w:p>
    <w:p w:rsidR="00A63A72" w:rsidRPr="009C6832" w:rsidRDefault="00A63A72" w:rsidP="00A63A72">
      <w:pPr>
        <w:pStyle w:val="ListParagraph"/>
        <w:numPr>
          <w:ilvl w:val="0"/>
          <w:numId w:val="14"/>
        </w:numPr>
        <w:spacing w:after="120"/>
        <w:ind w:left="1395" w:hanging="357"/>
        <w:rPr>
          <w:rFonts w:cs="Arial"/>
          <w:bCs/>
          <w:color w:val="000000" w:themeColor="text1"/>
          <w:sz w:val="24"/>
          <w:szCs w:val="24"/>
        </w:rPr>
      </w:pPr>
      <w:r w:rsidRPr="009C6832">
        <w:rPr>
          <w:rFonts w:cs="Arial"/>
          <w:bCs/>
          <w:color w:val="000000" w:themeColor="text1"/>
          <w:sz w:val="24"/>
          <w:szCs w:val="24"/>
        </w:rPr>
        <w:t>majorarea cu 20% a salariilor de bază pentru personalul de specialitate din cadrul secretariatului tehnic din structura Consiliului Economic şi Social;</w:t>
      </w:r>
    </w:p>
    <w:p w:rsidR="00A63A72" w:rsidRPr="009C6832" w:rsidRDefault="00A63A72" w:rsidP="00A63A72">
      <w:pPr>
        <w:pStyle w:val="ListParagraph"/>
        <w:numPr>
          <w:ilvl w:val="0"/>
          <w:numId w:val="14"/>
        </w:numPr>
        <w:spacing w:after="120"/>
        <w:ind w:left="1395" w:hanging="357"/>
        <w:rPr>
          <w:rFonts w:cs="Arial"/>
          <w:bCs/>
          <w:color w:val="000000" w:themeColor="text1"/>
          <w:sz w:val="24"/>
          <w:szCs w:val="24"/>
        </w:rPr>
      </w:pPr>
      <w:r w:rsidRPr="009C6832">
        <w:rPr>
          <w:rFonts w:cs="Arial"/>
          <w:bCs/>
          <w:color w:val="000000" w:themeColor="text1"/>
          <w:sz w:val="24"/>
          <w:szCs w:val="24"/>
        </w:rPr>
        <w:t>majorarea cu 15% a salariilor de bază pentru personalul din cadrul bibliotecilor centrale universitare;</w:t>
      </w:r>
    </w:p>
    <w:p w:rsidR="00A63A72" w:rsidRPr="009C6832" w:rsidRDefault="00A63A72" w:rsidP="00A63A72">
      <w:pPr>
        <w:pStyle w:val="ListParagraph"/>
        <w:numPr>
          <w:ilvl w:val="0"/>
          <w:numId w:val="14"/>
        </w:numPr>
        <w:spacing w:after="120"/>
        <w:ind w:left="1395" w:hanging="357"/>
        <w:rPr>
          <w:rFonts w:cs="Arial"/>
          <w:bCs/>
          <w:color w:val="000000" w:themeColor="text1"/>
          <w:sz w:val="24"/>
          <w:szCs w:val="24"/>
        </w:rPr>
      </w:pPr>
      <w:r w:rsidRPr="009C6832">
        <w:rPr>
          <w:rFonts w:cs="Arial"/>
          <w:bCs/>
          <w:color w:val="000000" w:themeColor="text1"/>
          <w:sz w:val="24"/>
          <w:szCs w:val="24"/>
        </w:rPr>
        <w:t>majorarea cu 15% a salariilor de bază/soldelor de funcție pentru cadrele militare în activitate, precum şi soldații şi gradații voluntari, inclusiv personalul civil din Ministerul Apărării Naționale şi instituțiile aflate în subordinea sa;</w:t>
      </w:r>
    </w:p>
    <w:p w:rsidR="00A63A72" w:rsidRPr="009C6832" w:rsidRDefault="00A63A72" w:rsidP="00A63A72">
      <w:pPr>
        <w:pStyle w:val="ListParagraph"/>
        <w:numPr>
          <w:ilvl w:val="0"/>
          <w:numId w:val="14"/>
        </w:numPr>
        <w:spacing w:after="120"/>
        <w:ind w:left="1395" w:hanging="357"/>
        <w:rPr>
          <w:rFonts w:cs="Arial"/>
          <w:bCs/>
          <w:color w:val="000000" w:themeColor="text1"/>
          <w:sz w:val="24"/>
          <w:szCs w:val="24"/>
        </w:rPr>
      </w:pPr>
      <w:r w:rsidRPr="009C6832">
        <w:rPr>
          <w:rFonts w:cs="Arial"/>
          <w:bCs/>
          <w:color w:val="000000" w:themeColor="text1"/>
          <w:sz w:val="24"/>
          <w:szCs w:val="24"/>
        </w:rPr>
        <w:t>majorarea cu 15% a salariilor de bază pentru personalul din cadrul Secretariatului de stat pentru recunoașterea meritelor luptătorilor împotriva regimului comunist instaurat în România în perioada 1945 – 1989;</w:t>
      </w:r>
    </w:p>
    <w:p w:rsidR="009C6832" w:rsidRPr="009C6832" w:rsidRDefault="009C6832" w:rsidP="009C6832">
      <w:pPr>
        <w:pStyle w:val="ListParagraph"/>
        <w:numPr>
          <w:ilvl w:val="0"/>
          <w:numId w:val="14"/>
        </w:numPr>
        <w:spacing w:after="120"/>
        <w:ind w:left="1395" w:hanging="357"/>
        <w:contextualSpacing w:val="0"/>
        <w:rPr>
          <w:rFonts w:cs="Arial"/>
          <w:bCs/>
          <w:color w:val="000000" w:themeColor="text1"/>
          <w:sz w:val="24"/>
          <w:szCs w:val="24"/>
        </w:rPr>
      </w:pPr>
      <w:r w:rsidRPr="009C6832">
        <w:rPr>
          <w:rFonts w:cs="Arial"/>
          <w:bCs/>
          <w:color w:val="000000" w:themeColor="text1"/>
          <w:sz w:val="24"/>
          <w:szCs w:val="24"/>
        </w:rPr>
        <w:t xml:space="preserve">plata indemnizațiilor de merit care s-au majorat de la 2.700  lei/luna la 4.350 lei/luna (cu 61,1%). </w:t>
      </w:r>
    </w:p>
    <w:p w:rsidR="009C6832" w:rsidRPr="009C6832" w:rsidRDefault="009C6832" w:rsidP="009C6832">
      <w:pPr>
        <w:pStyle w:val="ListParagraph"/>
        <w:spacing w:after="120"/>
        <w:ind w:left="1395" w:firstLine="0"/>
        <w:rPr>
          <w:rFonts w:cs="Arial"/>
          <w:bCs/>
          <w:color w:val="000000" w:themeColor="text1"/>
          <w:sz w:val="24"/>
          <w:szCs w:val="24"/>
        </w:rPr>
      </w:pPr>
    </w:p>
    <w:p w:rsidR="00A63A72" w:rsidRPr="009C6832" w:rsidRDefault="00A63A72" w:rsidP="00DF66E3">
      <w:pPr>
        <w:spacing w:after="120"/>
        <w:ind w:left="1038" w:firstLine="0"/>
        <w:rPr>
          <w:rFonts w:cs="Arial"/>
          <w:i/>
          <w:sz w:val="24"/>
          <w:szCs w:val="24"/>
        </w:rPr>
      </w:pPr>
      <w:r w:rsidRPr="009C6832">
        <w:rPr>
          <w:rFonts w:cs="Arial"/>
          <w:i/>
          <w:sz w:val="24"/>
          <w:szCs w:val="24"/>
        </w:rPr>
        <w:t xml:space="preserve">Legea-cadru nr. 153/2017 privind salarizarea personalului plătit din fonduri publice, prin care s-a aprobat ca începând cu 1 iulie 2017 indemnizațiile persoanelor care ocupă funcții de demnitate publică alese sau numite să se stabilească în funcție de coeficienții prevăzuți de lege și de salariul de bază minim brut pe țară garantat în plată; </w:t>
      </w:r>
    </w:p>
    <w:p w:rsidR="00004284" w:rsidRPr="009C6832" w:rsidRDefault="00004284" w:rsidP="00004284">
      <w:pPr>
        <w:spacing w:after="120"/>
        <w:ind w:firstLine="0"/>
        <w:rPr>
          <w:rFonts w:cs="Arial"/>
          <w:bCs/>
          <w:color w:val="000000" w:themeColor="text1"/>
          <w:sz w:val="24"/>
          <w:szCs w:val="24"/>
        </w:rPr>
      </w:pPr>
      <w:r w:rsidRPr="009C6832">
        <w:rPr>
          <w:rFonts w:cs="Arial"/>
          <w:bCs/>
          <w:color w:val="000000" w:themeColor="text1"/>
          <w:sz w:val="24"/>
          <w:szCs w:val="24"/>
        </w:rPr>
        <w:tab/>
      </w:r>
      <w:r w:rsidRPr="009C6832">
        <w:rPr>
          <w:rFonts w:cs="Arial"/>
          <w:i/>
        </w:rPr>
        <w:t>Legea nr.126/2017 pentru modificarea Ordonanței Guvernului nr.105/1999</w:t>
      </w:r>
    </w:p>
    <w:p w:rsidR="00A63A72" w:rsidRPr="009C6832" w:rsidRDefault="001E31E7" w:rsidP="00A63A72">
      <w:pPr>
        <w:pStyle w:val="ListParagraph"/>
        <w:numPr>
          <w:ilvl w:val="0"/>
          <w:numId w:val="14"/>
        </w:numPr>
        <w:spacing w:after="120"/>
        <w:ind w:left="1395" w:hanging="357"/>
        <w:rPr>
          <w:rFonts w:cs="Arial"/>
          <w:bCs/>
          <w:color w:val="000000" w:themeColor="text1"/>
          <w:sz w:val="24"/>
          <w:szCs w:val="24"/>
        </w:rPr>
      </w:pPr>
      <w:r w:rsidRPr="009C6832">
        <w:rPr>
          <w:rFonts w:cs="Arial"/>
          <w:bCs/>
          <w:color w:val="000000" w:themeColor="text1"/>
          <w:sz w:val="24"/>
          <w:szCs w:val="24"/>
        </w:rPr>
        <w:t>majorarea</w:t>
      </w:r>
      <w:r w:rsidR="00A63A72" w:rsidRPr="009C6832">
        <w:rPr>
          <w:rFonts w:cs="Arial"/>
          <w:bCs/>
          <w:color w:val="000000" w:themeColor="text1"/>
          <w:sz w:val="24"/>
          <w:szCs w:val="24"/>
        </w:rPr>
        <w:t xml:space="preserve"> drepturi</w:t>
      </w:r>
      <w:r w:rsidRPr="009C6832">
        <w:rPr>
          <w:rFonts w:cs="Arial"/>
          <w:bCs/>
          <w:color w:val="000000" w:themeColor="text1"/>
          <w:sz w:val="24"/>
          <w:szCs w:val="24"/>
        </w:rPr>
        <w:t>lor</w:t>
      </w:r>
      <w:r w:rsidR="00CB0DBE">
        <w:rPr>
          <w:rFonts w:cs="Arial"/>
          <w:bCs/>
          <w:color w:val="000000" w:themeColor="text1"/>
          <w:sz w:val="24"/>
          <w:szCs w:val="24"/>
        </w:rPr>
        <w:t xml:space="preserve"> </w:t>
      </w:r>
      <w:r w:rsidRPr="009C6832">
        <w:rPr>
          <w:rFonts w:cs="Arial"/>
          <w:bCs/>
          <w:color w:val="000000" w:themeColor="text1"/>
          <w:sz w:val="24"/>
          <w:szCs w:val="24"/>
        </w:rPr>
        <w:t>pentru persoanele</w:t>
      </w:r>
      <w:r w:rsidR="00A63A72" w:rsidRPr="009C6832">
        <w:rPr>
          <w:rFonts w:cs="Arial"/>
          <w:bCs/>
          <w:color w:val="000000" w:themeColor="text1"/>
          <w:sz w:val="24"/>
          <w:szCs w:val="24"/>
        </w:rPr>
        <w:t xml:space="preserve"> persecutate de către regimurile instaurate în România cu începere de la 6 septembrie 1940 până la 6 martie 1945 din motive etnice</w:t>
      </w:r>
      <w:r w:rsidRPr="009C6832">
        <w:rPr>
          <w:rFonts w:cs="Arial"/>
          <w:bCs/>
          <w:color w:val="000000" w:themeColor="text1"/>
          <w:sz w:val="24"/>
          <w:szCs w:val="24"/>
        </w:rPr>
        <w:t xml:space="preserve"> începând cu 1 iulie a.c</w:t>
      </w:r>
      <w:r w:rsidR="00004284" w:rsidRPr="009C6832">
        <w:rPr>
          <w:rFonts w:cs="Arial"/>
          <w:bCs/>
          <w:color w:val="000000" w:themeColor="text1"/>
          <w:sz w:val="24"/>
          <w:szCs w:val="24"/>
        </w:rPr>
        <w:t>;</w:t>
      </w:r>
    </w:p>
    <w:p w:rsidR="00A63A72" w:rsidRPr="009C6832" w:rsidRDefault="00A63A72" w:rsidP="00004284">
      <w:pPr>
        <w:pStyle w:val="ListParagraph"/>
        <w:spacing w:after="120"/>
        <w:ind w:left="1400" w:firstLine="0"/>
        <w:rPr>
          <w:rFonts w:cs="Arial"/>
          <w:bCs/>
          <w:color w:val="000000" w:themeColor="text1"/>
          <w:sz w:val="24"/>
          <w:szCs w:val="24"/>
        </w:rPr>
      </w:pPr>
    </w:p>
    <w:p w:rsidR="009C6832" w:rsidRPr="009C6832" w:rsidRDefault="00A63A72" w:rsidP="009C6832">
      <w:pPr>
        <w:spacing w:after="120"/>
        <w:ind w:left="1038" w:firstLine="0"/>
        <w:rPr>
          <w:rFonts w:cs="Arial"/>
          <w:i/>
        </w:rPr>
      </w:pPr>
      <w:r w:rsidRPr="009C6832">
        <w:rPr>
          <w:rFonts w:cs="Arial"/>
          <w:i/>
        </w:rPr>
        <w:t>Ordonanța de urgență a Guvernului nr. 51/2017 din 30 iunie 2017, potrivit căreia persoanele cu handicap grav psihic şi/sau mintal asistate în centrele rezidențiale publice pentru persoane adulte cu handicap şi susținătorii legali ai acestora sunt scutite de plata contribuției lunare de întreținere;</w:t>
      </w:r>
    </w:p>
    <w:p w:rsidR="00A63A72" w:rsidRPr="003B2CDF" w:rsidRDefault="00CA3B04" w:rsidP="003B2CDF">
      <w:pPr>
        <w:spacing w:after="120"/>
        <w:ind w:left="1038" w:firstLine="0"/>
        <w:rPr>
          <w:rFonts w:cs="Arial"/>
          <w:i/>
        </w:rPr>
      </w:pPr>
      <w:r w:rsidRPr="003B2CDF">
        <w:rPr>
          <w:rFonts w:cs="Arial"/>
          <w:i/>
        </w:rPr>
        <w:t>P</w:t>
      </w:r>
      <w:r w:rsidR="00A63A72" w:rsidRPr="003B2CDF">
        <w:rPr>
          <w:rFonts w:cs="Arial"/>
          <w:i/>
        </w:rPr>
        <w:t>lata</w:t>
      </w:r>
      <w:r w:rsidR="00CB0DBE">
        <w:rPr>
          <w:rFonts w:cs="Arial"/>
          <w:i/>
        </w:rPr>
        <w:t xml:space="preserve"> </w:t>
      </w:r>
      <w:r w:rsidR="00A63A72" w:rsidRPr="003B2CDF">
        <w:rPr>
          <w:rFonts w:cs="Arial"/>
          <w:i/>
        </w:rPr>
        <w:t>diferențelor salariale pentru judecători, rezultate din aplicarea Deciziei Curții Constituționale nr. 794/2016;</w:t>
      </w:r>
    </w:p>
    <w:p w:rsidR="009C6832" w:rsidRPr="003B2CDF" w:rsidRDefault="00CA3B04" w:rsidP="003B2CDF">
      <w:pPr>
        <w:spacing w:after="120"/>
        <w:ind w:left="1038" w:firstLine="0"/>
        <w:rPr>
          <w:rFonts w:cs="Arial"/>
          <w:i/>
        </w:rPr>
      </w:pPr>
      <w:r w:rsidRPr="003B2CDF">
        <w:rPr>
          <w:rFonts w:cs="Arial"/>
          <w:i/>
        </w:rPr>
        <w:t>C</w:t>
      </w:r>
      <w:r w:rsidR="009C6832" w:rsidRPr="003B2CDF">
        <w:rPr>
          <w:rFonts w:cs="Arial"/>
          <w:i/>
        </w:rPr>
        <w:t>reșterea pensiilor de serviciu care se asigură din bugetul MMJS ca urmare a majorărilor salariale aprobate pentru anumite categorii de personal bugetar, respectiv magistrați, judecători, procurori, personal diplomatic, membri ai Curții de Conturi, funcționari publici parlamentari;</w:t>
      </w:r>
    </w:p>
    <w:p w:rsidR="002C5421" w:rsidRPr="009C6832" w:rsidRDefault="002C5421" w:rsidP="00446D9C">
      <w:pPr>
        <w:ind w:firstLine="680"/>
        <w:jc w:val="center"/>
        <w:rPr>
          <w:rFonts w:cs="Arial"/>
          <w:b/>
          <w:bCs/>
          <w:color w:val="000000" w:themeColor="text1"/>
          <w:sz w:val="24"/>
          <w:szCs w:val="24"/>
        </w:rPr>
      </w:pPr>
    </w:p>
    <w:p w:rsidR="00A63A72" w:rsidRPr="009C6832" w:rsidRDefault="00446D9C" w:rsidP="00446D9C">
      <w:pPr>
        <w:ind w:firstLine="680"/>
        <w:jc w:val="center"/>
        <w:rPr>
          <w:rFonts w:cs="Arial"/>
          <w:b/>
          <w:bCs/>
          <w:color w:val="000000" w:themeColor="text1"/>
          <w:sz w:val="24"/>
          <w:szCs w:val="24"/>
        </w:rPr>
      </w:pPr>
      <w:r w:rsidRPr="009C6832">
        <w:rPr>
          <w:rFonts w:cs="Arial"/>
          <w:b/>
          <w:bCs/>
          <w:color w:val="000000" w:themeColor="text1"/>
          <w:sz w:val="24"/>
          <w:szCs w:val="24"/>
        </w:rPr>
        <w:t>Măsuri prioritare avute în vedere de către Agenția Națională de Administrare Fiscală pentru perioada august - decembrie 2017</w:t>
      </w:r>
    </w:p>
    <w:p w:rsidR="00446D9C" w:rsidRPr="009C6832" w:rsidRDefault="00446D9C" w:rsidP="002C5421">
      <w:pPr>
        <w:pStyle w:val="ListParagraph"/>
        <w:numPr>
          <w:ilvl w:val="0"/>
          <w:numId w:val="14"/>
        </w:numPr>
        <w:spacing w:after="120"/>
        <w:ind w:left="1395" w:hanging="357"/>
        <w:rPr>
          <w:rFonts w:cs="Arial"/>
          <w:bCs/>
          <w:color w:val="000000" w:themeColor="text1"/>
          <w:sz w:val="24"/>
          <w:szCs w:val="24"/>
        </w:rPr>
      </w:pPr>
      <w:r w:rsidRPr="009C6832">
        <w:rPr>
          <w:rFonts w:cs="Arial"/>
          <w:bCs/>
          <w:color w:val="000000" w:themeColor="text1"/>
          <w:sz w:val="24"/>
          <w:szCs w:val="24"/>
        </w:rPr>
        <w:t xml:space="preserve">constituirea la nivel central A.N.A.F. a unei structuri </w:t>
      </w:r>
      <w:r w:rsidR="002C5421" w:rsidRPr="009C6832">
        <w:rPr>
          <w:rFonts w:cs="Arial"/>
          <w:bCs/>
          <w:color w:val="000000" w:themeColor="text1"/>
          <w:sz w:val="24"/>
          <w:szCs w:val="24"/>
        </w:rPr>
        <w:t>având</w:t>
      </w:r>
      <w:r w:rsidRPr="009C6832">
        <w:rPr>
          <w:rFonts w:cs="Arial"/>
          <w:bCs/>
          <w:color w:val="000000" w:themeColor="text1"/>
          <w:sz w:val="24"/>
          <w:szCs w:val="24"/>
        </w:rPr>
        <w:t xml:space="preserve"> ca obiect de activitate armonizarea riscurilor identificate la nivelul </w:t>
      </w:r>
      <w:r w:rsidR="002C5421" w:rsidRPr="009C6832">
        <w:rPr>
          <w:rFonts w:cs="Arial"/>
          <w:bCs/>
          <w:color w:val="000000" w:themeColor="text1"/>
          <w:sz w:val="24"/>
          <w:szCs w:val="24"/>
        </w:rPr>
        <w:t>activității</w:t>
      </w:r>
      <w:r w:rsidRPr="009C6832">
        <w:rPr>
          <w:rFonts w:cs="Arial"/>
          <w:bCs/>
          <w:color w:val="000000" w:themeColor="text1"/>
          <w:sz w:val="24"/>
          <w:szCs w:val="24"/>
        </w:rPr>
        <w:t xml:space="preserve"> de administrare fiscala, </w:t>
      </w:r>
      <w:r w:rsidR="002C5421" w:rsidRPr="009C6832">
        <w:rPr>
          <w:rFonts w:cs="Arial"/>
          <w:bCs/>
          <w:color w:val="000000" w:themeColor="text1"/>
          <w:sz w:val="24"/>
          <w:szCs w:val="24"/>
        </w:rPr>
        <w:t>activității</w:t>
      </w:r>
      <w:r w:rsidRPr="009C6832">
        <w:rPr>
          <w:rFonts w:cs="Arial"/>
          <w:bCs/>
          <w:color w:val="000000" w:themeColor="text1"/>
          <w:sz w:val="24"/>
          <w:szCs w:val="24"/>
        </w:rPr>
        <w:t xml:space="preserve"> de </w:t>
      </w:r>
      <w:r w:rsidR="002C5421" w:rsidRPr="009C6832">
        <w:rPr>
          <w:rFonts w:cs="Arial"/>
          <w:bCs/>
          <w:color w:val="000000" w:themeColor="text1"/>
          <w:sz w:val="24"/>
          <w:szCs w:val="24"/>
        </w:rPr>
        <w:t>inspecție</w:t>
      </w:r>
      <w:r w:rsidRPr="009C6832">
        <w:rPr>
          <w:rFonts w:cs="Arial"/>
          <w:bCs/>
          <w:color w:val="000000" w:themeColor="text1"/>
          <w:sz w:val="24"/>
          <w:szCs w:val="24"/>
        </w:rPr>
        <w:t xml:space="preserve"> fiscala, </w:t>
      </w:r>
      <w:r w:rsidR="002C5421" w:rsidRPr="009C6832">
        <w:rPr>
          <w:rFonts w:cs="Arial"/>
          <w:bCs/>
          <w:color w:val="000000" w:themeColor="text1"/>
          <w:sz w:val="24"/>
          <w:szCs w:val="24"/>
        </w:rPr>
        <w:t>activității</w:t>
      </w:r>
      <w:r w:rsidRPr="009C6832">
        <w:rPr>
          <w:rFonts w:cs="Arial"/>
          <w:bCs/>
          <w:color w:val="000000" w:themeColor="text1"/>
          <w:sz w:val="24"/>
          <w:szCs w:val="24"/>
        </w:rPr>
        <w:t xml:space="preserve"> vamale, respectiv </w:t>
      </w:r>
      <w:r w:rsidR="002C5421" w:rsidRPr="009C6832">
        <w:rPr>
          <w:rFonts w:cs="Arial"/>
          <w:bCs/>
          <w:color w:val="000000" w:themeColor="text1"/>
          <w:sz w:val="24"/>
          <w:szCs w:val="24"/>
        </w:rPr>
        <w:t>activității</w:t>
      </w:r>
      <w:r w:rsidR="00CB0DBE">
        <w:rPr>
          <w:rFonts w:cs="Arial"/>
          <w:bCs/>
          <w:color w:val="000000" w:themeColor="text1"/>
          <w:sz w:val="24"/>
          <w:szCs w:val="24"/>
        </w:rPr>
        <w:t xml:space="preserve"> </w:t>
      </w:r>
      <w:r w:rsidR="00CB0DBE" w:rsidRPr="009C6832">
        <w:rPr>
          <w:rFonts w:cs="Arial"/>
          <w:bCs/>
          <w:color w:val="000000" w:themeColor="text1"/>
          <w:sz w:val="24"/>
          <w:szCs w:val="24"/>
        </w:rPr>
        <w:t>antifraudă</w:t>
      </w:r>
      <w:r w:rsidRPr="009C6832">
        <w:rPr>
          <w:rFonts w:cs="Arial"/>
          <w:bCs/>
          <w:color w:val="000000" w:themeColor="text1"/>
          <w:sz w:val="24"/>
          <w:szCs w:val="24"/>
        </w:rPr>
        <w:t xml:space="preserve"> fiscale, cu scopul </w:t>
      </w:r>
      <w:r w:rsidR="002C5421" w:rsidRPr="009C6832">
        <w:rPr>
          <w:rFonts w:cs="Arial"/>
          <w:bCs/>
          <w:color w:val="000000" w:themeColor="text1"/>
          <w:sz w:val="24"/>
          <w:szCs w:val="24"/>
        </w:rPr>
        <w:t>creării</w:t>
      </w:r>
      <w:r w:rsidRPr="009C6832">
        <w:rPr>
          <w:rFonts w:cs="Arial"/>
          <w:bCs/>
          <w:color w:val="000000" w:themeColor="text1"/>
          <w:sz w:val="24"/>
          <w:szCs w:val="24"/>
        </w:rPr>
        <w:t xml:space="preserve"> unui profil unic de risc al contribuabilului, care va sta la baza </w:t>
      </w:r>
      <w:r w:rsidR="002C5421" w:rsidRPr="009C6832">
        <w:rPr>
          <w:rFonts w:cs="Arial"/>
          <w:bCs/>
          <w:color w:val="000000" w:themeColor="text1"/>
          <w:sz w:val="24"/>
          <w:szCs w:val="24"/>
        </w:rPr>
        <w:t>direcțiilor</w:t>
      </w:r>
      <w:r w:rsidRPr="009C6832">
        <w:rPr>
          <w:rFonts w:cs="Arial"/>
          <w:bCs/>
          <w:color w:val="000000" w:themeColor="text1"/>
          <w:sz w:val="24"/>
          <w:szCs w:val="24"/>
        </w:rPr>
        <w:t xml:space="preserve"> de </w:t>
      </w:r>
      <w:r w:rsidR="002C5421" w:rsidRPr="009C6832">
        <w:rPr>
          <w:rFonts w:cs="Arial"/>
          <w:bCs/>
          <w:color w:val="000000" w:themeColor="text1"/>
          <w:sz w:val="24"/>
          <w:szCs w:val="24"/>
        </w:rPr>
        <w:t>acțiune</w:t>
      </w:r>
      <w:r w:rsidRPr="009C6832">
        <w:rPr>
          <w:rFonts w:cs="Arial"/>
          <w:bCs/>
          <w:color w:val="000000" w:themeColor="text1"/>
          <w:sz w:val="24"/>
          <w:szCs w:val="24"/>
        </w:rPr>
        <w:t xml:space="preserve"> ale </w:t>
      </w:r>
      <w:r w:rsidR="002C5421" w:rsidRPr="009C6832">
        <w:rPr>
          <w:rFonts w:cs="Arial"/>
          <w:bCs/>
          <w:color w:val="000000" w:themeColor="text1"/>
          <w:sz w:val="24"/>
          <w:szCs w:val="24"/>
        </w:rPr>
        <w:t>fiecărei</w:t>
      </w:r>
      <w:r w:rsidRPr="009C6832">
        <w:rPr>
          <w:rFonts w:cs="Arial"/>
          <w:bCs/>
          <w:color w:val="000000" w:themeColor="text1"/>
          <w:sz w:val="24"/>
          <w:szCs w:val="24"/>
        </w:rPr>
        <w:t xml:space="preserve"> structuri din cadrul A.N.A.F. Rezultatele analizei de risc vor fi valorificate de </w:t>
      </w:r>
      <w:r w:rsidR="002C5421" w:rsidRPr="009C6832">
        <w:rPr>
          <w:rFonts w:cs="Arial"/>
          <w:bCs/>
          <w:color w:val="000000" w:themeColor="text1"/>
          <w:sz w:val="24"/>
          <w:szCs w:val="24"/>
        </w:rPr>
        <w:t>către</w:t>
      </w:r>
      <w:r w:rsidRPr="009C6832">
        <w:rPr>
          <w:rFonts w:cs="Arial"/>
          <w:bCs/>
          <w:color w:val="000000" w:themeColor="text1"/>
          <w:sz w:val="24"/>
          <w:szCs w:val="24"/>
        </w:rPr>
        <w:t xml:space="preserve"> toate structurile din cadrul ANAF, în vederea atingerii obiectivului strategic comun, respectiv creșterea gradului de conformare </w:t>
      </w:r>
      <w:r w:rsidR="002C5421" w:rsidRPr="009C6832">
        <w:rPr>
          <w:rFonts w:cs="Arial"/>
          <w:bCs/>
          <w:color w:val="000000" w:themeColor="text1"/>
          <w:sz w:val="24"/>
          <w:szCs w:val="24"/>
        </w:rPr>
        <w:t>voluntară la declarare și plată</w:t>
      </w:r>
      <w:r w:rsidRPr="009C6832">
        <w:rPr>
          <w:rFonts w:cs="Arial"/>
          <w:bCs/>
          <w:color w:val="000000" w:themeColor="text1"/>
          <w:sz w:val="24"/>
          <w:szCs w:val="24"/>
        </w:rPr>
        <w:t>;</w:t>
      </w:r>
    </w:p>
    <w:p w:rsidR="00446D9C" w:rsidRPr="009C6832" w:rsidRDefault="00446D9C" w:rsidP="002C5421">
      <w:pPr>
        <w:pStyle w:val="ListParagraph"/>
        <w:numPr>
          <w:ilvl w:val="0"/>
          <w:numId w:val="14"/>
        </w:numPr>
        <w:spacing w:after="120"/>
        <w:ind w:left="1395" w:hanging="357"/>
        <w:rPr>
          <w:rFonts w:cs="Arial"/>
          <w:bCs/>
          <w:color w:val="000000" w:themeColor="text1"/>
          <w:sz w:val="24"/>
          <w:szCs w:val="24"/>
        </w:rPr>
      </w:pPr>
      <w:r w:rsidRPr="009C6832">
        <w:rPr>
          <w:rFonts w:cs="Arial"/>
          <w:bCs/>
          <w:color w:val="000000" w:themeColor="text1"/>
          <w:sz w:val="24"/>
          <w:szCs w:val="24"/>
        </w:rPr>
        <w:t xml:space="preserve">derularea de </w:t>
      </w:r>
      <w:r w:rsidR="002C5421" w:rsidRPr="009C6832">
        <w:rPr>
          <w:rFonts w:cs="Arial"/>
          <w:bCs/>
          <w:color w:val="000000" w:themeColor="text1"/>
          <w:sz w:val="24"/>
          <w:szCs w:val="24"/>
        </w:rPr>
        <w:t>acțiuni</w:t>
      </w:r>
      <w:r w:rsidRPr="009C6832">
        <w:rPr>
          <w:rFonts w:cs="Arial"/>
          <w:bCs/>
          <w:color w:val="000000" w:themeColor="text1"/>
          <w:sz w:val="24"/>
          <w:szCs w:val="24"/>
        </w:rPr>
        <w:t xml:space="preserve"> comune de executare silita, </w:t>
      </w:r>
      <w:r w:rsidR="002C5421" w:rsidRPr="009C6832">
        <w:rPr>
          <w:rFonts w:cs="Arial"/>
          <w:bCs/>
          <w:color w:val="000000" w:themeColor="text1"/>
          <w:sz w:val="24"/>
          <w:szCs w:val="24"/>
        </w:rPr>
        <w:t>antifraudă</w:t>
      </w:r>
      <w:r w:rsidRPr="009C6832">
        <w:rPr>
          <w:rFonts w:cs="Arial"/>
          <w:bCs/>
          <w:color w:val="000000" w:themeColor="text1"/>
          <w:sz w:val="24"/>
          <w:szCs w:val="24"/>
        </w:rPr>
        <w:t xml:space="preserve"> fiscala, </w:t>
      </w:r>
      <w:r w:rsidR="002C5421" w:rsidRPr="009C6832">
        <w:rPr>
          <w:rFonts w:cs="Arial"/>
          <w:bCs/>
          <w:color w:val="000000" w:themeColor="text1"/>
          <w:sz w:val="24"/>
          <w:szCs w:val="24"/>
        </w:rPr>
        <w:t>inspecție</w:t>
      </w:r>
      <w:r w:rsidRPr="009C6832">
        <w:rPr>
          <w:rFonts w:cs="Arial"/>
          <w:bCs/>
          <w:color w:val="000000" w:themeColor="text1"/>
          <w:sz w:val="24"/>
          <w:szCs w:val="24"/>
        </w:rPr>
        <w:t xml:space="preserve"> fiscala si vama, in baza </w:t>
      </w:r>
      <w:r w:rsidR="002C5421" w:rsidRPr="009C6832">
        <w:rPr>
          <w:rFonts w:cs="Arial"/>
          <w:bCs/>
          <w:color w:val="000000" w:themeColor="text1"/>
          <w:sz w:val="24"/>
          <w:szCs w:val="24"/>
        </w:rPr>
        <w:t>pofilelor</w:t>
      </w:r>
      <w:r w:rsidRPr="009C6832">
        <w:rPr>
          <w:rFonts w:cs="Arial"/>
          <w:bCs/>
          <w:color w:val="000000" w:themeColor="text1"/>
          <w:sz w:val="24"/>
          <w:szCs w:val="24"/>
        </w:rPr>
        <w:t xml:space="preserve"> de risc unice identificate, in vederea </w:t>
      </w:r>
      <w:r w:rsidR="002C5421" w:rsidRPr="009C6832">
        <w:rPr>
          <w:rFonts w:cs="Arial"/>
          <w:bCs/>
          <w:color w:val="000000" w:themeColor="text1"/>
          <w:sz w:val="24"/>
          <w:szCs w:val="24"/>
        </w:rPr>
        <w:t>creșterii</w:t>
      </w:r>
      <w:r w:rsidRPr="009C6832">
        <w:rPr>
          <w:rFonts w:cs="Arial"/>
          <w:bCs/>
          <w:color w:val="000000" w:themeColor="text1"/>
          <w:sz w:val="24"/>
          <w:szCs w:val="24"/>
        </w:rPr>
        <w:t xml:space="preserve"> gradului de conformare voluntara la plata;</w:t>
      </w:r>
    </w:p>
    <w:p w:rsidR="00446D9C" w:rsidRPr="009C6832" w:rsidRDefault="00446D9C" w:rsidP="002C5421">
      <w:pPr>
        <w:pStyle w:val="ListParagraph"/>
        <w:numPr>
          <w:ilvl w:val="0"/>
          <w:numId w:val="14"/>
        </w:numPr>
        <w:spacing w:after="120"/>
        <w:ind w:left="1395" w:hanging="357"/>
        <w:rPr>
          <w:rFonts w:cs="Arial"/>
          <w:bCs/>
          <w:color w:val="000000" w:themeColor="text1"/>
          <w:sz w:val="24"/>
          <w:szCs w:val="24"/>
        </w:rPr>
      </w:pPr>
      <w:r w:rsidRPr="009C6832">
        <w:rPr>
          <w:rFonts w:cs="Arial"/>
          <w:bCs/>
          <w:color w:val="000000" w:themeColor="text1"/>
          <w:sz w:val="24"/>
          <w:szCs w:val="24"/>
        </w:rPr>
        <w:t xml:space="preserve">efectuarea de </w:t>
      </w:r>
      <w:r w:rsidR="002C5421" w:rsidRPr="009C6832">
        <w:rPr>
          <w:rFonts w:cs="Arial"/>
          <w:bCs/>
          <w:color w:val="000000" w:themeColor="text1"/>
          <w:sz w:val="24"/>
          <w:szCs w:val="24"/>
        </w:rPr>
        <w:t>acțiuni de control î</w:t>
      </w:r>
      <w:r w:rsidRPr="009C6832">
        <w:rPr>
          <w:rFonts w:cs="Arial"/>
          <w:bCs/>
          <w:color w:val="000000" w:themeColor="text1"/>
          <w:sz w:val="24"/>
          <w:szCs w:val="24"/>
        </w:rPr>
        <w:t xml:space="preserve">n domeniul </w:t>
      </w:r>
      <w:r w:rsidR="002C5421" w:rsidRPr="009C6832">
        <w:rPr>
          <w:rFonts w:cs="Arial"/>
          <w:bCs/>
          <w:color w:val="000000" w:themeColor="text1"/>
          <w:sz w:val="24"/>
          <w:szCs w:val="24"/>
        </w:rPr>
        <w:t>comerțului</w:t>
      </w:r>
      <w:r w:rsidRPr="009C6832">
        <w:rPr>
          <w:rFonts w:cs="Arial"/>
          <w:bCs/>
          <w:color w:val="000000" w:themeColor="text1"/>
          <w:sz w:val="24"/>
          <w:szCs w:val="24"/>
        </w:rPr>
        <w:t xml:space="preserve"> on-line;</w:t>
      </w:r>
    </w:p>
    <w:p w:rsidR="00446D9C" w:rsidRPr="009C6832" w:rsidRDefault="00446D9C" w:rsidP="002C5421">
      <w:pPr>
        <w:pStyle w:val="ListParagraph"/>
        <w:numPr>
          <w:ilvl w:val="0"/>
          <w:numId w:val="14"/>
        </w:numPr>
        <w:spacing w:after="120"/>
        <w:ind w:left="1395" w:hanging="357"/>
        <w:rPr>
          <w:rFonts w:cs="Arial"/>
          <w:bCs/>
          <w:color w:val="000000" w:themeColor="text1"/>
          <w:sz w:val="24"/>
          <w:szCs w:val="24"/>
        </w:rPr>
      </w:pPr>
      <w:r w:rsidRPr="009C6832">
        <w:rPr>
          <w:rFonts w:cs="Arial"/>
          <w:bCs/>
          <w:color w:val="000000" w:themeColor="text1"/>
          <w:sz w:val="24"/>
          <w:szCs w:val="24"/>
        </w:rPr>
        <w:t xml:space="preserve">redefinirea rolului și misiunii </w:t>
      </w:r>
      <w:r w:rsidR="002C5421" w:rsidRPr="009C6832">
        <w:rPr>
          <w:rFonts w:cs="Arial"/>
          <w:bCs/>
          <w:color w:val="000000" w:themeColor="text1"/>
          <w:sz w:val="24"/>
          <w:szCs w:val="24"/>
        </w:rPr>
        <w:t>Direcției</w:t>
      </w:r>
      <w:r w:rsidRPr="009C6832">
        <w:rPr>
          <w:rFonts w:cs="Arial"/>
          <w:bCs/>
          <w:color w:val="000000" w:themeColor="text1"/>
          <w:sz w:val="24"/>
          <w:szCs w:val="24"/>
        </w:rPr>
        <w:t xml:space="preserve"> Generale </w:t>
      </w:r>
      <w:r w:rsidR="002C5421" w:rsidRPr="009C6832">
        <w:rPr>
          <w:rFonts w:cs="Arial"/>
          <w:bCs/>
          <w:color w:val="000000" w:themeColor="text1"/>
          <w:sz w:val="24"/>
          <w:szCs w:val="24"/>
        </w:rPr>
        <w:t>Antifraudă</w:t>
      </w:r>
      <w:r w:rsidRPr="009C6832">
        <w:rPr>
          <w:rFonts w:cs="Arial"/>
          <w:bCs/>
          <w:color w:val="000000" w:themeColor="text1"/>
          <w:sz w:val="24"/>
          <w:szCs w:val="24"/>
        </w:rPr>
        <w:t xml:space="preserve"> F</w:t>
      </w:r>
      <w:r w:rsidR="002C5421" w:rsidRPr="009C6832">
        <w:rPr>
          <w:rFonts w:cs="Arial"/>
          <w:bCs/>
          <w:color w:val="000000" w:themeColor="text1"/>
          <w:sz w:val="24"/>
          <w:szCs w:val="24"/>
        </w:rPr>
        <w:t>iscală</w:t>
      </w:r>
      <w:r w:rsidRPr="009C6832">
        <w:rPr>
          <w:rFonts w:cs="Arial"/>
          <w:bCs/>
          <w:color w:val="000000" w:themeColor="text1"/>
          <w:sz w:val="24"/>
          <w:szCs w:val="24"/>
        </w:rPr>
        <w:t xml:space="preserve"> prin armonizarea cu obiectivele A.N.A.F. asumate în strategia 2017 - 2020 în scopul creșterii gradului de conformare </w:t>
      </w:r>
      <w:r w:rsidR="002C5421" w:rsidRPr="009C6832">
        <w:rPr>
          <w:rFonts w:cs="Arial"/>
          <w:bCs/>
          <w:color w:val="000000" w:themeColor="text1"/>
          <w:sz w:val="24"/>
          <w:szCs w:val="24"/>
        </w:rPr>
        <w:t>voluntară la declarare și plată</w:t>
      </w:r>
      <w:r w:rsidRPr="009C6832">
        <w:rPr>
          <w:rFonts w:cs="Arial"/>
          <w:bCs/>
          <w:color w:val="000000" w:themeColor="text1"/>
          <w:sz w:val="24"/>
          <w:szCs w:val="24"/>
        </w:rPr>
        <w:t>;</w:t>
      </w:r>
    </w:p>
    <w:p w:rsidR="00446D9C" w:rsidRPr="009C6832" w:rsidRDefault="00446D9C" w:rsidP="002C5421">
      <w:pPr>
        <w:pStyle w:val="ListParagraph"/>
        <w:numPr>
          <w:ilvl w:val="0"/>
          <w:numId w:val="14"/>
        </w:numPr>
        <w:spacing w:after="120"/>
        <w:ind w:left="1395" w:hanging="357"/>
        <w:rPr>
          <w:rFonts w:cs="Arial"/>
          <w:bCs/>
          <w:color w:val="000000" w:themeColor="text1"/>
          <w:sz w:val="24"/>
          <w:szCs w:val="24"/>
        </w:rPr>
      </w:pPr>
      <w:r w:rsidRPr="009C6832">
        <w:rPr>
          <w:rFonts w:cs="Arial"/>
          <w:bCs/>
          <w:color w:val="000000" w:themeColor="text1"/>
          <w:sz w:val="24"/>
          <w:szCs w:val="24"/>
        </w:rPr>
        <w:t>realizarea, cu ocazia controalelor antifraudă ce vizează și vor viza contribuabili care înregistrează întârzieri la plata obligațiilor fiscale declarate, a unor analize și documentări menite să identifice principalele cauze care conduc la situații de întârziere la plată;</w:t>
      </w:r>
    </w:p>
    <w:p w:rsidR="00446D9C" w:rsidRPr="009C6832" w:rsidRDefault="00446D9C" w:rsidP="002C5421">
      <w:pPr>
        <w:pStyle w:val="ListParagraph"/>
        <w:numPr>
          <w:ilvl w:val="0"/>
          <w:numId w:val="14"/>
        </w:numPr>
        <w:spacing w:after="120"/>
        <w:ind w:left="1395" w:hanging="357"/>
        <w:rPr>
          <w:rFonts w:cs="Arial"/>
          <w:bCs/>
          <w:color w:val="000000" w:themeColor="text1"/>
          <w:sz w:val="24"/>
          <w:szCs w:val="24"/>
        </w:rPr>
      </w:pPr>
      <w:r w:rsidRPr="009C6832">
        <w:rPr>
          <w:rFonts w:cs="Arial"/>
          <w:bCs/>
          <w:color w:val="000000" w:themeColor="text1"/>
          <w:sz w:val="24"/>
          <w:szCs w:val="24"/>
        </w:rPr>
        <w:t>monitorizarea achizițiilor intracomunitare – acțiune cu caracter permanent;</w:t>
      </w:r>
    </w:p>
    <w:p w:rsidR="00446D9C" w:rsidRPr="009C6832" w:rsidRDefault="002C5421" w:rsidP="002C5421">
      <w:pPr>
        <w:pStyle w:val="ListParagraph"/>
        <w:numPr>
          <w:ilvl w:val="0"/>
          <w:numId w:val="14"/>
        </w:numPr>
        <w:spacing w:after="120"/>
        <w:ind w:left="1395" w:hanging="357"/>
        <w:rPr>
          <w:rFonts w:cs="Arial"/>
          <w:bCs/>
          <w:color w:val="000000" w:themeColor="text1"/>
          <w:sz w:val="24"/>
          <w:szCs w:val="24"/>
        </w:rPr>
      </w:pPr>
      <w:r w:rsidRPr="009C6832">
        <w:rPr>
          <w:rFonts w:cs="Arial"/>
          <w:bCs/>
          <w:color w:val="000000" w:themeColor="text1"/>
          <w:sz w:val="24"/>
          <w:szCs w:val="24"/>
        </w:rPr>
        <w:t>întărirea</w:t>
      </w:r>
      <w:r w:rsidR="00A26E1A">
        <w:rPr>
          <w:rFonts w:cs="Arial"/>
          <w:bCs/>
          <w:color w:val="000000" w:themeColor="text1"/>
          <w:sz w:val="24"/>
          <w:szCs w:val="24"/>
        </w:rPr>
        <w:t xml:space="preserve"> </w:t>
      </w:r>
      <w:r w:rsidRPr="009C6832">
        <w:rPr>
          <w:rFonts w:cs="Arial"/>
          <w:bCs/>
          <w:color w:val="000000" w:themeColor="text1"/>
          <w:sz w:val="24"/>
          <w:szCs w:val="24"/>
        </w:rPr>
        <w:t>activității</w:t>
      </w:r>
      <w:r w:rsidR="00A26E1A">
        <w:rPr>
          <w:rFonts w:cs="Arial"/>
          <w:bCs/>
          <w:color w:val="000000" w:themeColor="text1"/>
          <w:sz w:val="24"/>
          <w:szCs w:val="24"/>
        </w:rPr>
        <w:t xml:space="preserve"> </w:t>
      </w:r>
      <w:r w:rsidRPr="009C6832">
        <w:rPr>
          <w:rFonts w:cs="Arial"/>
          <w:bCs/>
          <w:color w:val="000000" w:themeColor="text1"/>
          <w:sz w:val="24"/>
          <w:szCs w:val="24"/>
        </w:rPr>
        <w:t>Direcției Preț</w:t>
      </w:r>
      <w:r w:rsidR="00446D9C" w:rsidRPr="009C6832">
        <w:rPr>
          <w:rFonts w:cs="Arial"/>
          <w:bCs/>
          <w:color w:val="000000" w:themeColor="text1"/>
          <w:sz w:val="24"/>
          <w:szCs w:val="24"/>
        </w:rPr>
        <w:t xml:space="preserve">uri de </w:t>
      </w:r>
      <w:r w:rsidRPr="009C6832">
        <w:rPr>
          <w:rFonts w:cs="Arial"/>
          <w:bCs/>
          <w:color w:val="000000" w:themeColor="text1"/>
          <w:sz w:val="24"/>
          <w:szCs w:val="24"/>
        </w:rPr>
        <w:t>Transfer prin transformarea ei î</w:t>
      </w:r>
      <w:r w:rsidR="00446D9C" w:rsidRPr="009C6832">
        <w:rPr>
          <w:rFonts w:cs="Arial"/>
          <w:bCs/>
          <w:color w:val="000000" w:themeColor="text1"/>
          <w:sz w:val="24"/>
          <w:szCs w:val="24"/>
        </w:rPr>
        <w:t>n „</w:t>
      </w:r>
      <w:r w:rsidRPr="009C6832">
        <w:rPr>
          <w:rFonts w:cs="Arial"/>
          <w:bCs/>
          <w:color w:val="000000" w:themeColor="text1"/>
          <w:sz w:val="24"/>
          <w:szCs w:val="24"/>
        </w:rPr>
        <w:t>Direcție</w:t>
      </w:r>
      <w:r w:rsidR="00446D9C" w:rsidRPr="009C6832">
        <w:rPr>
          <w:rFonts w:cs="Arial"/>
          <w:bCs/>
          <w:color w:val="000000" w:themeColor="text1"/>
          <w:sz w:val="24"/>
          <w:szCs w:val="24"/>
        </w:rPr>
        <w:t xml:space="preserve"> Generala”; </w:t>
      </w:r>
    </w:p>
    <w:p w:rsidR="00446D9C" w:rsidRPr="009C6832" w:rsidRDefault="002C5421" w:rsidP="002C5421">
      <w:pPr>
        <w:pStyle w:val="ListParagraph"/>
        <w:numPr>
          <w:ilvl w:val="0"/>
          <w:numId w:val="14"/>
        </w:numPr>
        <w:spacing w:after="120"/>
        <w:ind w:left="1395" w:hanging="357"/>
        <w:rPr>
          <w:rFonts w:cs="Arial"/>
          <w:bCs/>
          <w:color w:val="000000" w:themeColor="text1"/>
          <w:sz w:val="24"/>
          <w:szCs w:val="24"/>
        </w:rPr>
      </w:pPr>
      <w:r w:rsidRPr="009C6832">
        <w:rPr>
          <w:rFonts w:cs="Arial"/>
          <w:bCs/>
          <w:color w:val="000000" w:themeColor="text1"/>
          <w:sz w:val="24"/>
          <w:szCs w:val="24"/>
        </w:rPr>
        <w:t>întărirea</w:t>
      </w:r>
      <w:r w:rsidR="00A26E1A">
        <w:rPr>
          <w:rFonts w:cs="Arial"/>
          <w:bCs/>
          <w:color w:val="000000" w:themeColor="text1"/>
          <w:sz w:val="24"/>
          <w:szCs w:val="24"/>
        </w:rPr>
        <w:t xml:space="preserve"> </w:t>
      </w:r>
      <w:r w:rsidRPr="009C6832">
        <w:rPr>
          <w:rFonts w:cs="Arial"/>
          <w:bCs/>
          <w:color w:val="000000" w:themeColor="text1"/>
          <w:sz w:val="24"/>
          <w:szCs w:val="24"/>
        </w:rPr>
        <w:t>comunicării</w:t>
      </w:r>
      <w:r w:rsidR="00446D9C" w:rsidRPr="009C6832">
        <w:rPr>
          <w:rFonts w:cs="Arial"/>
          <w:bCs/>
          <w:color w:val="000000" w:themeColor="text1"/>
          <w:sz w:val="24"/>
          <w:szCs w:val="24"/>
        </w:rPr>
        <w:t xml:space="preserve"> publice a cazurilor si problemelor de neconformare identificate, a </w:t>
      </w:r>
      <w:r w:rsidRPr="009C6832">
        <w:rPr>
          <w:rFonts w:cs="Arial"/>
          <w:bCs/>
          <w:color w:val="000000" w:themeColor="text1"/>
          <w:sz w:val="24"/>
          <w:szCs w:val="24"/>
        </w:rPr>
        <w:t>recomandărilor</w:t>
      </w:r>
      <w:r w:rsidR="00446D9C" w:rsidRPr="009C6832">
        <w:rPr>
          <w:rFonts w:cs="Arial"/>
          <w:bCs/>
          <w:color w:val="000000" w:themeColor="text1"/>
          <w:sz w:val="24"/>
          <w:szCs w:val="24"/>
        </w:rPr>
        <w:t xml:space="preserve"> si mesajelor de încurajare a </w:t>
      </w:r>
      <w:r w:rsidRPr="009C6832">
        <w:rPr>
          <w:rFonts w:cs="Arial"/>
          <w:bCs/>
          <w:color w:val="000000" w:themeColor="text1"/>
          <w:sz w:val="24"/>
          <w:szCs w:val="24"/>
        </w:rPr>
        <w:t>conformării</w:t>
      </w:r>
      <w:r w:rsidR="00446D9C" w:rsidRPr="009C6832">
        <w:rPr>
          <w:rFonts w:cs="Arial"/>
          <w:bCs/>
          <w:color w:val="000000" w:themeColor="text1"/>
          <w:sz w:val="24"/>
          <w:szCs w:val="24"/>
        </w:rPr>
        <w:t xml:space="preserve">, în scopul </w:t>
      </w:r>
      <w:r w:rsidRPr="009C6832">
        <w:rPr>
          <w:rFonts w:cs="Arial"/>
          <w:bCs/>
          <w:color w:val="000000" w:themeColor="text1"/>
          <w:sz w:val="24"/>
          <w:szCs w:val="24"/>
        </w:rPr>
        <w:t>dezvoltării</w:t>
      </w:r>
      <w:r w:rsidR="00446D9C" w:rsidRPr="009C6832">
        <w:rPr>
          <w:rFonts w:cs="Arial"/>
          <w:bCs/>
          <w:color w:val="000000" w:themeColor="text1"/>
          <w:sz w:val="24"/>
          <w:szCs w:val="24"/>
        </w:rPr>
        <w:t xml:space="preserve"> laturilor pro-active, de educare si prevenire, ale strategiei de conformare fiscala pentru </w:t>
      </w:r>
      <w:r w:rsidRPr="009C6832">
        <w:rPr>
          <w:rFonts w:cs="Arial"/>
          <w:bCs/>
          <w:color w:val="000000" w:themeColor="text1"/>
          <w:sz w:val="24"/>
          <w:szCs w:val="24"/>
        </w:rPr>
        <w:t>persoanele fizice cu averi mari</w:t>
      </w:r>
      <w:r w:rsidR="00446D9C" w:rsidRPr="009C6832">
        <w:rPr>
          <w:rFonts w:cs="Arial"/>
          <w:bCs/>
          <w:color w:val="000000" w:themeColor="text1"/>
          <w:sz w:val="24"/>
          <w:szCs w:val="24"/>
        </w:rPr>
        <w:t xml:space="preserve">; </w:t>
      </w:r>
    </w:p>
    <w:p w:rsidR="00446D9C" w:rsidRPr="009C6832" w:rsidRDefault="002C5421" w:rsidP="002C5421">
      <w:pPr>
        <w:pStyle w:val="ListParagraph"/>
        <w:numPr>
          <w:ilvl w:val="0"/>
          <w:numId w:val="14"/>
        </w:numPr>
        <w:spacing w:after="120"/>
        <w:ind w:left="1395" w:hanging="357"/>
        <w:rPr>
          <w:rFonts w:cs="Arial"/>
          <w:bCs/>
          <w:color w:val="000000" w:themeColor="text1"/>
          <w:sz w:val="24"/>
          <w:szCs w:val="24"/>
        </w:rPr>
      </w:pPr>
      <w:r w:rsidRPr="009C6832">
        <w:rPr>
          <w:rFonts w:cs="Arial"/>
          <w:bCs/>
          <w:color w:val="000000" w:themeColor="text1"/>
          <w:sz w:val="24"/>
          <w:szCs w:val="24"/>
        </w:rPr>
        <w:t>strângerea</w:t>
      </w:r>
      <w:r w:rsidR="00446D9C" w:rsidRPr="009C6832">
        <w:rPr>
          <w:rFonts w:cs="Arial"/>
          <w:bCs/>
          <w:color w:val="000000" w:themeColor="text1"/>
          <w:sz w:val="24"/>
          <w:szCs w:val="24"/>
        </w:rPr>
        <w:t xml:space="preserve"> legăturilor si intensificarea schimbului de informații intre </w:t>
      </w:r>
      <w:r w:rsidRPr="009C6832">
        <w:rPr>
          <w:rFonts w:cs="Arial"/>
          <w:bCs/>
          <w:color w:val="000000" w:themeColor="text1"/>
          <w:sz w:val="24"/>
          <w:szCs w:val="24"/>
        </w:rPr>
        <w:t>Direcția</w:t>
      </w:r>
      <w:r w:rsidR="00446D9C" w:rsidRPr="009C6832">
        <w:rPr>
          <w:rFonts w:cs="Arial"/>
          <w:bCs/>
          <w:color w:val="000000" w:themeColor="text1"/>
          <w:sz w:val="24"/>
          <w:szCs w:val="24"/>
        </w:rPr>
        <w:t xml:space="preserve"> Generala a </w:t>
      </w:r>
      <w:r w:rsidRPr="009C6832">
        <w:rPr>
          <w:rFonts w:cs="Arial"/>
          <w:bCs/>
          <w:color w:val="000000" w:themeColor="text1"/>
          <w:sz w:val="24"/>
          <w:szCs w:val="24"/>
        </w:rPr>
        <w:t>Vămilor</w:t>
      </w:r>
      <w:r w:rsidR="00446D9C" w:rsidRPr="009C6832">
        <w:rPr>
          <w:rFonts w:cs="Arial"/>
          <w:bCs/>
          <w:color w:val="000000" w:themeColor="text1"/>
          <w:sz w:val="24"/>
          <w:szCs w:val="24"/>
        </w:rPr>
        <w:t xml:space="preserve"> si organisme similare din U.E. si îndeosebi cu administrațiile vamale din statele vecine (Bulgaria, Ungaria, Moldova, Ucraina, Serbia);</w:t>
      </w:r>
    </w:p>
    <w:p w:rsidR="00446D9C" w:rsidRPr="009C6832" w:rsidRDefault="002C5421" w:rsidP="002C5421">
      <w:pPr>
        <w:pStyle w:val="ListParagraph"/>
        <w:numPr>
          <w:ilvl w:val="0"/>
          <w:numId w:val="14"/>
        </w:numPr>
        <w:spacing w:after="120"/>
        <w:ind w:left="1395" w:hanging="357"/>
        <w:rPr>
          <w:rFonts w:cs="Arial"/>
          <w:bCs/>
          <w:color w:val="000000" w:themeColor="text1"/>
          <w:sz w:val="24"/>
          <w:szCs w:val="24"/>
        </w:rPr>
      </w:pPr>
      <w:r w:rsidRPr="009C6832">
        <w:rPr>
          <w:rFonts w:cs="Arial"/>
          <w:bCs/>
          <w:color w:val="000000" w:themeColor="text1"/>
          <w:sz w:val="24"/>
          <w:szCs w:val="24"/>
        </w:rPr>
        <w:t>inițierea</w:t>
      </w:r>
      <w:r w:rsidR="00446D9C" w:rsidRPr="009C6832">
        <w:rPr>
          <w:rFonts w:cs="Arial"/>
          <w:bCs/>
          <w:color w:val="000000" w:themeColor="text1"/>
          <w:sz w:val="24"/>
          <w:szCs w:val="24"/>
        </w:rPr>
        <w:t xml:space="preserve"> demersurilor pentru reautorizarea </w:t>
      </w:r>
      <w:r w:rsidRPr="009C6832">
        <w:rPr>
          <w:rFonts w:cs="Arial"/>
          <w:bCs/>
          <w:color w:val="000000" w:themeColor="text1"/>
          <w:sz w:val="24"/>
          <w:szCs w:val="24"/>
        </w:rPr>
        <w:t>Unității</w:t>
      </w:r>
      <w:r w:rsidR="00446D9C" w:rsidRPr="009C6832">
        <w:rPr>
          <w:rFonts w:cs="Arial"/>
          <w:bCs/>
          <w:color w:val="000000" w:themeColor="text1"/>
          <w:sz w:val="24"/>
          <w:szCs w:val="24"/>
        </w:rPr>
        <w:t xml:space="preserve"> Nucleare a </w:t>
      </w:r>
      <w:r w:rsidRPr="009C6832">
        <w:rPr>
          <w:rFonts w:cs="Arial"/>
          <w:bCs/>
          <w:color w:val="000000" w:themeColor="text1"/>
          <w:sz w:val="24"/>
          <w:szCs w:val="24"/>
        </w:rPr>
        <w:t>Direcției</w:t>
      </w:r>
      <w:r w:rsidR="00446D9C" w:rsidRPr="009C6832">
        <w:rPr>
          <w:rFonts w:cs="Arial"/>
          <w:bCs/>
          <w:color w:val="000000" w:themeColor="text1"/>
          <w:sz w:val="24"/>
          <w:szCs w:val="24"/>
        </w:rPr>
        <w:t xml:space="preserve"> Generale a </w:t>
      </w:r>
      <w:r w:rsidRPr="009C6832">
        <w:rPr>
          <w:rFonts w:cs="Arial"/>
          <w:bCs/>
          <w:color w:val="000000" w:themeColor="text1"/>
          <w:sz w:val="24"/>
          <w:szCs w:val="24"/>
        </w:rPr>
        <w:t>Vămilor</w:t>
      </w:r>
      <w:r w:rsidR="00446D9C" w:rsidRPr="009C6832">
        <w:rPr>
          <w:rFonts w:cs="Arial"/>
          <w:bCs/>
          <w:color w:val="000000" w:themeColor="text1"/>
          <w:sz w:val="24"/>
          <w:szCs w:val="24"/>
        </w:rPr>
        <w:t xml:space="preserve"> si a demersurilor pentru </w:t>
      </w:r>
      <w:r w:rsidRPr="009C6832">
        <w:rPr>
          <w:rFonts w:cs="Arial"/>
          <w:bCs/>
          <w:color w:val="000000" w:themeColor="text1"/>
          <w:sz w:val="24"/>
          <w:szCs w:val="24"/>
        </w:rPr>
        <w:t>operaționalizarea</w:t>
      </w:r>
      <w:r w:rsidR="00446D9C" w:rsidRPr="009C6832">
        <w:rPr>
          <w:rFonts w:cs="Arial"/>
          <w:bCs/>
          <w:color w:val="000000" w:themeColor="text1"/>
          <w:sz w:val="24"/>
          <w:szCs w:val="24"/>
        </w:rPr>
        <w:t xml:space="preserve"> echipamentelor de scanare (acord de parteneriat, elaborare caiet de sarcini, </w:t>
      </w:r>
      <w:r w:rsidRPr="009C6832">
        <w:rPr>
          <w:rFonts w:cs="Arial"/>
          <w:bCs/>
          <w:color w:val="000000" w:themeColor="text1"/>
          <w:sz w:val="24"/>
          <w:szCs w:val="24"/>
        </w:rPr>
        <w:t>achiziție</w:t>
      </w:r>
      <w:r w:rsidR="00446D9C" w:rsidRPr="009C6832">
        <w:rPr>
          <w:rFonts w:cs="Arial"/>
          <w:bCs/>
          <w:color w:val="000000" w:themeColor="text1"/>
          <w:sz w:val="24"/>
          <w:szCs w:val="24"/>
        </w:rPr>
        <w:t xml:space="preserve">, </w:t>
      </w:r>
      <w:r w:rsidRPr="009C6832">
        <w:rPr>
          <w:rFonts w:cs="Arial"/>
          <w:bCs/>
          <w:color w:val="000000" w:themeColor="text1"/>
          <w:sz w:val="24"/>
          <w:szCs w:val="24"/>
        </w:rPr>
        <w:t>licitație</w:t>
      </w:r>
      <w:r w:rsidR="00446D9C" w:rsidRPr="009C6832">
        <w:rPr>
          <w:rFonts w:cs="Arial"/>
          <w:bCs/>
          <w:color w:val="000000" w:themeColor="text1"/>
          <w:sz w:val="24"/>
          <w:szCs w:val="24"/>
        </w:rPr>
        <w:t xml:space="preserve"> de </w:t>
      </w:r>
      <w:r w:rsidRPr="009C6832">
        <w:rPr>
          <w:rFonts w:cs="Arial"/>
          <w:bCs/>
          <w:color w:val="000000" w:themeColor="text1"/>
          <w:sz w:val="24"/>
          <w:szCs w:val="24"/>
        </w:rPr>
        <w:t>mentenanță</w:t>
      </w:r>
      <w:r w:rsidR="00446D9C" w:rsidRPr="009C6832">
        <w:rPr>
          <w:rFonts w:cs="Arial"/>
          <w:bCs/>
          <w:color w:val="000000" w:themeColor="text1"/>
          <w:sz w:val="24"/>
          <w:szCs w:val="24"/>
        </w:rPr>
        <w:t xml:space="preserve"> pentru echipamente de scanare).</w:t>
      </w:r>
    </w:p>
    <w:p w:rsidR="0047248B" w:rsidRPr="009C6832" w:rsidRDefault="0047248B" w:rsidP="009414F6">
      <w:pPr>
        <w:ind w:firstLine="680"/>
        <w:rPr>
          <w:rFonts w:cs="Arial"/>
          <w:b/>
          <w:bCs/>
          <w:color w:val="000000" w:themeColor="text1"/>
          <w:sz w:val="24"/>
          <w:szCs w:val="24"/>
        </w:rPr>
      </w:pPr>
    </w:p>
    <w:p w:rsidR="00197AF4" w:rsidRDefault="00197AF4" w:rsidP="00D920EB">
      <w:pPr>
        <w:spacing w:before="120" w:after="0" w:line="240" w:lineRule="auto"/>
        <w:ind w:firstLine="360"/>
        <w:rPr>
          <w:rFonts w:cs="Arial"/>
          <w:sz w:val="28"/>
          <w:szCs w:val="28"/>
        </w:rPr>
      </w:pPr>
    </w:p>
    <w:p w:rsidR="00BC3785" w:rsidRDefault="00BC3785" w:rsidP="00D920EB">
      <w:pPr>
        <w:spacing w:before="120" w:after="0" w:line="240" w:lineRule="auto"/>
        <w:ind w:firstLine="360"/>
        <w:rPr>
          <w:rFonts w:cs="Arial"/>
          <w:sz w:val="28"/>
          <w:szCs w:val="28"/>
        </w:rPr>
      </w:pPr>
    </w:p>
    <w:p w:rsidR="00BC3785" w:rsidRDefault="00BC3785" w:rsidP="00D920EB">
      <w:pPr>
        <w:spacing w:before="120" w:after="0" w:line="240" w:lineRule="auto"/>
        <w:ind w:firstLine="360"/>
        <w:rPr>
          <w:rFonts w:cs="Arial"/>
          <w:sz w:val="28"/>
          <w:szCs w:val="28"/>
        </w:rPr>
      </w:pPr>
    </w:p>
    <w:p w:rsidR="00BC3785" w:rsidRDefault="00BC3785" w:rsidP="00D920EB">
      <w:pPr>
        <w:spacing w:before="120" w:after="0" w:line="240" w:lineRule="auto"/>
        <w:ind w:firstLine="360"/>
        <w:rPr>
          <w:rFonts w:cs="Arial"/>
          <w:sz w:val="28"/>
          <w:szCs w:val="28"/>
        </w:rPr>
      </w:pPr>
    </w:p>
    <w:p w:rsidR="00BC3785" w:rsidRDefault="00BC3785" w:rsidP="00D920EB">
      <w:pPr>
        <w:spacing w:before="120" w:after="0" w:line="240" w:lineRule="auto"/>
        <w:ind w:firstLine="360"/>
        <w:rPr>
          <w:rFonts w:cs="Arial"/>
          <w:sz w:val="28"/>
          <w:szCs w:val="28"/>
        </w:rPr>
      </w:pPr>
    </w:p>
    <w:p w:rsidR="00BC3785" w:rsidRDefault="00BC3785" w:rsidP="00D920EB">
      <w:pPr>
        <w:spacing w:before="120" w:after="0" w:line="240" w:lineRule="auto"/>
        <w:ind w:firstLine="360"/>
        <w:rPr>
          <w:rFonts w:cs="Arial"/>
          <w:sz w:val="28"/>
          <w:szCs w:val="28"/>
        </w:rPr>
      </w:pPr>
    </w:p>
    <w:p w:rsidR="00BC3785" w:rsidRDefault="00BC3785" w:rsidP="00D920EB">
      <w:pPr>
        <w:spacing w:before="120" w:after="0" w:line="240" w:lineRule="auto"/>
        <w:ind w:firstLine="360"/>
        <w:rPr>
          <w:rFonts w:cs="Arial"/>
          <w:sz w:val="28"/>
          <w:szCs w:val="28"/>
        </w:rPr>
      </w:pPr>
    </w:p>
    <w:p w:rsidR="00BC3785" w:rsidRDefault="00BC3785" w:rsidP="00D920EB">
      <w:pPr>
        <w:spacing w:before="120" w:after="0" w:line="240" w:lineRule="auto"/>
        <w:ind w:firstLine="360"/>
        <w:rPr>
          <w:rFonts w:cs="Arial"/>
          <w:sz w:val="28"/>
          <w:szCs w:val="28"/>
        </w:rPr>
      </w:pPr>
    </w:p>
    <w:p w:rsidR="00BC3785" w:rsidRDefault="00BC3785" w:rsidP="00D920EB">
      <w:pPr>
        <w:spacing w:before="120" w:after="0" w:line="240" w:lineRule="auto"/>
        <w:ind w:firstLine="360"/>
        <w:rPr>
          <w:rFonts w:cs="Arial"/>
          <w:sz w:val="28"/>
          <w:szCs w:val="28"/>
        </w:rPr>
      </w:pPr>
    </w:p>
    <w:p w:rsidR="00741CC2" w:rsidRDefault="00741CC2">
      <w:pPr>
        <w:rPr>
          <w:rFonts w:cs="Arial"/>
          <w:sz w:val="28"/>
          <w:szCs w:val="28"/>
        </w:rPr>
      </w:pPr>
      <w:r>
        <w:rPr>
          <w:rFonts w:cs="Arial"/>
          <w:sz w:val="28"/>
          <w:szCs w:val="28"/>
        </w:rPr>
        <w:br w:type="page"/>
      </w:r>
    </w:p>
    <w:p w:rsidR="00406F25" w:rsidRPr="009C6832" w:rsidRDefault="00406F25" w:rsidP="00D920EB">
      <w:pPr>
        <w:spacing w:before="120" w:after="0" w:line="240" w:lineRule="auto"/>
        <w:ind w:firstLine="360"/>
        <w:rPr>
          <w:rFonts w:cs="Arial"/>
          <w:sz w:val="28"/>
          <w:szCs w:val="28"/>
        </w:rPr>
      </w:pPr>
    </w:p>
    <w:p w:rsidR="0056154D" w:rsidRPr="009C6832" w:rsidRDefault="00E3087D" w:rsidP="0047638C">
      <w:pPr>
        <w:pStyle w:val="ListParagraph"/>
        <w:numPr>
          <w:ilvl w:val="0"/>
          <w:numId w:val="1"/>
        </w:numPr>
        <w:ind w:left="567" w:hanging="283"/>
        <w:outlineLvl w:val="0"/>
        <w:rPr>
          <w:rFonts w:cs="Arial"/>
          <w:b/>
          <w:sz w:val="28"/>
          <w:szCs w:val="28"/>
        </w:rPr>
      </w:pPr>
      <w:bookmarkStart w:id="12" w:name="_Toc299543080"/>
      <w:bookmarkStart w:id="13" w:name="_Toc425320858"/>
      <w:bookmarkStart w:id="14" w:name="_Toc425428327"/>
      <w:bookmarkStart w:id="15" w:name="_Toc456256137"/>
      <w:bookmarkStart w:id="16" w:name="_Toc456256934"/>
      <w:bookmarkStart w:id="17" w:name="_Toc456257458"/>
      <w:bookmarkStart w:id="18" w:name="_Toc456258316"/>
      <w:bookmarkStart w:id="19" w:name="_Toc456258421"/>
      <w:bookmarkStart w:id="20" w:name="_Toc456259613"/>
      <w:r w:rsidRPr="009C6832">
        <w:rPr>
          <w:rFonts w:cs="Arial"/>
          <w:b/>
          <w:sz w:val="28"/>
          <w:szCs w:val="28"/>
        </w:rPr>
        <w:t xml:space="preserve">Execuția bugetară pe </w:t>
      </w:r>
      <w:r w:rsidR="00BD4E32" w:rsidRPr="009C6832">
        <w:rPr>
          <w:rFonts w:cs="Arial"/>
          <w:b/>
          <w:sz w:val="28"/>
          <w:szCs w:val="28"/>
        </w:rPr>
        <w:t xml:space="preserve">primul semestru al </w:t>
      </w:r>
      <w:r w:rsidRPr="009C6832">
        <w:rPr>
          <w:rFonts w:cs="Arial"/>
          <w:b/>
          <w:sz w:val="28"/>
          <w:szCs w:val="28"/>
        </w:rPr>
        <w:t>anului</w:t>
      </w:r>
      <w:bookmarkEnd w:id="12"/>
      <w:bookmarkEnd w:id="13"/>
      <w:bookmarkEnd w:id="14"/>
      <w:bookmarkEnd w:id="15"/>
      <w:bookmarkEnd w:id="16"/>
      <w:bookmarkEnd w:id="17"/>
      <w:bookmarkEnd w:id="18"/>
      <w:bookmarkEnd w:id="19"/>
      <w:bookmarkEnd w:id="20"/>
      <w:r w:rsidR="007111AF">
        <w:rPr>
          <w:rFonts w:cs="Arial"/>
          <w:b/>
          <w:sz w:val="28"/>
          <w:szCs w:val="28"/>
        </w:rPr>
        <w:t xml:space="preserve"> </w:t>
      </w:r>
      <w:r w:rsidR="00C3380F" w:rsidRPr="009C6832">
        <w:rPr>
          <w:rFonts w:cs="Arial"/>
          <w:b/>
          <w:sz w:val="28"/>
          <w:szCs w:val="28"/>
        </w:rPr>
        <w:t>2017</w:t>
      </w:r>
    </w:p>
    <w:p w:rsidR="00060B8F" w:rsidRPr="009C6832" w:rsidRDefault="00060B8F" w:rsidP="00060B8F">
      <w:pPr>
        <w:pStyle w:val="ListParagraph"/>
        <w:ind w:left="567" w:firstLine="0"/>
        <w:outlineLvl w:val="0"/>
        <w:rPr>
          <w:rFonts w:cs="Arial"/>
          <w:b/>
          <w:sz w:val="28"/>
          <w:szCs w:val="28"/>
        </w:rPr>
      </w:pPr>
    </w:p>
    <w:p w:rsidR="007C4F03" w:rsidRPr="009C6832" w:rsidRDefault="007C4F03" w:rsidP="00060B8F">
      <w:pPr>
        <w:spacing w:after="120"/>
        <w:ind w:firstLine="680"/>
        <w:rPr>
          <w:rFonts w:cs="Arial"/>
          <w:sz w:val="24"/>
          <w:szCs w:val="24"/>
        </w:rPr>
      </w:pPr>
      <w:r w:rsidRPr="009C6832">
        <w:rPr>
          <w:rFonts w:cs="Arial"/>
          <w:sz w:val="24"/>
          <w:szCs w:val="24"/>
        </w:rPr>
        <w:t xml:space="preserve">Conform datelor operative, execuția bugetului general consolidat pe </w:t>
      </w:r>
      <w:r w:rsidR="00105A75" w:rsidRPr="009C6832">
        <w:rPr>
          <w:rFonts w:cs="Arial"/>
          <w:sz w:val="24"/>
          <w:szCs w:val="24"/>
        </w:rPr>
        <w:t>primul semestru al</w:t>
      </w:r>
      <w:r w:rsidRPr="009C6832">
        <w:rPr>
          <w:rFonts w:cs="Arial"/>
          <w:sz w:val="24"/>
          <w:szCs w:val="24"/>
        </w:rPr>
        <w:t xml:space="preserve"> anului </w:t>
      </w:r>
      <w:r w:rsidR="00C3380F" w:rsidRPr="009C6832">
        <w:rPr>
          <w:rFonts w:cs="Arial"/>
          <w:sz w:val="24"/>
          <w:szCs w:val="24"/>
        </w:rPr>
        <w:t xml:space="preserve">2017 </w:t>
      </w:r>
      <w:r w:rsidRPr="009C6832">
        <w:rPr>
          <w:rFonts w:cs="Arial"/>
          <w:sz w:val="24"/>
          <w:szCs w:val="24"/>
        </w:rPr>
        <w:t xml:space="preserve">(Anexa nr. 1 şi Anexa nr. 2) s-a încheiat cu un </w:t>
      </w:r>
      <w:r w:rsidR="009F4875" w:rsidRPr="009C6832">
        <w:rPr>
          <w:rFonts w:cs="Arial"/>
          <w:b/>
          <w:bCs/>
          <w:sz w:val="24"/>
          <w:szCs w:val="24"/>
        </w:rPr>
        <w:t>deficit</w:t>
      </w:r>
      <w:r w:rsidR="00A26E1A">
        <w:rPr>
          <w:rFonts w:cs="Arial"/>
          <w:b/>
          <w:bCs/>
          <w:sz w:val="24"/>
          <w:szCs w:val="24"/>
        </w:rPr>
        <w:t xml:space="preserve"> </w:t>
      </w:r>
      <w:r w:rsidRPr="009C6832">
        <w:rPr>
          <w:rFonts w:cs="Arial"/>
          <w:sz w:val="24"/>
          <w:szCs w:val="24"/>
        </w:rPr>
        <w:t xml:space="preserve">de </w:t>
      </w:r>
      <w:r w:rsidR="00C3380F" w:rsidRPr="009C6832">
        <w:rPr>
          <w:rFonts w:cs="Arial"/>
          <w:sz w:val="24"/>
          <w:szCs w:val="24"/>
        </w:rPr>
        <w:t>6</w:t>
      </w:r>
      <w:r w:rsidR="00BD4E32" w:rsidRPr="009C6832">
        <w:rPr>
          <w:rFonts w:cs="Arial"/>
          <w:sz w:val="24"/>
          <w:szCs w:val="24"/>
        </w:rPr>
        <w:t>.</w:t>
      </w:r>
      <w:r w:rsidR="00C3380F" w:rsidRPr="009C6832">
        <w:rPr>
          <w:rFonts w:cs="Arial"/>
          <w:sz w:val="24"/>
          <w:szCs w:val="24"/>
        </w:rPr>
        <w:t>295,1</w:t>
      </w:r>
      <w:r w:rsidRPr="009C6832">
        <w:rPr>
          <w:rFonts w:cs="Arial"/>
          <w:sz w:val="24"/>
          <w:szCs w:val="24"/>
        </w:rPr>
        <w:t xml:space="preserve"> milioane lei (0,</w:t>
      </w:r>
      <w:r w:rsidR="00C3380F" w:rsidRPr="009C6832">
        <w:rPr>
          <w:rFonts w:cs="Arial"/>
          <w:sz w:val="24"/>
          <w:szCs w:val="24"/>
        </w:rPr>
        <w:t>8</w:t>
      </w:r>
      <w:r w:rsidRPr="009C6832">
        <w:rPr>
          <w:rFonts w:cs="Arial"/>
          <w:sz w:val="24"/>
          <w:szCs w:val="24"/>
        </w:rPr>
        <w:t xml:space="preserve">% din PIB), în condițiile în care pentru perioada analizată a fost stabilită ca țintă </w:t>
      </w:r>
      <w:r w:rsidR="00183827" w:rsidRPr="009C6832">
        <w:rPr>
          <w:rFonts w:cs="Arial"/>
          <w:sz w:val="24"/>
          <w:szCs w:val="24"/>
        </w:rPr>
        <w:t xml:space="preserve">inițială </w:t>
      </w:r>
      <w:r w:rsidRPr="009C6832">
        <w:rPr>
          <w:rFonts w:cs="Arial"/>
          <w:sz w:val="24"/>
          <w:szCs w:val="24"/>
        </w:rPr>
        <w:t xml:space="preserve">un </w:t>
      </w:r>
      <w:r w:rsidRPr="009C6832">
        <w:rPr>
          <w:rFonts w:cs="Arial"/>
          <w:b/>
          <w:sz w:val="24"/>
          <w:szCs w:val="24"/>
        </w:rPr>
        <w:t xml:space="preserve">deficit </w:t>
      </w:r>
      <w:r w:rsidRPr="009C6832">
        <w:rPr>
          <w:rFonts w:cs="Arial"/>
          <w:sz w:val="24"/>
          <w:szCs w:val="24"/>
        </w:rPr>
        <w:t xml:space="preserve">bugetar de </w:t>
      </w:r>
      <w:r w:rsidR="009F4875" w:rsidRPr="009C6832">
        <w:rPr>
          <w:rFonts w:cs="Arial"/>
          <w:sz w:val="24"/>
          <w:szCs w:val="24"/>
        </w:rPr>
        <w:t>1,</w:t>
      </w:r>
      <w:r w:rsidR="00C3380F" w:rsidRPr="009C6832">
        <w:rPr>
          <w:rFonts w:cs="Arial"/>
          <w:sz w:val="24"/>
          <w:szCs w:val="24"/>
        </w:rPr>
        <w:t>5</w:t>
      </w:r>
      <w:r w:rsidR="00384D95" w:rsidRPr="009C6832">
        <w:rPr>
          <w:rFonts w:cs="Arial"/>
          <w:sz w:val="24"/>
          <w:szCs w:val="24"/>
        </w:rPr>
        <w:t>% din PIB</w:t>
      </w:r>
      <w:r w:rsidRPr="009C6832">
        <w:rPr>
          <w:rFonts w:cs="Arial"/>
          <w:sz w:val="24"/>
          <w:szCs w:val="24"/>
        </w:rPr>
        <w:t>.</w:t>
      </w:r>
    </w:p>
    <w:p w:rsidR="00105A75" w:rsidRPr="009C6832" w:rsidRDefault="007C4F03" w:rsidP="00060B8F">
      <w:pPr>
        <w:spacing w:after="120"/>
        <w:ind w:firstLine="680"/>
        <w:rPr>
          <w:rFonts w:cs="Arial"/>
          <w:bCs/>
          <w:sz w:val="24"/>
          <w:szCs w:val="24"/>
        </w:rPr>
      </w:pPr>
      <w:r w:rsidRPr="009C6832">
        <w:rPr>
          <w:rFonts w:cs="Arial"/>
          <w:b/>
          <w:sz w:val="24"/>
          <w:szCs w:val="24"/>
        </w:rPr>
        <w:t>Veniturile bugetului general consolidat</w:t>
      </w:r>
      <w:r w:rsidRPr="009C6832">
        <w:rPr>
          <w:rFonts w:cs="Arial"/>
          <w:sz w:val="24"/>
          <w:szCs w:val="24"/>
        </w:rPr>
        <w:t xml:space="preserve"> au fost în sumă de </w:t>
      </w:r>
      <w:r w:rsidR="00C3380F" w:rsidRPr="009C6832">
        <w:rPr>
          <w:rFonts w:cs="Arial"/>
          <w:b/>
          <w:sz w:val="24"/>
          <w:szCs w:val="24"/>
        </w:rPr>
        <w:t>117.227,7</w:t>
      </w:r>
      <w:r w:rsidRPr="009C6832">
        <w:rPr>
          <w:rFonts w:cs="Arial"/>
          <w:b/>
          <w:sz w:val="24"/>
          <w:szCs w:val="24"/>
        </w:rPr>
        <w:t xml:space="preserve"> milioane lei</w:t>
      </w:r>
      <w:r w:rsidRPr="009C6832">
        <w:rPr>
          <w:rFonts w:cs="Arial"/>
          <w:sz w:val="24"/>
          <w:szCs w:val="24"/>
        </w:rPr>
        <w:t xml:space="preserve">, cu </w:t>
      </w:r>
      <w:r w:rsidR="00C3380F" w:rsidRPr="009C6832">
        <w:rPr>
          <w:rFonts w:cs="Arial"/>
          <w:sz w:val="24"/>
          <w:szCs w:val="24"/>
        </w:rPr>
        <w:t>8,2</w:t>
      </w:r>
      <w:r w:rsidR="009F4875" w:rsidRPr="009C6832">
        <w:rPr>
          <w:rFonts w:cs="Arial"/>
          <w:sz w:val="24"/>
          <w:szCs w:val="24"/>
        </w:rPr>
        <w:t xml:space="preserve">% mai </w:t>
      </w:r>
      <w:r w:rsidR="00C3380F" w:rsidRPr="009C6832">
        <w:rPr>
          <w:rFonts w:cs="Arial"/>
          <w:sz w:val="24"/>
          <w:szCs w:val="24"/>
        </w:rPr>
        <w:t xml:space="preserve">mari </w:t>
      </w:r>
      <w:r w:rsidRPr="009C6832">
        <w:rPr>
          <w:rFonts w:cs="Arial"/>
          <w:sz w:val="24"/>
          <w:szCs w:val="24"/>
        </w:rPr>
        <w:t>comparativ cu aceeași perioadă a anului</w:t>
      </w:r>
      <w:r w:rsidRPr="009C6832">
        <w:rPr>
          <w:rFonts w:cs="Arial"/>
          <w:bCs/>
          <w:sz w:val="24"/>
          <w:szCs w:val="24"/>
        </w:rPr>
        <w:t xml:space="preserve"> precedent şi </w:t>
      </w:r>
      <w:r w:rsidR="00105A75" w:rsidRPr="009C6832">
        <w:rPr>
          <w:rFonts w:cs="Arial"/>
          <w:bCs/>
          <w:sz w:val="24"/>
          <w:szCs w:val="24"/>
        </w:rPr>
        <w:t xml:space="preserve">cu </w:t>
      </w:r>
      <w:r w:rsidRPr="009C6832">
        <w:rPr>
          <w:rFonts w:cs="Arial"/>
          <w:bCs/>
          <w:sz w:val="24"/>
          <w:szCs w:val="24"/>
        </w:rPr>
        <w:t xml:space="preserve">un grad de realizare al programului de încasări pe primul semestru de </w:t>
      </w:r>
      <w:r w:rsidR="009F4875" w:rsidRPr="009C6832">
        <w:rPr>
          <w:rFonts w:cs="Arial"/>
          <w:b/>
          <w:bCs/>
          <w:sz w:val="24"/>
          <w:szCs w:val="24"/>
        </w:rPr>
        <w:t>95,</w:t>
      </w:r>
      <w:r w:rsidR="00C3380F" w:rsidRPr="009C6832">
        <w:rPr>
          <w:rFonts w:cs="Arial"/>
          <w:b/>
          <w:bCs/>
          <w:sz w:val="24"/>
          <w:szCs w:val="24"/>
        </w:rPr>
        <w:t>4</w:t>
      </w:r>
      <w:r w:rsidRPr="009C6832">
        <w:rPr>
          <w:rFonts w:cs="Arial"/>
          <w:b/>
          <w:bCs/>
          <w:sz w:val="24"/>
          <w:szCs w:val="24"/>
        </w:rPr>
        <w:t>%</w:t>
      </w:r>
      <w:r w:rsidRPr="009C6832">
        <w:rPr>
          <w:rFonts w:cs="Arial"/>
          <w:bCs/>
          <w:sz w:val="24"/>
          <w:szCs w:val="24"/>
        </w:rPr>
        <w:t xml:space="preserve">. </w:t>
      </w:r>
    </w:p>
    <w:p w:rsidR="007C4F03" w:rsidRPr="009C6832" w:rsidRDefault="007E5C0F" w:rsidP="00060B8F">
      <w:pPr>
        <w:spacing w:after="120"/>
        <w:ind w:firstLine="680"/>
        <w:rPr>
          <w:rFonts w:cs="Arial"/>
          <w:bCs/>
          <w:sz w:val="24"/>
          <w:szCs w:val="24"/>
        </w:rPr>
      </w:pPr>
      <w:r w:rsidRPr="009C6832">
        <w:rPr>
          <w:rFonts w:cs="Arial"/>
          <w:bCs/>
          <w:sz w:val="24"/>
          <w:szCs w:val="24"/>
        </w:rPr>
        <w:t>V</w:t>
      </w:r>
      <w:r w:rsidR="003E5810" w:rsidRPr="009C6832">
        <w:rPr>
          <w:rFonts w:cs="Arial"/>
          <w:bCs/>
          <w:sz w:val="24"/>
          <w:szCs w:val="24"/>
        </w:rPr>
        <w:t>eniturile bugetului general consolidat</w:t>
      </w:r>
      <w:r w:rsidRPr="009C6832">
        <w:rPr>
          <w:rFonts w:cs="Arial"/>
          <w:bCs/>
          <w:sz w:val="24"/>
          <w:szCs w:val="24"/>
        </w:rPr>
        <w:t>, ca procent în PIB,</w:t>
      </w:r>
      <w:r w:rsidR="003E5810" w:rsidRPr="009C6832">
        <w:rPr>
          <w:rFonts w:cs="Arial"/>
          <w:bCs/>
          <w:sz w:val="24"/>
          <w:szCs w:val="24"/>
        </w:rPr>
        <w:t xml:space="preserve"> au crescut în perioada analizată cu 0,2 puncte procentuale comparativ cu aceeași perioadă a anului anterior de la 14,2% în PIB în semestruI </w:t>
      </w:r>
      <w:r w:rsidR="00105A75" w:rsidRPr="009C6832">
        <w:rPr>
          <w:rFonts w:cs="Arial"/>
          <w:bCs/>
          <w:sz w:val="24"/>
          <w:szCs w:val="24"/>
        </w:rPr>
        <w:t xml:space="preserve">I </w:t>
      </w:r>
      <w:r w:rsidR="003E5810" w:rsidRPr="009C6832">
        <w:rPr>
          <w:rFonts w:cs="Arial"/>
          <w:bCs/>
          <w:sz w:val="24"/>
          <w:szCs w:val="24"/>
        </w:rPr>
        <w:t>2016 la 14,4% din PIB în semestrul I 2017.</w:t>
      </w:r>
    </w:p>
    <w:p w:rsidR="007C4F03" w:rsidRPr="009C6832" w:rsidRDefault="007C4F03" w:rsidP="00060B8F">
      <w:pPr>
        <w:spacing w:after="120"/>
        <w:ind w:firstLine="680"/>
        <w:rPr>
          <w:rFonts w:cs="Arial"/>
          <w:bCs/>
          <w:sz w:val="24"/>
          <w:szCs w:val="24"/>
        </w:rPr>
      </w:pPr>
      <w:r w:rsidRPr="009C6832">
        <w:rPr>
          <w:rFonts w:cs="Arial"/>
          <w:b/>
          <w:bCs/>
          <w:sz w:val="24"/>
          <w:szCs w:val="24"/>
        </w:rPr>
        <w:t>Veniturile încasate din economia internă</w:t>
      </w:r>
      <w:r w:rsidRPr="009C6832">
        <w:rPr>
          <w:rFonts w:cs="Arial"/>
          <w:bCs/>
          <w:sz w:val="24"/>
          <w:szCs w:val="24"/>
        </w:rPr>
        <w:t xml:space="preserve"> (fără fonduri de la Uniunea Europeană pre </w:t>
      </w:r>
      <w:r w:rsidR="00A86D78" w:rsidRPr="009C6832">
        <w:rPr>
          <w:rFonts w:cs="Arial"/>
          <w:bCs/>
          <w:sz w:val="24"/>
          <w:szCs w:val="24"/>
        </w:rPr>
        <w:t>ș</w:t>
      </w:r>
      <w:r w:rsidRPr="009C6832">
        <w:rPr>
          <w:rFonts w:cs="Arial"/>
          <w:bCs/>
          <w:sz w:val="24"/>
          <w:szCs w:val="24"/>
        </w:rPr>
        <w:t xml:space="preserve">i post-aderare) au fost în sumă de </w:t>
      </w:r>
      <w:r w:rsidR="00C3380F" w:rsidRPr="009C6832">
        <w:rPr>
          <w:rFonts w:cs="Arial"/>
          <w:bCs/>
          <w:sz w:val="24"/>
          <w:szCs w:val="24"/>
        </w:rPr>
        <w:t>111.594,4</w:t>
      </w:r>
      <w:r w:rsidRPr="009C6832">
        <w:rPr>
          <w:rFonts w:cs="Arial"/>
          <w:bCs/>
          <w:sz w:val="24"/>
          <w:szCs w:val="24"/>
        </w:rPr>
        <w:t>milioane lei (</w:t>
      </w:r>
      <w:r w:rsidR="00C3380F" w:rsidRPr="009C6832">
        <w:rPr>
          <w:rFonts w:cs="Arial"/>
          <w:bCs/>
          <w:sz w:val="24"/>
          <w:szCs w:val="24"/>
        </w:rPr>
        <w:t>13,7</w:t>
      </w:r>
      <w:r w:rsidRPr="009C6832">
        <w:rPr>
          <w:rFonts w:cs="Arial"/>
          <w:bCs/>
          <w:sz w:val="24"/>
          <w:szCs w:val="24"/>
        </w:rPr>
        <w:t xml:space="preserve">% din PIB), cu </w:t>
      </w:r>
      <w:r w:rsidR="006F4BE5" w:rsidRPr="009C6832">
        <w:rPr>
          <w:rFonts w:cs="Arial"/>
          <w:bCs/>
          <w:sz w:val="24"/>
          <w:szCs w:val="24"/>
        </w:rPr>
        <w:t>4,1</w:t>
      </w:r>
      <w:r w:rsidRPr="009C6832">
        <w:rPr>
          <w:rFonts w:cs="Arial"/>
          <w:bCs/>
          <w:sz w:val="24"/>
          <w:szCs w:val="24"/>
        </w:rPr>
        <w:t xml:space="preserve">% mai </w:t>
      </w:r>
      <w:r w:rsidR="0047638C" w:rsidRPr="009C6832">
        <w:rPr>
          <w:rFonts w:cs="Arial"/>
          <w:bCs/>
          <w:sz w:val="24"/>
          <w:szCs w:val="24"/>
        </w:rPr>
        <w:t xml:space="preserve">mari </w:t>
      </w:r>
      <w:r w:rsidRPr="009C6832">
        <w:rPr>
          <w:rFonts w:cs="Arial"/>
          <w:bCs/>
          <w:sz w:val="24"/>
          <w:szCs w:val="24"/>
        </w:rPr>
        <w:t xml:space="preserve">comparativ cu încasările semestrului I </w:t>
      </w:r>
      <w:r w:rsidR="006F4BE5" w:rsidRPr="009C6832">
        <w:rPr>
          <w:rFonts w:cs="Arial"/>
          <w:bCs/>
          <w:sz w:val="24"/>
          <w:szCs w:val="24"/>
        </w:rPr>
        <w:t xml:space="preserve">2016 </w:t>
      </w:r>
      <w:r w:rsidRPr="009C6832">
        <w:rPr>
          <w:rFonts w:cs="Arial"/>
          <w:bCs/>
          <w:sz w:val="24"/>
          <w:szCs w:val="24"/>
        </w:rPr>
        <w:t xml:space="preserve">şi un grad de </w:t>
      </w:r>
      <w:r w:rsidR="005275F7" w:rsidRPr="009C6832">
        <w:rPr>
          <w:rFonts w:cs="Arial"/>
          <w:bCs/>
          <w:sz w:val="24"/>
          <w:szCs w:val="24"/>
        </w:rPr>
        <w:t>realizare a</w:t>
      </w:r>
      <w:r w:rsidRPr="009C6832">
        <w:rPr>
          <w:rFonts w:cs="Arial"/>
          <w:bCs/>
          <w:sz w:val="24"/>
          <w:szCs w:val="24"/>
        </w:rPr>
        <w:t xml:space="preserve"> programul semestrial </w:t>
      </w:r>
      <w:r w:rsidR="00D853E1" w:rsidRPr="009C6832">
        <w:rPr>
          <w:rFonts w:cs="Arial"/>
          <w:bCs/>
          <w:sz w:val="24"/>
          <w:szCs w:val="24"/>
        </w:rPr>
        <w:t xml:space="preserve">de </w:t>
      </w:r>
      <w:r w:rsidR="006F4BE5" w:rsidRPr="009C6832">
        <w:rPr>
          <w:rFonts w:cs="Arial"/>
          <w:bCs/>
          <w:sz w:val="24"/>
          <w:szCs w:val="24"/>
        </w:rPr>
        <w:t>97,8</w:t>
      </w:r>
      <w:r w:rsidRPr="009C6832">
        <w:rPr>
          <w:rFonts w:cs="Arial"/>
          <w:bCs/>
          <w:sz w:val="24"/>
          <w:szCs w:val="24"/>
        </w:rPr>
        <w:t xml:space="preserve">%.  </w:t>
      </w:r>
    </w:p>
    <w:p w:rsidR="00FF5682" w:rsidRPr="009C6832" w:rsidRDefault="00FF5682" w:rsidP="00060B8F">
      <w:pPr>
        <w:spacing w:after="120"/>
        <w:ind w:firstLine="680"/>
        <w:rPr>
          <w:rFonts w:cs="Arial"/>
          <w:bCs/>
          <w:sz w:val="24"/>
          <w:szCs w:val="24"/>
        </w:rPr>
      </w:pPr>
      <w:r w:rsidRPr="009C6832">
        <w:rPr>
          <w:rFonts w:cs="Arial"/>
          <w:bCs/>
          <w:sz w:val="24"/>
          <w:szCs w:val="24"/>
        </w:rPr>
        <w:t xml:space="preserve">La bugetul de stat veniturile încasate din economia internă </w:t>
      </w:r>
      <w:r w:rsidR="009F58DB" w:rsidRPr="009C6832">
        <w:rPr>
          <w:rFonts w:cs="Arial"/>
          <w:bCs/>
          <w:sz w:val="24"/>
          <w:szCs w:val="24"/>
        </w:rPr>
        <w:t xml:space="preserve">au înregistrat un grad de </w:t>
      </w:r>
      <w:r w:rsidR="00CE1F98" w:rsidRPr="009C6832">
        <w:rPr>
          <w:rFonts w:cs="Arial"/>
          <w:bCs/>
          <w:sz w:val="24"/>
          <w:szCs w:val="24"/>
        </w:rPr>
        <w:t>realizare al</w:t>
      </w:r>
      <w:r w:rsidR="00A26E1A">
        <w:rPr>
          <w:rFonts w:cs="Arial"/>
          <w:bCs/>
          <w:sz w:val="24"/>
          <w:szCs w:val="24"/>
        </w:rPr>
        <w:t xml:space="preserve"> </w:t>
      </w:r>
      <w:r w:rsidR="00CE1F98" w:rsidRPr="009C6832">
        <w:rPr>
          <w:rFonts w:cs="Arial"/>
          <w:bCs/>
          <w:sz w:val="24"/>
          <w:szCs w:val="24"/>
        </w:rPr>
        <w:t>programul</w:t>
      </w:r>
      <w:r w:rsidR="00BF4126" w:rsidRPr="009C6832">
        <w:rPr>
          <w:rFonts w:cs="Arial"/>
          <w:bCs/>
          <w:sz w:val="24"/>
          <w:szCs w:val="24"/>
        </w:rPr>
        <w:t>ui</w:t>
      </w:r>
      <w:r w:rsidR="00CE1F98" w:rsidRPr="009C6832">
        <w:rPr>
          <w:rFonts w:cs="Arial"/>
          <w:bCs/>
          <w:sz w:val="24"/>
          <w:szCs w:val="24"/>
        </w:rPr>
        <w:t xml:space="preserve"> semestrial </w:t>
      </w:r>
      <w:r w:rsidR="009F58DB" w:rsidRPr="009C6832">
        <w:rPr>
          <w:rFonts w:cs="Arial"/>
          <w:bCs/>
          <w:sz w:val="24"/>
          <w:szCs w:val="24"/>
        </w:rPr>
        <w:t xml:space="preserve">de </w:t>
      </w:r>
      <w:r w:rsidR="006F4BE5" w:rsidRPr="009C6832">
        <w:rPr>
          <w:rFonts w:cs="Arial"/>
          <w:bCs/>
          <w:sz w:val="24"/>
          <w:szCs w:val="24"/>
        </w:rPr>
        <w:t>96,2</w:t>
      </w:r>
      <w:r w:rsidR="009F58DB" w:rsidRPr="009C6832">
        <w:rPr>
          <w:rFonts w:cs="Arial"/>
          <w:bCs/>
          <w:sz w:val="24"/>
          <w:szCs w:val="24"/>
        </w:rPr>
        <w:t>%</w:t>
      </w:r>
      <w:r w:rsidR="00BF4126" w:rsidRPr="009C6832">
        <w:rPr>
          <w:rFonts w:cs="Arial"/>
          <w:bCs/>
          <w:sz w:val="24"/>
          <w:szCs w:val="24"/>
        </w:rPr>
        <w:t>.</w:t>
      </w:r>
    </w:p>
    <w:p w:rsidR="007C4F03" w:rsidRPr="009C6832" w:rsidRDefault="00C265A3" w:rsidP="00060B8F">
      <w:pPr>
        <w:spacing w:after="120"/>
        <w:ind w:firstLine="680"/>
        <w:rPr>
          <w:rFonts w:cs="Arial"/>
          <w:bCs/>
          <w:sz w:val="24"/>
          <w:szCs w:val="24"/>
        </w:rPr>
      </w:pPr>
      <w:r w:rsidRPr="009C6832">
        <w:rPr>
          <w:rFonts w:cs="Arial"/>
          <w:bCs/>
          <w:sz w:val="24"/>
          <w:szCs w:val="24"/>
        </w:rPr>
        <w:t>V</w:t>
      </w:r>
      <w:r w:rsidR="007C4F03" w:rsidRPr="009C6832">
        <w:rPr>
          <w:rFonts w:cs="Arial"/>
          <w:bCs/>
          <w:sz w:val="24"/>
          <w:szCs w:val="24"/>
        </w:rPr>
        <w:t>eniturile încasate din economia internă</w:t>
      </w:r>
      <w:r w:rsidRPr="009C6832">
        <w:rPr>
          <w:rFonts w:cs="Arial"/>
          <w:bCs/>
          <w:sz w:val="24"/>
          <w:szCs w:val="24"/>
        </w:rPr>
        <w:t>, ca procent în PIB,</w:t>
      </w:r>
      <w:r w:rsidR="00A26E1A">
        <w:rPr>
          <w:rFonts w:cs="Arial"/>
          <w:bCs/>
          <w:sz w:val="24"/>
          <w:szCs w:val="24"/>
        </w:rPr>
        <w:t xml:space="preserve"> </w:t>
      </w:r>
      <w:r w:rsidR="009364F0" w:rsidRPr="009C6832">
        <w:rPr>
          <w:rFonts w:cs="Arial"/>
          <w:bCs/>
          <w:sz w:val="24"/>
          <w:szCs w:val="24"/>
        </w:rPr>
        <w:t>s-</w:t>
      </w:r>
      <w:r w:rsidR="007C4F03" w:rsidRPr="009C6832">
        <w:rPr>
          <w:rFonts w:cs="Arial"/>
          <w:bCs/>
          <w:sz w:val="24"/>
          <w:szCs w:val="24"/>
        </w:rPr>
        <w:t xml:space="preserve">au </w:t>
      </w:r>
      <w:r w:rsidR="009364F0" w:rsidRPr="009C6832">
        <w:rPr>
          <w:rFonts w:cs="Arial"/>
          <w:bCs/>
          <w:sz w:val="24"/>
          <w:szCs w:val="24"/>
        </w:rPr>
        <w:t xml:space="preserve">redus </w:t>
      </w:r>
      <w:r w:rsidR="007C4F03" w:rsidRPr="009C6832">
        <w:rPr>
          <w:rFonts w:cs="Arial"/>
          <w:bCs/>
          <w:sz w:val="24"/>
          <w:szCs w:val="24"/>
        </w:rPr>
        <w:t>cu 0,</w:t>
      </w:r>
      <w:r w:rsidR="006F4BE5" w:rsidRPr="009C6832">
        <w:rPr>
          <w:rFonts w:cs="Arial"/>
          <w:bCs/>
          <w:sz w:val="24"/>
          <w:szCs w:val="24"/>
        </w:rPr>
        <w:t xml:space="preserve">4 </w:t>
      </w:r>
      <w:r w:rsidR="007C4F03" w:rsidRPr="009C6832">
        <w:rPr>
          <w:rFonts w:cs="Arial"/>
          <w:bCs/>
          <w:sz w:val="24"/>
          <w:szCs w:val="24"/>
        </w:rPr>
        <w:t>puncte procentuale de la 14,</w:t>
      </w:r>
      <w:r w:rsidR="006F4BE5" w:rsidRPr="009C6832">
        <w:rPr>
          <w:rFonts w:cs="Arial"/>
          <w:bCs/>
          <w:sz w:val="24"/>
          <w:szCs w:val="24"/>
        </w:rPr>
        <w:t>1</w:t>
      </w:r>
      <w:r w:rsidR="007C4F03" w:rsidRPr="009C6832">
        <w:rPr>
          <w:rFonts w:cs="Arial"/>
          <w:bCs/>
          <w:sz w:val="24"/>
          <w:szCs w:val="24"/>
        </w:rPr>
        <w:t>% din PIB</w:t>
      </w:r>
      <w:r w:rsidRPr="009C6832">
        <w:rPr>
          <w:rFonts w:cs="Arial"/>
          <w:bCs/>
          <w:sz w:val="24"/>
          <w:szCs w:val="24"/>
        </w:rPr>
        <w:t>,</w:t>
      </w:r>
      <w:r w:rsidR="007C4F03" w:rsidRPr="009C6832">
        <w:rPr>
          <w:rFonts w:cs="Arial"/>
          <w:bCs/>
          <w:sz w:val="24"/>
          <w:szCs w:val="24"/>
        </w:rPr>
        <w:t xml:space="preserve"> cât au reprezentat în semestrul I </w:t>
      </w:r>
      <w:r w:rsidR="006F4BE5" w:rsidRPr="009C6832">
        <w:rPr>
          <w:rFonts w:cs="Arial"/>
          <w:bCs/>
          <w:sz w:val="24"/>
          <w:szCs w:val="24"/>
        </w:rPr>
        <w:t xml:space="preserve">2016 </w:t>
      </w:r>
      <w:r w:rsidR="007C4F03" w:rsidRPr="009C6832">
        <w:rPr>
          <w:rFonts w:cs="Arial"/>
          <w:bCs/>
          <w:sz w:val="24"/>
          <w:szCs w:val="24"/>
        </w:rPr>
        <w:t xml:space="preserve">la </w:t>
      </w:r>
      <w:r w:rsidR="006F4BE5" w:rsidRPr="009C6832">
        <w:rPr>
          <w:rFonts w:cs="Arial"/>
          <w:bCs/>
          <w:sz w:val="24"/>
          <w:szCs w:val="24"/>
        </w:rPr>
        <w:t>13,7</w:t>
      </w:r>
      <w:r w:rsidR="007C4F03" w:rsidRPr="009C6832">
        <w:rPr>
          <w:rFonts w:cs="Arial"/>
          <w:bCs/>
          <w:sz w:val="24"/>
          <w:szCs w:val="24"/>
        </w:rPr>
        <w:t xml:space="preserve">% din PIB în semestrul I </w:t>
      </w:r>
      <w:r w:rsidR="006F4BE5" w:rsidRPr="009C6832">
        <w:rPr>
          <w:rFonts w:cs="Arial"/>
          <w:bCs/>
          <w:sz w:val="24"/>
          <w:szCs w:val="24"/>
        </w:rPr>
        <w:t>2017</w:t>
      </w:r>
      <w:r w:rsidR="007C4F03" w:rsidRPr="009C6832">
        <w:rPr>
          <w:rFonts w:cs="Arial"/>
          <w:bCs/>
          <w:sz w:val="24"/>
          <w:szCs w:val="24"/>
        </w:rPr>
        <w:t xml:space="preserve">. </w:t>
      </w:r>
    </w:p>
    <w:p w:rsidR="007C4F03" w:rsidRPr="009C6832" w:rsidRDefault="006F4BE5" w:rsidP="0047638C">
      <w:pPr>
        <w:rPr>
          <w:bCs/>
        </w:rPr>
      </w:pPr>
      <w:r w:rsidRPr="009C6832">
        <w:rPr>
          <w:bCs/>
          <w:noProof/>
          <w:lang w:eastAsia="ro-RO"/>
        </w:rPr>
        <w:drawing>
          <wp:inline distT="0" distB="0" distL="0" distR="0">
            <wp:extent cx="6320790" cy="3192335"/>
            <wp:effectExtent l="0" t="0" r="381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28398" cy="3196177"/>
                    </a:xfrm>
                    <a:prstGeom prst="rect">
                      <a:avLst/>
                    </a:prstGeom>
                    <a:noFill/>
                  </pic:spPr>
                </pic:pic>
              </a:graphicData>
            </a:graphic>
          </wp:inline>
        </w:drawing>
      </w:r>
    </w:p>
    <w:p w:rsidR="007C4F03" w:rsidRPr="009C6832" w:rsidRDefault="005275F7" w:rsidP="00060B8F">
      <w:pPr>
        <w:spacing w:after="120"/>
        <w:rPr>
          <w:rFonts w:cs="Arial"/>
          <w:sz w:val="24"/>
          <w:szCs w:val="24"/>
        </w:rPr>
      </w:pPr>
      <w:r w:rsidRPr="009C6832">
        <w:rPr>
          <w:rFonts w:cs="Arial"/>
          <w:b/>
          <w:bCs/>
          <w:sz w:val="24"/>
          <w:szCs w:val="24"/>
        </w:rPr>
        <w:tab/>
      </w:r>
      <w:r w:rsidR="00243CA2">
        <w:rPr>
          <w:rFonts w:cs="Arial"/>
          <w:b/>
          <w:bCs/>
          <w:sz w:val="24"/>
          <w:szCs w:val="24"/>
        </w:rPr>
        <w:tab/>
      </w:r>
      <w:r w:rsidR="007C4F03" w:rsidRPr="009C6832">
        <w:rPr>
          <w:rFonts w:cs="Arial"/>
          <w:b/>
          <w:bCs/>
          <w:sz w:val="24"/>
          <w:szCs w:val="24"/>
        </w:rPr>
        <w:t>Veniturile fiscale</w:t>
      </w:r>
      <w:r w:rsidR="007C4F03" w:rsidRPr="009C6832">
        <w:rPr>
          <w:rFonts w:cs="Arial"/>
          <w:sz w:val="24"/>
          <w:szCs w:val="24"/>
        </w:rPr>
        <w:t xml:space="preserve"> au fost în sumă de </w:t>
      </w:r>
      <w:r w:rsidR="006F4BE5" w:rsidRPr="009C6832">
        <w:rPr>
          <w:rFonts w:cs="Arial"/>
          <w:b/>
          <w:sz w:val="24"/>
          <w:szCs w:val="24"/>
        </w:rPr>
        <w:t>67.994,5</w:t>
      </w:r>
      <w:r w:rsidR="007C4F03" w:rsidRPr="009C6832">
        <w:rPr>
          <w:rFonts w:cs="Arial"/>
          <w:b/>
          <w:sz w:val="24"/>
          <w:szCs w:val="24"/>
        </w:rPr>
        <w:t xml:space="preserve"> milioane lei</w:t>
      </w:r>
      <w:r w:rsidR="007C4F03" w:rsidRPr="009C6832">
        <w:rPr>
          <w:rFonts w:cs="Arial"/>
          <w:sz w:val="24"/>
          <w:szCs w:val="24"/>
        </w:rPr>
        <w:t xml:space="preserve">, </w:t>
      </w:r>
      <w:r w:rsidR="009364F0" w:rsidRPr="009C6832">
        <w:rPr>
          <w:rFonts w:cs="Arial"/>
          <w:sz w:val="24"/>
          <w:szCs w:val="24"/>
        </w:rPr>
        <w:t xml:space="preserve">cu </w:t>
      </w:r>
      <w:r w:rsidR="006F4BE5" w:rsidRPr="009C6832">
        <w:rPr>
          <w:rFonts w:cs="Arial"/>
          <w:sz w:val="24"/>
          <w:szCs w:val="24"/>
        </w:rPr>
        <w:t>1,1</w:t>
      </w:r>
      <w:r w:rsidR="007C4F03" w:rsidRPr="009C6832">
        <w:rPr>
          <w:rFonts w:cs="Arial"/>
          <w:bCs/>
          <w:sz w:val="24"/>
          <w:szCs w:val="24"/>
        </w:rPr>
        <w:t>%</w:t>
      </w:r>
      <w:r w:rsidR="009364F0" w:rsidRPr="009C6832">
        <w:rPr>
          <w:rFonts w:cs="Arial"/>
          <w:sz w:val="24"/>
          <w:szCs w:val="24"/>
        </w:rPr>
        <w:t xml:space="preserve">mai mici </w:t>
      </w:r>
      <w:r w:rsidR="007C4F03" w:rsidRPr="009C6832">
        <w:rPr>
          <w:rFonts w:cs="Arial"/>
          <w:sz w:val="24"/>
          <w:szCs w:val="24"/>
        </w:rPr>
        <w:t xml:space="preserve">comparativ cu perioada similară din anul precedent </w:t>
      </w:r>
      <w:r w:rsidR="00A86D78" w:rsidRPr="009C6832">
        <w:rPr>
          <w:rFonts w:cs="Arial"/>
          <w:sz w:val="24"/>
          <w:szCs w:val="24"/>
        </w:rPr>
        <w:t>ș</w:t>
      </w:r>
      <w:r w:rsidR="007C4F03" w:rsidRPr="009C6832">
        <w:rPr>
          <w:rFonts w:cs="Arial"/>
          <w:sz w:val="24"/>
          <w:szCs w:val="24"/>
        </w:rPr>
        <w:t xml:space="preserve">i s-au realizat în </w:t>
      </w:r>
      <w:r w:rsidR="00183827" w:rsidRPr="009C6832">
        <w:rPr>
          <w:rFonts w:cs="Arial"/>
          <w:sz w:val="24"/>
          <w:szCs w:val="24"/>
        </w:rPr>
        <w:t>proporție</w:t>
      </w:r>
      <w:r w:rsidR="007C4F03" w:rsidRPr="009C6832">
        <w:rPr>
          <w:rFonts w:cs="Arial"/>
          <w:sz w:val="24"/>
          <w:szCs w:val="24"/>
        </w:rPr>
        <w:t xml:space="preserve"> de </w:t>
      </w:r>
      <w:r w:rsidR="006F4BE5" w:rsidRPr="009C6832">
        <w:rPr>
          <w:rFonts w:cs="Arial"/>
          <w:sz w:val="24"/>
          <w:szCs w:val="24"/>
        </w:rPr>
        <w:t>95,4</w:t>
      </w:r>
      <w:r w:rsidR="007C4F03" w:rsidRPr="009C6832">
        <w:rPr>
          <w:rFonts w:cs="Arial"/>
          <w:sz w:val="24"/>
          <w:szCs w:val="24"/>
        </w:rPr>
        <w:t>%.</w:t>
      </w:r>
    </w:p>
    <w:p w:rsidR="007C4F03" w:rsidRPr="009C6832" w:rsidRDefault="007C4F03" w:rsidP="00060B8F">
      <w:pPr>
        <w:spacing w:after="120"/>
        <w:ind w:firstLine="567"/>
        <w:rPr>
          <w:rFonts w:cs="Arial"/>
          <w:sz w:val="24"/>
          <w:szCs w:val="24"/>
        </w:rPr>
      </w:pPr>
      <w:r w:rsidRPr="009C6832">
        <w:rPr>
          <w:rFonts w:cs="Arial"/>
          <w:sz w:val="24"/>
          <w:szCs w:val="24"/>
        </w:rPr>
        <w:t xml:space="preserve">În structură veniturile fiscale au avut următoarea </w:t>
      </w:r>
      <w:r w:rsidR="00183827" w:rsidRPr="009C6832">
        <w:rPr>
          <w:rFonts w:cs="Arial"/>
          <w:sz w:val="24"/>
          <w:szCs w:val="24"/>
        </w:rPr>
        <w:t>evoluție</w:t>
      </w:r>
      <w:r w:rsidRPr="009C6832">
        <w:rPr>
          <w:rFonts w:cs="Arial"/>
          <w:sz w:val="24"/>
          <w:szCs w:val="24"/>
        </w:rPr>
        <w:t>:</w:t>
      </w:r>
    </w:p>
    <w:p w:rsidR="00D51B3E" w:rsidRPr="009C6832" w:rsidRDefault="007C4F03" w:rsidP="00060B8F">
      <w:pPr>
        <w:spacing w:after="120"/>
        <w:ind w:firstLine="567"/>
        <w:rPr>
          <w:rFonts w:cs="Arial"/>
          <w:sz w:val="24"/>
          <w:szCs w:val="24"/>
        </w:rPr>
      </w:pPr>
      <w:r w:rsidRPr="009C6832">
        <w:rPr>
          <w:rFonts w:cs="Arial"/>
          <w:sz w:val="24"/>
          <w:szCs w:val="24"/>
        </w:rPr>
        <w:t>Încasările din</w:t>
      </w:r>
      <w:r w:rsidRPr="009C6832">
        <w:rPr>
          <w:rFonts w:cs="Arial"/>
          <w:b/>
          <w:sz w:val="24"/>
          <w:szCs w:val="24"/>
        </w:rPr>
        <w:t xml:space="preserve"> impozitul pe profit</w:t>
      </w:r>
      <w:r w:rsidR="00A26E1A">
        <w:rPr>
          <w:rFonts w:cs="Arial"/>
          <w:b/>
          <w:sz w:val="24"/>
          <w:szCs w:val="24"/>
        </w:rPr>
        <w:t xml:space="preserve"> </w:t>
      </w:r>
      <w:r w:rsidR="00D51B3E" w:rsidRPr="009C6832">
        <w:rPr>
          <w:rFonts w:cs="Arial"/>
          <w:sz w:val="24"/>
          <w:szCs w:val="24"/>
        </w:rPr>
        <w:t>s-</w:t>
      </w:r>
      <w:r w:rsidRPr="009C6832">
        <w:rPr>
          <w:rFonts w:cs="Arial"/>
          <w:sz w:val="24"/>
          <w:szCs w:val="24"/>
        </w:rPr>
        <w:t xml:space="preserve">au </w:t>
      </w:r>
      <w:r w:rsidR="00D51B3E" w:rsidRPr="009C6832">
        <w:rPr>
          <w:rFonts w:cs="Arial"/>
          <w:sz w:val="24"/>
          <w:szCs w:val="24"/>
        </w:rPr>
        <w:t>redus</w:t>
      </w:r>
      <w:r w:rsidRPr="009C6832">
        <w:rPr>
          <w:rFonts w:cs="Arial"/>
          <w:sz w:val="24"/>
          <w:szCs w:val="24"/>
        </w:rPr>
        <w:t xml:space="preserve"> cu </w:t>
      </w:r>
      <w:r w:rsidR="00D51B3E" w:rsidRPr="009C6832">
        <w:rPr>
          <w:rFonts w:cs="Arial"/>
          <w:bCs/>
          <w:sz w:val="24"/>
          <w:szCs w:val="24"/>
        </w:rPr>
        <w:t>6,3</w:t>
      </w:r>
      <w:r w:rsidRPr="009C6832">
        <w:rPr>
          <w:rFonts w:cs="Arial"/>
          <w:bCs/>
          <w:sz w:val="24"/>
          <w:szCs w:val="24"/>
        </w:rPr>
        <w:t xml:space="preserve">% comparativ cu </w:t>
      </w:r>
      <w:r w:rsidR="00F63836" w:rsidRPr="009C6832">
        <w:rPr>
          <w:rFonts w:cs="Arial"/>
          <w:bCs/>
          <w:sz w:val="24"/>
          <w:szCs w:val="24"/>
        </w:rPr>
        <w:t>aceeași perioadă a anului</w:t>
      </w:r>
      <w:r w:rsidRPr="009C6832">
        <w:rPr>
          <w:rFonts w:cs="Arial"/>
          <w:sz w:val="24"/>
          <w:szCs w:val="24"/>
        </w:rPr>
        <w:t>,</w:t>
      </w:r>
      <w:r w:rsidR="00A26E1A">
        <w:rPr>
          <w:rFonts w:cs="Arial"/>
          <w:sz w:val="24"/>
          <w:szCs w:val="24"/>
        </w:rPr>
        <w:t xml:space="preserve"> </w:t>
      </w:r>
      <w:r w:rsidRPr="009C6832">
        <w:rPr>
          <w:rFonts w:cs="Arial"/>
          <w:sz w:val="24"/>
          <w:szCs w:val="24"/>
        </w:rPr>
        <w:t xml:space="preserve">în timp ce gradul de realizare al programului de încasări a fost de </w:t>
      </w:r>
      <w:r w:rsidR="00D51B3E" w:rsidRPr="009C6832">
        <w:rPr>
          <w:rFonts w:cs="Arial"/>
          <w:sz w:val="24"/>
          <w:szCs w:val="24"/>
        </w:rPr>
        <w:t>88,9</w:t>
      </w:r>
      <w:r w:rsidR="00F065DE" w:rsidRPr="009C6832">
        <w:rPr>
          <w:rFonts w:cs="Arial"/>
          <w:sz w:val="24"/>
          <w:szCs w:val="24"/>
        </w:rPr>
        <w:t xml:space="preserve">%. </w:t>
      </w:r>
      <w:r w:rsidR="00D51B3E" w:rsidRPr="009C6832">
        <w:rPr>
          <w:rFonts w:cs="Arial"/>
          <w:sz w:val="24"/>
          <w:szCs w:val="24"/>
        </w:rPr>
        <w:t xml:space="preserve">Reducerea încasărilor comparativ cu anul anterior a fost determinată de reducerea cu 8,9% a încasărilor din impozitul pe profit </w:t>
      </w:r>
      <w:r w:rsidR="00F63836" w:rsidRPr="009C6832">
        <w:rPr>
          <w:rFonts w:cs="Arial"/>
          <w:sz w:val="24"/>
          <w:szCs w:val="24"/>
        </w:rPr>
        <w:t xml:space="preserve">de la agenții economici, </w:t>
      </w:r>
      <w:r w:rsidR="00D51B3E" w:rsidRPr="009C6832">
        <w:rPr>
          <w:rFonts w:cs="Arial"/>
          <w:sz w:val="24"/>
          <w:szCs w:val="24"/>
        </w:rPr>
        <w:t>la bugetul de stat pe fondul regularizării negative înregistrate în trimestrul I. Regularizarea din trimestrul I 2017 a vizat sumele datorate de companii aferente exercițiului financiar pentru întregul an 2016, comparativ cu plățile trimestriale anticipate efectuate în cursul aceluiași an.</w:t>
      </w:r>
    </w:p>
    <w:p w:rsidR="00A13D67" w:rsidRPr="009C6832" w:rsidRDefault="007C4F03" w:rsidP="00060B8F">
      <w:pPr>
        <w:spacing w:after="120"/>
        <w:ind w:firstLine="708"/>
        <w:rPr>
          <w:rFonts w:cs="Arial"/>
          <w:bCs/>
          <w:sz w:val="24"/>
          <w:szCs w:val="24"/>
        </w:rPr>
      </w:pPr>
      <w:r w:rsidRPr="009C6832">
        <w:rPr>
          <w:rFonts w:cs="Arial"/>
          <w:sz w:val="24"/>
          <w:szCs w:val="24"/>
        </w:rPr>
        <w:t>Încasările din</w:t>
      </w:r>
      <w:r w:rsidRPr="009C6832">
        <w:rPr>
          <w:rFonts w:cs="Arial"/>
          <w:b/>
          <w:sz w:val="24"/>
          <w:szCs w:val="24"/>
        </w:rPr>
        <w:t xml:space="preserve"> impozitul pe venit </w:t>
      </w:r>
      <w:r w:rsidR="002C4AF9" w:rsidRPr="009C6832">
        <w:rPr>
          <w:rFonts w:cs="Arial"/>
          <w:sz w:val="24"/>
          <w:szCs w:val="24"/>
        </w:rPr>
        <w:t xml:space="preserve">au totalizat 14.866,9 milioane lei(1,8% din PIB), </w:t>
      </w:r>
      <w:r w:rsidRPr="009C6832">
        <w:rPr>
          <w:rFonts w:cs="Arial"/>
          <w:sz w:val="24"/>
          <w:szCs w:val="24"/>
        </w:rPr>
        <w:t xml:space="preserve">s-au realizat în proporție de </w:t>
      </w:r>
      <w:r w:rsidR="002C4AF9" w:rsidRPr="009C6832">
        <w:rPr>
          <w:rFonts w:cs="Arial"/>
          <w:sz w:val="24"/>
          <w:szCs w:val="24"/>
        </w:rPr>
        <w:t>99,9</w:t>
      </w:r>
      <w:r w:rsidR="00D853E1" w:rsidRPr="009C6832">
        <w:rPr>
          <w:rFonts w:cs="Arial"/>
          <w:sz w:val="24"/>
          <w:szCs w:val="24"/>
        </w:rPr>
        <w:t>%</w:t>
      </w:r>
      <w:r w:rsidR="009364F0" w:rsidRPr="009C6832">
        <w:rPr>
          <w:rFonts w:cs="Arial"/>
          <w:sz w:val="24"/>
          <w:szCs w:val="24"/>
        </w:rPr>
        <w:t>,</w:t>
      </w:r>
      <w:r w:rsidRPr="009C6832">
        <w:rPr>
          <w:rFonts w:cs="Arial"/>
          <w:sz w:val="24"/>
          <w:szCs w:val="24"/>
        </w:rPr>
        <w:t xml:space="preserve"> înregistrând comparativ cu</w:t>
      </w:r>
      <w:r w:rsidR="00A26E1A">
        <w:rPr>
          <w:rFonts w:cs="Arial"/>
          <w:sz w:val="24"/>
          <w:szCs w:val="24"/>
        </w:rPr>
        <w:t xml:space="preserve"> </w:t>
      </w:r>
      <w:r w:rsidRPr="009C6832">
        <w:rPr>
          <w:rFonts w:cs="Arial"/>
          <w:sz w:val="24"/>
          <w:szCs w:val="24"/>
        </w:rPr>
        <w:t xml:space="preserve">aceeași perioadă a anului precedent o creștere cu </w:t>
      </w:r>
      <w:r w:rsidR="002C4AF9" w:rsidRPr="009C6832">
        <w:rPr>
          <w:rFonts w:cs="Arial"/>
          <w:bCs/>
          <w:sz w:val="24"/>
          <w:szCs w:val="24"/>
        </w:rPr>
        <w:t>11,5</w:t>
      </w:r>
      <w:r w:rsidR="00A13D67" w:rsidRPr="009C6832">
        <w:rPr>
          <w:rFonts w:cs="Arial"/>
          <w:bCs/>
          <w:sz w:val="24"/>
          <w:szCs w:val="24"/>
        </w:rPr>
        <w:t>%.</w:t>
      </w:r>
    </w:p>
    <w:p w:rsidR="005275F7" w:rsidRPr="009C6832" w:rsidRDefault="002C4AF9" w:rsidP="00060B8F">
      <w:pPr>
        <w:spacing w:after="120"/>
        <w:ind w:firstLine="680"/>
        <w:rPr>
          <w:rFonts w:cs="Arial"/>
          <w:sz w:val="24"/>
          <w:szCs w:val="24"/>
        </w:rPr>
      </w:pPr>
      <w:r w:rsidRPr="009C6832">
        <w:rPr>
          <w:rFonts w:cs="Arial"/>
          <w:sz w:val="24"/>
          <w:szCs w:val="24"/>
        </w:rPr>
        <w:t xml:space="preserve">Evoluții pozitive comparativ cu aceeași perioadă a anului precedent au înregistrat încasările din impozitul pe veniturile din salarii (+20,5%) și din impozitul pe veniturile din dividende (+11,2%). O evoluție negativă au înregistrat încasările din impozitul pe veniturile din pensii (-28,3%), scădere datorată modificărilor legislative privind creșterea plafonului neimpozabil lunar la </w:t>
      </w:r>
      <w:r w:rsidR="00937CD4" w:rsidRPr="009C6832">
        <w:rPr>
          <w:rFonts w:cs="Arial"/>
          <w:sz w:val="24"/>
          <w:szCs w:val="24"/>
        </w:rPr>
        <w:t>2000 lei.</w:t>
      </w:r>
      <w:r w:rsidR="00937CD4" w:rsidRPr="009C6832">
        <w:rPr>
          <w:rFonts w:cs="Arial"/>
          <w:sz w:val="24"/>
          <w:szCs w:val="24"/>
          <w:vertAlign w:val="superscript"/>
        </w:rPr>
        <w:footnoteReference w:id="1"/>
      </w:r>
    </w:p>
    <w:p w:rsidR="005275F7" w:rsidRPr="009C6832" w:rsidRDefault="002C4AF9" w:rsidP="00060B8F">
      <w:pPr>
        <w:spacing w:after="120"/>
        <w:ind w:firstLine="680"/>
        <w:rPr>
          <w:rFonts w:cs="Arial"/>
          <w:sz w:val="24"/>
          <w:szCs w:val="24"/>
        </w:rPr>
      </w:pPr>
      <w:r w:rsidRPr="009C6832">
        <w:rPr>
          <w:rFonts w:cs="Arial"/>
          <w:sz w:val="24"/>
          <w:szCs w:val="24"/>
        </w:rPr>
        <w:t>Dinamica pozitivă a veniturilor din salarii a fost influențată de creșterea numărului mediu de salariați cu 3,4%</w:t>
      </w:r>
      <w:r w:rsidR="00E04FC0" w:rsidRPr="009C6832">
        <w:rPr>
          <w:rStyle w:val="FootnoteReference"/>
          <w:rFonts w:cs="Arial"/>
          <w:sz w:val="24"/>
          <w:szCs w:val="24"/>
        </w:rPr>
        <w:footnoteReference w:id="2"/>
      </w:r>
      <w:r w:rsidRPr="009C6832">
        <w:rPr>
          <w:rFonts w:cs="Arial"/>
          <w:sz w:val="24"/>
          <w:szCs w:val="24"/>
        </w:rPr>
        <w:t>și a salariului mediu brut la nivelul economiei cu 14,8%</w:t>
      </w:r>
      <w:r w:rsidR="00E04FC0" w:rsidRPr="009C6832">
        <w:rPr>
          <w:rStyle w:val="FootnoteReference"/>
          <w:rFonts w:cs="Arial"/>
          <w:sz w:val="24"/>
          <w:szCs w:val="24"/>
        </w:rPr>
        <w:footnoteReference w:id="3"/>
      </w:r>
      <w:r w:rsidR="00704D34" w:rsidRPr="009C6832">
        <w:rPr>
          <w:rFonts w:cs="Arial"/>
          <w:sz w:val="24"/>
          <w:szCs w:val="24"/>
        </w:rPr>
        <w:t>,</w:t>
      </w:r>
      <w:r w:rsidRPr="009C6832">
        <w:rPr>
          <w:rFonts w:cs="Arial"/>
          <w:sz w:val="24"/>
          <w:szCs w:val="24"/>
        </w:rPr>
        <w:t xml:space="preserve"> precum și de majorarea de la 1 februarie 2017 a salariului de bază minim brut pe țară de la 1250 lei la 1450 lei.</w:t>
      </w:r>
    </w:p>
    <w:p w:rsidR="007C4F03" w:rsidRPr="009C6832" w:rsidRDefault="007C4F03" w:rsidP="00060B8F">
      <w:pPr>
        <w:spacing w:after="120"/>
        <w:ind w:firstLine="680"/>
        <w:rPr>
          <w:rFonts w:cs="Arial"/>
          <w:sz w:val="24"/>
          <w:szCs w:val="24"/>
        </w:rPr>
      </w:pPr>
      <w:r w:rsidRPr="009C6832">
        <w:rPr>
          <w:rFonts w:cs="Arial"/>
          <w:sz w:val="24"/>
          <w:szCs w:val="24"/>
        </w:rPr>
        <w:t xml:space="preserve">Încasările din </w:t>
      </w:r>
      <w:r w:rsidRPr="009C6832">
        <w:rPr>
          <w:rFonts w:cs="Arial"/>
          <w:b/>
          <w:bCs/>
          <w:sz w:val="24"/>
          <w:szCs w:val="24"/>
        </w:rPr>
        <w:t xml:space="preserve">impozitele </w:t>
      </w:r>
      <w:r w:rsidR="00A86D78" w:rsidRPr="009C6832">
        <w:rPr>
          <w:rFonts w:cs="Arial"/>
          <w:b/>
          <w:bCs/>
          <w:sz w:val="24"/>
          <w:szCs w:val="24"/>
        </w:rPr>
        <w:t>ș</w:t>
      </w:r>
      <w:r w:rsidRPr="009C6832">
        <w:rPr>
          <w:rFonts w:cs="Arial"/>
          <w:b/>
          <w:bCs/>
          <w:sz w:val="24"/>
          <w:szCs w:val="24"/>
        </w:rPr>
        <w:t>i taxele pe proprietate</w:t>
      </w:r>
      <w:r w:rsidR="00A26E1A">
        <w:rPr>
          <w:rFonts w:cs="Arial"/>
          <w:b/>
          <w:bCs/>
          <w:sz w:val="24"/>
          <w:szCs w:val="24"/>
        </w:rPr>
        <w:t xml:space="preserve"> </w:t>
      </w:r>
      <w:r w:rsidR="00A9347D" w:rsidRPr="009C6832">
        <w:rPr>
          <w:rFonts w:cs="Arial"/>
          <w:bCs/>
          <w:sz w:val="24"/>
          <w:szCs w:val="24"/>
        </w:rPr>
        <w:t xml:space="preserve">au totalizat </w:t>
      </w:r>
      <w:r w:rsidR="00E04FC0" w:rsidRPr="009C6832">
        <w:rPr>
          <w:rFonts w:cs="Arial"/>
          <w:bCs/>
          <w:sz w:val="24"/>
          <w:szCs w:val="24"/>
        </w:rPr>
        <w:t>3</w:t>
      </w:r>
      <w:r w:rsidR="00937CD4" w:rsidRPr="009C6832">
        <w:rPr>
          <w:rFonts w:cs="Arial"/>
          <w:bCs/>
          <w:sz w:val="24"/>
          <w:szCs w:val="24"/>
        </w:rPr>
        <w:t>.</w:t>
      </w:r>
      <w:r w:rsidR="00E04FC0" w:rsidRPr="009C6832">
        <w:rPr>
          <w:rFonts w:cs="Arial"/>
          <w:bCs/>
          <w:sz w:val="24"/>
          <w:szCs w:val="24"/>
        </w:rPr>
        <w:t>578,7</w:t>
      </w:r>
      <w:r w:rsidR="00937CD4" w:rsidRPr="009C6832">
        <w:rPr>
          <w:rFonts w:cs="Arial"/>
          <w:bCs/>
          <w:sz w:val="24"/>
          <w:szCs w:val="24"/>
        </w:rPr>
        <w:t>(0,4% din PIB)</w:t>
      </w:r>
      <w:r w:rsidR="00A9347D" w:rsidRPr="009C6832">
        <w:rPr>
          <w:rFonts w:cs="Arial"/>
          <w:bCs/>
          <w:sz w:val="24"/>
          <w:szCs w:val="24"/>
        </w:rPr>
        <w:t xml:space="preserve"> milioane lei cu </w:t>
      </w:r>
      <w:r w:rsidR="00E04FC0" w:rsidRPr="009C6832">
        <w:rPr>
          <w:rFonts w:cs="Arial"/>
          <w:bCs/>
          <w:sz w:val="24"/>
          <w:szCs w:val="24"/>
        </w:rPr>
        <w:t>5,2</w:t>
      </w:r>
      <w:r w:rsidR="00A9347D" w:rsidRPr="009C6832">
        <w:rPr>
          <w:rFonts w:cs="Arial"/>
          <w:bCs/>
          <w:sz w:val="24"/>
          <w:szCs w:val="24"/>
        </w:rPr>
        <w:t xml:space="preserve">% mai </w:t>
      </w:r>
      <w:r w:rsidR="00E04FC0" w:rsidRPr="009C6832">
        <w:rPr>
          <w:rFonts w:cs="Arial"/>
          <w:bCs/>
          <w:sz w:val="24"/>
          <w:szCs w:val="24"/>
        </w:rPr>
        <w:t>mici</w:t>
      </w:r>
      <w:r w:rsidR="00A26E1A">
        <w:rPr>
          <w:rFonts w:cs="Arial"/>
          <w:bCs/>
          <w:sz w:val="24"/>
          <w:szCs w:val="24"/>
        </w:rPr>
        <w:t xml:space="preserve"> </w:t>
      </w:r>
      <w:r w:rsidRPr="009C6832">
        <w:rPr>
          <w:rFonts w:cs="Arial"/>
          <w:sz w:val="24"/>
          <w:szCs w:val="24"/>
        </w:rPr>
        <w:t xml:space="preserve">comparativ cu semestrul I al anului </w:t>
      </w:r>
      <w:r w:rsidR="00E04FC0" w:rsidRPr="009C6832">
        <w:rPr>
          <w:rFonts w:cs="Arial"/>
          <w:sz w:val="24"/>
          <w:szCs w:val="24"/>
        </w:rPr>
        <w:t>2016</w:t>
      </w:r>
      <w:r w:rsidRPr="009C6832">
        <w:rPr>
          <w:rFonts w:cs="Arial"/>
          <w:sz w:val="24"/>
          <w:szCs w:val="24"/>
        </w:rPr>
        <w:t xml:space="preserve">, gradul de realizare al programului de încasări fiind de </w:t>
      </w:r>
      <w:r w:rsidR="00E04FC0" w:rsidRPr="009C6832">
        <w:rPr>
          <w:rFonts w:cs="Arial"/>
          <w:sz w:val="24"/>
          <w:szCs w:val="24"/>
        </w:rPr>
        <w:t>108,9</w:t>
      </w:r>
      <w:r w:rsidRPr="009C6832">
        <w:rPr>
          <w:rFonts w:cs="Arial"/>
          <w:sz w:val="24"/>
          <w:szCs w:val="24"/>
        </w:rPr>
        <w:t>%.</w:t>
      </w:r>
    </w:p>
    <w:p w:rsidR="00E04FC0" w:rsidRPr="009C6832" w:rsidRDefault="00E04FC0" w:rsidP="00060B8F">
      <w:pPr>
        <w:spacing w:after="120"/>
        <w:ind w:firstLine="680"/>
        <w:rPr>
          <w:rFonts w:cs="Arial"/>
          <w:sz w:val="24"/>
          <w:szCs w:val="24"/>
        </w:rPr>
      </w:pPr>
      <w:r w:rsidRPr="009C6832">
        <w:rPr>
          <w:rFonts w:cs="Arial"/>
          <w:sz w:val="24"/>
          <w:szCs w:val="24"/>
        </w:rPr>
        <w:t xml:space="preserve">Reducerea încasărilor </w:t>
      </w:r>
      <w:r w:rsidR="007C4F03" w:rsidRPr="009C6832">
        <w:rPr>
          <w:rFonts w:cs="Arial"/>
          <w:sz w:val="24"/>
          <w:szCs w:val="24"/>
        </w:rPr>
        <w:t xml:space="preserve">comparativ cu anul precedent s-a datorat </w:t>
      </w:r>
      <w:r w:rsidRPr="009C6832">
        <w:rPr>
          <w:rFonts w:cs="Arial"/>
          <w:sz w:val="24"/>
          <w:szCs w:val="24"/>
        </w:rPr>
        <w:t xml:space="preserve">reducerii </w:t>
      </w:r>
      <w:r w:rsidR="0074137E" w:rsidRPr="009C6832">
        <w:rPr>
          <w:rFonts w:cs="Arial"/>
          <w:sz w:val="24"/>
          <w:szCs w:val="24"/>
        </w:rPr>
        <w:t xml:space="preserve">încasărilor din impozite și taxe pe proprietate la </w:t>
      </w:r>
      <w:r w:rsidRPr="009C6832">
        <w:rPr>
          <w:rFonts w:cs="Arial"/>
          <w:sz w:val="24"/>
          <w:szCs w:val="24"/>
        </w:rPr>
        <w:t>bugetul de stat</w:t>
      </w:r>
      <w:r w:rsidR="00830F0D" w:rsidRPr="009C6832">
        <w:rPr>
          <w:rFonts w:cs="Arial"/>
          <w:sz w:val="24"/>
          <w:szCs w:val="24"/>
        </w:rPr>
        <w:t>(-84,2%)</w:t>
      </w:r>
      <w:r w:rsidRPr="009C6832">
        <w:rPr>
          <w:rFonts w:cs="Arial"/>
          <w:sz w:val="24"/>
          <w:szCs w:val="24"/>
        </w:rPr>
        <w:t xml:space="preserve"> pe fondul eliminării impozitului pe construcții speciale începând cu anul 2017.</w:t>
      </w:r>
    </w:p>
    <w:p w:rsidR="00E65423" w:rsidRPr="009C6832" w:rsidRDefault="00E04FC0" w:rsidP="00060B8F">
      <w:pPr>
        <w:spacing w:after="120"/>
        <w:ind w:firstLine="680"/>
        <w:rPr>
          <w:rFonts w:cs="Arial"/>
          <w:iCs/>
          <w:sz w:val="24"/>
          <w:szCs w:val="24"/>
        </w:rPr>
      </w:pPr>
      <w:r w:rsidRPr="009C6832">
        <w:rPr>
          <w:rFonts w:cs="Arial"/>
          <w:sz w:val="24"/>
          <w:szCs w:val="24"/>
        </w:rPr>
        <w:t xml:space="preserve">Încasările din impozite și taxe pe proprietate la </w:t>
      </w:r>
      <w:r w:rsidR="0074137E" w:rsidRPr="009C6832">
        <w:rPr>
          <w:rFonts w:cs="Arial"/>
          <w:sz w:val="24"/>
          <w:szCs w:val="24"/>
        </w:rPr>
        <w:t xml:space="preserve">bugetele locale </w:t>
      </w:r>
      <w:r w:rsidRPr="009C6832">
        <w:rPr>
          <w:rFonts w:cs="Arial"/>
          <w:sz w:val="24"/>
          <w:szCs w:val="24"/>
        </w:rPr>
        <w:t>au înregistrat o creștere cu 7,</w:t>
      </w:r>
      <w:r w:rsidR="00937CD4" w:rsidRPr="009C6832">
        <w:rPr>
          <w:rFonts w:cs="Arial"/>
          <w:sz w:val="24"/>
          <w:szCs w:val="24"/>
        </w:rPr>
        <w:t>6</w:t>
      </w:r>
      <w:r w:rsidRPr="009C6832">
        <w:rPr>
          <w:rFonts w:cs="Arial"/>
          <w:sz w:val="24"/>
          <w:szCs w:val="24"/>
        </w:rPr>
        <w:t>% comparativ cu anul anterior</w:t>
      </w:r>
      <w:r w:rsidR="00937CD4" w:rsidRPr="009C6832">
        <w:rPr>
          <w:rFonts w:cs="Arial"/>
          <w:sz w:val="24"/>
          <w:szCs w:val="24"/>
        </w:rPr>
        <w:t xml:space="preserve">. </w:t>
      </w:r>
    </w:p>
    <w:p w:rsidR="000875A8" w:rsidRPr="009C6832" w:rsidRDefault="007C4F03" w:rsidP="00060B8F">
      <w:pPr>
        <w:spacing w:after="120"/>
        <w:ind w:firstLine="680"/>
        <w:rPr>
          <w:rFonts w:cs="Arial"/>
          <w:sz w:val="24"/>
          <w:szCs w:val="24"/>
        </w:rPr>
      </w:pPr>
      <w:r w:rsidRPr="009C6832">
        <w:rPr>
          <w:rFonts w:cs="Arial"/>
          <w:sz w:val="24"/>
          <w:szCs w:val="24"/>
        </w:rPr>
        <w:t xml:space="preserve">Încasările din </w:t>
      </w:r>
      <w:r w:rsidRPr="009C6832">
        <w:rPr>
          <w:rFonts w:cs="Arial"/>
          <w:b/>
          <w:bCs/>
          <w:sz w:val="24"/>
          <w:szCs w:val="24"/>
        </w:rPr>
        <w:t>taxa pe valoarea adăugată</w:t>
      </w:r>
      <w:r w:rsidR="00A26E1A">
        <w:rPr>
          <w:rFonts w:cs="Arial"/>
          <w:b/>
          <w:bCs/>
          <w:sz w:val="24"/>
          <w:szCs w:val="24"/>
        </w:rPr>
        <w:t xml:space="preserve"> </w:t>
      </w:r>
      <w:r w:rsidR="00937CD4" w:rsidRPr="009C6832">
        <w:rPr>
          <w:rFonts w:cs="Arial"/>
          <w:sz w:val="24"/>
          <w:szCs w:val="24"/>
        </w:rPr>
        <w:t xml:space="preserve">au totalizat 25.291,0 milioane lei (3,1% din PIB) cu 4,3% sub cele înregistrate în aceeași perioadă a anului precedent, gradul de realizare al programului de încasări fiind de 94,0%. </w:t>
      </w:r>
    </w:p>
    <w:p w:rsidR="000875A8" w:rsidRPr="009C6832" w:rsidRDefault="000875A8" w:rsidP="00060B8F">
      <w:pPr>
        <w:spacing w:after="120"/>
        <w:ind w:firstLine="680"/>
        <w:rPr>
          <w:rFonts w:cs="Arial"/>
          <w:sz w:val="24"/>
          <w:szCs w:val="24"/>
        </w:rPr>
      </w:pPr>
      <w:r w:rsidRPr="009C6832">
        <w:rPr>
          <w:rFonts w:cs="Arial"/>
          <w:sz w:val="24"/>
          <w:szCs w:val="24"/>
        </w:rPr>
        <w:t>Menționăm că în programul de încasări pentru primul semestru al anului 2017 au fost prevăzute sume aferente schemelor de tip SWAP în valoare de 970 milioane lei, în timp ce încasările efective au fost de 880 milioane lei din care 180 milioane lei au reprezentat taxa pe valoare adăugată</w:t>
      </w:r>
      <w:r w:rsidR="00B647C8" w:rsidRPr="009C6832">
        <w:rPr>
          <w:rFonts w:cs="Arial"/>
          <w:sz w:val="24"/>
          <w:szCs w:val="24"/>
        </w:rPr>
        <w:t>,</w:t>
      </w:r>
      <w:r w:rsidR="00A26E1A">
        <w:rPr>
          <w:rFonts w:cs="Arial"/>
          <w:sz w:val="24"/>
          <w:szCs w:val="24"/>
        </w:rPr>
        <w:t xml:space="preserve"> </w:t>
      </w:r>
      <w:r w:rsidR="00D853E1" w:rsidRPr="009C6832">
        <w:rPr>
          <w:rFonts w:cs="Arial"/>
          <w:sz w:val="24"/>
          <w:szCs w:val="24"/>
        </w:rPr>
        <w:t>iar</w:t>
      </w:r>
      <w:r w:rsidRPr="009C6832">
        <w:rPr>
          <w:rFonts w:cs="Arial"/>
          <w:sz w:val="24"/>
          <w:szCs w:val="24"/>
        </w:rPr>
        <w:t xml:space="preserve"> 700 milioane lei </w:t>
      </w:r>
      <w:r w:rsidR="00D853E1" w:rsidRPr="009C6832">
        <w:rPr>
          <w:rFonts w:cs="Arial"/>
          <w:sz w:val="24"/>
          <w:szCs w:val="24"/>
        </w:rPr>
        <w:t xml:space="preserve">au fost </w:t>
      </w:r>
      <w:r w:rsidRPr="009C6832">
        <w:rPr>
          <w:rFonts w:cs="Arial"/>
          <w:sz w:val="24"/>
          <w:szCs w:val="24"/>
        </w:rPr>
        <w:t>încasate la alte poziții de venituri.</w:t>
      </w:r>
    </w:p>
    <w:p w:rsidR="000875A8" w:rsidRPr="009C6832" w:rsidRDefault="000875A8" w:rsidP="00060B8F">
      <w:pPr>
        <w:spacing w:after="120"/>
        <w:ind w:firstLine="680"/>
        <w:rPr>
          <w:rFonts w:eastAsia="Times New Roman" w:cs="Arial"/>
          <w:noProof/>
          <w:sz w:val="24"/>
          <w:szCs w:val="24"/>
          <w:lang w:val="en-US" w:eastAsia="ro-RO"/>
        </w:rPr>
      </w:pPr>
      <w:r w:rsidRPr="009C6832">
        <w:rPr>
          <w:rFonts w:cs="Arial"/>
          <w:sz w:val="24"/>
          <w:szCs w:val="24"/>
        </w:rPr>
        <w:t>În aceste condiții încasările din taxa pe valoarea adăugată aferente primului semestru al anului 2017, independente de schemele de tip SWAP, au înregistrat un grad de realizare al programului de încasări de 96,8%.</w:t>
      </w:r>
    </w:p>
    <w:p w:rsidR="000875A8" w:rsidRPr="009C6832" w:rsidRDefault="00532478" w:rsidP="00060B8F">
      <w:pPr>
        <w:autoSpaceDE w:val="0"/>
        <w:autoSpaceDN w:val="0"/>
        <w:adjustRightInd w:val="0"/>
        <w:spacing w:after="120"/>
        <w:ind w:firstLine="720"/>
        <w:rPr>
          <w:rFonts w:eastAsia="Times New Roman" w:cs="Arial"/>
          <w:noProof/>
          <w:sz w:val="24"/>
          <w:szCs w:val="24"/>
          <w:lang w:val="en-US" w:eastAsia="ro-RO"/>
        </w:rPr>
      </w:pPr>
      <w:r w:rsidRPr="009C6832">
        <w:rPr>
          <w:rFonts w:eastAsia="Times New Roman" w:cs="Arial"/>
          <w:noProof/>
          <w:sz w:val="24"/>
          <w:szCs w:val="24"/>
          <w:lang w:val="en-US" w:eastAsia="ro-RO"/>
        </w:rPr>
        <w:t>Diminuarea încasărilor afer</w:t>
      </w:r>
      <w:r w:rsidR="00D853E1" w:rsidRPr="009C6832">
        <w:rPr>
          <w:rFonts w:eastAsia="Times New Roman" w:cs="Arial"/>
          <w:noProof/>
          <w:sz w:val="24"/>
          <w:szCs w:val="24"/>
          <w:lang w:val="en-US" w:eastAsia="ro-RO"/>
        </w:rPr>
        <w:t>en</w:t>
      </w:r>
      <w:r w:rsidRPr="009C6832">
        <w:rPr>
          <w:rFonts w:eastAsia="Times New Roman" w:cs="Arial"/>
          <w:noProof/>
          <w:sz w:val="24"/>
          <w:szCs w:val="24"/>
          <w:lang w:val="en-US" w:eastAsia="ro-RO"/>
        </w:rPr>
        <w:t>te taxei pe valoarea adăugată comparativ cu anul anterior a fost influențată în principal de evoluția încasărilor din luna ianuarie 2017 unde a fost înregistrată scăderea veniturilor colectate din TVA cu 1,7 mld.lei față de luna ianuarie 2016.</w:t>
      </w:r>
    </w:p>
    <w:p w:rsidR="000875A8" w:rsidRPr="009C6832" w:rsidRDefault="000875A8" w:rsidP="00060B8F">
      <w:pPr>
        <w:autoSpaceDE w:val="0"/>
        <w:autoSpaceDN w:val="0"/>
        <w:adjustRightInd w:val="0"/>
        <w:spacing w:after="120"/>
        <w:ind w:firstLine="720"/>
        <w:rPr>
          <w:rFonts w:eastAsia="Times New Roman" w:cs="Arial"/>
          <w:noProof/>
          <w:sz w:val="24"/>
          <w:szCs w:val="24"/>
          <w:lang w:val="en-US" w:eastAsia="ro-RO"/>
        </w:rPr>
      </w:pPr>
      <w:r w:rsidRPr="009C6832">
        <w:rPr>
          <w:rFonts w:eastAsia="Times New Roman" w:cs="Arial"/>
          <w:noProof/>
          <w:sz w:val="24"/>
          <w:szCs w:val="24"/>
          <w:lang w:val="en-US" w:eastAsia="ro-RO"/>
        </w:rPr>
        <w:t>Această diferență poate fi explicată prin faptul că încasările din luna ianuarie 2016 reflectă activitatea desfășurată în luna decembrie 2015 când se aplica o cotă standard de TVA de 24%, dar și de influența suplimentară generată de creșterea cheltuielilor bugetare din luna decembrie 2015.</w:t>
      </w:r>
    </w:p>
    <w:p w:rsidR="000875A8" w:rsidRPr="009C6832" w:rsidRDefault="000875A8" w:rsidP="00060B8F">
      <w:pPr>
        <w:autoSpaceDE w:val="0"/>
        <w:autoSpaceDN w:val="0"/>
        <w:adjustRightInd w:val="0"/>
        <w:spacing w:after="120"/>
        <w:ind w:firstLine="720"/>
        <w:rPr>
          <w:rFonts w:eastAsia="Times New Roman" w:cs="Arial"/>
          <w:noProof/>
          <w:sz w:val="24"/>
          <w:szCs w:val="24"/>
          <w:lang w:val="en-US" w:eastAsia="ro-RO"/>
        </w:rPr>
      </w:pPr>
      <w:r w:rsidRPr="009C6832">
        <w:rPr>
          <w:rFonts w:eastAsia="Times New Roman" w:cs="Arial"/>
          <w:noProof/>
          <w:sz w:val="24"/>
          <w:szCs w:val="24"/>
          <w:lang w:val="en-US" w:eastAsia="ro-RO"/>
        </w:rPr>
        <w:t xml:space="preserve"> În structură veniturile încasate din TVA  în semestru I se prezintă astfel:</w:t>
      </w:r>
    </w:p>
    <w:p w:rsidR="000875A8" w:rsidRPr="009C6832" w:rsidRDefault="000875A8" w:rsidP="00060B8F">
      <w:pPr>
        <w:numPr>
          <w:ilvl w:val="0"/>
          <w:numId w:val="6"/>
        </w:numPr>
        <w:spacing w:after="120"/>
        <w:ind w:hanging="164"/>
        <w:rPr>
          <w:rFonts w:eastAsia="Times New Roman" w:cs="Arial"/>
          <w:noProof/>
          <w:sz w:val="24"/>
          <w:szCs w:val="24"/>
          <w:lang w:val="en-US" w:eastAsia="ro-RO"/>
        </w:rPr>
      </w:pPr>
      <w:r w:rsidRPr="009C6832">
        <w:rPr>
          <w:rFonts w:eastAsia="Times New Roman" w:cs="Arial"/>
          <w:noProof/>
          <w:sz w:val="24"/>
          <w:szCs w:val="24"/>
          <w:lang w:val="en-US" w:eastAsia="ro-RO"/>
        </w:rPr>
        <w:t>încasările din operaţiuni interne au scăzut cu 4,6%, în condițiile în care volumul cifrei de afaceri pentru comerţul cu amănuntul (cu excepţia comerţului cu autovehicule şi motociclete),  serie  brută,  în  perioada  1.I</w:t>
      </w:r>
      <w:r w:rsidRPr="009C6832">
        <w:rPr>
          <w:rFonts w:eastAsia="Times New Roman" w:cs="Cambria Math"/>
          <w:noProof/>
          <w:sz w:val="24"/>
          <w:szCs w:val="24"/>
          <w:lang w:val="en-US" w:eastAsia="ro-RO"/>
        </w:rPr>
        <w:t>‐</w:t>
      </w:r>
      <w:r w:rsidRPr="009C6832">
        <w:rPr>
          <w:rFonts w:eastAsia="Times New Roman" w:cs="Arial"/>
          <w:noProof/>
          <w:sz w:val="24"/>
          <w:szCs w:val="24"/>
          <w:lang w:val="en-US" w:eastAsia="ro-RO"/>
        </w:rPr>
        <w:t xml:space="preserve"> 31.V.2017,  comparativ  cu  perioada  1.I</w:t>
      </w:r>
      <w:r w:rsidRPr="009C6832">
        <w:rPr>
          <w:rFonts w:eastAsia="Times New Roman" w:cs="Cambria Math"/>
          <w:noProof/>
          <w:sz w:val="24"/>
          <w:szCs w:val="24"/>
          <w:lang w:val="en-US" w:eastAsia="ro-RO"/>
        </w:rPr>
        <w:t>‐</w:t>
      </w:r>
      <w:r w:rsidRPr="009C6832">
        <w:rPr>
          <w:rFonts w:eastAsia="Times New Roman" w:cs="Arial"/>
          <w:noProof/>
          <w:sz w:val="24"/>
          <w:szCs w:val="24"/>
          <w:lang w:val="en-US" w:eastAsia="ro-RO"/>
        </w:rPr>
        <w:t>31.V.2016</w:t>
      </w:r>
      <w:r w:rsidRPr="009C6832">
        <w:rPr>
          <w:rFonts w:eastAsia="Times New Roman" w:cs="Arial"/>
          <w:noProof/>
          <w:sz w:val="24"/>
          <w:szCs w:val="24"/>
          <w:vertAlign w:val="superscript"/>
          <w:lang w:val="en-US" w:eastAsia="ro-RO"/>
        </w:rPr>
        <w:footnoteReference w:id="4"/>
      </w:r>
      <w:r w:rsidRPr="009C6832">
        <w:rPr>
          <w:rFonts w:eastAsia="Times New Roman" w:cs="Arial"/>
          <w:noProof/>
          <w:sz w:val="24"/>
          <w:szCs w:val="24"/>
          <w:lang w:val="en-US" w:eastAsia="ro-RO"/>
        </w:rPr>
        <w:t xml:space="preserve">  a  înr</w:t>
      </w:r>
      <w:r w:rsidR="003B4EA0" w:rsidRPr="009C6832">
        <w:rPr>
          <w:rFonts w:eastAsia="Times New Roman" w:cs="Arial"/>
          <w:noProof/>
          <w:sz w:val="24"/>
          <w:szCs w:val="24"/>
          <w:lang w:val="en-US" w:eastAsia="ro-RO"/>
        </w:rPr>
        <w:t>egistrat  o  creştere  cu  7,9%</w:t>
      </w:r>
    </w:p>
    <w:p w:rsidR="000875A8" w:rsidRPr="009C6832" w:rsidRDefault="00532478" w:rsidP="00060B8F">
      <w:pPr>
        <w:spacing w:after="120"/>
        <w:ind w:left="1418" w:hanging="142"/>
        <w:rPr>
          <w:rFonts w:eastAsia="Times New Roman" w:cs="Arial"/>
          <w:noProof/>
          <w:sz w:val="24"/>
          <w:szCs w:val="24"/>
          <w:lang w:val="en-US" w:eastAsia="ro-RO"/>
        </w:rPr>
      </w:pPr>
      <w:r w:rsidRPr="009C6832">
        <w:rPr>
          <w:rFonts w:eastAsia="Times New Roman" w:cs="Arial"/>
          <w:noProof/>
          <w:sz w:val="24"/>
          <w:szCs w:val="24"/>
          <w:lang w:val="en-US" w:eastAsia="ro-RO"/>
        </w:rPr>
        <w:t xml:space="preserve">- </w:t>
      </w:r>
      <w:r w:rsidR="000875A8" w:rsidRPr="009C6832">
        <w:rPr>
          <w:rFonts w:eastAsia="Times New Roman" w:cs="Arial"/>
          <w:noProof/>
          <w:sz w:val="24"/>
          <w:szCs w:val="24"/>
          <w:lang w:val="en-US" w:eastAsia="ro-RO"/>
        </w:rPr>
        <w:t>încasările din importurile de bunuri au crescut cu 5%,</w:t>
      </w:r>
      <w:r w:rsidRPr="009C6832">
        <w:rPr>
          <w:rFonts w:eastAsia="Times New Roman" w:cs="Arial"/>
          <w:noProof/>
          <w:sz w:val="24"/>
          <w:szCs w:val="24"/>
          <w:lang w:val="en-US" w:eastAsia="ro-RO"/>
        </w:rPr>
        <w:t xml:space="preserve"> pe fondul creșterii cu 22,6% a </w:t>
      </w:r>
      <w:r w:rsidRPr="009C6832">
        <w:rPr>
          <w:rFonts w:eastAsia="Times New Roman" w:cs="Arial"/>
          <w:noProof/>
          <w:sz w:val="24"/>
          <w:szCs w:val="24"/>
          <w:lang w:eastAsia="ro-RO"/>
        </w:rPr>
        <w:t>importurilor de bunuri din zona extracomunitară</w:t>
      </w:r>
      <w:r w:rsidRPr="009C6832">
        <w:rPr>
          <w:rFonts w:eastAsia="Times New Roman" w:cs="Arial"/>
          <w:noProof/>
          <w:sz w:val="24"/>
          <w:szCs w:val="24"/>
          <w:vertAlign w:val="superscript"/>
          <w:lang w:val="en-US" w:eastAsia="ro-RO"/>
        </w:rPr>
        <w:footnoteReference w:id="5"/>
      </w:r>
    </w:p>
    <w:p w:rsidR="003B4EA0" w:rsidRPr="009C6832" w:rsidRDefault="00310CE6" w:rsidP="00060B8F">
      <w:pPr>
        <w:spacing w:after="120"/>
        <w:ind w:firstLine="680"/>
        <w:rPr>
          <w:rFonts w:cs="Arial"/>
          <w:sz w:val="24"/>
          <w:szCs w:val="24"/>
        </w:rPr>
      </w:pPr>
      <w:r w:rsidRPr="009C6832">
        <w:rPr>
          <w:rFonts w:cs="Arial"/>
          <w:sz w:val="24"/>
          <w:szCs w:val="24"/>
        </w:rPr>
        <w:t xml:space="preserve">Încasările din </w:t>
      </w:r>
      <w:r w:rsidRPr="009C6832">
        <w:rPr>
          <w:rFonts w:cs="Arial"/>
          <w:b/>
          <w:sz w:val="24"/>
          <w:szCs w:val="24"/>
        </w:rPr>
        <w:t>accize</w:t>
      </w:r>
      <w:r w:rsidRPr="009C6832">
        <w:rPr>
          <w:rFonts w:cs="Arial"/>
          <w:sz w:val="24"/>
          <w:szCs w:val="24"/>
        </w:rPr>
        <w:t xml:space="preserve"> au însumat 11.945,6 milioane lei</w:t>
      </w:r>
      <w:r w:rsidR="003B4EA0" w:rsidRPr="009C6832">
        <w:rPr>
          <w:rFonts w:cs="Arial"/>
          <w:sz w:val="24"/>
          <w:szCs w:val="24"/>
        </w:rPr>
        <w:t>(1,5% din PIB)</w:t>
      </w:r>
      <w:r w:rsidRPr="009C6832">
        <w:rPr>
          <w:rFonts w:cs="Arial"/>
          <w:sz w:val="24"/>
          <w:szCs w:val="24"/>
        </w:rPr>
        <w:t xml:space="preserve">, situându-se cu 4,0% sub nivelul programat inițial și sub încasările din aceeași perioadă a anului precedent cu 7,6%. </w:t>
      </w:r>
    </w:p>
    <w:p w:rsidR="00310CE6" w:rsidRPr="009C6832" w:rsidRDefault="00310CE6" w:rsidP="00060B8F">
      <w:pPr>
        <w:spacing w:after="120"/>
        <w:ind w:firstLine="680"/>
        <w:rPr>
          <w:rFonts w:cs="Arial"/>
          <w:sz w:val="24"/>
          <w:szCs w:val="24"/>
        </w:rPr>
      </w:pPr>
      <w:r w:rsidRPr="009C6832">
        <w:rPr>
          <w:rFonts w:cs="Arial"/>
          <w:sz w:val="24"/>
          <w:szCs w:val="24"/>
        </w:rPr>
        <w:t>Reducerea încasărilor din accize comparativ cu perioada similară din anul anterior s-a datorat în principal evoluției veniturilor din accize la produsele energetice ce s-au redus cu 10,9%, ca ur</w:t>
      </w:r>
      <w:r w:rsidR="003E4D3E" w:rsidRPr="009C6832">
        <w:rPr>
          <w:rFonts w:cs="Arial"/>
          <w:sz w:val="24"/>
          <w:szCs w:val="24"/>
        </w:rPr>
        <w:t>mar</w:t>
      </w:r>
      <w:r w:rsidRPr="009C6832">
        <w:rPr>
          <w:rFonts w:cs="Arial"/>
          <w:sz w:val="24"/>
          <w:szCs w:val="24"/>
        </w:rPr>
        <w:t>e a diminuării nivelului accizelor la produsele energetice de la 1 ianuarie 2017 (7 eurocenți) și a venituril</w:t>
      </w:r>
      <w:r w:rsidR="003B4EA0" w:rsidRPr="009C6832">
        <w:rPr>
          <w:rFonts w:cs="Arial"/>
          <w:sz w:val="24"/>
          <w:szCs w:val="24"/>
        </w:rPr>
        <w:t>or</w:t>
      </w:r>
      <w:r w:rsidRPr="009C6832">
        <w:rPr>
          <w:rFonts w:cs="Arial"/>
          <w:sz w:val="24"/>
          <w:szCs w:val="24"/>
        </w:rPr>
        <w:t xml:space="preserve"> din accize la </w:t>
      </w:r>
      <w:r w:rsidR="003E4D3E" w:rsidRPr="009C6832">
        <w:rPr>
          <w:rFonts w:cs="Arial"/>
          <w:sz w:val="24"/>
          <w:szCs w:val="24"/>
        </w:rPr>
        <w:t xml:space="preserve">produsele din </w:t>
      </w:r>
      <w:r w:rsidRPr="009C6832">
        <w:rPr>
          <w:rFonts w:cs="Arial"/>
          <w:sz w:val="24"/>
          <w:szCs w:val="24"/>
        </w:rPr>
        <w:t>tutun ce s-au redus cu 3,8%</w:t>
      </w:r>
      <w:r w:rsidR="00B647C8" w:rsidRPr="009C6832">
        <w:rPr>
          <w:rFonts w:cs="Arial"/>
          <w:sz w:val="24"/>
          <w:szCs w:val="24"/>
        </w:rPr>
        <w:t>,</w:t>
      </w:r>
      <w:r w:rsidRPr="009C6832">
        <w:rPr>
          <w:rFonts w:cs="Arial"/>
          <w:sz w:val="24"/>
          <w:szCs w:val="24"/>
        </w:rPr>
        <w:t xml:space="preserve"> în timp ce încasările din accize din alcool au crescut cu 3,9%. </w:t>
      </w:r>
    </w:p>
    <w:p w:rsidR="00441939" w:rsidRPr="009C6832" w:rsidRDefault="00441939" w:rsidP="00060B8F">
      <w:pPr>
        <w:spacing w:after="120"/>
        <w:ind w:firstLine="680"/>
        <w:rPr>
          <w:rFonts w:cs="Arial"/>
          <w:sz w:val="24"/>
          <w:szCs w:val="24"/>
        </w:rPr>
      </w:pPr>
      <w:r w:rsidRPr="009C6832">
        <w:rPr>
          <w:rFonts w:cs="Arial"/>
          <w:sz w:val="24"/>
          <w:szCs w:val="24"/>
        </w:rPr>
        <w:t>Încasările din accize au fost influențate pozitiv de creșterea volumului cifrei de afaceri în comerțul cu amănuntul al carburanților pentru autovehicule cu 11,1%</w:t>
      </w:r>
      <w:r w:rsidRPr="009C6832">
        <w:rPr>
          <w:rFonts w:cs="Arial"/>
          <w:sz w:val="24"/>
          <w:szCs w:val="24"/>
          <w:vertAlign w:val="superscript"/>
        </w:rPr>
        <w:footnoteReference w:id="6"/>
      </w:r>
      <w:r w:rsidR="00970F67" w:rsidRPr="009C6832">
        <w:rPr>
          <w:rFonts w:cs="Arial"/>
          <w:sz w:val="24"/>
          <w:szCs w:val="24"/>
        </w:rPr>
        <w:t>,</w:t>
      </w:r>
      <w:r w:rsidRPr="009C6832">
        <w:rPr>
          <w:rFonts w:cs="Arial"/>
          <w:sz w:val="24"/>
          <w:szCs w:val="24"/>
        </w:rPr>
        <w:t xml:space="preserve"> de creșterea vânzărilor de produse alimentare, băuturi şi tutun cu 3,6</w:t>
      </w:r>
      <w:r w:rsidR="00970F67" w:rsidRPr="009C6832">
        <w:rPr>
          <w:rFonts w:cs="Arial"/>
          <w:sz w:val="24"/>
          <w:szCs w:val="24"/>
        </w:rPr>
        <w:t>% precum și de majorarea</w:t>
      </w:r>
      <w:r w:rsidR="0091264D" w:rsidRPr="009C6832">
        <w:rPr>
          <w:rFonts w:cs="Arial"/>
          <w:sz w:val="24"/>
          <w:szCs w:val="24"/>
        </w:rPr>
        <w:t>,</w:t>
      </w:r>
      <w:r w:rsidR="00970F67" w:rsidRPr="009C6832">
        <w:rPr>
          <w:rFonts w:cs="Arial"/>
          <w:sz w:val="24"/>
          <w:szCs w:val="24"/>
        </w:rPr>
        <w:t xml:space="preserve"> începând cu data de 01.01.2017</w:t>
      </w:r>
      <w:r w:rsidR="0091264D" w:rsidRPr="009C6832">
        <w:rPr>
          <w:rFonts w:cs="Arial"/>
          <w:sz w:val="24"/>
          <w:szCs w:val="24"/>
        </w:rPr>
        <w:t>,</w:t>
      </w:r>
      <w:r w:rsidR="00970F67" w:rsidRPr="009C6832">
        <w:rPr>
          <w:rFonts w:cs="Arial"/>
          <w:sz w:val="24"/>
          <w:szCs w:val="24"/>
        </w:rPr>
        <w:t xml:space="preserve"> a nivelului accizei totale la țigarete de la 430,71 lei/1000 țigarete la 435,58 lei/1000 țigarete</w:t>
      </w:r>
      <w:r w:rsidR="0091264D" w:rsidRPr="009C6832">
        <w:rPr>
          <w:rFonts w:cs="Arial"/>
          <w:sz w:val="24"/>
          <w:szCs w:val="24"/>
        </w:rPr>
        <w:t>.</w:t>
      </w:r>
    </w:p>
    <w:p w:rsidR="003B4EA0" w:rsidRPr="009C6832" w:rsidRDefault="00441939" w:rsidP="00060B8F">
      <w:pPr>
        <w:spacing w:after="120"/>
        <w:ind w:firstLine="680"/>
        <w:rPr>
          <w:rFonts w:cs="Arial"/>
          <w:sz w:val="24"/>
          <w:szCs w:val="24"/>
        </w:rPr>
      </w:pPr>
      <w:r w:rsidRPr="009C6832">
        <w:rPr>
          <w:rFonts w:cs="Arial"/>
          <w:sz w:val="24"/>
          <w:szCs w:val="24"/>
        </w:rPr>
        <w:t xml:space="preserve">Încasările din </w:t>
      </w:r>
      <w:r w:rsidRPr="009C6832">
        <w:rPr>
          <w:rFonts w:cs="Arial"/>
          <w:b/>
          <w:sz w:val="24"/>
          <w:szCs w:val="24"/>
        </w:rPr>
        <w:t>alte impozite și taxe pe bunuri și servicii</w:t>
      </w:r>
      <w:r w:rsidR="00A26E1A">
        <w:rPr>
          <w:rFonts w:cs="Arial"/>
          <w:b/>
          <w:sz w:val="24"/>
          <w:szCs w:val="24"/>
        </w:rPr>
        <w:t xml:space="preserve"> </w:t>
      </w:r>
      <w:r w:rsidR="0095144E" w:rsidRPr="009C6832">
        <w:rPr>
          <w:rFonts w:cs="Arial"/>
          <w:sz w:val="24"/>
          <w:szCs w:val="24"/>
        </w:rPr>
        <w:t>au însumat 1.684,2 milioane lei(0,2% din PIB</w:t>
      </w:r>
      <w:r w:rsidR="003B4EA0" w:rsidRPr="009C6832">
        <w:rPr>
          <w:rFonts w:cs="Arial"/>
          <w:sz w:val="24"/>
          <w:szCs w:val="24"/>
        </w:rPr>
        <w:t>)</w:t>
      </w:r>
      <w:r w:rsidRPr="009C6832">
        <w:rPr>
          <w:rFonts w:cs="Arial"/>
          <w:sz w:val="24"/>
          <w:szCs w:val="24"/>
        </w:rPr>
        <w:t xml:space="preserve"> cu 62,1% </w:t>
      </w:r>
      <w:r w:rsidR="003B4EA0" w:rsidRPr="009C6832">
        <w:rPr>
          <w:rFonts w:cs="Arial"/>
          <w:sz w:val="24"/>
          <w:szCs w:val="24"/>
        </w:rPr>
        <w:t>mai mari comparativ cu acee</w:t>
      </w:r>
      <w:r w:rsidR="0095144E" w:rsidRPr="009C6832">
        <w:rPr>
          <w:rFonts w:cs="Arial"/>
          <w:sz w:val="24"/>
          <w:szCs w:val="24"/>
        </w:rPr>
        <w:t xml:space="preserve">ași perioadă a anului anterior,  gradul de realizare al programului de încasări fiind de </w:t>
      </w:r>
      <w:r w:rsidR="006B1124" w:rsidRPr="009C6832">
        <w:rPr>
          <w:rFonts w:cs="Arial"/>
          <w:sz w:val="24"/>
          <w:szCs w:val="24"/>
        </w:rPr>
        <w:t xml:space="preserve">97,8%. </w:t>
      </w:r>
    </w:p>
    <w:p w:rsidR="00441939" w:rsidRPr="009C6832" w:rsidRDefault="006B1124" w:rsidP="00060B8F">
      <w:pPr>
        <w:spacing w:after="120"/>
        <w:ind w:firstLine="680"/>
        <w:rPr>
          <w:rFonts w:cs="Arial"/>
          <w:sz w:val="24"/>
          <w:szCs w:val="24"/>
        </w:rPr>
      </w:pPr>
      <w:r w:rsidRPr="009C6832">
        <w:rPr>
          <w:rFonts w:cs="Arial"/>
          <w:sz w:val="24"/>
          <w:szCs w:val="24"/>
        </w:rPr>
        <w:t>Evoluția încasărilor din alte impozite și taxe pe bunuri și servicii</w:t>
      </w:r>
      <w:r w:rsidR="00A26E1A">
        <w:rPr>
          <w:rFonts w:cs="Arial"/>
          <w:sz w:val="24"/>
          <w:szCs w:val="24"/>
        </w:rPr>
        <w:t xml:space="preserve"> </w:t>
      </w:r>
      <w:r w:rsidRPr="009C6832">
        <w:rPr>
          <w:rFonts w:cs="Arial"/>
          <w:sz w:val="24"/>
          <w:szCs w:val="24"/>
        </w:rPr>
        <w:t>a fost determinată</w:t>
      </w:r>
      <w:r w:rsidR="00441939" w:rsidRPr="009C6832">
        <w:rPr>
          <w:rFonts w:cs="Arial"/>
          <w:sz w:val="24"/>
          <w:szCs w:val="24"/>
        </w:rPr>
        <w:t xml:space="preserve">, în principal, de </w:t>
      </w:r>
      <w:r w:rsidRPr="009C6832">
        <w:rPr>
          <w:rFonts w:cs="Arial"/>
          <w:sz w:val="24"/>
          <w:szCs w:val="24"/>
        </w:rPr>
        <w:t>creșterea</w:t>
      </w:r>
      <w:r w:rsidR="00441939" w:rsidRPr="009C6832">
        <w:rPr>
          <w:rFonts w:cs="Arial"/>
          <w:sz w:val="24"/>
          <w:szCs w:val="24"/>
        </w:rPr>
        <w:t xml:space="preserve"> încasărilor aferente contribuției datorate pentru medicamente, precum și pentru contractele cost-volum/cost-volum-rezultat finanțate din bugetul Fondului național unic de asigurări sociale de sănătate. </w:t>
      </w:r>
    </w:p>
    <w:p w:rsidR="007C4F03" w:rsidRPr="009C6832" w:rsidRDefault="007C4F03" w:rsidP="00060B8F">
      <w:pPr>
        <w:spacing w:after="120"/>
        <w:ind w:firstLine="680"/>
        <w:rPr>
          <w:rFonts w:cs="Arial"/>
          <w:sz w:val="24"/>
          <w:szCs w:val="24"/>
        </w:rPr>
      </w:pPr>
      <w:r w:rsidRPr="009C6832">
        <w:rPr>
          <w:rFonts w:cs="Arial"/>
          <w:sz w:val="24"/>
          <w:szCs w:val="24"/>
        </w:rPr>
        <w:t xml:space="preserve">Încasările din </w:t>
      </w:r>
      <w:r w:rsidRPr="009C6832">
        <w:rPr>
          <w:rFonts w:cs="Arial"/>
          <w:b/>
          <w:sz w:val="24"/>
          <w:szCs w:val="24"/>
        </w:rPr>
        <w:t>impozitul pe comerțul exterior şi tranzacțiile internaționale</w:t>
      </w:r>
      <w:r w:rsidRPr="009C6832">
        <w:rPr>
          <w:rFonts w:cs="Arial"/>
          <w:sz w:val="24"/>
          <w:szCs w:val="24"/>
        </w:rPr>
        <w:t xml:space="preserve"> au crescut cu </w:t>
      </w:r>
      <w:r w:rsidR="006B1124" w:rsidRPr="009C6832">
        <w:rPr>
          <w:rFonts w:cs="Arial"/>
          <w:sz w:val="24"/>
          <w:szCs w:val="24"/>
        </w:rPr>
        <w:t>1,9</w:t>
      </w:r>
      <w:r w:rsidRPr="009C6832">
        <w:rPr>
          <w:rFonts w:cs="Arial"/>
          <w:sz w:val="24"/>
          <w:szCs w:val="24"/>
        </w:rPr>
        <w:t>% comparativ aceeași perioadă a anului precedent,</w:t>
      </w:r>
      <w:r w:rsidR="00A26E1A">
        <w:rPr>
          <w:rFonts w:cs="Arial"/>
          <w:sz w:val="24"/>
          <w:szCs w:val="24"/>
        </w:rPr>
        <w:t xml:space="preserve"> </w:t>
      </w:r>
      <w:r w:rsidR="009D6D45" w:rsidRPr="009C6832">
        <w:rPr>
          <w:rFonts w:cs="Arial"/>
          <w:sz w:val="24"/>
          <w:szCs w:val="24"/>
        </w:rPr>
        <w:t>în condițiile în care importurile de bunuri din zona extra</w:t>
      </w:r>
      <w:r w:rsidR="0088572D" w:rsidRPr="009C6832">
        <w:rPr>
          <w:rFonts w:cs="Arial"/>
          <w:sz w:val="24"/>
          <w:szCs w:val="24"/>
        </w:rPr>
        <w:t>-</w:t>
      </w:r>
      <w:r w:rsidR="009D6D45" w:rsidRPr="009C6832">
        <w:rPr>
          <w:rFonts w:cs="Arial"/>
          <w:sz w:val="24"/>
          <w:szCs w:val="24"/>
        </w:rPr>
        <w:t xml:space="preserve">comunitară au crescut cu </w:t>
      </w:r>
      <w:r w:rsidR="006B1124" w:rsidRPr="009C6832">
        <w:rPr>
          <w:rFonts w:cs="Arial"/>
          <w:sz w:val="24"/>
          <w:szCs w:val="24"/>
        </w:rPr>
        <w:t>22,6</w:t>
      </w:r>
      <w:r w:rsidR="009D6D45" w:rsidRPr="009C6832">
        <w:rPr>
          <w:rFonts w:cs="Arial"/>
          <w:sz w:val="24"/>
          <w:szCs w:val="24"/>
        </w:rPr>
        <w:t>%</w:t>
      </w:r>
      <w:r w:rsidR="009D6D45" w:rsidRPr="009C6832">
        <w:rPr>
          <w:rFonts w:cs="Arial"/>
          <w:sz w:val="24"/>
          <w:szCs w:val="24"/>
          <w:vertAlign w:val="superscript"/>
        </w:rPr>
        <w:footnoteReference w:id="7"/>
      </w:r>
      <w:r w:rsidR="009D6D45" w:rsidRPr="009C6832">
        <w:rPr>
          <w:rFonts w:cs="Arial"/>
          <w:sz w:val="24"/>
          <w:szCs w:val="24"/>
        </w:rPr>
        <w:t xml:space="preserve">, </w:t>
      </w:r>
      <w:r w:rsidRPr="009C6832">
        <w:rPr>
          <w:rFonts w:cs="Arial"/>
          <w:sz w:val="24"/>
          <w:szCs w:val="24"/>
        </w:rPr>
        <w:t xml:space="preserve">în timp ce gradul de realizare al programului de încasări a fost de </w:t>
      </w:r>
      <w:r w:rsidR="006B1124" w:rsidRPr="009C6832">
        <w:rPr>
          <w:rFonts w:cs="Arial"/>
          <w:sz w:val="24"/>
          <w:szCs w:val="24"/>
        </w:rPr>
        <w:t>103,5</w:t>
      </w:r>
      <w:r w:rsidRPr="009C6832">
        <w:rPr>
          <w:rFonts w:cs="Arial"/>
          <w:sz w:val="24"/>
          <w:szCs w:val="24"/>
        </w:rPr>
        <w:t>%;</w:t>
      </w:r>
    </w:p>
    <w:p w:rsidR="00970F67" w:rsidRPr="009C6832" w:rsidRDefault="007C4F03" w:rsidP="00060B8F">
      <w:pPr>
        <w:spacing w:after="120"/>
        <w:ind w:firstLine="680"/>
        <w:rPr>
          <w:rFonts w:cs="Arial"/>
          <w:sz w:val="24"/>
          <w:szCs w:val="24"/>
        </w:rPr>
      </w:pPr>
      <w:r w:rsidRPr="009C6832">
        <w:rPr>
          <w:rFonts w:cs="Arial"/>
          <w:sz w:val="24"/>
          <w:szCs w:val="24"/>
        </w:rPr>
        <w:t xml:space="preserve">Încasările din </w:t>
      </w:r>
      <w:r w:rsidRPr="009C6832">
        <w:rPr>
          <w:rFonts w:cs="Arial"/>
          <w:b/>
          <w:sz w:val="24"/>
          <w:szCs w:val="24"/>
        </w:rPr>
        <w:t>taxa pe utilizarea bunurilor, autorizarea utilizării bunurilor sau pe desfășurarea de activități</w:t>
      </w:r>
      <w:r w:rsidR="00A26E1A">
        <w:rPr>
          <w:rFonts w:cs="Arial"/>
          <w:b/>
          <w:sz w:val="24"/>
          <w:szCs w:val="24"/>
        </w:rPr>
        <w:t xml:space="preserve"> </w:t>
      </w:r>
      <w:r w:rsidR="006B1124" w:rsidRPr="009C6832">
        <w:rPr>
          <w:rFonts w:cs="Arial"/>
          <w:sz w:val="24"/>
          <w:szCs w:val="24"/>
        </w:rPr>
        <w:t>s-</w:t>
      </w:r>
      <w:r w:rsidRPr="009C6832">
        <w:rPr>
          <w:rFonts w:cs="Arial"/>
          <w:sz w:val="24"/>
          <w:szCs w:val="24"/>
        </w:rPr>
        <w:t xml:space="preserve">au </w:t>
      </w:r>
      <w:r w:rsidR="006B1124" w:rsidRPr="009C6832">
        <w:rPr>
          <w:rFonts w:cs="Arial"/>
          <w:sz w:val="24"/>
          <w:szCs w:val="24"/>
        </w:rPr>
        <w:t>diminuat cu 10,1</w:t>
      </w:r>
      <w:r w:rsidRPr="009C6832">
        <w:rPr>
          <w:rFonts w:cs="Arial"/>
          <w:sz w:val="24"/>
          <w:szCs w:val="24"/>
        </w:rPr>
        <w:t xml:space="preserve">% comparativ cu semestrul I al anului </w:t>
      </w:r>
      <w:r w:rsidR="006B1124" w:rsidRPr="009C6832">
        <w:rPr>
          <w:rFonts w:cs="Arial"/>
          <w:sz w:val="24"/>
          <w:szCs w:val="24"/>
        </w:rPr>
        <w:t>2016</w:t>
      </w:r>
      <w:r w:rsidRPr="009C6832">
        <w:rPr>
          <w:rFonts w:cs="Arial"/>
          <w:sz w:val="24"/>
          <w:szCs w:val="24"/>
        </w:rPr>
        <w:t xml:space="preserve">, programul de încasări realizându-se în proporție de </w:t>
      </w:r>
      <w:r w:rsidR="006B1124" w:rsidRPr="009C6832">
        <w:rPr>
          <w:rFonts w:cs="Arial"/>
          <w:sz w:val="24"/>
          <w:szCs w:val="24"/>
        </w:rPr>
        <w:t>85,0%.</w:t>
      </w:r>
    </w:p>
    <w:p w:rsidR="00970F67" w:rsidRPr="009C6832" w:rsidRDefault="00970F67" w:rsidP="00060B8F">
      <w:pPr>
        <w:spacing w:after="120"/>
        <w:ind w:firstLine="680"/>
        <w:rPr>
          <w:rFonts w:cs="Arial"/>
          <w:sz w:val="24"/>
          <w:szCs w:val="24"/>
        </w:rPr>
      </w:pPr>
      <w:r w:rsidRPr="009C6832">
        <w:rPr>
          <w:rFonts w:cs="Arial"/>
          <w:sz w:val="24"/>
          <w:szCs w:val="24"/>
        </w:rPr>
        <w:t xml:space="preserve">Diminuarea încasărilor din taxa pe utilizarea bunurilor, autorizarea utilizării bunurilor sau pe desfășurarea de activități s-a datorat diminuării cu 84,5%, comparativ cu anul anterior, a încasărilor la bugetul </w:t>
      </w:r>
      <w:r w:rsidR="00DC0ECE" w:rsidRPr="009C6832">
        <w:rPr>
          <w:rFonts w:cs="Arial"/>
          <w:sz w:val="24"/>
          <w:szCs w:val="24"/>
        </w:rPr>
        <w:t>instituțiilor</w:t>
      </w:r>
      <w:r w:rsidRPr="009C6832">
        <w:rPr>
          <w:rFonts w:cs="Arial"/>
          <w:sz w:val="24"/>
          <w:szCs w:val="24"/>
        </w:rPr>
        <w:t>/</w:t>
      </w:r>
      <w:r w:rsidR="00DC0ECE" w:rsidRPr="009C6832">
        <w:rPr>
          <w:rFonts w:cs="Arial"/>
          <w:sz w:val="24"/>
          <w:szCs w:val="24"/>
        </w:rPr>
        <w:t>activităților</w:t>
      </w:r>
      <w:r w:rsidR="00A26E1A">
        <w:rPr>
          <w:rFonts w:cs="Arial"/>
          <w:sz w:val="24"/>
          <w:szCs w:val="24"/>
        </w:rPr>
        <w:t xml:space="preserve"> </w:t>
      </w:r>
      <w:r w:rsidR="00DC0ECE" w:rsidRPr="009C6832">
        <w:rPr>
          <w:rFonts w:cs="Arial"/>
          <w:sz w:val="24"/>
          <w:szCs w:val="24"/>
        </w:rPr>
        <w:t>finanțate</w:t>
      </w:r>
      <w:r w:rsidRPr="009C6832">
        <w:rPr>
          <w:rFonts w:cs="Arial"/>
          <w:sz w:val="24"/>
          <w:szCs w:val="24"/>
        </w:rPr>
        <w:t xml:space="preserve"> integral si/sau </w:t>
      </w:r>
      <w:r w:rsidR="00DC0ECE" w:rsidRPr="009C6832">
        <w:rPr>
          <w:rFonts w:cs="Arial"/>
          <w:sz w:val="24"/>
          <w:szCs w:val="24"/>
        </w:rPr>
        <w:t>parțial</w:t>
      </w:r>
      <w:r w:rsidRPr="009C6832">
        <w:rPr>
          <w:rFonts w:cs="Arial"/>
          <w:sz w:val="24"/>
          <w:szCs w:val="24"/>
        </w:rPr>
        <w:t xml:space="preserve"> din venituri proprii în principal ca urmare a eliminării</w:t>
      </w:r>
      <w:r w:rsidRPr="009C6832">
        <w:rPr>
          <w:rStyle w:val="FootnoteReference"/>
          <w:rFonts w:cs="Arial"/>
          <w:sz w:val="24"/>
          <w:szCs w:val="24"/>
        </w:rPr>
        <w:footnoteReference w:id="8"/>
      </w:r>
      <w:r w:rsidRPr="009C6832">
        <w:rPr>
          <w:rFonts w:cs="Arial"/>
          <w:sz w:val="24"/>
          <w:szCs w:val="24"/>
        </w:rPr>
        <w:t xml:space="preserve"> timbrului de mediu pentru autovehicule.</w:t>
      </w:r>
    </w:p>
    <w:p w:rsidR="007C4F03" w:rsidRPr="009C6832" w:rsidRDefault="007C4F03" w:rsidP="00060B8F">
      <w:pPr>
        <w:spacing w:after="120"/>
        <w:ind w:firstLine="680"/>
        <w:rPr>
          <w:rFonts w:cs="Arial"/>
          <w:sz w:val="24"/>
          <w:szCs w:val="24"/>
        </w:rPr>
      </w:pPr>
      <w:r w:rsidRPr="009C6832">
        <w:rPr>
          <w:rFonts w:cs="Arial"/>
          <w:b/>
          <w:sz w:val="24"/>
          <w:szCs w:val="24"/>
        </w:rPr>
        <w:t>Contribuțiile de asigurări</w:t>
      </w:r>
      <w:r w:rsidRPr="009C6832">
        <w:rPr>
          <w:rFonts w:cs="Arial"/>
          <w:sz w:val="24"/>
          <w:szCs w:val="24"/>
        </w:rPr>
        <w:t xml:space="preserve"> colectate la bugetul general consolidat au fost în sumă de </w:t>
      </w:r>
      <w:r w:rsidR="0091264D" w:rsidRPr="009C6832">
        <w:rPr>
          <w:rFonts w:cs="Arial"/>
          <w:sz w:val="24"/>
          <w:szCs w:val="24"/>
        </w:rPr>
        <w:t>34.218,1</w:t>
      </w:r>
      <w:r w:rsidRPr="009C6832">
        <w:rPr>
          <w:rFonts w:cs="Arial"/>
          <w:sz w:val="24"/>
          <w:szCs w:val="24"/>
        </w:rPr>
        <w:t xml:space="preserve"> milioane lei</w:t>
      </w:r>
      <w:r w:rsidR="0091264D" w:rsidRPr="009C6832">
        <w:rPr>
          <w:rFonts w:cs="Arial"/>
          <w:sz w:val="24"/>
          <w:szCs w:val="24"/>
        </w:rPr>
        <w:t>(4,2%</w:t>
      </w:r>
      <w:r w:rsidR="003B4EA0" w:rsidRPr="009C6832">
        <w:rPr>
          <w:rFonts w:cs="Arial"/>
          <w:sz w:val="24"/>
          <w:szCs w:val="24"/>
        </w:rPr>
        <w:t xml:space="preserve"> din PIB</w:t>
      </w:r>
      <w:r w:rsidR="0091264D" w:rsidRPr="009C6832">
        <w:rPr>
          <w:rFonts w:cs="Arial"/>
          <w:sz w:val="24"/>
          <w:szCs w:val="24"/>
        </w:rPr>
        <w:t>)</w:t>
      </w:r>
      <w:r w:rsidRPr="009C6832">
        <w:rPr>
          <w:rFonts w:cs="Arial"/>
          <w:sz w:val="24"/>
          <w:szCs w:val="24"/>
        </w:rPr>
        <w:t xml:space="preserve">, cu </w:t>
      </w:r>
      <w:r w:rsidR="0091264D" w:rsidRPr="009C6832">
        <w:rPr>
          <w:rFonts w:cs="Arial"/>
          <w:bCs/>
          <w:sz w:val="24"/>
          <w:szCs w:val="24"/>
        </w:rPr>
        <w:t>16,1</w:t>
      </w:r>
      <w:r w:rsidRPr="009C6832">
        <w:rPr>
          <w:rFonts w:cs="Arial"/>
          <w:bCs/>
          <w:sz w:val="24"/>
          <w:szCs w:val="24"/>
        </w:rPr>
        <w:t>%</w:t>
      </w:r>
      <w:r w:rsidR="009D6D45" w:rsidRPr="009C6832">
        <w:rPr>
          <w:rFonts w:cs="Arial"/>
          <w:sz w:val="24"/>
          <w:szCs w:val="24"/>
        </w:rPr>
        <w:t xml:space="preserve">mai mari comparativ cu </w:t>
      </w:r>
      <w:r w:rsidRPr="009C6832">
        <w:rPr>
          <w:rFonts w:cs="Arial"/>
          <w:sz w:val="24"/>
          <w:szCs w:val="24"/>
        </w:rPr>
        <w:t xml:space="preserve">încasările înregistrate în aceeași perioadă a anului precedent, gradul de realizare al programului de încasări fiind de </w:t>
      </w:r>
      <w:r w:rsidR="0091264D" w:rsidRPr="009C6832">
        <w:rPr>
          <w:rFonts w:cs="Arial"/>
          <w:sz w:val="24"/>
          <w:szCs w:val="24"/>
        </w:rPr>
        <w:t>101,7</w:t>
      </w:r>
      <w:r w:rsidRPr="009C6832">
        <w:rPr>
          <w:rFonts w:cs="Arial"/>
          <w:sz w:val="24"/>
          <w:szCs w:val="24"/>
        </w:rPr>
        <w:t xml:space="preserve">%. </w:t>
      </w:r>
    </w:p>
    <w:p w:rsidR="00711E39" w:rsidRPr="009C6832" w:rsidRDefault="007C4F03" w:rsidP="00060B8F">
      <w:pPr>
        <w:spacing w:after="120"/>
        <w:ind w:firstLine="680"/>
        <w:rPr>
          <w:rFonts w:cs="Arial"/>
          <w:sz w:val="24"/>
          <w:szCs w:val="24"/>
        </w:rPr>
      </w:pPr>
      <w:r w:rsidRPr="009C6832">
        <w:rPr>
          <w:rFonts w:cs="Arial"/>
          <w:sz w:val="24"/>
          <w:szCs w:val="24"/>
        </w:rPr>
        <w:t xml:space="preserve">Comparativ cu semestrul I </w:t>
      </w:r>
      <w:r w:rsidR="0091264D" w:rsidRPr="009C6832">
        <w:rPr>
          <w:rFonts w:cs="Arial"/>
          <w:sz w:val="24"/>
          <w:szCs w:val="24"/>
        </w:rPr>
        <w:t xml:space="preserve">2016 </w:t>
      </w:r>
      <w:r w:rsidRPr="009C6832">
        <w:rPr>
          <w:rFonts w:cs="Arial"/>
          <w:sz w:val="24"/>
          <w:szCs w:val="24"/>
        </w:rPr>
        <w:t xml:space="preserve">s-au înregistrat creșteri ale încasărilor </w:t>
      </w:r>
      <w:r w:rsidR="005C6217" w:rsidRPr="009C6832">
        <w:rPr>
          <w:rFonts w:cs="Arial"/>
          <w:sz w:val="24"/>
          <w:szCs w:val="24"/>
        </w:rPr>
        <w:t>atât în cazul bugetului asigurărilor sociale de stat(+</w:t>
      </w:r>
      <w:r w:rsidR="0091264D" w:rsidRPr="009C6832">
        <w:rPr>
          <w:rFonts w:cs="Arial"/>
          <w:sz w:val="24"/>
          <w:szCs w:val="24"/>
        </w:rPr>
        <w:t>18,4</w:t>
      </w:r>
      <w:r w:rsidR="005C6217" w:rsidRPr="009C6832">
        <w:rPr>
          <w:rFonts w:cs="Arial"/>
          <w:sz w:val="24"/>
          <w:szCs w:val="24"/>
        </w:rPr>
        <w:t xml:space="preserve">%) cât și </w:t>
      </w:r>
      <w:r w:rsidRPr="009C6832">
        <w:rPr>
          <w:rFonts w:cs="Arial"/>
          <w:sz w:val="24"/>
          <w:szCs w:val="24"/>
        </w:rPr>
        <w:t>în cazul bugetului asigurărilor pentru șomaj (+</w:t>
      </w:r>
      <w:r w:rsidR="0091264D" w:rsidRPr="009C6832">
        <w:rPr>
          <w:rFonts w:cs="Arial"/>
          <w:sz w:val="24"/>
          <w:szCs w:val="24"/>
        </w:rPr>
        <w:t>17,3</w:t>
      </w:r>
      <w:r w:rsidRPr="009C6832">
        <w:rPr>
          <w:rFonts w:cs="Arial"/>
          <w:sz w:val="24"/>
          <w:szCs w:val="24"/>
        </w:rPr>
        <w:t>%) și a bugetul fondului național unic de asigurări sociale de sănătate (+</w:t>
      </w:r>
      <w:r w:rsidR="0091264D" w:rsidRPr="009C6832">
        <w:rPr>
          <w:rFonts w:cs="Arial"/>
          <w:sz w:val="24"/>
          <w:szCs w:val="24"/>
        </w:rPr>
        <w:t>11,3</w:t>
      </w:r>
      <w:r w:rsidRPr="009C6832">
        <w:rPr>
          <w:rFonts w:cs="Arial"/>
          <w:sz w:val="24"/>
          <w:szCs w:val="24"/>
        </w:rPr>
        <w:t>%)</w:t>
      </w:r>
      <w:r w:rsidR="005C6217" w:rsidRPr="009C6832">
        <w:rPr>
          <w:rFonts w:cs="Arial"/>
          <w:sz w:val="24"/>
          <w:szCs w:val="24"/>
        </w:rPr>
        <w:t>.</w:t>
      </w:r>
    </w:p>
    <w:p w:rsidR="00711E39" w:rsidRPr="009C6832" w:rsidRDefault="007C4F03" w:rsidP="00060B8F">
      <w:pPr>
        <w:spacing w:after="120"/>
        <w:ind w:firstLine="680"/>
        <w:rPr>
          <w:rFonts w:cs="Arial"/>
          <w:sz w:val="24"/>
          <w:szCs w:val="24"/>
        </w:rPr>
      </w:pPr>
      <w:r w:rsidRPr="009C6832">
        <w:rPr>
          <w:rFonts w:cs="Arial"/>
          <w:sz w:val="24"/>
          <w:szCs w:val="24"/>
        </w:rPr>
        <w:t xml:space="preserve">Încasările din </w:t>
      </w:r>
      <w:r w:rsidR="00593732" w:rsidRPr="009C6832">
        <w:rPr>
          <w:rFonts w:cs="Arial"/>
          <w:sz w:val="24"/>
          <w:szCs w:val="24"/>
        </w:rPr>
        <w:t>contribuțiile</w:t>
      </w:r>
      <w:r w:rsidRPr="009C6832">
        <w:rPr>
          <w:rFonts w:cs="Arial"/>
          <w:sz w:val="24"/>
          <w:szCs w:val="24"/>
        </w:rPr>
        <w:t xml:space="preserve"> de asigurări în primul semestru al anului </w:t>
      </w:r>
      <w:r w:rsidR="0091264D" w:rsidRPr="009C6832">
        <w:rPr>
          <w:rFonts w:cs="Arial"/>
          <w:sz w:val="24"/>
          <w:szCs w:val="24"/>
        </w:rPr>
        <w:t xml:space="preserve">2017 </w:t>
      </w:r>
      <w:r w:rsidRPr="009C6832">
        <w:rPr>
          <w:rFonts w:cs="Arial"/>
          <w:sz w:val="24"/>
          <w:szCs w:val="24"/>
        </w:rPr>
        <w:t xml:space="preserve">au fost </w:t>
      </w:r>
      <w:r w:rsidR="00593732" w:rsidRPr="009C6832">
        <w:rPr>
          <w:rFonts w:cs="Arial"/>
          <w:sz w:val="24"/>
          <w:szCs w:val="24"/>
        </w:rPr>
        <w:t>influențate</w:t>
      </w:r>
      <w:r w:rsidRPr="009C6832">
        <w:rPr>
          <w:rFonts w:cs="Arial"/>
          <w:sz w:val="24"/>
          <w:szCs w:val="24"/>
        </w:rPr>
        <w:t xml:space="preserve"> negativ de </w:t>
      </w:r>
      <w:r w:rsidR="00196744" w:rsidRPr="009C6832">
        <w:rPr>
          <w:rFonts w:cs="Arial"/>
          <w:sz w:val="24"/>
          <w:szCs w:val="24"/>
        </w:rPr>
        <w:t xml:space="preserve">o serie de măsuri legislative </w:t>
      </w:r>
      <w:r w:rsidR="00FE0BCB" w:rsidRPr="009C6832">
        <w:rPr>
          <w:rFonts w:cs="Arial"/>
          <w:sz w:val="24"/>
          <w:szCs w:val="24"/>
        </w:rPr>
        <w:t>adoptate atât în cursul anului 2016 c</w:t>
      </w:r>
      <w:r w:rsidR="00B647C8" w:rsidRPr="009C6832">
        <w:rPr>
          <w:rFonts w:cs="Arial"/>
          <w:sz w:val="24"/>
          <w:szCs w:val="24"/>
        </w:rPr>
        <w:t>â</w:t>
      </w:r>
      <w:r w:rsidR="00FE0BCB" w:rsidRPr="009C6832">
        <w:rPr>
          <w:rFonts w:cs="Arial"/>
          <w:sz w:val="24"/>
          <w:szCs w:val="24"/>
        </w:rPr>
        <w:t xml:space="preserve">t </w:t>
      </w:r>
      <w:r w:rsidR="00B647C8" w:rsidRPr="009C6832">
        <w:rPr>
          <w:rFonts w:cs="Arial"/>
          <w:sz w:val="24"/>
          <w:szCs w:val="24"/>
        </w:rPr>
        <w:t>ș</w:t>
      </w:r>
      <w:r w:rsidR="00FE0BCB" w:rsidRPr="009C6832">
        <w:rPr>
          <w:rFonts w:cs="Arial"/>
          <w:sz w:val="24"/>
          <w:szCs w:val="24"/>
        </w:rPr>
        <w:t>i în anul 2017</w:t>
      </w:r>
      <w:r w:rsidR="00B647C8" w:rsidRPr="009C6832">
        <w:rPr>
          <w:rFonts w:cs="Arial"/>
          <w:sz w:val="24"/>
          <w:szCs w:val="24"/>
        </w:rPr>
        <w:t>,</w:t>
      </w:r>
      <w:r w:rsidR="00196744" w:rsidRPr="009C6832">
        <w:rPr>
          <w:rFonts w:cs="Arial"/>
          <w:sz w:val="24"/>
          <w:szCs w:val="24"/>
        </w:rPr>
        <w:t>precum scutirea pensionarilor de la plata contribuțiilor de asigurări sociale de sănătate (î</w:t>
      </w:r>
      <w:r w:rsidR="00DC0ECE" w:rsidRPr="009C6832">
        <w:rPr>
          <w:rFonts w:cs="Arial"/>
          <w:sz w:val="24"/>
          <w:szCs w:val="24"/>
        </w:rPr>
        <w:t>ncepând cu luna februarie 2017)</w:t>
      </w:r>
      <w:r w:rsidR="00196744" w:rsidRPr="009C6832">
        <w:rPr>
          <w:rFonts w:cs="Arial"/>
          <w:sz w:val="24"/>
          <w:szCs w:val="24"/>
        </w:rPr>
        <w:t xml:space="preserve"> și scutirea de la plata contribuției de asigurări sociale de stat datorate de angajatori pentru personalul militar (</w:t>
      </w:r>
      <w:r w:rsidR="00B647C8" w:rsidRPr="009C6832">
        <w:rPr>
          <w:rFonts w:cs="Arial"/>
          <w:sz w:val="24"/>
          <w:szCs w:val="24"/>
        </w:rPr>
        <w:t>î</w:t>
      </w:r>
      <w:r w:rsidR="00FE0BCB" w:rsidRPr="009C6832">
        <w:rPr>
          <w:rFonts w:cs="Arial"/>
          <w:sz w:val="24"/>
          <w:szCs w:val="24"/>
        </w:rPr>
        <w:t>ncepând cu luna februarie 2016</w:t>
      </w:r>
      <w:r w:rsidR="00196744" w:rsidRPr="009C6832">
        <w:rPr>
          <w:rFonts w:cs="Arial"/>
          <w:sz w:val="24"/>
          <w:szCs w:val="24"/>
        </w:rPr>
        <w:t>).</w:t>
      </w:r>
    </w:p>
    <w:p w:rsidR="000D46FB" w:rsidRPr="009C6832" w:rsidRDefault="007C4F03" w:rsidP="00060B8F">
      <w:pPr>
        <w:spacing w:after="120"/>
        <w:ind w:firstLine="680"/>
        <w:rPr>
          <w:rFonts w:cs="Arial"/>
          <w:sz w:val="24"/>
          <w:szCs w:val="24"/>
        </w:rPr>
      </w:pPr>
      <w:r w:rsidRPr="009C6832">
        <w:rPr>
          <w:rFonts w:cs="Arial"/>
          <w:sz w:val="24"/>
          <w:szCs w:val="24"/>
        </w:rPr>
        <w:t>De asemenea</w:t>
      </w:r>
      <w:r w:rsidR="00B647C8" w:rsidRPr="009C6832">
        <w:rPr>
          <w:rFonts w:cs="Arial"/>
          <w:sz w:val="24"/>
          <w:szCs w:val="24"/>
        </w:rPr>
        <w:t>,</w:t>
      </w:r>
      <w:r w:rsidRPr="009C6832">
        <w:rPr>
          <w:rFonts w:cs="Arial"/>
          <w:sz w:val="24"/>
          <w:szCs w:val="24"/>
        </w:rPr>
        <w:t xml:space="preserve"> acestea au fost influențate pozitiv, în perioada analizată, de creșterea efectivului de </w:t>
      </w:r>
      <w:r w:rsidR="00593732" w:rsidRPr="009C6832">
        <w:rPr>
          <w:rFonts w:cs="Arial"/>
          <w:sz w:val="24"/>
          <w:szCs w:val="24"/>
        </w:rPr>
        <w:t>salariați</w:t>
      </w:r>
      <w:r w:rsidRPr="009C6832">
        <w:rPr>
          <w:rFonts w:cs="Arial"/>
          <w:sz w:val="24"/>
          <w:szCs w:val="24"/>
        </w:rPr>
        <w:t xml:space="preserve"> din economie, a </w:t>
      </w:r>
      <w:r w:rsidR="00593732" w:rsidRPr="009C6832">
        <w:rPr>
          <w:rFonts w:cs="Arial"/>
          <w:sz w:val="24"/>
          <w:szCs w:val="24"/>
        </w:rPr>
        <w:t>câștigului</w:t>
      </w:r>
      <w:r w:rsidRPr="009C6832">
        <w:rPr>
          <w:rFonts w:cs="Arial"/>
          <w:sz w:val="24"/>
          <w:szCs w:val="24"/>
        </w:rPr>
        <w:t xml:space="preserve"> salarial</w:t>
      </w:r>
      <w:r w:rsidR="009D6D45" w:rsidRPr="009C6832">
        <w:rPr>
          <w:rFonts w:cs="Arial"/>
          <w:sz w:val="24"/>
          <w:szCs w:val="24"/>
        </w:rPr>
        <w:t xml:space="preserve"> mediu brut</w:t>
      </w:r>
      <w:r w:rsidR="002906CC" w:rsidRPr="009C6832">
        <w:rPr>
          <w:rFonts w:cs="Arial"/>
          <w:sz w:val="24"/>
          <w:szCs w:val="24"/>
        </w:rPr>
        <w:t>,</w:t>
      </w:r>
      <w:r w:rsidRPr="009C6832">
        <w:rPr>
          <w:rFonts w:cs="Arial"/>
          <w:sz w:val="24"/>
          <w:szCs w:val="24"/>
        </w:rPr>
        <w:t xml:space="preserve"> și </w:t>
      </w:r>
      <w:r w:rsidR="009D6D45" w:rsidRPr="009C6832">
        <w:rPr>
          <w:rFonts w:cs="Arial"/>
          <w:sz w:val="24"/>
          <w:szCs w:val="24"/>
        </w:rPr>
        <w:t xml:space="preserve">a salariului minim pe economie </w:t>
      </w:r>
      <w:r w:rsidR="0088572D" w:rsidRPr="009C6832">
        <w:rPr>
          <w:rFonts w:cs="Arial"/>
          <w:sz w:val="24"/>
          <w:szCs w:val="24"/>
        </w:rPr>
        <w:t>precum și eliminarea plafonului maxim de 5 câștiguri salariale medii brute la plata contribuției de asigurări sociale de sănătate.</w:t>
      </w:r>
    </w:p>
    <w:p w:rsidR="00711E39" w:rsidRPr="009C6832" w:rsidRDefault="007C4F03" w:rsidP="00060B8F">
      <w:pPr>
        <w:spacing w:after="120"/>
        <w:ind w:firstLine="680"/>
        <w:rPr>
          <w:rFonts w:cs="Arial"/>
          <w:sz w:val="24"/>
          <w:szCs w:val="24"/>
        </w:rPr>
      </w:pPr>
      <w:r w:rsidRPr="009C6832">
        <w:rPr>
          <w:rFonts w:cs="Arial"/>
          <w:sz w:val="24"/>
          <w:szCs w:val="24"/>
        </w:rPr>
        <w:t xml:space="preserve">Comparativ cu programul </w:t>
      </w:r>
      <w:r w:rsidR="005C6217" w:rsidRPr="009C6832">
        <w:rPr>
          <w:rFonts w:cs="Arial"/>
          <w:sz w:val="24"/>
          <w:szCs w:val="24"/>
        </w:rPr>
        <w:t xml:space="preserve">semestrial </w:t>
      </w:r>
      <w:r w:rsidRPr="009C6832">
        <w:rPr>
          <w:rFonts w:cs="Arial"/>
          <w:sz w:val="24"/>
          <w:szCs w:val="24"/>
        </w:rPr>
        <w:t>încasări</w:t>
      </w:r>
      <w:r w:rsidR="005C6217" w:rsidRPr="009C6832">
        <w:rPr>
          <w:rFonts w:cs="Arial"/>
          <w:sz w:val="24"/>
          <w:szCs w:val="24"/>
        </w:rPr>
        <w:t>le din contribuțiil</w:t>
      </w:r>
      <w:r w:rsidR="000D46FB" w:rsidRPr="009C6832">
        <w:rPr>
          <w:rFonts w:cs="Arial"/>
          <w:sz w:val="24"/>
          <w:szCs w:val="24"/>
        </w:rPr>
        <w:t>e</w:t>
      </w:r>
      <w:r w:rsidR="00A26E1A">
        <w:rPr>
          <w:rFonts w:cs="Arial"/>
          <w:sz w:val="24"/>
          <w:szCs w:val="24"/>
        </w:rPr>
        <w:t xml:space="preserve"> </w:t>
      </w:r>
      <w:r w:rsidRPr="009C6832">
        <w:rPr>
          <w:rFonts w:cs="Arial"/>
          <w:sz w:val="24"/>
          <w:szCs w:val="24"/>
        </w:rPr>
        <w:t xml:space="preserve">de asigurări </w:t>
      </w:r>
      <w:r w:rsidR="00196744" w:rsidRPr="009C6832">
        <w:rPr>
          <w:rFonts w:cs="Arial"/>
          <w:sz w:val="24"/>
          <w:szCs w:val="24"/>
        </w:rPr>
        <w:t xml:space="preserve">au fost superioare </w:t>
      </w:r>
      <w:r w:rsidR="005C6217" w:rsidRPr="009C6832">
        <w:rPr>
          <w:rFonts w:cs="Arial"/>
          <w:sz w:val="24"/>
          <w:szCs w:val="24"/>
        </w:rPr>
        <w:t>programul</w:t>
      </w:r>
      <w:r w:rsidR="00196744" w:rsidRPr="009C6832">
        <w:rPr>
          <w:rFonts w:cs="Arial"/>
          <w:sz w:val="24"/>
          <w:szCs w:val="24"/>
        </w:rPr>
        <w:t>ui</w:t>
      </w:r>
      <w:r w:rsidR="005C6217" w:rsidRPr="009C6832">
        <w:rPr>
          <w:rFonts w:cs="Arial"/>
          <w:sz w:val="24"/>
          <w:szCs w:val="24"/>
        </w:rPr>
        <w:t xml:space="preserve"> de încasări </w:t>
      </w:r>
      <w:r w:rsidR="00196744" w:rsidRPr="009C6832">
        <w:rPr>
          <w:rFonts w:cs="Arial"/>
          <w:sz w:val="24"/>
          <w:szCs w:val="24"/>
        </w:rPr>
        <w:t xml:space="preserve">atât </w:t>
      </w:r>
      <w:r w:rsidR="005C6217" w:rsidRPr="009C6832">
        <w:rPr>
          <w:rFonts w:cs="Arial"/>
          <w:sz w:val="24"/>
          <w:szCs w:val="24"/>
        </w:rPr>
        <w:t>în cazul bugetului asigurărilor sociale de stat</w:t>
      </w:r>
      <w:r w:rsidR="00A26E1A">
        <w:rPr>
          <w:rFonts w:cs="Arial"/>
          <w:sz w:val="24"/>
          <w:szCs w:val="24"/>
        </w:rPr>
        <w:t xml:space="preserve"> </w:t>
      </w:r>
      <w:r w:rsidR="005C6217" w:rsidRPr="009C6832">
        <w:rPr>
          <w:rFonts w:cs="Arial"/>
          <w:sz w:val="24"/>
          <w:szCs w:val="24"/>
        </w:rPr>
        <w:t xml:space="preserve">unde gradul de realizare a fost de </w:t>
      </w:r>
      <w:r w:rsidR="00196744" w:rsidRPr="009C6832">
        <w:rPr>
          <w:rFonts w:cs="Arial"/>
          <w:sz w:val="24"/>
          <w:szCs w:val="24"/>
        </w:rPr>
        <w:t>102,4</w:t>
      </w:r>
      <w:r w:rsidR="005C6217" w:rsidRPr="009C6832">
        <w:rPr>
          <w:rFonts w:cs="Arial"/>
          <w:sz w:val="24"/>
          <w:szCs w:val="24"/>
        </w:rPr>
        <w:t>%,</w:t>
      </w:r>
      <w:r w:rsidR="00196744" w:rsidRPr="009C6832">
        <w:rPr>
          <w:rFonts w:cs="Arial"/>
          <w:sz w:val="24"/>
          <w:szCs w:val="24"/>
        </w:rPr>
        <w:t xml:space="preserve">cât și în cazul </w:t>
      </w:r>
      <w:r w:rsidR="005C6217" w:rsidRPr="009C6832">
        <w:rPr>
          <w:rFonts w:cs="Arial"/>
          <w:sz w:val="24"/>
          <w:szCs w:val="24"/>
        </w:rPr>
        <w:t>bugetului asigurărilor pentru șomaj unde gr</w:t>
      </w:r>
      <w:r w:rsidR="003B4EA0" w:rsidRPr="009C6832">
        <w:rPr>
          <w:rFonts w:cs="Arial"/>
          <w:sz w:val="24"/>
          <w:szCs w:val="24"/>
        </w:rPr>
        <w:t>adul de realizare a fost de 1</w:t>
      </w:r>
      <w:r w:rsidR="00196744" w:rsidRPr="009C6832">
        <w:rPr>
          <w:rFonts w:cs="Arial"/>
          <w:sz w:val="24"/>
          <w:szCs w:val="24"/>
        </w:rPr>
        <w:t>02,7</w:t>
      </w:r>
      <w:r w:rsidR="005C6217" w:rsidRPr="009C6832">
        <w:rPr>
          <w:rFonts w:cs="Arial"/>
          <w:sz w:val="24"/>
          <w:szCs w:val="24"/>
        </w:rPr>
        <w:t xml:space="preserve">% și </w:t>
      </w:r>
      <w:r w:rsidR="00196744" w:rsidRPr="009C6832">
        <w:rPr>
          <w:rFonts w:cs="Arial"/>
          <w:sz w:val="24"/>
          <w:szCs w:val="24"/>
        </w:rPr>
        <w:t>al</w:t>
      </w:r>
      <w:r w:rsidR="005C6217" w:rsidRPr="009C6832">
        <w:rPr>
          <w:rFonts w:cs="Arial"/>
          <w:sz w:val="24"/>
          <w:szCs w:val="24"/>
        </w:rPr>
        <w:t xml:space="preserve"> bugetului fondului național unic de asigurări sociale de sănătate unde gradul de realizare a fost de </w:t>
      </w:r>
      <w:r w:rsidR="00196744" w:rsidRPr="009C6832">
        <w:rPr>
          <w:rFonts w:cs="Arial"/>
          <w:sz w:val="24"/>
          <w:szCs w:val="24"/>
        </w:rPr>
        <w:t>100,5</w:t>
      </w:r>
      <w:r w:rsidR="00D80060" w:rsidRPr="009C6832">
        <w:rPr>
          <w:rFonts w:cs="Arial"/>
          <w:sz w:val="24"/>
          <w:szCs w:val="24"/>
        </w:rPr>
        <w:t>%.</w:t>
      </w:r>
    </w:p>
    <w:p w:rsidR="00A344D2" w:rsidRPr="009C6832" w:rsidRDefault="007C4F03" w:rsidP="00060B8F">
      <w:pPr>
        <w:spacing w:after="120"/>
        <w:ind w:firstLine="680"/>
        <w:rPr>
          <w:rFonts w:cs="Arial"/>
          <w:sz w:val="24"/>
          <w:szCs w:val="24"/>
        </w:rPr>
      </w:pPr>
      <w:r w:rsidRPr="009C6832">
        <w:rPr>
          <w:rFonts w:cs="Arial"/>
          <w:b/>
          <w:bCs/>
          <w:sz w:val="24"/>
          <w:szCs w:val="24"/>
        </w:rPr>
        <w:t>Veniturile nefiscale</w:t>
      </w:r>
      <w:r w:rsidR="00A26E1A">
        <w:rPr>
          <w:rFonts w:cs="Arial"/>
          <w:b/>
          <w:bCs/>
          <w:sz w:val="24"/>
          <w:szCs w:val="24"/>
        </w:rPr>
        <w:t xml:space="preserve"> </w:t>
      </w:r>
      <w:r w:rsidR="008B4FEA" w:rsidRPr="009C6832">
        <w:rPr>
          <w:rFonts w:cs="Arial"/>
          <w:sz w:val="24"/>
          <w:szCs w:val="24"/>
        </w:rPr>
        <w:t xml:space="preserve">încasate în primul semestru al anului </w:t>
      </w:r>
      <w:r w:rsidR="00196744" w:rsidRPr="009C6832">
        <w:rPr>
          <w:rFonts w:cs="Arial"/>
          <w:sz w:val="24"/>
          <w:szCs w:val="24"/>
        </w:rPr>
        <w:t xml:space="preserve">2017 </w:t>
      </w:r>
      <w:r w:rsidR="008B4FEA" w:rsidRPr="009C6832">
        <w:rPr>
          <w:rFonts w:cs="Arial"/>
          <w:sz w:val="24"/>
          <w:szCs w:val="24"/>
        </w:rPr>
        <w:t xml:space="preserve">au totalizat </w:t>
      </w:r>
      <w:r w:rsidR="00196744" w:rsidRPr="009C6832">
        <w:rPr>
          <w:rFonts w:cs="Arial"/>
          <w:sz w:val="24"/>
          <w:szCs w:val="24"/>
        </w:rPr>
        <w:t>9.220,2</w:t>
      </w:r>
      <w:r w:rsidR="008B4FEA" w:rsidRPr="009C6832">
        <w:rPr>
          <w:rFonts w:cs="Arial"/>
          <w:sz w:val="24"/>
          <w:szCs w:val="24"/>
        </w:rPr>
        <w:t xml:space="preserve"> milioane lei (1,1% din PIB), cu </w:t>
      </w:r>
      <w:r w:rsidR="00196744" w:rsidRPr="009C6832">
        <w:rPr>
          <w:rFonts w:cs="Arial"/>
          <w:sz w:val="24"/>
          <w:szCs w:val="24"/>
        </w:rPr>
        <w:t>5</w:t>
      </w:r>
      <w:r w:rsidR="008B4FEA" w:rsidRPr="009C6832">
        <w:rPr>
          <w:rFonts w:cs="Arial"/>
          <w:sz w:val="24"/>
          <w:szCs w:val="24"/>
        </w:rPr>
        <w:t>,</w:t>
      </w:r>
      <w:r w:rsidR="00C45B65" w:rsidRPr="009C6832">
        <w:rPr>
          <w:rFonts w:cs="Arial"/>
          <w:sz w:val="24"/>
          <w:szCs w:val="24"/>
        </w:rPr>
        <w:t>0</w:t>
      </w:r>
      <w:r w:rsidR="008B4FEA" w:rsidRPr="009C6832">
        <w:rPr>
          <w:rFonts w:cs="Arial"/>
          <w:sz w:val="24"/>
          <w:szCs w:val="24"/>
        </w:rPr>
        <w:t xml:space="preserve">% </w:t>
      </w:r>
      <w:r w:rsidR="00196744" w:rsidRPr="009C6832">
        <w:rPr>
          <w:rFonts w:cs="Arial"/>
          <w:sz w:val="24"/>
          <w:szCs w:val="24"/>
        </w:rPr>
        <w:t xml:space="preserve">peste </w:t>
      </w:r>
      <w:r w:rsidR="008B4FEA" w:rsidRPr="009C6832">
        <w:rPr>
          <w:rFonts w:cs="Arial"/>
          <w:sz w:val="24"/>
          <w:szCs w:val="24"/>
        </w:rPr>
        <w:t xml:space="preserve">programul de încasări aferent semestrului I și cu </w:t>
      </w:r>
      <w:r w:rsidR="00196744" w:rsidRPr="009C6832">
        <w:rPr>
          <w:rFonts w:cs="Arial"/>
          <w:sz w:val="24"/>
          <w:szCs w:val="24"/>
        </w:rPr>
        <w:t>9,3</w:t>
      </w:r>
      <w:r w:rsidR="008B4FEA" w:rsidRPr="009C6832">
        <w:rPr>
          <w:rFonts w:cs="Arial"/>
          <w:sz w:val="24"/>
          <w:szCs w:val="24"/>
        </w:rPr>
        <w:t xml:space="preserve">% mai </w:t>
      </w:r>
      <w:r w:rsidR="00196744" w:rsidRPr="009C6832">
        <w:rPr>
          <w:rFonts w:cs="Arial"/>
          <w:sz w:val="24"/>
          <w:szCs w:val="24"/>
        </w:rPr>
        <w:t xml:space="preserve">mari </w:t>
      </w:r>
      <w:r w:rsidRPr="009C6832">
        <w:rPr>
          <w:rFonts w:cs="Arial"/>
          <w:sz w:val="24"/>
          <w:szCs w:val="24"/>
        </w:rPr>
        <w:t xml:space="preserve">comparativ cu încasările semestrul I </w:t>
      </w:r>
      <w:r w:rsidR="00FE0BCB" w:rsidRPr="009C6832">
        <w:rPr>
          <w:rFonts w:cs="Arial"/>
          <w:sz w:val="24"/>
          <w:szCs w:val="24"/>
        </w:rPr>
        <w:t>2016</w:t>
      </w:r>
      <w:r w:rsidR="008B4FEA" w:rsidRPr="009C6832">
        <w:rPr>
          <w:rFonts w:cs="Arial"/>
          <w:sz w:val="24"/>
          <w:szCs w:val="24"/>
        </w:rPr>
        <w:t xml:space="preserve">. </w:t>
      </w:r>
    </w:p>
    <w:p w:rsidR="00A344D2" w:rsidRPr="009C6832" w:rsidRDefault="00FE0BCB" w:rsidP="00060B8F">
      <w:pPr>
        <w:spacing w:after="120"/>
        <w:ind w:firstLine="680"/>
        <w:rPr>
          <w:rFonts w:cs="Arial"/>
          <w:sz w:val="24"/>
          <w:szCs w:val="24"/>
        </w:rPr>
      </w:pPr>
      <w:r w:rsidRPr="009C6832">
        <w:rPr>
          <w:rFonts w:cs="Arial"/>
          <w:sz w:val="24"/>
          <w:szCs w:val="24"/>
        </w:rPr>
        <w:t xml:space="preserve">Evoluția pozitivă a încasărilor </w:t>
      </w:r>
      <w:r w:rsidR="007C4F03" w:rsidRPr="009C6832">
        <w:rPr>
          <w:rFonts w:cs="Arial"/>
          <w:sz w:val="24"/>
          <w:szCs w:val="24"/>
        </w:rPr>
        <w:t>în cazul veniturilor nefiscale</w:t>
      </w:r>
      <w:r w:rsidR="00A344D2" w:rsidRPr="009C6832">
        <w:rPr>
          <w:rFonts w:cs="Arial"/>
          <w:sz w:val="24"/>
          <w:szCs w:val="24"/>
        </w:rPr>
        <w:t>,</w:t>
      </w:r>
      <w:r w:rsidR="00A26E1A">
        <w:rPr>
          <w:rFonts w:cs="Arial"/>
          <w:sz w:val="24"/>
          <w:szCs w:val="24"/>
        </w:rPr>
        <w:t xml:space="preserve"> </w:t>
      </w:r>
      <w:r w:rsidRPr="009C6832">
        <w:rPr>
          <w:rFonts w:cs="Arial"/>
          <w:sz w:val="24"/>
          <w:szCs w:val="24"/>
        </w:rPr>
        <w:t>comparativ cu programul de încasări</w:t>
      </w:r>
      <w:r w:rsidR="00A344D2" w:rsidRPr="009C6832">
        <w:rPr>
          <w:rFonts w:cs="Arial"/>
          <w:sz w:val="24"/>
          <w:szCs w:val="24"/>
        </w:rPr>
        <w:t>,</w:t>
      </w:r>
      <w:r w:rsidRPr="009C6832">
        <w:rPr>
          <w:rFonts w:cs="Arial"/>
          <w:sz w:val="24"/>
          <w:szCs w:val="24"/>
        </w:rPr>
        <w:t xml:space="preserve"> s-a datorat în principal creșterii înregistrate în cazul veniturilor din proprietate</w:t>
      </w:r>
      <w:r w:rsidR="00A344D2" w:rsidRPr="009C6832">
        <w:rPr>
          <w:rFonts w:cs="Arial"/>
          <w:sz w:val="24"/>
          <w:szCs w:val="24"/>
        </w:rPr>
        <w:t>,</w:t>
      </w:r>
      <w:r w:rsidR="00A26E1A">
        <w:rPr>
          <w:rFonts w:cs="Arial"/>
          <w:sz w:val="24"/>
          <w:szCs w:val="24"/>
        </w:rPr>
        <w:t xml:space="preserve"> </w:t>
      </w:r>
      <w:r w:rsidR="00A344D2" w:rsidRPr="009C6832">
        <w:rPr>
          <w:rFonts w:cs="Arial"/>
          <w:sz w:val="24"/>
          <w:szCs w:val="24"/>
        </w:rPr>
        <w:t xml:space="preserve">la bugetul de stat, </w:t>
      </w:r>
      <w:r w:rsidRPr="009C6832">
        <w:rPr>
          <w:rFonts w:cs="Arial"/>
          <w:sz w:val="24"/>
          <w:szCs w:val="24"/>
        </w:rPr>
        <w:t>datorată modificării legislației privind repartizarea profitului net la entitățile cu capital integral sau majoritar de stat  precum și plăților devansate față de programul inițial la veniturile din dividende (+0,7 mld lei), a evoluției pozitive a vărsămintelor din profitul net al regiilor autonome (+0,24 mld. lei) și a veniturilor și sumelor din cer</w:t>
      </w:r>
      <w:r w:rsidR="00584125" w:rsidRPr="009C6832">
        <w:rPr>
          <w:rFonts w:cs="Arial"/>
          <w:sz w:val="24"/>
          <w:szCs w:val="24"/>
        </w:rPr>
        <w:t>t</w:t>
      </w:r>
      <w:r w:rsidRPr="009C6832">
        <w:rPr>
          <w:rFonts w:cs="Arial"/>
          <w:sz w:val="24"/>
          <w:szCs w:val="24"/>
        </w:rPr>
        <w:t xml:space="preserve">ificate de emisii de gaze cu efect de seră (+0,49 mld. lei). </w:t>
      </w:r>
    </w:p>
    <w:p w:rsidR="00A344D2" w:rsidRPr="009C6832" w:rsidRDefault="007C4F03" w:rsidP="00060B8F">
      <w:pPr>
        <w:spacing w:after="120"/>
        <w:ind w:firstLine="680"/>
        <w:rPr>
          <w:rFonts w:cs="Arial"/>
          <w:bCs/>
          <w:sz w:val="24"/>
          <w:szCs w:val="24"/>
        </w:rPr>
      </w:pPr>
      <w:r w:rsidRPr="009C6832">
        <w:rPr>
          <w:rFonts w:cs="Arial"/>
          <w:b/>
          <w:sz w:val="24"/>
          <w:szCs w:val="24"/>
        </w:rPr>
        <w:t xml:space="preserve">Sumele rambursate de U.E. în contul plăților efectuate </w:t>
      </w:r>
      <w:r w:rsidR="00406434" w:rsidRPr="009C6832">
        <w:rPr>
          <w:rFonts w:cs="Arial"/>
          <w:sz w:val="24"/>
          <w:szCs w:val="24"/>
        </w:rPr>
        <w:t xml:space="preserve">au totalizat </w:t>
      </w:r>
      <w:r w:rsidR="00406434" w:rsidRPr="009C6832">
        <w:rPr>
          <w:rFonts w:cs="Arial"/>
          <w:bCs/>
          <w:sz w:val="24"/>
          <w:szCs w:val="24"/>
        </w:rPr>
        <w:t>5.633,3 milioane lei(0,7% din PIB), din care 5.052,6 milioane lei reprezintă sume aferente fondurilor externe nerambursabile pentru finanțarea proiectelor din domeniul agriculturii.</w:t>
      </w:r>
    </w:p>
    <w:p w:rsidR="00987A6E" w:rsidRPr="009C6832" w:rsidRDefault="00987A6E" w:rsidP="00060B8F">
      <w:pPr>
        <w:spacing w:after="120"/>
        <w:ind w:firstLine="680"/>
        <w:rPr>
          <w:rFonts w:cs="Arial"/>
          <w:sz w:val="24"/>
          <w:szCs w:val="24"/>
        </w:rPr>
      </w:pPr>
      <w:r w:rsidRPr="009C6832">
        <w:rPr>
          <w:rFonts w:cs="Arial"/>
          <w:sz w:val="24"/>
          <w:szCs w:val="24"/>
        </w:rPr>
        <w:t xml:space="preserve">Comparativ cu programul de încasări sumelor primite de la Uniunea Europeană </w:t>
      </w:r>
      <w:r w:rsidR="00406434" w:rsidRPr="009C6832">
        <w:rPr>
          <w:rFonts w:cs="Arial"/>
          <w:sz w:val="24"/>
          <w:szCs w:val="24"/>
        </w:rPr>
        <w:t xml:space="preserve">s-au realizat în proporție de </w:t>
      </w:r>
      <w:r w:rsidR="0017578C" w:rsidRPr="009C6832">
        <w:rPr>
          <w:rFonts w:cs="Arial"/>
          <w:sz w:val="24"/>
          <w:szCs w:val="24"/>
        </w:rPr>
        <w:t>63,4%</w:t>
      </w:r>
      <w:r w:rsidR="002906CC" w:rsidRPr="009C6832">
        <w:rPr>
          <w:rFonts w:cs="Arial"/>
          <w:sz w:val="24"/>
          <w:szCs w:val="24"/>
        </w:rPr>
        <w:t>, întârzieri</w:t>
      </w:r>
      <w:r w:rsidR="00A26E1A">
        <w:rPr>
          <w:rFonts w:cs="Arial"/>
          <w:sz w:val="24"/>
          <w:szCs w:val="24"/>
        </w:rPr>
        <w:t xml:space="preserve"> </w:t>
      </w:r>
      <w:r w:rsidR="002906CC" w:rsidRPr="009C6832">
        <w:rPr>
          <w:rFonts w:cs="Arial"/>
          <w:sz w:val="24"/>
          <w:szCs w:val="24"/>
        </w:rPr>
        <w:t>în realizare</w:t>
      </w:r>
      <w:r w:rsidR="00170CA1" w:rsidRPr="009C6832">
        <w:rPr>
          <w:rFonts w:cs="Arial"/>
          <w:sz w:val="24"/>
          <w:szCs w:val="24"/>
        </w:rPr>
        <w:t xml:space="preserve">a proiectelor finanțate din fonduri externe nerambursabile s-au înregistrat, </w:t>
      </w:r>
      <w:r w:rsidR="002906CC" w:rsidRPr="009C6832">
        <w:rPr>
          <w:rFonts w:cs="Arial"/>
          <w:sz w:val="24"/>
          <w:szCs w:val="24"/>
        </w:rPr>
        <w:t>în special</w:t>
      </w:r>
      <w:r w:rsidR="00170CA1" w:rsidRPr="009C6832">
        <w:rPr>
          <w:rFonts w:cs="Arial"/>
          <w:sz w:val="24"/>
          <w:szCs w:val="24"/>
        </w:rPr>
        <w:t>,</w:t>
      </w:r>
      <w:r w:rsidR="002906CC" w:rsidRPr="009C6832">
        <w:rPr>
          <w:rFonts w:cs="Arial"/>
          <w:sz w:val="24"/>
          <w:szCs w:val="24"/>
        </w:rPr>
        <w:t xml:space="preserve"> în </w:t>
      </w:r>
      <w:r w:rsidR="00135155" w:rsidRPr="009C6832">
        <w:rPr>
          <w:rFonts w:cs="Arial"/>
          <w:sz w:val="24"/>
          <w:szCs w:val="24"/>
        </w:rPr>
        <w:t>domeniul</w:t>
      </w:r>
      <w:r w:rsidR="002906CC" w:rsidRPr="009C6832">
        <w:rPr>
          <w:rFonts w:cs="Arial"/>
          <w:sz w:val="24"/>
          <w:szCs w:val="24"/>
        </w:rPr>
        <w:t xml:space="preserve"> transporturi</w:t>
      </w:r>
      <w:r w:rsidR="00135155" w:rsidRPr="009C6832">
        <w:rPr>
          <w:rFonts w:cs="Arial"/>
          <w:sz w:val="24"/>
          <w:szCs w:val="24"/>
        </w:rPr>
        <w:t>lor</w:t>
      </w:r>
      <w:r w:rsidR="002906CC" w:rsidRPr="009C6832">
        <w:rPr>
          <w:rFonts w:cs="Arial"/>
          <w:sz w:val="24"/>
          <w:szCs w:val="24"/>
        </w:rPr>
        <w:t>.</w:t>
      </w:r>
    </w:p>
    <w:p w:rsidR="007C4F03" w:rsidRPr="009C6832" w:rsidRDefault="007C4F03" w:rsidP="00060B8F">
      <w:pPr>
        <w:spacing w:after="120"/>
        <w:ind w:firstLine="680"/>
        <w:rPr>
          <w:rFonts w:cs="Arial"/>
          <w:bCs/>
          <w:sz w:val="24"/>
          <w:szCs w:val="24"/>
        </w:rPr>
      </w:pPr>
      <w:r w:rsidRPr="009C6832">
        <w:rPr>
          <w:rFonts w:cs="Arial"/>
          <w:b/>
          <w:bCs/>
          <w:sz w:val="24"/>
          <w:szCs w:val="24"/>
        </w:rPr>
        <w:tab/>
        <w:t>Cheltuielile bugetului general consolidat</w:t>
      </w:r>
      <w:r w:rsidR="00A26E1A">
        <w:rPr>
          <w:rFonts w:cs="Arial"/>
          <w:b/>
          <w:bCs/>
          <w:sz w:val="24"/>
          <w:szCs w:val="24"/>
        </w:rPr>
        <w:t xml:space="preserve"> </w:t>
      </w:r>
      <w:r w:rsidRPr="009C6832">
        <w:rPr>
          <w:rFonts w:cs="Arial"/>
          <w:sz w:val="24"/>
          <w:szCs w:val="24"/>
        </w:rPr>
        <w:t xml:space="preserve">în sumă de </w:t>
      </w:r>
      <w:r w:rsidR="00135155" w:rsidRPr="009C6832">
        <w:rPr>
          <w:rFonts w:cs="Arial"/>
          <w:b/>
          <w:sz w:val="24"/>
          <w:szCs w:val="24"/>
        </w:rPr>
        <w:t xml:space="preserve">123.522,8 milioane  lei </w:t>
      </w:r>
      <w:r w:rsidR="00B8712E" w:rsidRPr="009C6832">
        <w:rPr>
          <w:rFonts w:cs="Arial"/>
          <w:b/>
          <w:sz w:val="24"/>
          <w:szCs w:val="24"/>
        </w:rPr>
        <w:t>(15,1% din PIB)</w:t>
      </w:r>
      <w:r w:rsidRPr="009C6832">
        <w:rPr>
          <w:rFonts w:cs="Arial"/>
          <w:sz w:val="24"/>
          <w:szCs w:val="24"/>
        </w:rPr>
        <w:t xml:space="preserve">, au crescut în termeni nominali cu </w:t>
      </w:r>
      <w:r w:rsidR="00B8712E" w:rsidRPr="009C6832">
        <w:rPr>
          <w:rFonts w:cs="Arial"/>
          <w:sz w:val="24"/>
          <w:szCs w:val="24"/>
        </w:rPr>
        <w:t>10,0</w:t>
      </w:r>
      <w:r w:rsidRPr="009C6832">
        <w:rPr>
          <w:rFonts w:cs="Arial"/>
          <w:sz w:val="24"/>
          <w:szCs w:val="24"/>
        </w:rPr>
        <w:t xml:space="preserve">% </w:t>
      </w:r>
      <w:r w:rsidR="00593732" w:rsidRPr="009C6832">
        <w:rPr>
          <w:rFonts w:cs="Arial"/>
          <w:sz w:val="24"/>
          <w:szCs w:val="24"/>
        </w:rPr>
        <w:t>față</w:t>
      </w:r>
      <w:r w:rsidRPr="009C6832">
        <w:rPr>
          <w:rFonts w:cs="Arial"/>
          <w:sz w:val="24"/>
          <w:szCs w:val="24"/>
        </w:rPr>
        <w:t xml:space="preserve"> de </w:t>
      </w:r>
      <w:r w:rsidR="00593732" w:rsidRPr="009C6832">
        <w:rPr>
          <w:rFonts w:cs="Arial"/>
          <w:sz w:val="24"/>
          <w:szCs w:val="24"/>
        </w:rPr>
        <w:t>aceeași</w:t>
      </w:r>
      <w:r w:rsidRPr="009C6832">
        <w:rPr>
          <w:rFonts w:cs="Arial"/>
          <w:sz w:val="24"/>
          <w:szCs w:val="24"/>
        </w:rPr>
        <w:t xml:space="preserve"> perioadă a anului precedent, gradul de </w:t>
      </w:r>
      <w:r w:rsidR="00135155" w:rsidRPr="009C6832">
        <w:rPr>
          <w:rFonts w:cs="Arial"/>
          <w:sz w:val="24"/>
          <w:szCs w:val="24"/>
        </w:rPr>
        <w:t>realizare</w:t>
      </w:r>
      <w:r w:rsidRPr="009C6832">
        <w:rPr>
          <w:rFonts w:cs="Arial"/>
          <w:sz w:val="24"/>
          <w:szCs w:val="24"/>
        </w:rPr>
        <w:t xml:space="preserve"> al acestora fiind de </w:t>
      </w:r>
      <w:r w:rsidR="00B8712E" w:rsidRPr="009C6832">
        <w:rPr>
          <w:rFonts w:cs="Arial"/>
          <w:sz w:val="24"/>
          <w:szCs w:val="24"/>
        </w:rPr>
        <w:t>91,5</w:t>
      </w:r>
      <w:r w:rsidRPr="009C6832">
        <w:rPr>
          <w:rFonts w:cs="Arial"/>
          <w:sz w:val="24"/>
          <w:szCs w:val="24"/>
        </w:rPr>
        <w:t>%.</w:t>
      </w:r>
    </w:p>
    <w:p w:rsidR="007C4F03" w:rsidRPr="009C6832" w:rsidRDefault="00135155" w:rsidP="00060B8F">
      <w:pPr>
        <w:spacing w:after="120"/>
        <w:ind w:firstLine="680"/>
        <w:rPr>
          <w:rFonts w:cs="Arial"/>
          <w:bCs/>
          <w:sz w:val="24"/>
          <w:szCs w:val="24"/>
        </w:rPr>
      </w:pPr>
      <w:r w:rsidRPr="009C6832">
        <w:rPr>
          <w:rFonts w:cs="Arial"/>
          <w:bCs/>
          <w:sz w:val="24"/>
          <w:szCs w:val="24"/>
        </w:rPr>
        <w:t>Acestea, c</w:t>
      </w:r>
      <w:r w:rsidR="007C4F03" w:rsidRPr="009C6832">
        <w:rPr>
          <w:rFonts w:cs="Arial"/>
          <w:bCs/>
          <w:sz w:val="24"/>
          <w:szCs w:val="24"/>
        </w:rPr>
        <w:t>a pondere în PIB</w:t>
      </w:r>
      <w:r w:rsidRPr="009C6832">
        <w:rPr>
          <w:rFonts w:cs="Arial"/>
          <w:bCs/>
          <w:sz w:val="24"/>
          <w:szCs w:val="24"/>
        </w:rPr>
        <w:t>,</w:t>
      </w:r>
      <w:r w:rsidR="007C4F03" w:rsidRPr="009C6832">
        <w:rPr>
          <w:rFonts w:cs="Arial"/>
          <w:bCs/>
          <w:sz w:val="24"/>
          <w:szCs w:val="24"/>
        </w:rPr>
        <w:t xml:space="preserve"> au înregistrat o </w:t>
      </w:r>
      <w:r w:rsidR="00B8712E" w:rsidRPr="009C6832">
        <w:rPr>
          <w:rFonts w:cs="Arial"/>
          <w:bCs/>
          <w:sz w:val="24"/>
          <w:szCs w:val="24"/>
        </w:rPr>
        <w:t xml:space="preserve">creștere </w:t>
      </w:r>
      <w:r w:rsidR="007C4F03" w:rsidRPr="009C6832">
        <w:rPr>
          <w:rFonts w:cs="Arial"/>
          <w:bCs/>
          <w:sz w:val="24"/>
          <w:szCs w:val="24"/>
        </w:rPr>
        <w:t>cu 0,</w:t>
      </w:r>
      <w:r w:rsidR="00B8712E" w:rsidRPr="009C6832">
        <w:rPr>
          <w:rFonts w:cs="Arial"/>
          <w:bCs/>
          <w:sz w:val="24"/>
          <w:szCs w:val="24"/>
        </w:rPr>
        <w:t xml:space="preserve">4 </w:t>
      </w:r>
      <w:r w:rsidR="007C4F03" w:rsidRPr="009C6832">
        <w:rPr>
          <w:rFonts w:cs="Arial"/>
          <w:bCs/>
          <w:sz w:val="24"/>
          <w:szCs w:val="24"/>
        </w:rPr>
        <w:t xml:space="preserve">puncte procentuale de la </w:t>
      </w:r>
      <w:r w:rsidR="006F3E60" w:rsidRPr="009C6832">
        <w:rPr>
          <w:rFonts w:cs="Arial"/>
          <w:bCs/>
          <w:sz w:val="24"/>
          <w:szCs w:val="24"/>
        </w:rPr>
        <w:t>14</w:t>
      </w:r>
      <w:r w:rsidR="007C4F03" w:rsidRPr="009C6832">
        <w:rPr>
          <w:rFonts w:cs="Arial"/>
          <w:bCs/>
          <w:sz w:val="24"/>
          <w:szCs w:val="24"/>
        </w:rPr>
        <w:t>,</w:t>
      </w:r>
      <w:r w:rsidR="00B8712E" w:rsidRPr="009C6832">
        <w:rPr>
          <w:rFonts w:cs="Arial"/>
          <w:bCs/>
          <w:sz w:val="24"/>
          <w:szCs w:val="24"/>
        </w:rPr>
        <w:t>7</w:t>
      </w:r>
      <w:r w:rsidR="007C4F03" w:rsidRPr="009C6832">
        <w:rPr>
          <w:rFonts w:cs="Arial"/>
          <w:bCs/>
          <w:sz w:val="24"/>
          <w:szCs w:val="24"/>
        </w:rPr>
        <w:t xml:space="preserve">% din PIB în semestrul I </w:t>
      </w:r>
      <w:r w:rsidR="00B8712E" w:rsidRPr="009C6832">
        <w:rPr>
          <w:rFonts w:cs="Arial"/>
          <w:bCs/>
          <w:sz w:val="24"/>
          <w:szCs w:val="24"/>
        </w:rPr>
        <w:t xml:space="preserve">2016 </w:t>
      </w:r>
      <w:r w:rsidR="007C4F03" w:rsidRPr="009C6832">
        <w:rPr>
          <w:rFonts w:cs="Arial"/>
          <w:bCs/>
          <w:sz w:val="24"/>
          <w:szCs w:val="24"/>
        </w:rPr>
        <w:t xml:space="preserve">la </w:t>
      </w:r>
      <w:r w:rsidR="00B8712E" w:rsidRPr="009C6832">
        <w:rPr>
          <w:rFonts w:cs="Arial"/>
          <w:bCs/>
          <w:sz w:val="24"/>
          <w:szCs w:val="24"/>
        </w:rPr>
        <w:t>15,1</w:t>
      </w:r>
      <w:r w:rsidR="007C4F03" w:rsidRPr="009C6832">
        <w:rPr>
          <w:rFonts w:cs="Arial"/>
          <w:bCs/>
          <w:sz w:val="24"/>
          <w:szCs w:val="24"/>
        </w:rPr>
        <w:t xml:space="preserve">% din PIB în semestrul I </w:t>
      </w:r>
      <w:r w:rsidR="00B8712E" w:rsidRPr="009C6832">
        <w:rPr>
          <w:rFonts w:cs="Arial"/>
          <w:bCs/>
          <w:sz w:val="24"/>
          <w:szCs w:val="24"/>
        </w:rPr>
        <w:t>2017</w:t>
      </w:r>
      <w:r w:rsidR="007C4F03" w:rsidRPr="009C6832">
        <w:rPr>
          <w:rFonts w:cs="Arial"/>
          <w:bCs/>
          <w:sz w:val="24"/>
          <w:szCs w:val="24"/>
        </w:rPr>
        <w:t>.</w:t>
      </w:r>
    </w:p>
    <w:p w:rsidR="007C4F03" w:rsidRPr="009C6832" w:rsidRDefault="007C4F03" w:rsidP="00060B8F">
      <w:pPr>
        <w:spacing w:after="120"/>
        <w:ind w:firstLine="680"/>
        <w:rPr>
          <w:rFonts w:cs="Arial"/>
          <w:bCs/>
          <w:sz w:val="24"/>
          <w:szCs w:val="24"/>
        </w:rPr>
      </w:pPr>
      <w:r w:rsidRPr="009C6832">
        <w:rPr>
          <w:rFonts w:cs="Arial"/>
          <w:bCs/>
          <w:sz w:val="24"/>
          <w:szCs w:val="24"/>
        </w:rPr>
        <w:t xml:space="preserve">Cheltuielile bugetare efectuate în primul semestru al anului </w:t>
      </w:r>
      <w:r w:rsidR="003E5810" w:rsidRPr="009C6832">
        <w:rPr>
          <w:rFonts w:cs="Arial"/>
          <w:bCs/>
          <w:sz w:val="24"/>
          <w:szCs w:val="24"/>
        </w:rPr>
        <w:t xml:space="preserve">2017 </w:t>
      </w:r>
      <w:r w:rsidRPr="009C6832">
        <w:rPr>
          <w:rFonts w:cs="Arial"/>
          <w:bCs/>
          <w:sz w:val="24"/>
          <w:szCs w:val="24"/>
        </w:rPr>
        <w:t xml:space="preserve">s-au situat sub nivelul programat a se efectua </w:t>
      </w:r>
      <w:r w:rsidR="003E5810" w:rsidRPr="009C6832">
        <w:rPr>
          <w:rFonts w:cs="Arial"/>
          <w:bCs/>
          <w:sz w:val="24"/>
          <w:szCs w:val="24"/>
        </w:rPr>
        <w:t xml:space="preserve">în cazul majorității titlurilor </w:t>
      </w:r>
      <w:r w:rsidRPr="009C6832">
        <w:rPr>
          <w:rFonts w:cs="Arial"/>
          <w:bCs/>
          <w:sz w:val="24"/>
          <w:szCs w:val="24"/>
        </w:rPr>
        <w:t xml:space="preserve">de cheltuieli, niveluri mult diminuate fiind înregistrate în cazul cheltuielilor cu </w:t>
      </w:r>
      <w:r w:rsidR="006F3E60" w:rsidRPr="009C6832">
        <w:rPr>
          <w:rFonts w:cs="Arial"/>
          <w:bCs/>
          <w:sz w:val="24"/>
          <w:szCs w:val="24"/>
        </w:rPr>
        <w:t>subvențiile</w:t>
      </w:r>
      <w:r w:rsidR="003E5810" w:rsidRPr="009C6832">
        <w:rPr>
          <w:rFonts w:cs="Arial"/>
          <w:bCs/>
          <w:sz w:val="24"/>
          <w:szCs w:val="24"/>
        </w:rPr>
        <w:t>(83,5%)</w:t>
      </w:r>
      <w:r w:rsidRPr="009C6832">
        <w:rPr>
          <w:rFonts w:cs="Arial"/>
          <w:bCs/>
          <w:sz w:val="24"/>
          <w:szCs w:val="24"/>
        </w:rPr>
        <w:t>, a cheltuielilor cu proiecte finanțate din fonduri externe nerambursabile</w:t>
      </w:r>
      <w:r w:rsidR="003E5810" w:rsidRPr="009C6832">
        <w:rPr>
          <w:rFonts w:cs="Arial"/>
          <w:bCs/>
          <w:sz w:val="24"/>
          <w:szCs w:val="24"/>
        </w:rPr>
        <w:t>(65,2%)</w:t>
      </w:r>
      <w:r w:rsidRPr="009C6832">
        <w:rPr>
          <w:rFonts w:cs="Arial"/>
          <w:bCs/>
          <w:sz w:val="24"/>
          <w:szCs w:val="24"/>
        </w:rPr>
        <w:t>, a cheltuielilor aferente programelor cu finanțare rambursabilă</w:t>
      </w:r>
      <w:r w:rsidR="003E5810" w:rsidRPr="009C6832">
        <w:rPr>
          <w:rFonts w:cs="Arial"/>
          <w:bCs/>
          <w:sz w:val="24"/>
          <w:szCs w:val="24"/>
        </w:rPr>
        <w:t>(58,3%)</w:t>
      </w:r>
      <w:r w:rsidR="00135155" w:rsidRPr="009C6832">
        <w:rPr>
          <w:rFonts w:cs="Arial"/>
          <w:bCs/>
          <w:sz w:val="24"/>
          <w:szCs w:val="24"/>
        </w:rPr>
        <w:t xml:space="preserve">, </w:t>
      </w:r>
      <w:r w:rsidRPr="009C6832">
        <w:rPr>
          <w:rFonts w:cs="Arial"/>
          <w:bCs/>
          <w:sz w:val="24"/>
          <w:szCs w:val="24"/>
        </w:rPr>
        <w:t>precum și în cazul cheltuielilor de capital</w:t>
      </w:r>
      <w:r w:rsidR="003E5810" w:rsidRPr="009C6832">
        <w:rPr>
          <w:rFonts w:cs="Arial"/>
          <w:bCs/>
          <w:sz w:val="24"/>
          <w:szCs w:val="24"/>
        </w:rPr>
        <w:t>(64,1%)</w:t>
      </w:r>
      <w:r w:rsidRPr="009C6832">
        <w:rPr>
          <w:rFonts w:cs="Arial"/>
          <w:bCs/>
          <w:sz w:val="24"/>
          <w:szCs w:val="24"/>
        </w:rPr>
        <w:t xml:space="preserve">. </w:t>
      </w:r>
    </w:p>
    <w:p w:rsidR="00135155" w:rsidRPr="009C6832" w:rsidRDefault="007C4F03" w:rsidP="00060B8F">
      <w:pPr>
        <w:spacing w:after="120"/>
        <w:ind w:firstLine="680"/>
        <w:rPr>
          <w:rFonts w:cs="Arial"/>
          <w:bCs/>
          <w:sz w:val="24"/>
          <w:szCs w:val="24"/>
        </w:rPr>
      </w:pPr>
      <w:r w:rsidRPr="009C6832">
        <w:rPr>
          <w:rFonts w:cs="Arial"/>
          <w:sz w:val="24"/>
          <w:szCs w:val="24"/>
        </w:rPr>
        <w:t xml:space="preserve">Comparativ cu primul semestru al anului </w:t>
      </w:r>
      <w:r w:rsidR="00C3536F" w:rsidRPr="009C6832">
        <w:rPr>
          <w:rFonts w:cs="Arial"/>
          <w:sz w:val="24"/>
          <w:szCs w:val="24"/>
        </w:rPr>
        <w:t xml:space="preserve">2016 </w:t>
      </w:r>
      <w:r w:rsidRPr="009C6832">
        <w:rPr>
          <w:rFonts w:cs="Arial"/>
          <w:sz w:val="24"/>
          <w:szCs w:val="24"/>
        </w:rPr>
        <w:t xml:space="preserve">s-au înregistrat creșteri semnificative ale cheltuielilor publice în cazul </w:t>
      </w:r>
      <w:r w:rsidRPr="009C6832">
        <w:rPr>
          <w:rFonts w:cs="Arial"/>
          <w:bCs/>
          <w:sz w:val="24"/>
          <w:szCs w:val="24"/>
        </w:rPr>
        <w:t>cheltuielilor de personal (+</w:t>
      </w:r>
      <w:r w:rsidR="00C3536F" w:rsidRPr="009C6832">
        <w:rPr>
          <w:rFonts w:cs="Arial"/>
          <w:bCs/>
          <w:sz w:val="24"/>
          <w:szCs w:val="24"/>
        </w:rPr>
        <w:t>19,5</w:t>
      </w:r>
      <w:r w:rsidRPr="009C6832">
        <w:rPr>
          <w:rFonts w:cs="Arial"/>
          <w:bCs/>
          <w:sz w:val="24"/>
          <w:szCs w:val="24"/>
        </w:rPr>
        <w:t xml:space="preserve">%), a cheltuielilor cu </w:t>
      </w:r>
      <w:r w:rsidR="00C3536F" w:rsidRPr="009C6832">
        <w:rPr>
          <w:rFonts w:cs="Arial"/>
          <w:sz w:val="24"/>
          <w:szCs w:val="24"/>
        </w:rPr>
        <w:t>subvențiile</w:t>
      </w:r>
      <w:r w:rsidRPr="009C6832">
        <w:rPr>
          <w:rFonts w:cs="Arial"/>
          <w:bCs/>
          <w:sz w:val="24"/>
          <w:szCs w:val="24"/>
        </w:rPr>
        <w:t>(+</w:t>
      </w:r>
      <w:r w:rsidR="00C3536F" w:rsidRPr="009C6832">
        <w:rPr>
          <w:rFonts w:cs="Arial"/>
          <w:bCs/>
          <w:sz w:val="24"/>
          <w:szCs w:val="24"/>
        </w:rPr>
        <w:t>34,4</w:t>
      </w:r>
      <w:r w:rsidRPr="009C6832">
        <w:rPr>
          <w:rFonts w:cs="Arial"/>
          <w:bCs/>
          <w:sz w:val="24"/>
          <w:szCs w:val="24"/>
        </w:rPr>
        <w:t xml:space="preserve">%), a cheltuielilor cu </w:t>
      </w:r>
      <w:r w:rsidRPr="009C6832">
        <w:rPr>
          <w:rFonts w:cs="Arial"/>
          <w:sz w:val="24"/>
          <w:szCs w:val="24"/>
        </w:rPr>
        <w:t>asistența socială</w:t>
      </w:r>
      <w:r w:rsidRPr="009C6832">
        <w:rPr>
          <w:rFonts w:cs="Arial"/>
          <w:bCs/>
          <w:sz w:val="24"/>
          <w:szCs w:val="24"/>
        </w:rPr>
        <w:t xml:space="preserve"> (+</w:t>
      </w:r>
      <w:r w:rsidR="00C3536F" w:rsidRPr="009C6832">
        <w:rPr>
          <w:rFonts w:cs="Arial"/>
          <w:bCs/>
          <w:sz w:val="24"/>
          <w:szCs w:val="24"/>
        </w:rPr>
        <w:t>9,</w:t>
      </w:r>
      <w:r w:rsidR="006F3E60" w:rsidRPr="009C6832">
        <w:rPr>
          <w:rFonts w:cs="Arial"/>
          <w:bCs/>
          <w:sz w:val="24"/>
          <w:szCs w:val="24"/>
        </w:rPr>
        <w:t>8</w:t>
      </w:r>
      <w:r w:rsidRPr="009C6832">
        <w:rPr>
          <w:rFonts w:cs="Arial"/>
          <w:bCs/>
          <w:sz w:val="24"/>
          <w:szCs w:val="24"/>
        </w:rPr>
        <w:t>%)</w:t>
      </w:r>
      <w:r w:rsidR="006F3E60" w:rsidRPr="009C6832">
        <w:rPr>
          <w:rFonts w:cs="Arial"/>
          <w:bCs/>
          <w:sz w:val="24"/>
          <w:szCs w:val="24"/>
        </w:rPr>
        <w:t xml:space="preserve">, </w:t>
      </w:r>
      <w:r w:rsidR="00C3536F" w:rsidRPr="009C6832">
        <w:rPr>
          <w:rFonts w:cs="Arial"/>
          <w:bCs/>
          <w:sz w:val="24"/>
          <w:szCs w:val="24"/>
        </w:rPr>
        <w:t>a cheltuielilor cu proiectele finanțate din fonduri externe nerambursabile aferente cadrului financiar 2014-2020 (+</w:t>
      </w:r>
      <w:r w:rsidR="00532C95" w:rsidRPr="009C6832">
        <w:rPr>
          <w:rFonts w:cs="Arial"/>
          <w:bCs/>
          <w:sz w:val="24"/>
          <w:szCs w:val="24"/>
        </w:rPr>
        <w:t>645,4</w:t>
      </w:r>
      <w:r w:rsidR="00C3536F" w:rsidRPr="009C6832">
        <w:rPr>
          <w:rFonts w:cs="Arial"/>
          <w:bCs/>
          <w:sz w:val="24"/>
          <w:szCs w:val="24"/>
        </w:rPr>
        <w:t>%)</w:t>
      </w:r>
      <w:r w:rsidR="00532C95" w:rsidRPr="009C6832">
        <w:rPr>
          <w:rFonts w:cs="Arial"/>
          <w:bCs/>
          <w:sz w:val="24"/>
          <w:szCs w:val="24"/>
        </w:rPr>
        <w:t xml:space="preserve">, </w:t>
      </w:r>
      <w:r w:rsidR="00C3536F" w:rsidRPr="009C6832">
        <w:rPr>
          <w:rFonts w:cs="Arial"/>
          <w:bCs/>
          <w:sz w:val="24"/>
          <w:szCs w:val="24"/>
        </w:rPr>
        <w:t>a cheltuielil</w:t>
      </w:r>
      <w:r w:rsidR="00532C95" w:rsidRPr="009C6832">
        <w:rPr>
          <w:rFonts w:cs="Arial"/>
          <w:bCs/>
          <w:sz w:val="24"/>
          <w:szCs w:val="24"/>
        </w:rPr>
        <w:t>or cu alte transferuri (+30,2%)</w:t>
      </w:r>
      <w:r w:rsidR="00135155" w:rsidRPr="009C6832">
        <w:rPr>
          <w:rFonts w:cs="Arial"/>
          <w:bCs/>
          <w:sz w:val="24"/>
          <w:szCs w:val="24"/>
        </w:rPr>
        <w:t>,</w:t>
      </w:r>
      <w:r w:rsidR="00C3536F" w:rsidRPr="009C6832">
        <w:rPr>
          <w:rFonts w:cs="Arial"/>
          <w:bCs/>
          <w:sz w:val="24"/>
          <w:szCs w:val="24"/>
        </w:rPr>
        <w:t xml:space="preserve"> precum și a altor cheltuieli (+25,2%)</w:t>
      </w:r>
      <w:r w:rsidR="00532C95" w:rsidRPr="009C6832">
        <w:rPr>
          <w:rFonts w:cs="Arial"/>
          <w:bCs/>
          <w:sz w:val="24"/>
          <w:szCs w:val="24"/>
        </w:rPr>
        <w:t>.</w:t>
      </w:r>
    </w:p>
    <w:p w:rsidR="008B509B" w:rsidRPr="009C6832" w:rsidRDefault="007C4F03" w:rsidP="00BC3785">
      <w:pPr>
        <w:spacing w:after="120"/>
        <w:ind w:firstLine="680"/>
        <w:rPr>
          <w:bCs/>
        </w:rPr>
      </w:pPr>
      <w:r w:rsidRPr="009C6832">
        <w:rPr>
          <w:rFonts w:cs="Arial"/>
          <w:bCs/>
          <w:sz w:val="24"/>
          <w:szCs w:val="24"/>
        </w:rPr>
        <w:t xml:space="preserve">Economii s-au înregistrat în cazul </w:t>
      </w:r>
      <w:r w:rsidR="00C3536F" w:rsidRPr="009C6832">
        <w:rPr>
          <w:rFonts w:cs="Arial"/>
          <w:bCs/>
          <w:sz w:val="24"/>
          <w:szCs w:val="24"/>
        </w:rPr>
        <w:t xml:space="preserve">cheltuielilor cu dobânzile </w:t>
      </w:r>
      <w:r w:rsidR="00532C95" w:rsidRPr="009C6832">
        <w:rPr>
          <w:rFonts w:cs="Arial"/>
          <w:bCs/>
          <w:sz w:val="24"/>
          <w:szCs w:val="24"/>
        </w:rPr>
        <w:t xml:space="preserve">(-4,2%), </w:t>
      </w:r>
      <w:r w:rsidRPr="009C6832">
        <w:rPr>
          <w:rFonts w:cs="Arial"/>
          <w:bCs/>
          <w:sz w:val="24"/>
          <w:szCs w:val="24"/>
        </w:rPr>
        <w:t xml:space="preserve">a cheltuielilor aferente programelor cu finanțare </w:t>
      </w:r>
      <w:r w:rsidR="0005391F" w:rsidRPr="009C6832">
        <w:rPr>
          <w:rFonts w:cs="Arial"/>
          <w:bCs/>
          <w:sz w:val="24"/>
          <w:szCs w:val="24"/>
        </w:rPr>
        <w:t>ne</w:t>
      </w:r>
      <w:r w:rsidRPr="009C6832">
        <w:rPr>
          <w:rFonts w:cs="Arial"/>
          <w:bCs/>
          <w:sz w:val="24"/>
          <w:szCs w:val="24"/>
        </w:rPr>
        <w:t xml:space="preserve">rambursabilă </w:t>
      </w:r>
      <w:r w:rsidR="0086691C" w:rsidRPr="009C6832">
        <w:rPr>
          <w:rFonts w:cs="Arial"/>
          <w:bCs/>
          <w:sz w:val="24"/>
          <w:szCs w:val="24"/>
        </w:rPr>
        <w:t>aferente cadrului financiar 2007-2013</w:t>
      </w:r>
      <w:r w:rsidRPr="009C6832">
        <w:rPr>
          <w:rFonts w:cs="Arial"/>
          <w:bCs/>
          <w:sz w:val="24"/>
          <w:szCs w:val="24"/>
        </w:rPr>
        <w:t xml:space="preserve"> (-</w:t>
      </w:r>
      <w:r w:rsidR="00532C95" w:rsidRPr="009C6832">
        <w:rPr>
          <w:rFonts w:cs="Arial"/>
          <w:bCs/>
          <w:sz w:val="24"/>
          <w:szCs w:val="24"/>
        </w:rPr>
        <w:t>90,2</w:t>
      </w:r>
      <w:r w:rsidR="005D1DFE" w:rsidRPr="009C6832">
        <w:rPr>
          <w:rFonts w:cs="Arial"/>
          <w:bCs/>
          <w:sz w:val="24"/>
          <w:szCs w:val="24"/>
        </w:rPr>
        <w:t>%</w:t>
      </w:r>
      <w:r w:rsidRPr="009C6832">
        <w:rPr>
          <w:rFonts w:cs="Arial"/>
          <w:bCs/>
          <w:sz w:val="24"/>
          <w:szCs w:val="24"/>
        </w:rPr>
        <w:t>)</w:t>
      </w:r>
      <w:r w:rsidR="0086691C" w:rsidRPr="009C6832">
        <w:rPr>
          <w:rFonts w:cs="Arial"/>
          <w:bCs/>
          <w:sz w:val="24"/>
          <w:szCs w:val="24"/>
        </w:rPr>
        <w:t>, a cheltuielilor aferente programelor cu finanțare rambursabilă(-</w:t>
      </w:r>
      <w:r w:rsidR="00532C95" w:rsidRPr="009C6832">
        <w:rPr>
          <w:rFonts w:cs="Arial"/>
          <w:bCs/>
          <w:sz w:val="24"/>
          <w:szCs w:val="24"/>
        </w:rPr>
        <w:t>6,3</w:t>
      </w:r>
      <w:r w:rsidR="0086691C" w:rsidRPr="009C6832">
        <w:rPr>
          <w:rFonts w:cs="Arial"/>
          <w:bCs/>
          <w:sz w:val="24"/>
          <w:szCs w:val="24"/>
        </w:rPr>
        <w:t>%)</w:t>
      </w:r>
      <w:r w:rsidR="002906CC" w:rsidRPr="009C6832">
        <w:rPr>
          <w:rFonts w:cs="Arial"/>
          <w:bCs/>
          <w:sz w:val="24"/>
          <w:szCs w:val="24"/>
        </w:rPr>
        <w:t>,</w:t>
      </w:r>
      <w:r w:rsidR="00532C95" w:rsidRPr="009C6832">
        <w:rPr>
          <w:rFonts w:cs="Arial"/>
          <w:bCs/>
          <w:sz w:val="24"/>
          <w:szCs w:val="24"/>
        </w:rPr>
        <w:t xml:space="preserve">precum și a cheltuielilor de capital (-19%). </w:t>
      </w:r>
    </w:p>
    <w:p w:rsidR="007C4F03" w:rsidRPr="009C6832" w:rsidRDefault="00532C95" w:rsidP="00A344D2">
      <w:pPr>
        <w:ind w:firstLine="0"/>
        <w:rPr>
          <w:bCs/>
        </w:rPr>
      </w:pPr>
      <w:r w:rsidRPr="009C6832">
        <w:rPr>
          <w:bCs/>
          <w:noProof/>
          <w:lang w:eastAsia="ro-RO"/>
        </w:rPr>
        <w:drawing>
          <wp:inline distT="0" distB="0" distL="0" distR="0">
            <wp:extent cx="5743341" cy="3006810"/>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00393" cy="3036678"/>
                    </a:xfrm>
                    <a:prstGeom prst="rect">
                      <a:avLst/>
                    </a:prstGeom>
                    <a:noFill/>
                  </pic:spPr>
                </pic:pic>
              </a:graphicData>
            </a:graphic>
          </wp:inline>
        </w:drawing>
      </w:r>
    </w:p>
    <w:p w:rsidR="00E44448" w:rsidRPr="009C6832" w:rsidRDefault="007C4F03" w:rsidP="00060B8F">
      <w:pPr>
        <w:spacing w:after="120"/>
        <w:ind w:firstLine="680"/>
        <w:rPr>
          <w:rFonts w:cs="Arial"/>
          <w:bCs/>
          <w:sz w:val="24"/>
          <w:szCs w:val="24"/>
        </w:rPr>
      </w:pPr>
      <w:r w:rsidRPr="009C6832">
        <w:rPr>
          <w:rFonts w:cs="Arial"/>
          <w:b/>
          <w:sz w:val="24"/>
          <w:szCs w:val="24"/>
        </w:rPr>
        <w:tab/>
        <w:t>Cheltuielile de personal</w:t>
      </w:r>
      <w:r w:rsidRPr="009C6832">
        <w:rPr>
          <w:rFonts w:cs="Arial"/>
          <w:bCs/>
          <w:sz w:val="24"/>
          <w:szCs w:val="24"/>
        </w:rPr>
        <w:t xml:space="preserve"> au fost în sumă de </w:t>
      </w:r>
      <w:r w:rsidR="00E44448" w:rsidRPr="009C6832">
        <w:rPr>
          <w:rFonts w:cs="Arial"/>
          <w:bCs/>
          <w:sz w:val="24"/>
          <w:szCs w:val="24"/>
        </w:rPr>
        <w:t>33.236,6</w:t>
      </w:r>
      <w:r w:rsidRPr="009C6832">
        <w:rPr>
          <w:rFonts w:cs="Arial"/>
          <w:bCs/>
          <w:sz w:val="24"/>
          <w:szCs w:val="24"/>
        </w:rPr>
        <w:t>milioane lei</w:t>
      </w:r>
      <w:r w:rsidR="001E0833" w:rsidRPr="009C6832">
        <w:rPr>
          <w:rFonts w:cs="Arial"/>
          <w:bCs/>
          <w:sz w:val="24"/>
          <w:szCs w:val="24"/>
        </w:rPr>
        <w:t>(4,1% din PIB)</w:t>
      </w:r>
      <w:r w:rsidRPr="009C6832">
        <w:rPr>
          <w:rFonts w:cs="Arial"/>
          <w:bCs/>
          <w:sz w:val="24"/>
          <w:szCs w:val="24"/>
        </w:rPr>
        <w:t xml:space="preserve">în creștere cu </w:t>
      </w:r>
      <w:r w:rsidR="00E44448" w:rsidRPr="009C6832">
        <w:rPr>
          <w:rFonts w:cs="Arial"/>
          <w:bCs/>
          <w:sz w:val="24"/>
          <w:szCs w:val="24"/>
        </w:rPr>
        <w:t>19,5</w:t>
      </w:r>
      <w:r w:rsidRPr="009C6832">
        <w:rPr>
          <w:rFonts w:cs="Arial"/>
          <w:bCs/>
          <w:sz w:val="24"/>
          <w:szCs w:val="24"/>
        </w:rPr>
        <w:t xml:space="preserve">% comparativ cu semestru I </w:t>
      </w:r>
      <w:r w:rsidR="00E44448" w:rsidRPr="009C6832">
        <w:rPr>
          <w:rFonts w:cs="Arial"/>
          <w:bCs/>
          <w:sz w:val="24"/>
          <w:szCs w:val="24"/>
        </w:rPr>
        <w:t xml:space="preserve">2016 </w:t>
      </w:r>
      <w:r w:rsidRPr="009C6832">
        <w:rPr>
          <w:rFonts w:cs="Arial"/>
          <w:bCs/>
          <w:sz w:val="24"/>
          <w:szCs w:val="24"/>
        </w:rPr>
        <w:t xml:space="preserve">fiind </w:t>
      </w:r>
      <w:r w:rsidR="00135155" w:rsidRPr="009C6832">
        <w:rPr>
          <w:rFonts w:cs="Arial"/>
          <w:bCs/>
          <w:sz w:val="24"/>
          <w:szCs w:val="24"/>
        </w:rPr>
        <w:t>realizate</w:t>
      </w:r>
      <w:r w:rsidRPr="009C6832">
        <w:rPr>
          <w:rFonts w:cs="Arial"/>
          <w:bCs/>
          <w:sz w:val="24"/>
          <w:szCs w:val="24"/>
        </w:rPr>
        <w:t xml:space="preserve"> în proporție de </w:t>
      </w:r>
      <w:r w:rsidR="00E44448" w:rsidRPr="009C6832">
        <w:rPr>
          <w:rFonts w:cs="Arial"/>
          <w:bCs/>
          <w:sz w:val="24"/>
          <w:szCs w:val="24"/>
        </w:rPr>
        <w:t>99,9</w:t>
      </w:r>
      <w:r w:rsidRPr="009C6832">
        <w:rPr>
          <w:rFonts w:cs="Arial"/>
          <w:bCs/>
          <w:sz w:val="24"/>
          <w:szCs w:val="24"/>
        </w:rPr>
        <w:t xml:space="preserve">%. </w:t>
      </w:r>
    </w:p>
    <w:p w:rsidR="001E0833" w:rsidRPr="009C6832" w:rsidRDefault="002906CC" w:rsidP="00060B8F">
      <w:pPr>
        <w:spacing w:after="120"/>
        <w:ind w:firstLine="680"/>
        <w:rPr>
          <w:rFonts w:cs="Arial"/>
          <w:bCs/>
          <w:sz w:val="24"/>
          <w:szCs w:val="24"/>
        </w:rPr>
      </w:pPr>
      <w:r w:rsidRPr="009C6832">
        <w:rPr>
          <w:rFonts w:cs="Arial"/>
          <w:bCs/>
          <w:sz w:val="24"/>
          <w:szCs w:val="24"/>
        </w:rPr>
        <w:t>C</w:t>
      </w:r>
      <w:r w:rsidR="001E0833" w:rsidRPr="009C6832">
        <w:rPr>
          <w:rFonts w:cs="Arial"/>
          <w:bCs/>
          <w:sz w:val="24"/>
          <w:szCs w:val="24"/>
        </w:rPr>
        <w:t>heltuielile de personal</w:t>
      </w:r>
      <w:r w:rsidRPr="009C6832">
        <w:rPr>
          <w:rFonts w:cs="Arial"/>
          <w:bCs/>
          <w:sz w:val="24"/>
          <w:szCs w:val="24"/>
        </w:rPr>
        <w:t>, ca procent în PIB,</w:t>
      </w:r>
      <w:r w:rsidR="001E0833" w:rsidRPr="009C6832">
        <w:rPr>
          <w:rFonts w:cs="Arial"/>
          <w:bCs/>
          <w:sz w:val="24"/>
          <w:szCs w:val="24"/>
        </w:rPr>
        <w:t xml:space="preserve"> au crescut cu 0,4 puncte procentuale de la 3,7% din PIB cât au fost în semestrul I 2016 la 4,1 % din PIB în semestrul I 2017.</w:t>
      </w:r>
    </w:p>
    <w:p w:rsidR="00E44448" w:rsidRPr="009C6832" w:rsidRDefault="00E44448" w:rsidP="00060B8F">
      <w:pPr>
        <w:spacing w:after="120"/>
        <w:ind w:firstLine="680"/>
        <w:rPr>
          <w:rFonts w:cs="Arial"/>
          <w:bCs/>
          <w:sz w:val="24"/>
          <w:szCs w:val="24"/>
        </w:rPr>
      </w:pPr>
      <w:r w:rsidRPr="009C6832">
        <w:rPr>
          <w:rFonts w:cs="Arial"/>
          <w:bCs/>
          <w:sz w:val="24"/>
          <w:szCs w:val="24"/>
        </w:rPr>
        <w:t>Creșterea cheltuielilor de personal comparativ cu semestrul I 2016 a fost determinată de majorările salariale acordate în a doua parte a anului 2016, respectiv aplicarea, începând cu luna august 2016, a prevederilor O.U.G. nr. 20/2016 pentru modificarea şi completarea Ordonanței de urgență a Guvernului nr. 57/2015 privind salarizarea personalului plătit din fonduri publice în anul 2016, prorogarea unor termene, precum şi unele măsuri fiscal-bugetare şi pentru modificarea şi completarea unor acte normative, precum și de creșterile salariale acordate în 2017, respectiv creșterea cu 15 % a salariilor din sănătate și din educație de la 1 ianuarie 2017, a personalului plătit din fonduri publice din instituțiile şi autoritățile publice ale administrației publice locale care  beneficiază de majorarea cu 20% începând cu 1 februarie 2017, majorarea salariului de bază minim brut pe țară garantat în plată de la 1250 lei la 1450 lei din 1 februarie 2017 și majorarea cu 50% a salariului brut şi a sporurilor pentru personalul din instituțiile publice de spectacole sau concerte începând cu 1 februarie 2017.</w:t>
      </w:r>
    </w:p>
    <w:p w:rsidR="007C4F03" w:rsidRPr="009C6832" w:rsidRDefault="007C4F03" w:rsidP="00060B8F">
      <w:pPr>
        <w:spacing w:after="120"/>
        <w:ind w:firstLine="680"/>
        <w:rPr>
          <w:rFonts w:cs="Arial"/>
          <w:bCs/>
          <w:sz w:val="24"/>
          <w:szCs w:val="24"/>
        </w:rPr>
      </w:pPr>
      <w:r w:rsidRPr="009C6832">
        <w:rPr>
          <w:rFonts w:cs="Arial"/>
          <w:b/>
          <w:bCs/>
          <w:sz w:val="24"/>
          <w:szCs w:val="24"/>
        </w:rPr>
        <w:t>Cheltuielile cu bunuri şi servicii</w:t>
      </w:r>
      <w:r w:rsidR="00A26E1A">
        <w:rPr>
          <w:rFonts w:cs="Arial"/>
          <w:b/>
          <w:bCs/>
          <w:sz w:val="24"/>
          <w:szCs w:val="24"/>
        </w:rPr>
        <w:t xml:space="preserve"> </w:t>
      </w:r>
      <w:r w:rsidR="001E0833" w:rsidRPr="009C6832">
        <w:rPr>
          <w:rFonts w:cs="Arial"/>
          <w:bCs/>
          <w:sz w:val="24"/>
          <w:szCs w:val="24"/>
        </w:rPr>
        <w:t>au totalizat 17.544,4 milioane lei în creștere cu 0,9</w:t>
      </w:r>
      <w:r w:rsidRPr="009C6832">
        <w:rPr>
          <w:rFonts w:cs="Arial"/>
          <w:bCs/>
          <w:sz w:val="24"/>
          <w:szCs w:val="24"/>
        </w:rPr>
        <w:t xml:space="preserve">% față de aceeași perioadă a anului precedent şi s-au </w:t>
      </w:r>
      <w:r w:rsidR="00135155" w:rsidRPr="009C6832">
        <w:rPr>
          <w:rFonts w:cs="Arial"/>
          <w:bCs/>
          <w:sz w:val="24"/>
          <w:szCs w:val="24"/>
        </w:rPr>
        <w:t>realizat</w:t>
      </w:r>
      <w:r w:rsidRPr="009C6832">
        <w:rPr>
          <w:rFonts w:cs="Arial"/>
          <w:bCs/>
          <w:sz w:val="24"/>
          <w:szCs w:val="24"/>
        </w:rPr>
        <w:t xml:space="preserve"> în proporție de </w:t>
      </w:r>
      <w:r w:rsidR="001E0833" w:rsidRPr="009C6832">
        <w:rPr>
          <w:rFonts w:cs="Arial"/>
          <w:bCs/>
          <w:sz w:val="24"/>
          <w:szCs w:val="24"/>
        </w:rPr>
        <w:t>93,0</w:t>
      </w:r>
      <w:r w:rsidRPr="009C6832">
        <w:rPr>
          <w:rFonts w:cs="Arial"/>
          <w:bCs/>
          <w:sz w:val="24"/>
          <w:szCs w:val="24"/>
        </w:rPr>
        <w:t xml:space="preserve">%. </w:t>
      </w:r>
    </w:p>
    <w:p w:rsidR="007C4F03" w:rsidRPr="009C6832" w:rsidRDefault="007C4F03" w:rsidP="00060B8F">
      <w:pPr>
        <w:spacing w:after="120"/>
        <w:ind w:firstLine="680"/>
        <w:rPr>
          <w:rFonts w:cs="Arial"/>
          <w:bCs/>
          <w:sz w:val="24"/>
          <w:szCs w:val="24"/>
        </w:rPr>
      </w:pPr>
      <w:r w:rsidRPr="009C6832">
        <w:rPr>
          <w:rFonts w:cs="Arial"/>
          <w:sz w:val="24"/>
          <w:szCs w:val="24"/>
        </w:rPr>
        <w:t xml:space="preserve">  Cheltui</w:t>
      </w:r>
      <w:r w:rsidRPr="009C6832">
        <w:rPr>
          <w:rFonts w:cs="Arial"/>
          <w:bCs/>
          <w:sz w:val="24"/>
          <w:szCs w:val="24"/>
        </w:rPr>
        <w:t xml:space="preserve">elile cu </w:t>
      </w:r>
      <w:r w:rsidRPr="009C6832">
        <w:rPr>
          <w:rFonts w:cs="Arial"/>
          <w:b/>
          <w:bCs/>
          <w:sz w:val="24"/>
          <w:szCs w:val="24"/>
        </w:rPr>
        <w:t xml:space="preserve">dobânzile </w:t>
      </w:r>
      <w:r w:rsidRPr="009C6832">
        <w:rPr>
          <w:rFonts w:cs="Arial"/>
          <w:sz w:val="24"/>
          <w:szCs w:val="24"/>
        </w:rPr>
        <w:t xml:space="preserve">au înregistrat o </w:t>
      </w:r>
      <w:r w:rsidR="001E0833" w:rsidRPr="009C6832">
        <w:rPr>
          <w:rFonts w:cs="Arial"/>
          <w:sz w:val="24"/>
          <w:szCs w:val="24"/>
        </w:rPr>
        <w:t xml:space="preserve">diminuare </w:t>
      </w:r>
      <w:r w:rsidRPr="009C6832">
        <w:rPr>
          <w:rFonts w:cs="Arial"/>
          <w:bCs/>
          <w:sz w:val="24"/>
          <w:szCs w:val="24"/>
        </w:rPr>
        <w:t xml:space="preserve">cu </w:t>
      </w:r>
      <w:r w:rsidR="001E0833" w:rsidRPr="009C6832">
        <w:rPr>
          <w:rFonts w:cs="Arial"/>
          <w:bCs/>
          <w:sz w:val="24"/>
          <w:szCs w:val="24"/>
        </w:rPr>
        <w:t>4,2</w:t>
      </w:r>
      <w:r w:rsidRPr="009C6832">
        <w:rPr>
          <w:rFonts w:cs="Arial"/>
          <w:bCs/>
          <w:sz w:val="24"/>
          <w:szCs w:val="24"/>
        </w:rPr>
        <w:t xml:space="preserve">%, gradul de </w:t>
      </w:r>
      <w:r w:rsidR="004F494F" w:rsidRPr="009C6832">
        <w:rPr>
          <w:rFonts w:cs="Arial"/>
          <w:bCs/>
          <w:sz w:val="24"/>
          <w:szCs w:val="24"/>
        </w:rPr>
        <w:t xml:space="preserve">realizare pe semestrul I </w:t>
      </w:r>
      <w:r w:rsidRPr="009C6832">
        <w:rPr>
          <w:rFonts w:cs="Arial"/>
          <w:bCs/>
          <w:sz w:val="24"/>
          <w:szCs w:val="24"/>
        </w:rPr>
        <w:t xml:space="preserve">fiind de </w:t>
      </w:r>
      <w:r w:rsidR="001E0833" w:rsidRPr="009C6832">
        <w:rPr>
          <w:rFonts w:cs="Arial"/>
          <w:bCs/>
          <w:sz w:val="24"/>
          <w:szCs w:val="24"/>
        </w:rPr>
        <w:t>88,9</w:t>
      </w:r>
      <w:r w:rsidRPr="009C6832">
        <w:rPr>
          <w:rFonts w:cs="Arial"/>
          <w:bCs/>
          <w:sz w:val="24"/>
          <w:szCs w:val="24"/>
        </w:rPr>
        <w:t>%.</w:t>
      </w:r>
    </w:p>
    <w:p w:rsidR="000B0BE3" w:rsidRPr="009C6832" w:rsidRDefault="000B0BE3" w:rsidP="00060B8F">
      <w:pPr>
        <w:spacing w:after="120"/>
        <w:ind w:firstLine="680"/>
        <w:rPr>
          <w:rFonts w:cs="Arial"/>
          <w:bCs/>
          <w:sz w:val="24"/>
          <w:szCs w:val="24"/>
        </w:rPr>
      </w:pPr>
      <w:r w:rsidRPr="009C6832">
        <w:rPr>
          <w:rFonts w:cs="Arial"/>
          <w:bCs/>
          <w:sz w:val="24"/>
          <w:szCs w:val="24"/>
        </w:rPr>
        <w:t xml:space="preserve">Cheltuielile cu </w:t>
      </w:r>
      <w:r w:rsidR="00593732" w:rsidRPr="009C6832">
        <w:rPr>
          <w:rFonts w:cs="Arial"/>
          <w:b/>
          <w:bCs/>
          <w:sz w:val="24"/>
          <w:szCs w:val="24"/>
        </w:rPr>
        <w:t>subvențiile</w:t>
      </w:r>
      <w:r w:rsidR="00A26E1A">
        <w:rPr>
          <w:rFonts w:cs="Arial"/>
          <w:b/>
          <w:bCs/>
          <w:sz w:val="24"/>
          <w:szCs w:val="24"/>
        </w:rPr>
        <w:t xml:space="preserve"> </w:t>
      </w:r>
      <w:r w:rsidR="001E0833" w:rsidRPr="009C6832">
        <w:rPr>
          <w:rFonts w:cs="Arial"/>
          <w:bCs/>
          <w:sz w:val="24"/>
          <w:szCs w:val="24"/>
        </w:rPr>
        <w:t>au însumat 3.589,4 milioane lei (0,4% din PIB)</w:t>
      </w:r>
      <w:r w:rsidRPr="009C6832">
        <w:rPr>
          <w:rFonts w:cs="Arial"/>
          <w:bCs/>
          <w:sz w:val="24"/>
          <w:szCs w:val="24"/>
        </w:rPr>
        <w:t xml:space="preserve"> cu </w:t>
      </w:r>
      <w:r w:rsidR="001E0833" w:rsidRPr="009C6832">
        <w:rPr>
          <w:rFonts w:cs="Arial"/>
          <w:bCs/>
          <w:sz w:val="24"/>
          <w:szCs w:val="24"/>
        </w:rPr>
        <w:t>34,4</w:t>
      </w:r>
      <w:r w:rsidRPr="009C6832">
        <w:rPr>
          <w:rFonts w:cs="Arial"/>
          <w:bCs/>
          <w:sz w:val="24"/>
          <w:szCs w:val="24"/>
        </w:rPr>
        <w:t xml:space="preserve">% mai </w:t>
      </w:r>
      <w:r w:rsidR="00A344D2" w:rsidRPr="009C6832">
        <w:rPr>
          <w:rFonts w:cs="Arial"/>
          <w:bCs/>
          <w:sz w:val="24"/>
          <w:szCs w:val="24"/>
        </w:rPr>
        <w:t>mari</w:t>
      </w:r>
      <w:r w:rsidRPr="009C6832">
        <w:rPr>
          <w:rFonts w:cs="Arial"/>
          <w:bCs/>
          <w:sz w:val="24"/>
          <w:szCs w:val="24"/>
        </w:rPr>
        <w:t xml:space="preserve"> com</w:t>
      </w:r>
      <w:r w:rsidR="00593732" w:rsidRPr="009C6832">
        <w:rPr>
          <w:rFonts w:cs="Arial"/>
          <w:bCs/>
          <w:sz w:val="24"/>
          <w:szCs w:val="24"/>
        </w:rPr>
        <w:t>parativ cu aceeași perioadă a</w:t>
      </w:r>
      <w:r w:rsidRPr="009C6832">
        <w:rPr>
          <w:rFonts w:cs="Arial"/>
          <w:bCs/>
          <w:sz w:val="24"/>
          <w:szCs w:val="24"/>
        </w:rPr>
        <w:t xml:space="preserve"> anului anterior gradul de </w:t>
      </w:r>
      <w:r w:rsidR="004F494F" w:rsidRPr="009C6832">
        <w:rPr>
          <w:rFonts w:cs="Arial"/>
          <w:bCs/>
          <w:sz w:val="24"/>
          <w:szCs w:val="24"/>
        </w:rPr>
        <w:t xml:space="preserve">realizare </w:t>
      </w:r>
      <w:r w:rsidRPr="009C6832">
        <w:rPr>
          <w:rFonts w:cs="Arial"/>
          <w:bCs/>
          <w:sz w:val="24"/>
          <w:szCs w:val="24"/>
        </w:rPr>
        <w:t xml:space="preserve"> fiind de </w:t>
      </w:r>
      <w:r w:rsidR="001E0833" w:rsidRPr="009C6832">
        <w:rPr>
          <w:rFonts w:cs="Arial"/>
          <w:bCs/>
          <w:sz w:val="24"/>
          <w:szCs w:val="24"/>
        </w:rPr>
        <w:t>83,5</w:t>
      </w:r>
      <w:r w:rsidR="00197AF4" w:rsidRPr="009C6832">
        <w:rPr>
          <w:rFonts w:cs="Arial"/>
          <w:bCs/>
          <w:sz w:val="24"/>
          <w:szCs w:val="24"/>
        </w:rPr>
        <w:t>%</w:t>
      </w:r>
      <w:r w:rsidRPr="009C6832">
        <w:rPr>
          <w:rFonts w:cs="Arial"/>
          <w:bCs/>
          <w:sz w:val="24"/>
          <w:szCs w:val="24"/>
        </w:rPr>
        <w:t>.</w:t>
      </w:r>
    </w:p>
    <w:p w:rsidR="006D4230" w:rsidRPr="009C6832" w:rsidRDefault="006D4230" w:rsidP="00060B8F">
      <w:pPr>
        <w:spacing w:after="120"/>
        <w:ind w:firstLine="680"/>
        <w:rPr>
          <w:rFonts w:cs="Arial"/>
          <w:bCs/>
          <w:sz w:val="24"/>
          <w:szCs w:val="24"/>
        </w:rPr>
      </w:pPr>
      <w:r w:rsidRPr="009C6832">
        <w:rPr>
          <w:rFonts w:cs="Arial"/>
          <w:bCs/>
          <w:sz w:val="24"/>
          <w:szCs w:val="24"/>
        </w:rPr>
        <w:t xml:space="preserve">Creșterea cheltuielilor cu subvențiile comparativ cu aceeași perioadă a anului anterior s-a datorat în principal plăților efectuate pentru </w:t>
      </w:r>
      <w:r w:rsidR="001E0833" w:rsidRPr="009C6832">
        <w:rPr>
          <w:rFonts w:cs="Arial"/>
          <w:bCs/>
          <w:sz w:val="24"/>
          <w:szCs w:val="24"/>
        </w:rPr>
        <w:t>sprijinirea producătorilor agricoli.</w:t>
      </w:r>
    </w:p>
    <w:p w:rsidR="00105A75" w:rsidRPr="009C6832" w:rsidRDefault="007C4F03" w:rsidP="00060B8F">
      <w:pPr>
        <w:spacing w:before="120" w:after="120"/>
        <w:ind w:firstLine="680"/>
        <w:rPr>
          <w:rFonts w:cs="Arial"/>
          <w:bCs/>
          <w:sz w:val="24"/>
          <w:szCs w:val="24"/>
        </w:rPr>
      </w:pPr>
      <w:r w:rsidRPr="009C6832">
        <w:rPr>
          <w:rFonts w:cs="Arial"/>
          <w:bCs/>
          <w:sz w:val="24"/>
          <w:szCs w:val="24"/>
        </w:rPr>
        <w:t xml:space="preserve">Cheltuielile cu </w:t>
      </w:r>
      <w:r w:rsidRPr="009C6832">
        <w:rPr>
          <w:rFonts w:cs="Arial"/>
          <w:b/>
          <w:bCs/>
          <w:sz w:val="24"/>
          <w:szCs w:val="24"/>
        </w:rPr>
        <w:t>asistența socială</w:t>
      </w:r>
      <w:r w:rsidRPr="009C6832">
        <w:rPr>
          <w:rFonts w:cs="Arial"/>
          <w:bCs/>
          <w:sz w:val="24"/>
          <w:szCs w:val="24"/>
        </w:rPr>
        <w:t xml:space="preserve"> au înregistrat o creștere de </w:t>
      </w:r>
      <w:r w:rsidR="006D4230" w:rsidRPr="009C6832">
        <w:rPr>
          <w:rFonts w:cs="Arial"/>
          <w:bCs/>
          <w:sz w:val="24"/>
          <w:szCs w:val="24"/>
        </w:rPr>
        <w:t>9,8</w:t>
      </w:r>
      <w:r w:rsidRPr="009C6832">
        <w:rPr>
          <w:rFonts w:cs="Arial"/>
          <w:bCs/>
          <w:sz w:val="24"/>
          <w:szCs w:val="24"/>
        </w:rPr>
        <w:t xml:space="preserve">% comparativ cu primul semestru al anului </w:t>
      </w:r>
      <w:r w:rsidR="006D4230" w:rsidRPr="009C6832">
        <w:rPr>
          <w:rFonts w:cs="Arial"/>
          <w:bCs/>
          <w:sz w:val="24"/>
          <w:szCs w:val="24"/>
        </w:rPr>
        <w:t xml:space="preserve">2016 </w:t>
      </w:r>
      <w:r w:rsidRPr="009C6832">
        <w:rPr>
          <w:rFonts w:cs="Arial"/>
          <w:bCs/>
          <w:sz w:val="24"/>
          <w:szCs w:val="24"/>
        </w:rPr>
        <w:t xml:space="preserve">şi au fost </w:t>
      </w:r>
      <w:r w:rsidR="004F494F" w:rsidRPr="009C6832">
        <w:rPr>
          <w:rFonts w:cs="Arial"/>
          <w:bCs/>
          <w:sz w:val="24"/>
          <w:szCs w:val="24"/>
        </w:rPr>
        <w:t xml:space="preserve">realizate </w:t>
      </w:r>
      <w:r w:rsidRPr="009C6832">
        <w:rPr>
          <w:rFonts w:cs="Arial"/>
          <w:bCs/>
          <w:sz w:val="24"/>
          <w:szCs w:val="24"/>
        </w:rPr>
        <w:t xml:space="preserve">în proporție de </w:t>
      </w:r>
      <w:r w:rsidR="006D4230" w:rsidRPr="009C6832">
        <w:rPr>
          <w:rFonts w:cs="Arial"/>
          <w:bCs/>
          <w:sz w:val="24"/>
          <w:szCs w:val="24"/>
        </w:rPr>
        <w:t>98,9</w:t>
      </w:r>
      <w:r w:rsidRPr="009C6832">
        <w:rPr>
          <w:rFonts w:cs="Arial"/>
          <w:bCs/>
          <w:sz w:val="24"/>
          <w:szCs w:val="24"/>
        </w:rPr>
        <w:t>%</w:t>
      </w:r>
      <w:r w:rsidR="004F494F" w:rsidRPr="009C6832">
        <w:rPr>
          <w:rFonts w:cs="Arial"/>
          <w:bCs/>
          <w:sz w:val="24"/>
          <w:szCs w:val="24"/>
        </w:rPr>
        <w:t xml:space="preserve"> față de estimarea pentru primul semestru</w:t>
      </w:r>
      <w:r w:rsidRPr="009C6832">
        <w:rPr>
          <w:rFonts w:cs="Arial"/>
          <w:bCs/>
          <w:sz w:val="24"/>
          <w:szCs w:val="24"/>
        </w:rPr>
        <w:t xml:space="preserve">. </w:t>
      </w:r>
    </w:p>
    <w:p w:rsidR="00690D36" w:rsidRPr="009C6832" w:rsidRDefault="007C4F03" w:rsidP="00060B8F">
      <w:pPr>
        <w:spacing w:before="120" w:after="120"/>
        <w:ind w:firstLine="680"/>
        <w:rPr>
          <w:rFonts w:eastAsia="Times New Roman" w:cs="Arial"/>
          <w:bCs/>
          <w:sz w:val="24"/>
          <w:szCs w:val="24"/>
          <w:lang w:eastAsia="zh-CN"/>
        </w:rPr>
      </w:pPr>
      <w:r w:rsidRPr="009C6832">
        <w:rPr>
          <w:rFonts w:cs="Arial"/>
          <w:bCs/>
          <w:sz w:val="24"/>
          <w:szCs w:val="24"/>
        </w:rPr>
        <w:t>Cheltuielile cu asistența socială au fost influențate de</w:t>
      </w:r>
      <w:r w:rsidR="006D4230" w:rsidRPr="009C6832">
        <w:rPr>
          <w:rFonts w:cs="Arial"/>
          <w:bCs/>
          <w:sz w:val="24"/>
          <w:szCs w:val="24"/>
        </w:rPr>
        <w:t xml:space="preserve"> creșterea nivelul indemnizației sociale pentru pensionari, prevăzută de Ordonanța de urgență a Guvernului nr 6/2009 privind instituirea pensiei sociale minime garantate, la 520 lei, acordarea </w:t>
      </w:r>
      <w:r w:rsidR="007B4E33" w:rsidRPr="009C6832">
        <w:rPr>
          <w:rFonts w:cs="Arial"/>
          <w:bCs/>
          <w:sz w:val="24"/>
          <w:szCs w:val="24"/>
        </w:rPr>
        <w:t xml:space="preserve">de gratuitate la transport intern feroviar pentru </w:t>
      </w:r>
      <w:r w:rsidR="006D4230" w:rsidRPr="009C6832">
        <w:rPr>
          <w:rFonts w:cs="Arial"/>
          <w:bCs/>
          <w:sz w:val="24"/>
          <w:szCs w:val="24"/>
        </w:rPr>
        <w:t xml:space="preserve">studenții înmatriculați la forma de învățământ cu frecvență, în instituțiile de învățământ superior acreditate, </w:t>
      </w:r>
      <w:r w:rsidRPr="009C6832">
        <w:rPr>
          <w:rFonts w:cs="Arial"/>
          <w:bCs/>
          <w:sz w:val="24"/>
          <w:szCs w:val="24"/>
        </w:rPr>
        <w:t>precum şi de</w:t>
      </w:r>
      <w:r w:rsidR="007B4E33" w:rsidRPr="009C6832">
        <w:rPr>
          <w:rFonts w:cs="Arial"/>
          <w:bCs/>
          <w:sz w:val="24"/>
          <w:szCs w:val="24"/>
        </w:rPr>
        <w:t xml:space="preserve"> majorarea cu 5,25% a punctului de pensie de la 1 ianuarie 2017</w:t>
      </w:r>
      <w:r w:rsidR="007B4E33" w:rsidRPr="009C6832">
        <w:rPr>
          <w:rFonts w:cs="Arial"/>
          <w:bCs/>
          <w:sz w:val="24"/>
          <w:szCs w:val="24"/>
          <w:vertAlign w:val="superscript"/>
        </w:rPr>
        <w:footnoteReference w:id="9"/>
      </w:r>
      <w:r w:rsidR="004F494F" w:rsidRPr="009C6832">
        <w:rPr>
          <w:rFonts w:cs="Arial"/>
          <w:bCs/>
          <w:sz w:val="24"/>
          <w:szCs w:val="24"/>
        </w:rPr>
        <w:t>,</w:t>
      </w:r>
      <w:r w:rsidR="00346FFE" w:rsidRPr="009C6832">
        <w:rPr>
          <w:rFonts w:cs="Arial"/>
          <w:bCs/>
          <w:sz w:val="24"/>
          <w:szCs w:val="24"/>
        </w:rPr>
        <w:t>precum și alte măsuri ce au fost aprobate în timpul anului 2016 care au contribuit la sporirea cheltuielilor sociale cum sunt: creșterea numărului de beneficiari de ajutor social prin excluderea alocației de stat pentru copii din veniturile familiei la stabilirea ajutorului social (VMG); majorarea indemnizației acordate adultului cu handicap vizual grav prin majorarea cu 25% a salariului net al asistentului social debutant cu studii medii din unitățile de asistență socială din sectorul bugetar, altele decât cele cu paturi, și majorarea numărului de persoane încadrate în diverse tipuri de handicap; majorarea și modificarea modalității de stabilire a indemnizației lunare pentru creșterea copilului și stimulentul de inserție; pensii de serviciu pentru grefieri, personal aeronautic, funcționari publici parlamentari, auditori ai Curții de Conturi.</w:t>
      </w:r>
    </w:p>
    <w:p w:rsidR="003D547F" w:rsidRPr="009C6832" w:rsidRDefault="003D547F" w:rsidP="00060B8F">
      <w:pPr>
        <w:spacing w:before="120" w:after="120"/>
        <w:ind w:firstLine="680"/>
        <w:rPr>
          <w:rFonts w:eastAsia="Arial" w:cs="Arial"/>
          <w:color w:val="000000" w:themeColor="text1"/>
          <w:sz w:val="24"/>
          <w:szCs w:val="24"/>
          <w:shd w:val="clear" w:color="auto" w:fill="FFFFFF"/>
        </w:rPr>
      </w:pPr>
      <w:r w:rsidRPr="009C6832">
        <w:rPr>
          <w:rFonts w:eastAsia="Arial" w:cs="Arial"/>
          <w:color w:val="000000" w:themeColor="text1"/>
          <w:sz w:val="24"/>
          <w:szCs w:val="24"/>
          <w:shd w:val="clear" w:color="auto" w:fill="FFFFFF"/>
        </w:rPr>
        <w:t xml:space="preserve">Cheltuielile cu </w:t>
      </w:r>
      <w:r w:rsidR="00A344D2" w:rsidRPr="009C6832">
        <w:rPr>
          <w:rFonts w:eastAsia="Arial" w:cs="Arial"/>
          <w:b/>
          <w:color w:val="000000" w:themeColor="text1"/>
          <w:sz w:val="24"/>
          <w:szCs w:val="24"/>
          <w:shd w:val="clear" w:color="auto" w:fill="FFFFFF"/>
        </w:rPr>
        <w:t>a</w:t>
      </w:r>
      <w:r w:rsidRPr="009C6832">
        <w:rPr>
          <w:rFonts w:eastAsia="Arial" w:cs="Arial"/>
          <w:b/>
          <w:color w:val="000000" w:themeColor="text1"/>
          <w:sz w:val="24"/>
          <w:szCs w:val="24"/>
          <w:shd w:val="clear" w:color="auto" w:fill="FFFFFF"/>
        </w:rPr>
        <w:t>lte transferuri</w:t>
      </w:r>
      <w:r w:rsidRPr="009C6832">
        <w:rPr>
          <w:rFonts w:eastAsia="Arial" w:cs="Arial"/>
          <w:color w:val="000000" w:themeColor="text1"/>
          <w:sz w:val="24"/>
          <w:szCs w:val="24"/>
          <w:shd w:val="clear" w:color="auto" w:fill="FFFFFF"/>
        </w:rPr>
        <w:t xml:space="preserve"> au fost în sumă de </w:t>
      </w:r>
      <w:r w:rsidR="00346FFE" w:rsidRPr="009C6832">
        <w:rPr>
          <w:rFonts w:eastAsia="Arial" w:cs="Arial"/>
          <w:color w:val="000000" w:themeColor="text1"/>
          <w:sz w:val="24"/>
          <w:szCs w:val="24"/>
          <w:shd w:val="clear" w:color="auto" w:fill="FFFFFF"/>
        </w:rPr>
        <w:t>6</w:t>
      </w:r>
      <w:r w:rsidR="007207DF" w:rsidRPr="009C6832">
        <w:rPr>
          <w:rFonts w:eastAsia="Arial" w:cs="Arial"/>
          <w:color w:val="000000" w:themeColor="text1"/>
          <w:sz w:val="24"/>
          <w:szCs w:val="24"/>
          <w:shd w:val="clear" w:color="auto" w:fill="FFFFFF"/>
        </w:rPr>
        <w:t>.</w:t>
      </w:r>
      <w:r w:rsidR="00346FFE" w:rsidRPr="009C6832">
        <w:rPr>
          <w:rFonts w:eastAsia="Arial" w:cs="Arial"/>
          <w:color w:val="000000" w:themeColor="text1"/>
          <w:sz w:val="24"/>
          <w:szCs w:val="24"/>
          <w:shd w:val="clear" w:color="auto" w:fill="FFFFFF"/>
        </w:rPr>
        <w:t>152,4</w:t>
      </w:r>
      <w:r w:rsidRPr="009C6832">
        <w:rPr>
          <w:rFonts w:eastAsia="Arial" w:cs="Arial"/>
          <w:color w:val="000000" w:themeColor="text1"/>
          <w:sz w:val="24"/>
          <w:szCs w:val="24"/>
          <w:shd w:val="clear" w:color="auto" w:fill="FFFFFF"/>
        </w:rPr>
        <w:t xml:space="preserve"> milioane le</w:t>
      </w:r>
      <w:r w:rsidR="008D6F4B" w:rsidRPr="009C6832">
        <w:rPr>
          <w:rFonts w:eastAsia="Arial" w:cs="Arial"/>
          <w:color w:val="000000" w:themeColor="text1"/>
          <w:sz w:val="24"/>
          <w:szCs w:val="24"/>
          <w:shd w:val="clear" w:color="auto" w:fill="FFFFFF"/>
        </w:rPr>
        <w:t>i</w:t>
      </w:r>
      <w:r w:rsidR="00346FFE" w:rsidRPr="009C6832">
        <w:rPr>
          <w:rFonts w:eastAsia="Arial" w:cs="Arial"/>
          <w:color w:val="000000" w:themeColor="text1"/>
          <w:sz w:val="24"/>
          <w:szCs w:val="24"/>
          <w:shd w:val="clear" w:color="auto" w:fill="FFFFFF"/>
        </w:rPr>
        <w:t xml:space="preserve">(0,8% din PIB) </w:t>
      </w:r>
      <w:r w:rsidRPr="009C6832">
        <w:rPr>
          <w:rFonts w:eastAsia="Arial" w:cs="Arial"/>
          <w:color w:val="000000" w:themeColor="text1"/>
          <w:sz w:val="24"/>
          <w:szCs w:val="24"/>
          <w:shd w:val="clear" w:color="auto" w:fill="FFFFFF"/>
        </w:rPr>
        <w:t xml:space="preserve">au fost cu </w:t>
      </w:r>
      <w:r w:rsidR="00346FFE" w:rsidRPr="009C6832">
        <w:rPr>
          <w:rFonts w:eastAsia="Arial" w:cs="Arial"/>
          <w:color w:val="000000" w:themeColor="text1"/>
          <w:sz w:val="24"/>
          <w:szCs w:val="24"/>
          <w:shd w:val="clear" w:color="auto" w:fill="FFFFFF"/>
        </w:rPr>
        <w:t>30,2</w:t>
      </w:r>
      <w:r w:rsidRPr="009C6832">
        <w:rPr>
          <w:rFonts w:eastAsia="Arial" w:cs="Arial"/>
          <w:color w:val="000000" w:themeColor="text1"/>
          <w:sz w:val="24"/>
          <w:szCs w:val="24"/>
          <w:shd w:val="clear" w:color="auto" w:fill="FFFFFF"/>
        </w:rPr>
        <w:t xml:space="preserve">% mai </w:t>
      </w:r>
      <w:r w:rsidR="00346FFE" w:rsidRPr="009C6832">
        <w:rPr>
          <w:rFonts w:eastAsia="Arial" w:cs="Arial"/>
          <w:color w:val="000000" w:themeColor="text1"/>
          <w:sz w:val="24"/>
          <w:szCs w:val="24"/>
          <w:shd w:val="clear" w:color="auto" w:fill="FFFFFF"/>
        </w:rPr>
        <w:t xml:space="preserve">mari </w:t>
      </w:r>
      <w:r w:rsidRPr="009C6832">
        <w:rPr>
          <w:rFonts w:eastAsia="Arial" w:cs="Arial"/>
          <w:color w:val="000000" w:themeColor="text1"/>
          <w:sz w:val="24"/>
          <w:szCs w:val="24"/>
          <w:shd w:val="clear" w:color="auto" w:fill="FFFFFF"/>
        </w:rPr>
        <w:t xml:space="preserve">decât plățile efectuate </w:t>
      </w:r>
      <w:r w:rsidR="00346FFE" w:rsidRPr="009C6832">
        <w:rPr>
          <w:rFonts w:eastAsia="Arial" w:cs="Arial"/>
          <w:color w:val="000000" w:themeColor="text1"/>
          <w:sz w:val="24"/>
          <w:szCs w:val="24"/>
          <w:shd w:val="clear" w:color="auto" w:fill="FFFFFF"/>
        </w:rPr>
        <w:t>în semestrul I 2016</w:t>
      </w:r>
      <w:r w:rsidR="0057610D" w:rsidRPr="009C6832">
        <w:rPr>
          <w:rFonts w:eastAsia="Arial" w:cs="Arial"/>
          <w:color w:val="000000" w:themeColor="text1"/>
          <w:sz w:val="24"/>
          <w:szCs w:val="24"/>
          <w:shd w:val="clear" w:color="auto" w:fill="FFFFFF"/>
        </w:rPr>
        <w:t>.</w:t>
      </w:r>
    </w:p>
    <w:p w:rsidR="00346FFE" w:rsidRDefault="007C4F03" w:rsidP="00060B8F">
      <w:pPr>
        <w:spacing w:after="120"/>
        <w:ind w:firstLine="0"/>
        <w:rPr>
          <w:rFonts w:cs="Arial"/>
          <w:bCs/>
          <w:sz w:val="24"/>
          <w:szCs w:val="24"/>
        </w:rPr>
      </w:pPr>
      <w:r w:rsidRPr="009C6832">
        <w:rPr>
          <w:rFonts w:cs="Arial"/>
          <w:bCs/>
          <w:sz w:val="24"/>
          <w:szCs w:val="24"/>
        </w:rPr>
        <w:tab/>
        <w:t xml:space="preserve">Cheltuielile pentru </w:t>
      </w:r>
      <w:r w:rsidRPr="009C6832">
        <w:rPr>
          <w:rFonts w:cs="Arial"/>
          <w:b/>
          <w:bCs/>
          <w:sz w:val="24"/>
          <w:szCs w:val="24"/>
        </w:rPr>
        <w:t>investiții</w:t>
      </w:r>
      <w:r w:rsidRPr="009C6832">
        <w:rPr>
          <w:rFonts w:cs="Arial"/>
          <w:bCs/>
          <w:sz w:val="24"/>
          <w:szCs w:val="24"/>
        </w:rPr>
        <w:t xml:space="preserve">, care includ cheltuielile de capital, precum și cele aferente programelor de dezvoltare finanțate din surse interne și externe, </w:t>
      </w:r>
      <w:r w:rsidR="00346FFE" w:rsidRPr="009C6832">
        <w:rPr>
          <w:rFonts w:cs="Arial"/>
          <w:bCs/>
          <w:sz w:val="24"/>
          <w:szCs w:val="24"/>
        </w:rPr>
        <w:t>au însumat 6.020,7 milioane</w:t>
      </w:r>
      <w:r w:rsidR="00A26E1A">
        <w:rPr>
          <w:rFonts w:cs="Arial"/>
          <w:bCs/>
          <w:sz w:val="24"/>
          <w:szCs w:val="24"/>
        </w:rPr>
        <w:t xml:space="preserve"> </w:t>
      </w:r>
      <w:r w:rsidR="00346FFE" w:rsidRPr="009C6832">
        <w:rPr>
          <w:rFonts w:cs="Arial"/>
          <w:bCs/>
          <w:sz w:val="24"/>
          <w:szCs w:val="24"/>
        </w:rPr>
        <w:t xml:space="preserve">lei, respectiv 0,7% din PIB, </w:t>
      </w:r>
      <w:r w:rsidR="0057610D" w:rsidRPr="009C6832">
        <w:rPr>
          <w:rFonts w:cs="Arial"/>
          <w:bCs/>
          <w:sz w:val="24"/>
          <w:szCs w:val="24"/>
        </w:rPr>
        <w:t xml:space="preserve">cu un grad de realizare de 52,9% din programul </w:t>
      </w:r>
      <w:r w:rsidR="000B6552" w:rsidRPr="009C6832">
        <w:rPr>
          <w:rFonts w:cs="Arial"/>
          <w:bCs/>
          <w:sz w:val="24"/>
          <w:szCs w:val="24"/>
        </w:rPr>
        <w:t>semestrial</w:t>
      </w:r>
      <w:r w:rsidR="00346FFE" w:rsidRPr="009C6832">
        <w:rPr>
          <w:rFonts w:cs="Arial"/>
          <w:bCs/>
          <w:sz w:val="24"/>
          <w:szCs w:val="24"/>
        </w:rPr>
        <w:t>.</w:t>
      </w:r>
    </w:p>
    <w:p w:rsidR="00FE0C7D" w:rsidRDefault="00FE0C7D" w:rsidP="00FE0C7D">
      <w:pPr>
        <w:spacing w:after="120"/>
        <w:ind w:firstLine="680"/>
        <w:rPr>
          <w:rFonts w:cs="Arial"/>
          <w:sz w:val="24"/>
          <w:szCs w:val="24"/>
        </w:rPr>
      </w:pPr>
      <w:r w:rsidRPr="00741CC2">
        <w:rPr>
          <w:rFonts w:cs="Arial"/>
          <w:sz w:val="24"/>
          <w:szCs w:val="24"/>
        </w:rPr>
        <w:t xml:space="preserve">La sfârșitul primului semestru a.c. se înregistrează un </w:t>
      </w:r>
      <w:r w:rsidRPr="00741CC2">
        <w:rPr>
          <w:rFonts w:cs="Arial"/>
          <w:b/>
          <w:bCs/>
          <w:sz w:val="24"/>
          <w:szCs w:val="24"/>
        </w:rPr>
        <w:t xml:space="preserve">deficit primar </w:t>
      </w:r>
      <w:r w:rsidRPr="00741CC2">
        <w:rPr>
          <w:rFonts w:cs="Arial"/>
          <w:bCs/>
          <w:sz w:val="24"/>
          <w:szCs w:val="24"/>
        </w:rPr>
        <w:t>(soldul bugetar exclusiv cheltuielile cu dobânzile)</w:t>
      </w:r>
      <w:r w:rsidRPr="00741CC2">
        <w:rPr>
          <w:rFonts w:cs="Arial"/>
          <w:sz w:val="24"/>
          <w:szCs w:val="24"/>
        </w:rPr>
        <w:t xml:space="preserve"> de 0,03% din PIB </w:t>
      </w:r>
      <w:r w:rsidR="00344803" w:rsidRPr="00741CC2">
        <w:rPr>
          <w:rFonts w:cs="Arial"/>
          <w:sz w:val="24"/>
          <w:szCs w:val="24"/>
        </w:rPr>
        <w:t xml:space="preserve">față de un deficit primar prevăzut pentru această perioadă de 0,65% din PIB, iar pentru finele anului </w:t>
      </w:r>
      <w:r w:rsidR="001F321D" w:rsidRPr="00741CC2">
        <w:rPr>
          <w:rFonts w:cs="Arial"/>
          <w:sz w:val="24"/>
          <w:szCs w:val="24"/>
        </w:rPr>
        <w:t xml:space="preserve">ținta este de </w:t>
      </w:r>
      <w:r w:rsidRPr="00741CC2">
        <w:rPr>
          <w:rFonts w:cs="Arial"/>
          <w:sz w:val="24"/>
          <w:szCs w:val="24"/>
        </w:rPr>
        <w:t xml:space="preserve"> 1,</w:t>
      </w:r>
      <w:r w:rsidR="00344803" w:rsidRPr="00741CC2">
        <w:rPr>
          <w:rFonts w:cs="Arial"/>
          <w:sz w:val="24"/>
          <w:szCs w:val="24"/>
        </w:rPr>
        <w:t>68</w:t>
      </w:r>
      <w:r w:rsidRPr="00741CC2">
        <w:rPr>
          <w:rFonts w:cs="Arial"/>
          <w:sz w:val="24"/>
          <w:szCs w:val="24"/>
        </w:rPr>
        <w:t>% din PIB.</w:t>
      </w:r>
    </w:p>
    <w:p w:rsidR="00344803" w:rsidRDefault="00344803" w:rsidP="00FE0C7D">
      <w:pPr>
        <w:spacing w:after="120"/>
        <w:ind w:firstLine="680"/>
        <w:rPr>
          <w:rFonts w:cs="Arial"/>
          <w:sz w:val="24"/>
          <w:szCs w:val="24"/>
        </w:rPr>
      </w:pPr>
    </w:p>
    <w:p w:rsidR="009727CF" w:rsidRPr="009C6832" w:rsidRDefault="009727CF" w:rsidP="00FE0C7D">
      <w:pPr>
        <w:spacing w:after="120"/>
        <w:ind w:firstLine="680"/>
        <w:rPr>
          <w:rFonts w:cs="Arial"/>
          <w:sz w:val="24"/>
          <w:szCs w:val="24"/>
        </w:rPr>
      </w:pPr>
    </w:p>
    <w:p w:rsidR="00344803" w:rsidRDefault="00344803" w:rsidP="00060B8F">
      <w:pPr>
        <w:spacing w:after="120"/>
        <w:ind w:firstLine="0"/>
        <w:rPr>
          <w:rFonts w:cs="Arial"/>
          <w:bCs/>
          <w:sz w:val="24"/>
          <w:szCs w:val="24"/>
        </w:rPr>
      </w:pPr>
    </w:p>
    <w:tbl>
      <w:tblPr>
        <w:tblpPr w:leftFromText="180" w:rightFromText="180" w:vertAnchor="text" w:horzAnchor="page" w:tblpX="1906" w:tblpY="-68"/>
        <w:tblW w:w="8529" w:type="dxa"/>
        <w:tblLook w:val="04A0" w:firstRow="1" w:lastRow="0" w:firstColumn="1" w:lastColumn="0" w:noHBand="0" w:noVBand="1"/>
      </w:tblPr>
      <w:tblGrid>
        <w:gridCol w:w="4601"/>
        <w:gridCol w:w="1292"/>
        <w:gridCol w:w="1342"/>
        <w:gridCol w:w="1294"/>
      </w:tblGrid>
      <w:tr w:rsidR="00344803" w:rsidRPr="00344803" w:rsidTr="00344803">
        <w:trPr>
          <w:trHeight w:val="202"/>
        </w:trPr>
        <w:tc>
          <w:tcPr>
            <w:tcW w:w="8529" w:type="dxa"/>
            <w:gridSpan w:val="4"/>
            <w:tcBorders>
              <w:top w:val="nil"/>
              <w:left w:val="nil"/>
              <w:bottom w:val="nil"/>
              <w:right w:val="nil"/>
            </w:tcBorders>
            <w:shd w:val="clear" w:color="000000" w:fill="FFFFFF"/>
            <w:noWrap/>
            <w:vAlign w:val="bottom"/>
            <w:hideMark/>
          </w:tcPr>
          <w:p w:rsidR="00344803" w:rsidRDefault="00344803" w:rsidP="00344803">
            <w:pPr>
              <w:spacing w:after="0" w:line="240" w:lineRule="auto"/>
              <w:ind w:firstLine="0"/>
              <w:jc w:val="center"/>
              <w:rPr>
                <w:rFonts w:ascii="Calibri" w:eastAsia="Times New Roman" w:hAnsi="Calibri" w:cs="Times New Roman"/>
                <w:color w:val="000000"/>
                <w:lang w:eastAsia="ro-RO"/>
              </w:rPr>
            </w:pPr>
            <w:r w:rsidRPr="00344803">
              <w:rPr>
                <w:rFonts w:ascii="Calibri" w:eastAsia="Times New Roman" w:hAnsi="Calibri" w:cs="Times New Roman"/>
                <w:color w:val="000000"/>
                <w:lang w:eastAsia="ro-RO"/>
              </w:rPr>
              <w:t>Plafoane privind soldul bugetar pe principalele bugete componente 2017</w:t>
            </w:r>
          </w:p>
          <w:p w:rsidR="00344803" w:rsidRPr="00344803" w:rsidRDefault="00344803" w:rsidP="00344803">
            <w:pPr>
              <w:spacing w:after="0" w:line="240" w:lineRule="auto"/>
              <w:ind w:firstLine="0"/>
              <w:jc w:val="center"/>
              <w:rPr>
                <w:rFonts w:ascii="Calibri" w:eastAsia="Times New Roman" w:hAnsi="Calibri" w:cs="Times New Roman"/>
                <w:color w:val="000000"/>
                <w:lang w:eastAsia="ro-RO"/>
              </w:rPr>
            </w:pPr>
          </w:p>
        </w:tc>
      </w:tr>
      <w:tr w:rsidR="00344803" w:rsidRPr="00344803" w:rsidTr="00344803">
        <w:trPr>
          <w:trHeight w:val="212"/>
        </w:trPr>
        <w:tc>
          <w:tcPr>
            <w:tcW w:w="4601" w:type="dxa"/>
            <w:tcBorders>
              <w:top w:val="nil"/>
              <w:left w:val="nil"/>
              <w:bottom w:val="double" w:sz="6" w:space="0" w:color="auto"/>
              <w:right w:val="nil"/>
            </w:tcBorders>
            <w:shd w:val="clear" w:color="000000" w:fill="FFFFFF"/>
            <w:noWrap/>
            <w:vAlign w:val="bottom"/>
            <w:hideMark/>
          </w:tcPr>
          <w:p w:rsidR="00344803" w:rsidRPr="00344803" w:rsidRDefault="00344803" w:rsidP="00344803">
            <w:pPr>
              <w:spacing w:after="0" w:line="240" w:lineRule="auto"/>
              <w:ind w:firstLine="0"/>
              <w:jc w:val="left"/>
              <w:rPr>
                <w:rFonts w:ascii="Calibri" w:eastAsia="Times New Roman" w:hAnsi="Calibri" w:cs="Times New Roman"/>
                <w:color w:val="000000"/>
                <w:lang w:eastAsia="ro-RO"/>
              </w:rPr>
            </w:pPr>
            <w:r w:rsidRPr="00344803">
              <w:rPr>
                <w:rFonts w:ascii="Calibri" w:eastAsia="Times New Roman" w:hAnsi="Calibri" w:cs="Times New Roman"/>
                <w:color w:val="000000"/>
                <w:lang w:eastAsia="ro-RO"/>
              </w:rPr>
              <w:t> </w:t>
            </w:r>
          </w:p>
        </w:tc>
        <w:tc>
          <w:tcPr>
            <w:tcW w:w="1292" w:type="dxa"/>
            <w:tcBorders>
              <w:top w:val="nil"/>
              <w:left w:val="nil"/>
              <w:bottom w:val="double" w:sz="6" w:space="0" w:color="auto"/>
              <w:right w:val="nil"/>
            </w:tcBorders>
            <w:shd w:val="clear" w:color="000000" w:fill="FFFFFF"/>
            <w:noWrap/>
            <w:vAlign w:val="bottom"/>
            <w:hideMark/>
          </w:tcPr>
          <w:p w:rsidR="00344803" w:rsidRPr="00344803" w:rsidRDefault="00344803" w:rsidP="00344803">
            <w:pPr>
              <w:spacing w:after="0" w:line="240" w:lineRule="auto"/>
              <w:ind w:firstLine="0"/>
              <w:jc w:val="left"/>
              <w:rPr>
                <w:rFonts w:ascii="Calibri" w:eastAsia="Times New Roman" w:hAnsi="Calibri" w:cs="Times New Roman"/>
                <w:color w:val="000000"/>
                <w:lang w:eastAsia="ro-RO"/>
              </w:rPr>
            </w:pPr>
            <w:r w:rsidRPr="00344803">
              <w:rPr>
                <w:rFonts w:ascii="Calibri" w:eastAsia="Times New Roman" w:hAnsi="Calibri" w:cs="Times New Roman"/>
                <w:color w:val="000000"/>
                <w:lang w:eastAsia="ro-RO"/>
              </w:rPr>
              <w:t> </w:t>
            </w:r>
          </w:p>
        </w:tc>
        <w:tc>
          <w:tcPr>
            <w:tcW w:w="1342" w:type="dxa"/>
            <w:tcBorders>
              <w:top w:val="nil"/>
              <w:left w:val="nil"/>
              <w:bottom w:val="double" w:sz="6" w:space="0" w:color="auto"/>
              <w:right w:val="nil"/>
            </w:tcBorders>
            <w:shd w:val="clear" w:color="000000" w:fill="FFFFFF"/>
            <w:noWrap/>
            <w:vAlign w:val="bottom"/>
            <w:hideMark/>
          </w:tcPr>
          <w:p w:rsidR="00344803" w:rsidRPr="00344803" w:rsidRDefault="00344803" w:rsidP="00344803">
            <w:pPr>
              <w:spacing w:after="0" w:line="240" w:lineRule="auto"/>
              <w:ind w:firstLine="0"/>
              <w:jc w:val="left"/>
              <w:rPr>
                <w:rFonts w:ascii="Calibri" w:eastAsia="Times New Roman" w:hAnsi="Calibri" w:cs="Times New Roman"/>
                <w:color w:val="000000"/>
                <w:lang w:eastAsia="ro-RO"/>
              </w:rPr>
            </w:pPr>
            <w:r w:rsidRPr="00344803">
              <w:rPr>
                <w:rFonts w:ascii="Calibri" w:eastAsia="Times New Roman" w:hAnsi="Calibri" w:cs="Times New Roman"/>
                <w:color w:val="000000"/>
                <w:lang w:eastAsia="ro-RO"/>
              </w:rPr>
              <w:t> </w:t>
            </w:r>
          </w:p>
        </w:tc>
        <w:tc>
          <w:tcPr>
            <w:tcW w:w="1293" w:type="dxa"/>
            <w:tcBorders>
              <w:top w:val="nil"/>
              <w:left w:val="nil"/>
              <w:bottom w:val="double" w:sz="6" w:space="0" w:color="auto"/>
              <w:right w:val="nil"/>
            </w:tcBorders>
            <w:shd w:val="clear" w:color="000000" w:fill="FFFFFF"/>
            <w:noWrap/>
            <w:vAlign w:val="bottom"/>
            <w:hideMark/>
          </w:tcPr>
          <w:p w:rsidR="00344803" w:rsidRPr="00344803" w:rsidRDefault="00344803" w:rsidP="00344803">
            <w:pPr>
              <w:spacing w:after="0" w:line="240" w:lineRule="auto"/>
              <w:ind w:firstLine="0"/>
              <w:jc w:val="left"/>
              <w:rPr>
                <w:rFonts w:ascii="Calibri" w:eastAsia="Times New Roman" w:hAnsi="Calibri" w:cs="Times New Roman"/>
                <w:color w:val="000000"/>
                <w:lang w:eastAsia="ro-RO"/>
              </w:rPr>
            </w:pPr>
            <w:r w:rsidRPr="00344803">
              <w:rPr>
                <w:rFonts w:ascii="Calibri" w:eastAsia="Times New Roman" w:hAnsi="Calibri" w:cs="Times New Roman"/>
                <w:color w:val="000000"/>
                <w:lang w:eastAsia="ro-RO"/>
              </w:rPr>
              <w:t> </w:t>
            </w:r>
          </w:p>
        </w:tc>
      </w:tr>
      <w:tr w:rsidR="00344803" w:rsidRPr="00344803" w:rsidTr="00344803">
        <w:trPr>
          <w:trHeight w:val="536"/>
        </w:trPr>
        <w:tc>
          <w:tcPr>
            <w:tcW w:w="4601" w:type="dxa"/>
            <w:tcBorders>
              <w:top w:val="nil"/>
              <w:left w:val="nil"/>
              <w:bottom w:val="double" w:sz="6" w:space="0" w:color="auto"/>
              <w:right w:val="nil"/>
            </w:tcBorders>
            <w:shd w:val="clear" w:color="EBF1DE" w:fill="DCE6F1"/>
            <w:noWrap/>
            <w:vAlign w:val="bottom"/>
            <w:hideMark/>
          </w:tcPr>
          <w:p w:rsidR="00344803" w:rsidRPr="00344803" w:rsidRDefault="00344803" w:rsidP="00344803">
            <w:pPr>
              <w:spacing w:after="0" w:line="240" w:lineRule="auto"/>
              <w:ind w:firstLine="0"/>
              <w:jc w:val="left"/>
              <w:rPr>
                <w:rFonts w:ascii="Arial" w:eastAsia="Times New Roman" w:hAnsi="Arial" w:cs="Arial"/>
                <w:b/>
                <w:bCs/>
                <w:color w:val="000000"/>
                <w:sz w:val="20"/>
                <w:szCs w:val="20"/>
                <w:lang w:eastAsia="ro-RO"/>
              </w:rPr>
            </w:pPr>
            <w:r w:rsidRPr="00344803">
              <w:rPr>
                <w:rFonts w:ascii="Arial" w:eastAsia="Times New Roman" w:hAnsi="Arial" w:cs="Arial"/>
                <w:b/>
                <w:bCs/>
                <w:color w:val="000000"/>
                <w:sz w:val="20"/>
                <w:szCs w:val="20"/>
                <w:lang w:eastAsia="ro-RO"/>
              </w:rPr>
              <w:t> </w:t>
            </w:r>
          </w:p>
        </w:tc>
        <w:tc>
          <w:tcPr>
            <w:tcW w:w="1292" w:type="dxa"/>
            <w:tcBorders>
              <w:top w:val="nil"/>
              <w:left w:val="nil"/>
              <w:bottom w:val="double" w:sz="6" w:space="0" w:color="auto"/>
              <w:right w:val="nil"/>
            </w:tcBorders>
            <w:shd w:val="clear" w:color="EBF1DE" w:fill="DCE6F1"/>
            <w:vAlign w:val="center"/>
            <w:hideMark/>
          </w:tcPr>
          <w:p w:rsidR="00344803" w:rsidRPr="00344803" w:rsidRDefault="00344803" w:rsidP="00344803">
            <w:pPr>
              <w:spacing w:after="0" w:line="240" w:lineRule="auto"/>
              <w:ind w:firstLine="0"/>
              <w:jc w:val="center"/>
              <w:rPr>
                <w:rFonts w:ascii="Arial" w:eastAsia="Times New Roman" w:hAnsi="Arial" w:cs="Arial"/>
                <w:b/>
                <w:bCs/>
                <w:color w:val="000000"/>
                <w:sz w:val="20"/>
                <w:szCs w:val="20"/>
                <w:lang w:eastAsia="ro-RO"/>
              </w:rPr>
            </w:pPr>
            <w:r w:rsidRPr="00344803">
              <w:rPr>
                <w:rFonts w:ascii="Arial" w:eastAsia="Times New Roman" w:hAnsi="Arial" w:cs="Arial"/>
                <w:b/>
                <w:bCs/>
                <w:color w:val="000000"/>
                <w:sz w:val="20"/>
                <w:szCs w:val="20"/>
                <w:lang w:eastAsia="ro-RO"/>
              </w:rPr>
              <w:t xml:space="preserve">Buget </w:t>
            </w:r>
            <w:r w:rsidR="00A26E1A" w:rsidRPr="00344803">
              <w:rPr>
                <w:rFonts w:ascii="Arial" w:eastAsia="Times New Roman" w:hAnsi="Arial" w:cs="Arial"/>
                <w:b/>
                <w:bCs/>
                <w:color w:val="000000"/>
                <w:sz w:val="20"/>
                <w:szCs w:val="20"/>
                <w:lang w:eastAsia="ro-RO"/>
              </w:rPr>
              <w:t>inițial</w:t>
            </w:r>
          </w:p>
        </w:tc>
        <w:tc>
          <w:tcPr>
            <w:tcW w:w="1342" w:type="dxa"/>
            <w:tcBorders>
              <w:top w:val="nil"/>
              <w:left w:val="nil"/>
              <w:bottom w:val="double" w:sz="6" w:space="0" w:color="auto"/>
              <w:right w:val="nil"/>
            </w:tcBorders>
            <w:shd w:val="clear" w:color="EBF1DE" w:fill="DCE6F1"/>
            <w:vAlign w:val="center"/>
            <w:hideMark/>
          </w:tcPr>
          <w:p w:rsidR="00344803" w:rsidRPr="00344803" w:rsidRDefault="00344803" w:rsidP="00344803">
            <w:pPr>
              <w:spacing w:after="0" w:line="240" w:lineRule="auto"/>
              <w:ind w:firstLine="0"/>
              <w:jc w:val="center"/>
              <w:rPr>
                <w:rFonts w:ascii="Arial" w:eastAsia="Times New Roman" w:hAnsi="Arial" w:cs="Arial"/>
                <w:b/>
                <w:bCs/>
                <w:color w:val="000000"/>
                <w:sz w:val="20"/>
                <w:szCs w:val="20"/>
                <w:lang w:eastAsia="ro-RO"/>
              </w:rPr>
            </w:pPr>
            <w:r w:rsidRPr="00344803">
              <w:rPr>
                <w:rFonts w:ascii="Arial" w:eastAsia="Times New Roman" w:hAnsi="Arial" w:cs="Arial"/>
                <w:b/>
                <w:bCs/>
                <w:color w:val="000000"/>
                <w:sz w:val="20"/>
                <w:szCs w:val="20"/>
                <w:lang w:eastAsia="ro-RO"/>
              </w:rPr>
              <w:t>Realizări semestrul I 2017</w:t>
            </w:r>
          </w:p>
        </w:tc>
        <w:tc>
          <w:tcPr>
            <w:tcW w:w="1293" w:type="dxa"/>
            <w:tcBorders>
              <w:top w:val="nil"/>
              <w:left w:val="nil"/>
              <w:bottom w:val="double" w:sz="6" w:space="0" w:color="auto"/>
              <w:right w:val="nil"/>
            </w:tcBorders>
            <w:shd w:val="clear" w:color="EBF1DE" w:fill="DCE6F1"/>
            <w:vAlign w:val="center"/>
            <w:hideMark/>
          </w:tcPr>
          <w:p w:rsidR="00344803" w:rsidRPr="00344803" w:rsidRDefault="00344803" w:rsidP="00344803">
            <w:pPr>
              <w:spacing w:after="0" w:line="240" w:lineRule="auto"/>
              <w:ind w:firstLine="0"/>
              <w:jc w:val="center"/>
              <w:rPr>
                <w:rFonts w:ascii="Arial" w:eastAsia="Times New Roman" w:hAnsi="Arial" w:cs="Arial"/>
                <w:b/>
                <w:bCs/>
                <w:color w:val="000000"/>
                <w:sz w:val="20"/>
                <w:szCs w:val="20"/>
                <w:lang w:eastAsia="ro-RO"/>
              </w:rPr>
            </w:pPr>
            <w:r w:rsidRPr="00344803">
              <w:rPr>
                <w:rFonts w:ascii="Arial" w:eastAsia="Times New Roman" w:hAnsi="Arial" w:cs="Arial"/>
                <w:b/>
                <w:bCs/>
                <w:color w:val="000000"/>
                <w:sz w:val="20"/>
                <w:szCs w:val="20"/>
                <w:lang w:eastAsia="ro-RO"/>
              </w:rPr>
              <w:t>Estimări 2017</w:t>
            </w:r>
          </w:p>
        </w:tc>
      </w:tr>
      <w:tr w:rsidR="00344803" w:rsidRPr="00344803" w:rsidTr="00344803">
        <w:trPr>
          <w:trHeight w:val="212"/>
        </w:trPr>
        <w:tc>
          <w:tcPr>
            <w:tcW w:w="4601" w:type="dxa"/>
            <w:tcBorders>
              <w:top w:val="nil"/>
              <w:left w:val="nil"/>
              <w:bottom w:val="nil"/>
              <w:right w:val="nil"/>
            </w:tcBorders>
            <w:shd w:val="clear" w:color="000000" w:fill="FFFFFF"/>
            <w:vAlign w:val="center"/>
            <w:hideMark/>
          </w:tcPr>
          <w:p w:rsidR="00344803" w:rsidRPr="00344803" w:rsidRDefault="00344803" w:rsidP="00344803">
            <w:pPr>
              <w:spacing w:after="0" w:line="240" w:lineRule="auto"/>
              <w:ind w:firstLine="0"/>
              <w:jc w:val="left"/>
              <w:rPr>
                <w:rFonts w:ascii="Arial" w:eastAsia="Times New Roman" w:hAnsi="Arial" w:cs="Arial"/>
                <w:color w:val="000000"/>
                <w:sz w:val="20"/>
                <w:szCs w:val="20"/>
                <w:lang w:eastAsia="ro-RO"/>
              </w:rPr>
            </w:pPr>
            <w:r w:rsidRPr="00344803">
              <w:rPr>
                <w:rFonts w:ascii="Arial" w:eastAsia="Times New Roman" w:hAnsi="Arial" w:cs="Arial"/>
                <w:color w:val="000000"/>
                <w:sz w:val="20"/>
                <w:szCs w:val="20"/>
                <w:lang w:eastAsia="ro-RO"/>
              </w:rPr>
              <w:t>Sold buget general consolidat (% din PIB)</w:t>
            </w:r>
          </w:p>
        </w:tc>
        <w:tc>
          <w:tcPr>
            <w:tcW w:w="1292" w:type="dxa"/>
            <w:tcBorders>
              <w:top w:val="nil"/>
              <w:left w:val="nil"/>
              <w:bottom w:val="nil"/>
              <w:right w:val="nil"/>
            </w:tcBorders>
            <w:shd w:val="clear" w:color="000000" w:fill="FFFFFF"/>
            <w:noWrap/>
            <w:vAlign w:val="center"/>
            <w:hideMark/>
          </w:tcPr>
          <w:p w:rsidR="00344803" w:rsidRPr="00344803" w:rsidRDefault="00344803" w:rsidP="00344803">
            <w:pPr>
              <w:spacing w:after="0" w:line="240" w:lineRule="auto"/>
              <w:ind w:firstLine="0"/>
              <w:jc w:val="right"/>
              <w:rPr>
                <w:rFonts w:ascii="Arial" w:eastAsia="Times New Roman" w:hAnsi="Arial" w:cs="Arial"/>
                <w:sz w:val="20"/>
                <w:szCs w:val="20"/>
                <w:lang w:eastAsia="ro-RO"/>
              </w:rPr>
            </w:pPr>
            <w:r w:rsidRPr="00344803">
              <w:rPr>
                <w:rFonts w:ascii="Arial" w:eastAsia="Times New Roman" w:hAnsi="Arial" w:cs="Arial"/>
                <w:sz w:val="20"/>
                <w:szCs w:val="20"/>
                <w:lang w:eastAsia="ro-RO"/>
              </w:rPr>
              <w:t>-2,96%</w:t>
            </w:r>
          </w:p>
        </w:tc>
        <w:tc>
          <w:tcPr>
            <w:tcW w:w="1342" w:type="dxa"/>
            <w:tcBorders>
              <w:top w:val="nil"/>
              <w:left w:val="nil"/>
              <w:bottom w:val="nil"/>
              <w:right w:val="nil"/>
            </w:tcBorders>
            <w:shd w:val="clear" w:color="000000" w:fill="FFFFFF"/>
            <w:noWrap/>
            <w:vAlign w:val="center"/>
            <w:hideMark/>
          </w:tcPr>
          <w:p w:rsidR="00344803" w:rsidRPr="00344803" w:rsidRDefault="00344803" w:rsidP="00344803">
            <w:pPr>
              <w:spacing w:after="0" w:line="240" w:lineRule="auto"/>
              <w:ind w:firstLine="0"/>
              <w:jc w:val="right"/>
              <w:rPr>
                <w:rFonts w:ascii="Arial" w:eastAsia="Times New Roman" w:hAnsi="Arial" w:cs="Arial"/>
                <w:sz w:val="20"/>
                <w:szCs w:val="20"/>
                <w:lang w:eastAsia="ro-RO"/>
              </w:rPr>
            </w:pPr>
            <w:r w:rsidRPr="00344803">
              <w:rPr>
                <w:rFonts w:ascii="Arial" w:eastAsia="Times New Roman" w:hAnsi="Arial" w:cs="Arial"/>
                <w:sz w:val="20"/>
                <w:szCs w:val="20"/>
                <w:lang w:eastAsia="ro-RO"/>
              </w:rPr>
              <w:t>-0,77%</w:t>
            </w:r>
          </w:p>
        </w:tc>
        <w:tc>
          <w:tcPr>
            <w:tcW w:w="1293" w:type="dxa"/>
            <w:tcBorders>
              <w:top w:val="nil"/>
              <w:left w:val="nil"/>
              <w:bottom w:val="nil"/>
              <w:right w:val="nil"/>
            </w:tcBorders>
            <w:shd w:val="clear" w:color="000000" w:fill="FFFFFF"/>
            <w:noWrap/>
            <w:vAlign w:val="center"/>
            <w:hideMark/>
          </w:tcPr>
          <w:p w:rsidR="00344803" w:rsidRPr="00344803" w:rsidRDefault="00344803" w:rsidP="00344803">
            <w:pPr>
              <w:spacing w:after="0" w:line="240" w:lineRule="auto"/>
              <w:ind w:firstLine="0"/>
              <w:jc w:val="right"/>
              <w:rPr>
                <w:rFonts w:ascii="Arial" w:eastAsia="Times New Roman" w:hAnsi="Arial" w:cs="Arial"/>
                <w:sz w:val="20"/>
                <w:szCs w:val="20"/>
                <w:lang w:eastAsia="ro-RO"/>
              </w:rPr>
            </w:pPr>
            <w:r w:rsidRPr="00344803">
              <w:rPr>
                <w:rFonts w:ascii="Arial" w:eastAsia="Times New Roman" w:hAnsi="Arial" w:cs="Arial"/>
                <w:sz w:val="20"/>
                <w:szCs w:val="20"/>
                <w:lang w:eastAsia="ro-RO"/>
              </w:rPr>
              <w:t>-2,96%</w:t>
            </w:r>
          </w:p>
        </w:tc>
      </w:tr>
      <w:tr w:rsidR="00344803" w:rsidRPr="00344803" w:rsidTr="00344803">
        <w:trPr>
          <w:trHeight w:val="343"/>
        </w:trPr>
        <w:tc>
          <w:tcPr>
            <w:tcW w:w="4601" w:type="dxa"/>
            <w:tcBorders>
              <w:top w:val="nil"/>
              <w:left w:val="nil"/>
              <w:bottom w:val="nil"/>
              <w:right w:val="nil"/>
            </w:tcBorders>
            <w:shd w:val="clear" w:color="000000" w:fill="FFFFFF"/>
            <w:vAlign w:val="center"/>
            <w:hideMark/>
          </w:tcPr>
          <w:p w:rsidR="00344803" w:rsidRPr="00344803" w:rsidRDefault="00344803" w:rsidP="003B4BED">
            <w:pPr>
              <w:spacing w:after="0" w:line="240" w:lineRule="auto"/>
              <w:ind w:firstLine="0"/>
              <w:jc w:val="left"/>
              <w:rPr>
                <w:rFonts w:ascii="Arial" w:eastAsia="Times New Roman" w:hAnsi="Arial" w:cs="Arial"/>
                <w:color w:val="000000"/>
                <w:sz w:val="20"/>
                <w:szCs w:val="20"/>
                <w:lang w:eastAsia="ro-RO"/>
              </w:rPr>
            </w:pPr>
            <w:r w:rsidRPr="00344803">
              <w:rPr>
                <w:rFonts w:ascii="Arial" w:eastAsia="Times New Roman" w:hAnsi="Arial" w:cs="Arial"/>
                <w:color w:val="000000"/>
                <w:sz w:val="20"/>
                <w:szCs w:val="20"/>
                <w:lang w:eastAsia="ro-RO"/>
              </w:rPr>
              <w:t>Sold primar al</w:t>
            </w:r>
            <w:r w:rsidR="003B4BED">
              <w:rPr>
                <w:rFonts w:ascii="Arial" w:eastAsia="Times New Roman" w:hAnsi="Arial" w:cs="Arial"/>
                <w:color w:val="000000"/>
                <w:sz w:val="20"/>
                <w:szCs w:val="20"/>
                <w:lang w:eastAsia="ro-RO"/>
              </w:rPr>
              <w:t xml:space="preserve"> bugetului general consolidat (mil. lei)</w:t>
            </w:r>
          </w:p>
        </w:tc>
        <w:tc>
          <w:tcPr>
            <w:tcW w:w="1292" w:type="dxa"/>
            <w:tcBorders>
              <w:top w:val="nil"/>
              <w:left w:val="nil"/>
              <w:bottom w:val="nil"/>
              <w:right w:val="nil"/>
            </w:tcBorders>
            <w:shd w:val="clear" w:color="000000" w:fill="FFFFFF"/>
            <w:noWrap/>
            <w:vAlign w:val="center"/>
            <w:hideMark/>
          </w:tcPr>
          <w:p w:rsidR="00344803" w:rsidRPr="00344803" w:rsidRDefault="00344803" w:rsidP="00344803">
            <w:pPr>
              <w:spacing w:after="0" w:line="240" w:lineRule="auto"/>
              <w:ind w:firstLine="0"/>
              <w:jc w:val="right"/>
              <w:rPr>
                <w:rFonts w:ascii="Arial" w:eastAsia="Times New Roman" w:hAnsi="Arial" w:cs="Arial"/>
                <w:color w:val="000000"/>
                <w:sz w:val="20"/>
                <w:szCs w:val="20"/>
                <w:lang w:eastAsia="ro-RO"/>
              </w:rPr>
            </w:pPr>
            <w:r w:rsidRPr="00344803">
              <w:rPr>
                <w:rFonts w:ascii="Arial" w:eastAsia="Times New Roman" w:hAnsi="Arial" w:cs="Arial"/>
                <w:color w:val="000000"/>
                <w:sz w:val="20"/>
                <w:szCs w:val="20"/>
                <w:lang w:eastAsia="ro-RO"/>
              </w:rPr>
              <w:t>-13.915,0</w:t>
            </w:r>
          </w:p>
        </w:tc>
        <w:tc>
          <w:tcPr>
            <w:tcW w:w="1342" w:type="dxa"/>
            <w:tcBorders>
              <w:top w:val="nil"/>
              <w:left w:val="nil"/>
              <w:bottom w:val="nil"/>
              <w:right w:val="nil"/>
            </w:tcBorders>
            <w:shd w:val="clear" w:color="000000" w:fill="FFFFFF"/>
            <w:noWrap/>
            <w:vAlign w:val="center"/>
            <w:hideMark/>
          </w:tcPr>
          <w:p w:rsidR="00344803" w:rsidRPr="00344803" w:rsidRDefault="00344803" w:rsidP="00344803">
            <w:pPr>
              <w:spacing w:after="0" w:line="240" w:lineRule="auto"/>
              <w:ind w:firstLine="0"/>
              <w:jc w:val="right"/>
              <w:rPr>
                <w:rFonts w:ascii="Arial" w:eastAsia="Times New Roman" w:hAnsi="Arial" w:cs="Arial"/>
                <w:color w:val="000000"/>
                <w:sz w:val="20"/>
                <w:szCs w:val="20"/>
                <w:lang w:eastAsia="ro-RO"/>
              </w:rPr>
            </w:pPr>
            <w:r w:rsidRPr="00344803">
              <w:rPr>
                <w:rFonts w:ascii="Arial" w:eastAsia="Times New Roman" w:hAnsi="Arial" w:cs="Arial"/>
                <w:color w:val="000000"/>
                <w:sz w:val="20"/>
                <w:szCs w:val="20"/>
                <w:lang w:eastAsia="ro-RO"/>
              </w:rPr>
              <w:t>-245,3</w:t>
            </w:r>
          </w:p>
        </w:tc>
        <w:tc>
          <w:tcPr>
            <w:tcW w:w="1293" w:type="dxa"/>
            <w:tcBorders>
              <w:top w:val="nil"/>
              <w:left w:val="nil"/>
              <w:bottom w:val="nil"/>
              <w:right w:val="nil"/>
            </w:tcBorders>
            <w:shd w:val="clear" w:color="000000" w:fill="FFFFFF"/>
            <w:noWrap/>
            <w:vAlign w:val="center"/>
            <w:hideMark/>
          </w:tcPr>
          <w:p w:rsidR="00344803" w:rsidRPr="00344803" w:rsidRDefault="00344803" w:rsidP="00344803">
            <w:pPr>
              <w:spacing w:after="0" w:line="240" w:lineRule="auto"/>
              <w:ind w:firstLine="0"/>
              <w:jc w:val="right"/>
              <w:rPr>
                <w:rFonts w:ascii="Arial" w:eastAsia="Times New Roman" w:hAnsi="Arial" w:cs="Arial"/>
                <w:color w:val="000000"/>
                <w:sz w:val="20"/>
                <w:szCs w:val="20"/>
                <w:lang w:eastAsia="ro-RO"/>
              </w:rPr>
            </w:pPr>
            <w:r w:rsidRPr="00344803">
              <w:rPr>
                <w:rFonts w:ascii="Arial" w:eastAsia="Times New Roman" w:hAnsi="Arial" w:cs="Arial"/>
                <w:color w:val="000000"/>
                <w:sz w:val="20"/>
                <w:szCs w:val="20"/>
                <w:lang w:eastAsia="ro-RO"/>
              </w:rPr>
              <w:t>-14.065,5</w:t>
            </w:r>
          </w:p>
        </w:tc>
      </w:tr>
      <w:tr w:rsidR="00344803" w:rsidRPr="00344803" w:rsidTr="00344803">
        <w:trPr>
          <w:trHeight w:val="282"/>
        </w:trPr>
        <w:tc>
          <w:tcPr>
            <w:tcW w:w="4601" w:type="dxa"/>
            <w:tcBorders>
              <w:top w:val="nil"/>
              <w:left w:val="nil"/>
              <w:bottom w:val="nil"/>
              <w:right w:val="nil"/>
            </w:tcBorders>
            <w:shd w:val="clear" w:color="000000" w:fill="FFFFFF"/>
            <w:vAlign w:val="center"/>
            <w:hideMark/>
          </w:tcPr>
          <w:p w:rsidR="00344803" w:rsidRPr="00344803" w:rsidRDefault="00344803" w:rsidP="00344803">
            <w:pPr>
              <w:spacing w:after="0" w:line="240" w:lineRule="auto"/>
              <w:ind w:firstLine="0"/>
              <w:jc w:val="left"/>
              <w:rPr>
                <w:rFonts w:ascii="Arial" w:eastAsia="Times New Roman" w:hAnsi="Arial" w:cs="Arial"/>
                <w:color w:val="000000"/>
                <w:sz w:val="20"/>
                <w:szCs w:val="20"/>
                <w:lang w:eastAsia="ro-RO"/>
              </w:rPr>
            </w:pPr>
            <w:r w:rsidRPr="00344803">
              <w:rPr>
                <w:rFonts w:ascii="Arial" w:eastAsia="Times New Roman" w:hAnsi="Arial" w:cs="Arial"/>
                <w:color w:val="000000"/>
                <w:sz w:val="20"/>
                <w:szCs w:val="20"/>
                <w:lang w:eastAsia="ro-RO"/>
              </w:rPr>
              <w:t>Sold buget general consolidat (mil. lei)</w:t>
            </w:r>
          </w:p>
        </w:tc>
        <w:tc>
          <w:tcPr>
            <w:tcW w:w="1292" w:type="dxa"/>
            <w:tcBorders>
              <w:top w:val="nil"/>
              <w:left w:val="nil"/>
              <w:bottom w:val="nil"/>
              <w:right w:val="nil"/>
            </w:tcBorders>
            <w:shd w:val="clear" w:color="000000" w:fill="FFFFFF"/>
            <w:noWrap/>
            <w:vAlign w:val="center"/>
            <w:hideMark/>
          </w:tcPr>
          <w:p w:rsidR="00344803" w:rsidRPr="00344803" w:rsidRDefault="00344803" w:rsidP="00344803">
            <w:pPr>
              <w:spacing w:after="0" w:line="240" w:lineRule="auto"/>
              <w:ind w:firstLine="0"/>
              <w:jc w:val="right"/>
              <w:rPr>
                <w:rFonts w:ascii="Arial" w:eastAsia="Times New Roman" w:hAnsi="Arial" w:cs="Arial"/>
                <w:color w:val="000000"/>
                <w:sz w:val="20"/>
                <w:szCs w:val="20"/>
                <w:lang w:eastAsia="ro-RO"/>
              </w:rPr>
            </w:pPr>
            <w:r w:rsidRPr="00344803">
              <w:rPr>
                <w:rFonts w:ascii="Arial" w:eastAsia="Times New Roman" w:hAnsi="Arial" w:cs="Arial"/>
                <w:color w:val="000000"/>
                <w:sz w:val="20"/>
                <w:szCs w:val="20"/>
                <w:lang w:eastAsia="ro-RO"/>
              </w:rPr>
              <w:t>-24.100,0</w:t>
            </w:r>
          </w:p>
        </w:tc>
        <w:tc>
          <w:tcPr>
            <w:tcW w:w="1342" w:type="dxa"/>
            <w:tcBorders>
              <w:top w:val="nil"/>
              <w:left w:val="nil"/>
              <w:bottom w:val="nil"/>
              <w:right w:val="nil"/>
            </w:tcBorders>
            <w:shd w:val="clear" w:color="000000" w:fill="FFFFFF"/>
            <w:noWrap/>
            <w:vAlign w:val="center"/>
            <w:hideMark/>
          </w:tcPr>
          <w:p w:rsidR="00344803" w:rsidRPr="00344803" w:rsidRDefault="00344803" w:rsidP="00344803">
            <w:pPr>
              <w:spacing w:after="0" w:line="240" w:lineRule="auto"/>
              <w:ind w:firstLine="0"/>
              <w:jc w:val="right"/>
              <w:rPr>
                <w:rFonts w:ascii="Arial" w:eastAsia="Times New Roman" w:hAnsi="Arial" w:cs="Arial"/>
                <w:color w:val="000000"/>
                <w:sz w:val="20"/>
                <w:szCs w:val="20"/>
                <w:lang w:eastAsia="ro-RO"/>
              </w:rPr>
            </w:pPr>
            <w:r w:rsidRPr="00344803">
              <w:rPr>
                <w:rFonts w:ascii="Arial" w:eastAsia="Times New Roman" w:hAnsi="Arial" w:cs="Arial"/>
                <w:color w:val="000000"/>
                <w:sz w:val="20"/>
                <w:szCs w:val="20"/>
                <w:lang w:eastAsia="ro-RO"/>
              </w:rPr>
              <w:t>-6.295,1</w:t>
            </w:r>
          </w:p>
        </w:tc>
        <w:tc>
          <w:tcPr>
            <w:tcW w:w="1293" w:type="dxa"/>
            <w:tcBorders>
              <w:top w:val="nil"/>
              <w:left w:val="nil"/>
              <w:bottom w:val="nil"/>
              <w:right w:val="nil"/>
            </w:tcBorders>
            <w:shd w:val="clear" w:color="000000" w:fill="FFFFFF"/>
            <w:noWrap/>
            <w:vAlign w:val="center"/>
            <w:hideMark/>
          </w:tcPr>
          <w:p w:rsidR="00344803" w:rsidRPr="00344803" w:rsidRDefault="00344803" w:rsidP="00344803">
            <w:pPr>
              <w:spacing w:after="0" w:line="240" w:lineRule="auto"/>
              <w:ind w:firstLine="0"/>
              <w:jc w:val="right"/>
              <w:rPr>
                <w:rFonts w:ascii="Arial" w:eastAsia="Times New Roman" w:hAnsi="Arial" w:cs="Arial"/>
                <w:color w:val="000000"/>
                <w:sz w:val="20"/>
                <w:szCs w:val="20"/>
                <w:lang w:eastAsia="ro-RO"/>
              </w:rPr>
            </w:pPr>
            <w:r w:rsidRPr="00344803">
              <w:rPr>
                <w:rFonts w:ascii="Arial" w:eastAsia="Times New Roman" w:hAnsi="Arial" w:cs="Arial"/>
                <w:color w:val="000000"/>
                <w:sz w:val="20"/>
                <w:szCs w:val="20"/>
                <w:lang w:eastAsia="ro-RO"/>
              </w:rPr>
              <w:t>-24.744,4</w:t>
            </w:r>
          </w:p>
        </w:tc>
      </w:tr>
      <w:tr w:rsidR="00344803" w:rsidRPr="00344803" w:rsidTr="00344803">
        <w:trPr>
          <w:trHeight w:val="202"/>
        </w:trPr>
        <w:tc>
          <w:tcPr>
            <w:tcW w:w="4601" w:type="dxa"/>
            <w:tcBorders>
              <w:top w:val="nil"/>
              <w:left w:val="nil"/>
              <w:bottom w:val="nil"/>
              <w:right w:val="nil"/>
            </w:tcBorders>
            <w:shd w:val="clear" w:color="000000" w:fill="FFFFFF"/>
            <w:vAlign w:val="center"/>
            <w:hideMark/>
          </w:tcPr>
          <w:p w:rsidR="00344803" w:rsidRPr="00344803" w:rsidRDefault="00344803" w:rsidP="00344803">
            <w:pPr>
              <w:spacing w:after="0" w:line="240" w:lineRule="auto"/>
              <w:ind w:firstLine="0"/>
              <w:jc w:val="left"/>
              <w:rPr>
                <w:rFonts w:ascii="Arial" w:eastAsia="Times New Roman" w:hAnsi="Arial" w:cs="Arial"/>
                <w:color w:val="000000"/>
                <w:sz w:val="20"/>
                <w:szCs w:val="20"/>
                <w:lang w:eastAsia="ro-RO"/>
              </w:rPr>
            </w:pPr>
            <w:r w:rsidRPr="00344803">
              <w:rPr>
                <w:rFonts w:ascii="Arial" w:eastAsia="Times New Roman" w:hAnsi="Arial" w:cs="Arial"/>
                <w:color w:val="000000"/>
                <w:sz w:val="20"/>
                <w:szCs w:val="20"/>
                <w:lang w:eastAsia="ro-RO"/>
              </w:rPr>
              <w:t>Sold buget de stat (mil. lei)</w:t>
            </w:r>
          </w:p>
        </w:tc>
        <w:tc>
          <w:tcPr>
            <w:tcW w:w="1292" w:type="dxa"/>
            <w:tcBorders>
              <w:top w:val="nil"/>
              <w:left w:val="nil"/>
              <w:bottom w:val="nil"/>
              <w:right w:val="nil"/>
            </w:tcBorders>
            <w:shd w:val="clear" w:color="000000" w:fill="FFFFFF"/>
            <w:noWrap/>
            <w:vAlign w:val="center"/>
            <w:hideMark/>
          </w:tcPr>
          <w:p w:rsidR="00344803" w:rsidRPr="00344803" w:rsidRDefault="00344803" w:rsidP="00344803">
            <w:pPr>
              <w:spacing w:after="0" w:line="240" w:lineRule="auto"/>
              <w:ind w:firstLine="0"/>
              <w:jc w:val="right"/>
              <w:rPr>
                <w:rFonts w:ascii="Arial" w:eastAsia="Times New Roman" w:hAnsi="Arial" w:cs="Arial"/>
                <w:color w:val="000000"/>
                <w:sz w:val="20"/>
                <w:szCs w:val="20"/>
                <w:lang w:eastAsia="ro-RO"/>
              </w:rPr>
            </w:pPr>
            <w:r w:rsidRPr="00344803">
              <w:rPr>
                <w:rFonts w:ascii="Arial" w:eastAsia="Times New Roman" w:hAnsi="Arial" w:cs="Arial"/>
                <w:color w:val="000000"/>
                <w:sz w:val="20"/>
                <w:szCs w:val="20"/>
                <w:lang w:eastAsia="ro-RO"/>
              </w:rPr>
              <w:t>-33.112,9</w:t>
            </w:r>
          </w:p>
        </w:tc>
        <w:tc>
          <w:tcPr>
            <w:tcW w:w="1342" w:type="dxa"/>
            <w:tcBorders>
              <w:top w:val="nil"/>
              <w:left w:val="nil"/>
              <w:bottom w:val="nil"/>
              <w:right w:val="nil"/>
            </w:tcBorders>
            <w:shd w:val="clear" w:color="000000" w:fill="FFFFFF"/>
            <w:noWrap/>
            <w:vAlign w:val="center"/>
            <w:hideMark/>
          </w:tcPr>
          <w:p w:rsidR="00344803" w:rsidRPr="00344803" w:rsidRDefault="00344803" w:rsidP="00344803">
            <w:pPr>
              <w:spacing w:after="0" w:line="240" w:lineRule="auto"/>
              <w:ind w:firstLine="0"/>
              <w:jc w:val="right"/>
              <w:rPr>
                <w:rFonts w:ascii="Arial" w:eastAsia="Times New Roman" w:hAnsi="Arial" w:cs="Arial"/>
                <w:color w:val="000000"/>
                <w:sz w:val="20"/>
                <w:szCs w:val="20"/>
                <w:lang w:eastAsia="ro-RO"/>
              </w:rPr>
            </w:pPr>
            <w:r w:rsidRPr="00344803">
              <w:rPr>
                <w:rFonts w:ascii="Arial" w:eastAsia="Times New Roman" w:hAnsi="Arial" w:cs="Arial"/>
                <w:color w:val="000000"/>
                <w:sz w:val="20"/>
                <w:szCs w:val="20"/>
                <w:lang w:eastAsia="ro-RO"/>
              </w:rPr>
              <w:t>-14.657,9</w:t>
            </w:r>
          </w:p>
        </w:tc>
        <w:tc>
          <w:tcPr>
            <w:tcW w:w="1293" w:type="dxa"/>
            <w:tcBorders>
              <w:top w:val="nil"/>
              <w:left w:val="nil"/>
              <w:bottom w:val="nil"/>
              <w:right w:val="nil"/>
            </w:tcBorders>
            <w:shd w:val="clear" w:color="000000" w:fill="FFFFFF"/>
            <w:noWrap/>
            <w:vAlign w:val="center"/>
            <w:hideMark/>
          </w:tcPr>
          <w:p w:rsidR="00344803" w:rsidRPr="00344803" w:rsidRDefault="00344803" w:rsidP="00344803">
            <w:pPr>
              <w:spacing w:after="0" w:line="240" w:lineRule="auto"/>
              <w:ind w:firstLine="0"/>
              <w:jc w:val="right"/>
              <w:rPr>
                <w:rFonts w:ascii="Arial" w:eastAsia="Times New Roman" w:hAnsi="Arial" w:cs="Arial"/>
                <w:color w:val="000000"/>
                <w:sz w:val="20"/>
                <w:szCs w:val="20"/>
                <w:lang w:eastAsia="ro-RO"/>
              </w:rPr>
            </w:pPr>
            <w:r w:rsidRPr="00344803">
              <w:rPr>
                <w:rFonts w:ascii="Arial" w:eastAsia="Times New Roman" w:hAnsi="Arial" w:cs="Arial"/>
                <w:color w:val="000000"/>
                <w:sz w:val="20"/>
                <w:szCs w:val="20"/>
                <w:lang w:eastAsia="ro-RO"/>
              </w:rPr>
              <w:t>-34.091,8</w:t>
            </w:r>
          </w:p>
        </w:tc>
      </w:tr>
      <w:tr w:rsidR="00344803" w:rsidRPr="00344803" w:rsidTr="00344803">
        <w:trPr>
          <w:trHeight w:val="253"/>
        </w:trPr>
        <w:tc>
          <w:tcPr>
            <w:tcW w:w="4601" w:type="dxa"/>
            <w:tcBorders>
              <w:top w:val="nil"/>
              <w:left w:val="nil"/>
              <w:bottom w:val="nil"/>
              <w:right w:val="nil"/>
            </w:tcBorders>
            <w:shd w:val="clear" w:color="000000" w:fill="FFFFFF"/>
            <w:vAlign w:val="center"/>
            <w:hideMark/>
          </w:tcPr>
          <w:p w:rsidR="00344803" w:rsidRPr="00344803" w:rsidRDefault="00344803" w:rsidP="00344803">
            <w:pPr>
              <w:spacing w:after="0" w:line="240" w:lineRule="auto"/>
              <w:ind w:firstLine="0"/>
              <w:jc w:val="left"/>
              <w:rPr>
                <w:rFonts w:ascii="Arial" w:eastAsia="Times New Roman" w:hAnsi="Arial" w:cs="Arial"/>
                <w:color w:val="000000"/>
                <w:sz w:val="20"/>
                <w:szCs w:val="20"/>
                <w:lang w:eastAsia="ro-RO"/>
              </w:rPr>
            </w:pPr>
            <w:r w:rsidRPr="00344803">
              <w:rPr>
                <w:rFonts w:ascii="Arial" w:eastAsia="Times New Roman" w:hAnsi="Arial" w:cs="Arial"/>
                <w:color w:val="000000"/>
                <w:sz w:val="20"/>
                <w:szCs w:val="20"/>
                <w:lang w:eastAsia="ro-RO"/>
              </w:rPr>
              <w:t xml:space="preserve">Sold buget </w:t>
            </w:r>
            <w:r w:rsidR="00741CC2" w:rsidRPr="00344803">
              <w:rPr>
                <w:rFonts w:ascii="Arial" w:eastAsia="Times New Roman" w:hAnsi="Arial" w:cs="Arial"/>
                <w:color w:val="000000"/>
                <w:sz w:val="20"/>
                <w:szCs w:val="20"/>
                <w:lang w:eastAsia="ro-RO"/>
              </w:rPr>
              <w:t>asigurări</w:t>
            </w:r>
            <w:r w:rsidRPr="00344803">
              <w:rPr>
                <w:rFonts w:ascii="Arial" w:eastAsia="Times New Roman" w:hAnsi="Arial" w:cs="Arial"/>
                <w:color w:val="000000"/>
                <w:sz w:val="20"/>
                <w:szCs w:val="20"/>
                <w:lang w:eastAsia="ro-RO"/>
              </w:rPr>
              <w:t xml:space="preserve"> sociale de stat (mil. lei)</w:t>
            </w:r>
          </w:p>
        </w:tc>
        <w:tc>
          <w:tcPr>
            <w:tcW w:w="1292" w:type="dxa"/>
            <w:tcBorders>
              <w:top w:val="nil"/>
              <w:left w:val="nil"/>
              <w:bottom w:val="nil"/>
              <w:right w:val="nil"/>
            </w:tcBorders>
            <w:shd w:val="clear" w:color="000000" w:fill="FFFFFF"/>
            <w:noWrap/>
            <w:vAlign w:val="center"/>
            <w:hideMark/>
          </w:tcPr>
          <w:p w:rsidR="00344803" w:rsidRPr="00344803" w:rsidRDefault="00344803" w:rsidP="00344803">
            <w:pPr>
              <w:spacing w:after="0" w:line="240" w:lineRule="auto"/>
              <w:ind w:firstLine="0"/>
              <w:jc w:val="right"/>
              <w:rPr>
                <w:rFonts w:ascii="Arial" w:eastAsia="Times New Roman" w:hAnsi="Arial" w:cs="Arial"/>
                <w:color w:val="000000"/>
                <w:sz w:val="20"/>
                <w:szCs w:val="20"/>
                <w:lang w:eastAsia="ro-RO"/>
              </w:rPr>
            </w:pPr>
            <w:r w:rsidRPr="00344803">
              <w:rPr>
                <w:rFonts w:ascii="Arial" w:eastAsia="Times New Roman" w:hAnsi="Arial" w:cs="Arial"/>
                <w:color w:val="000000"/>
                <w:sz w:val="20"/>
                <w:szCs w:val="20"/>
                <w:lang w:eastAsia="ro-RO"/>
              </w:rPr>
              <w:t>281,7</w:t>
            </w:r>
          </w:p>
        </w:tc>
        <w:tc>
          <w:tcPr>
            <w:tcW w:w="1342" w:type="dxa"/>
            <w:tcBorders>
              <w:top w:val="nil"/>
              <w:left w:val="nil"/>
              <w:bottom w:val="nil"/>
              <w:right w:val="nil"/>
            </w:tcBorders>
            <w:shd w:val="clear" w:color="000000" w:fill="FFFFFF"/>
            <w:noWrap/>
            <w:vAlign w:val="center"/>
            <w:hideMark/>
          </w:tcPr>
          <w:p w:rsidR="00344803" w:rsidRPr="00344803" w:rsidRDefault="00344803" w:rsidP="00344803">
            <w:pPr>
              <w:spacing w:after="0" w:line="240" w:lineRule="auto"/>
              <w:ind w:firstLine="0"/>
              <w:jc w:val="right"/>
              <w:rPr>
                <w:rFonts w:ascii="Arial" w:eastAsia="Times New Roman" w:hAnsi="Arial" w:cs="Arial"/>
                <w:color w:val="000000"/>
                <w:sz w:val="20"/>
                <w:szCs w:val="20"/>
                <w:lang w:eastAsia="ro-RO"/>
              </w:rPr>
            </w:pPr>
            <w:r w:rsidRPr="00344803">
              <w:rPr>
                <w:rFonts w:ascii="Arial" w:eastAsia="Times New Roman" w:hAnsi="Arial" w:cs="Arial"/>
                <w:color w:val="000000"/>
                <w:sz w:val="20"/>
                <w:szCs w:val="20"/>
                <w:lang w:eastAsia="ro-RO"/>
              </w:rPr>
              <w:t>272,3</w:t>
            </w:r>
          </w:p>
        </w:tc>
        <w:tc>
          <w:tcPr>
            <w:tcW w:w="1293" w:type="dxa"/>
            <w:tcBorders>
              <w:top w:val="nil"/>
              <w:left w:val="nil"/>
              <w:bottom w:val="nil"/>
              <w:right w:val="nil"/>
            </w:tcBorders>
            <w:shd w:val="clear" w:color="000000" w:fill="FFFFFF"/>
            <w:noWrap/>
            <w:vAlign w:val="center"/>
            <w:hideMark/>
          </w:tcPr>
          <w:p w:rsidR="00344803" w:rsidRPr="00344803" w:rsidRDefault="00344803" w:rsidP="00344803">
            <w:pPr>
              <w:spacing w:after="0" w:line="240" w:lineRule="auto"/>
              <w:ind w:firstLine="0"/>
              <w:jc w:val="right"/>
              <w:rPr>
                <w:rFonts w:ascii="Arial" w:eastAsia="Times New Roman" w:hAnsi="Arial" w:cs="Arial"/>
                <w:color w:val="000000"/>
                <w:sz w:val="20"/>
                <w:szCs w:val="20"/>
                <w:lang w:eastAsia="ro-RO"/>
              </w:rPr>
            </w:pPr>
            <w:r w:rsidRPr="00344803">
              <w:rPr>
                <w:rFonts w:ascii="Arial" w:eastAsia="Times New Roman" w:hAnsi="Arial" w:cs="Arial"/>
                <w:color w:val="000000"/>
                <w:sz w:val="20"/>
                <w:szCs w:val="20"/>
                <w:lang w:eastAsia="ro-RO"/>
              </w:rPr>
              <w:t>309,6</w:t>
            </w:r>
          </w:p>
        </w:tc>
      </w:tr>
      <w:tr w:rsidR="00344803" w:rsidRPr="00344803" w:rsidTr="00344803">
        <w:trPr>
          <w:trHeight w:val="353"/>
        </w:trPr>
        <w:tc>
          <w:tcPr>
            <w:tcW w:w="4601" w:type="dxa"/>
            <w:tcBorders>
              <w:top w:val="nil"/>
              <w:left w:val="nil"/>
              <w:bottom w:val="nil"/>
              <w:right w:val="nil"/>
            </w:tcBorders>
            <w:shd w:val="clear" w:color="000000" w:fill="FFFFFF"/>
            <w:vAlign w:val="center"/>
            <w:hideMark/>
          </w:tcPr>
          <w:p w:rsidR="00344803" w:rsidRPr="00344803" w:rsidRDefault="00344803" w:rsidP="00344803">
            <w:pPr>
              <w:spacing w:after="0" w:line="240" w:lineRule="auto"/>
              <w:ind w:firstLine="0"/>
              <w:jc w:val="left"/>
              <w:rPr>
                <w:rFonts w:ascii="Arial" w:eastAsia="Times New Roman" w:hAnsi="Arial" w:cs="Arial"/>
                <w:color w:val="000000"/>
                <w:sz w:val="20"/>
                <w:szCs w:val="20"/>
                <w:lang w:eastAsia="ro-RO"/>
              </w:rPr>
            </w:pPr>
            <w:r w:rsidRPr="00344803">
              <w:rPr>
                <w:rFonts w:ascii="Arial" w:eastAsia="Times New Roman" w:hAnsi="Arial" w:cs="Arial"/>
                <w:color w:val="000000"/>
                <w:sz w:val="20"/>
                <w:szCs w:val="20"/>
                <w:lang w:eastAsia="ro-RO"/>
              </w:rPr>
              <w:t xml:space="preserve">Sold bugetul fondului pentru </w:t>
            </w:r>
            <w:r w:rsidR="00741CC2" w:rsidRPr="00344803">
              <w:rPr>
                <w:rFonts w:ascii="Arial" w:eastAsia="Times New Roman" w:hAnsi="Arial" w:cs="Arial"/>
                <w:color w:val="000000"/>
                <w:sz w:val="20"/>
                <w:szCs w:val="20"/>
                <w:lang w:eastAsia="ro-RO"/>
              </w:rPr>
              <w:t>asigurări</w:t>
            </w:r>
            <w:r w:rsidRPr="00344803">
              <w:rPr>
                <w:rFonts w:ascii="Arial" w:eastAsia="Times New Roman" w:hAnsi="Arial" w:cs="Arial"/>
                <w:color w:val="000000"/>
                <w:sz w:val="20"/>
                <w:szCs w:val="20"/>
                <w:lang w:eastAsia="ro-RO"/>
              </w:rPr>
              <w:t xml:space="preserve"> de </w:t>
            </w:r>
            <w:r w:rsidR="00741CC2" w:rsidRPr="00344803">
              <w:rPr>
                <w:rFonts w:ascii="Arial" w:eastAsia="Times New Roman" w:hAnsi="Arial" w:cs="Arial"/>
                <w:color w:val="000000"/>
                <w:sz w:val="20"/>
                <w:szCs w:val="20"/>
                <w:lang w:eastAsia="ro-RO"/>
              </w:rPr>
              <w:t>sănătate</w:t>
            </w:r>
            <w:r w:rsidRPr="00344803">
              <w:rPr>
                <w:rFonts w:ascii="Arial" w:eastAsia="Times New Roman" w:hAnsi="Arial" w:cs="Arial"/>
                <w:color w:val="000000"/>
                <w:sz w:val="20"/>
                <w:szCs w:val="20"/>
                <w:lang w:eastAsia="ro-RO"/>
              </w:rPr>
              <w:t xml:space="preserve"> (mil. lei)</w:t>
            </w:r>
          </w:p>
        </w:tc>
        <w:tc>
          <w:tcPr>
            <w:tcW w:w="1292" w:type="dxa"/>
            <w:tcBorders>
              <w:top w:val="nil"/>
              <w:left w:val="nil"/>
              <w:bottom w:val="nil"/>
              <w:right w:val="nil"/>
            </w:tcBorders>
            <w:shd w:val="clear" w:color="000000" w:fill="FFFFFF"/>
            <w:noWrap/>
            <w:vAlign w:val="center"/>
            <w:hideMark/>
          </w:tcPr>
          <w:p w:rsidR="00344803" w:rsidRPr="00344803" w:rsidRDefault="00344803" w:rsidP="00344803">
            <w:pPr>
              <w:spacing w:after="0" w:line="240" w:lineRule="auto"/>
              <w:ind w:firstLine="0"/>
              <w:jc w:val="right"/>
              <w:rPr>
                <w:rFonts w:ascii="Arial" w:eastAsia="Times New Roman" w:hAnsi="Arial" w:cs="Arial"/>
                <w:color w:val="000000"/>
                <w:sz w:val="20"/>
                <w:szCs w:val="20"/>
                <w:lang w:eastAsia="ro-RO"/>
              </w:rPr>
            </w:pPr>
            <w:r w:rsidRPr="00344803">
              <w:rPr>
                <w:rFonts w:ascii="Arial" w:eastAsia="Times New Roman" w:hAnsi="Arial" w:cs="Arial"/>
                <w:color w:val="000000"/>
                <w:sz w:val="20"/>
                <w:szCs w:val="20"/>
                <w:lang w:eastAsia="ro-RO"/>
              </w:rPr>
              <w:t>0,0</w:t>
            </w:r>
          </w:p>
        </w:tc>
        <w:tc>
          <w:tcPr>
            <w:tcW w:w="1342" w:type="dxa"/>
            <w:tcBorders>
              <w:top w:val="nil"/>
              <w:left w:val="nil"/>
              <w:bottom w:val="nil"/>
              <w:right w:val="nil"/>
            </w:tcBorders>
            <w:shd w:val="clear" w:color="000000" w:fill="FFFFFF"/>
            <w:noWrap/>
            <w:vAlign w:val="center"/>
            <w:hideMark/>
          </w:tcPr>
          <w:p w:rsidR="00344803" w:rsidRPr="00344803" w:rsidRDefault="00344803" w:rsidP="00344803">
            <w:pPr>
              <w:spacing w:after="0" w:line="240" w:lineRule="auto"/>
              <w:ind w:firstLine="0"/>
              <w:jc w:val="right"/>
              <w:rPr>
                <w:rFonts w:ascii="Arial" w:eastAsia="Times New Roman" w:hAnsi="Arial" w:cs="Arial"/>
                <w:color w:val="000000"/>
                <w:sz w:val="20"/>
                <w:szCs w:val="20"/>
                <w:lang w:eastAsia="ro-RO"/>
              </w:rPr>
            </w:pPr>
            <w:r w:rsidRPr="00344803">
              <w:rPr>
                <w:rFonts w:ascii="Arial" w:eastAsia="Times New Roman" w:hAnsi="Arial" w:cs="Arial"/>
                <w:color w:val="000000"/>
                <w:sz w:val="20"/>
                <w:szCs w:val="20"/>
                <w:lang w:eastAsia="ro-RO"/>
              </w:rPr>
              <w:t>-1.074,9</w:t>
            </w:r>
          </w:p>
        </w:tc>
        <w:tc>
          <w:tcPr>
            <w:tcW w:w="1293" w:type="dxa"/>
            <w:tcBorders>
              <w:top w:val="nil"/>
              <w:left w:val="nil"/>
              <w:bottom w:val="nil"/>
              <w:right w:val="nil"/>
            </w:tcBorders>
            <w:shd w:val="clear" w:color="000000" w:fill="FFFFFF"/>
            <w:noWrap/>
            <w:vAlign w:val="center"/>
            <w:hideMark/>
          </w:tcPr>
          <w:p w:rsidR="00344803" w:rsidRPr="00344803" w:rsidRDefault="00344803" w:rsidP="00344803">
            <w:pPr>
              <w:spacing w:after="0" w:line="240" w:lineRule="auto"/>
              <w:ind w:firstLine="0"/>
              <w:jc w:val="right"/>
              <w:rPr>
                <w:rFonts w:ascii="Arial" w:eastAsia="Times New Roman" w:hAnsi="Arial" w:cs="Arial"/>
                <w:color w:val="000000"/>
                <w:sz w:val="20"/>
                <w:szCs w:val="20"/>
                <w:lang w:eastAsia="ro-RO"/>
              </w:rPr>
            </w:pPr>
            <w:r w:rsidRPr="00344803">
              <w:rPr>
                <w:rFonts w:ascii="Arial" w:eastAsia="Times New Roman" w:hAnsi="Arial" w:cs="Arial"/>
                <w:color w:val="000000"/>
                <w:sz w:val="20"/>
                <w:szCs w:val="20"/>
                <w:lang w:eastAsia="ro-RO"/>
              </w:rPr>
              <w:t>0,0</w:t>
            </w:r>
          </w:p>
        </w:tc>
      </w:tr>
      <w:tr w:rsidR="00344803" w:rsidRPr="00344803" w:rsidTr="00344803">
        <w:trPr>
          <w:trHeight w:val="242"/>
        </w:trPr>
        <w:tc>
          <w:tcPr>
            <w:tcW w:w="4601" w:type="dxa"/>
            <w:tcBorders>
              <w:top w:val="nil"/>
              <w:left w:val="nil"/>
              <w:bottom w:val="nil"/>
              <w:right w:val="nil"/>
            </w:tcBorders>
            <w:shd w:val="clear" w:color="000000" w:fill="FFFFFF"/>
            <w:vAlign w:val="center"/>
            <w:hideMark/>
          </w:tcPr>
          <w:p w:rsidR="00344803" w:rsidRPr="00344803" w:rsidRDefault="00344803" w:rsidP="00344803">
            <w:pPr>
              <w:spacing w:after="0" w:line="240" w:lineRule="auto"/>
              <w:ind w:firstLine="0"/>
              <w:jc w:val="left"/>
              <w:rPr>
                <w:rFonts w:ascii="Arial" w:eastAsia="Times New Roman" w:hAnsi="Arial" w:cs="Arial"/>
                <w:color w:val="000000"/>
                <w:sz w:val="20"/>
                <w:szCs w:val="20"/>
                <w:lang w:eastAsia="ro-RO"/>
              </w:rPr>
            </w:pPr>
            <w:r w:rsidRPr="00344803">
              <w:rPr>
                <w:rFonts w:ascii="Arial" w:eastAsia="Times New Roman" w:hAnsi="Arial" w:cs="Arial"/>
                <w:color w:val="000000"/>
                <w:sz w:val="20"/>
                <w:szCs w:val="20"/>
                <w:lang w:eastAsia="ro-RO"/>
              </w:rPr>
              <w:t xml:space="preserve">Sold bugetul fondului pentru </w:t>
            </w:r>
            <w:r w:rsidR="00741CC2" w:rsidRPr="00344803">
              <w:rPr>
                <w:rFonts w:ascii="Arial" w:eastAsia="Times New Roman" w:hAnsi="Arial" w:cs="Arial"/>
                <w:color w:val="000000"/>
                <w:sz w:val="20"/>
                <w:szCs w:val="20"/>
                <w:lang w:eastAsia="ro-RO"/>
              </w:rPr>
              <w:t>șomaj</w:t>
            </w:r>
            <w:r w:rsidRPr="00344803">
              <w:rPr>
                <w:rFonts w:ascii="Arial" w:eastAsia="Times New Roman" w:hAnsi="Arial" w:cs="Arial"/>
                <w:color w:val="000000"/>
                <w:sz w:val="20"/>
                <w:szCs w:val="20"/>
                <w:lang w:eastAsia="ro-RO"/>
              </w:rPr>
              <w:t xml:space="preserve"> (mil. lei)</w:t>
            </w:r>
          </w:p>
        </w:tc>
        <w:tc>
          <w:tcPr>
            <w:tcW w:w="1292" w:type="dxa"/>
            <w:tcBorders>
              <w:top w:val="nil"/>
              <w:left w:val="nil"/>
              <w:bottom w:val="nil"/>
              <w:right w:val="nil"/>
            </w:tcBorders>
            <w:shd w:val="clear" w:color="000000" w:fill="FFFFFF"/>
            <w:noWrap/>
            <w:vAlign w:val="center"/>
            <w:hideMark/>
          </w:tcPr>
          <w:p w:rsidR="00344803" w:rsidRPr="00344803" w:rsidRDefault="00344803" w:rsidP="00344803">
            <w:pPr>
              <w:spacing w:after="0" w:line="240" w:lineRule="auto"/>
              <w:ind w:firstLine="0"/>
              <w:jc w:val="right"/>
              <w:rPr>
                <w:rFonts w:ascii="Arial" w:eastAsia="Times New Roman" w:hAnsi="Arial" w:cs="Arial"/>
                <w:color w:val="000000"/>
                <w:sz w:val="20"/>
                <w:szCs w:val="20"/>
                <w:lang w:eastAsia="ro-RO"/>
              </w:rPr>
            </w:pPr>
            <w:r w:rsidRPr="00344803">
              <w:rPr>
                <w:rFonts w:ascii="Arial" w:eastAsia="Times New Roman" w:hAnsi="Arial" w:cs="Arial"/>
                <w:color w:val="000000"/>
                <w:sz w:val="20"/>
                <w:szCs w:val="20"/>
                <w:lang w:eastAsia="ro-RO"/>
              </w:rPr>
              <w:t>1.041,6</w:t>
            </w:r>
          </w:p>
        </w:tc>
        <w:tc>
          <w:tcPr>
            <w:tcW w:w="1342" w:type="dxa"/>
            <w:tcBorders>
              <w:top w:val="nil"/>
              <w:left w:val="nil"/>
              <w:bottom w:val="nil"/>
              <w:right w:val="nil"/>
            </w:tcBorders>
            <w:shd w:val="clear" w:color="000000" w:fill="FFFFFF"/>
            <w:noWrap/>
            <w:vAlign w:val="center"/>
            <w:hideMark/>
          </w:tcPr>
          <w:p w:rsidR="00344803" w:rsidRPr="00344803" w:rsidRDefault="00344803" w:rsidP="00344803">
            <w:pPr>
              <w:spacing w:after="0" w:line="240" w:lineRule="auto"/>
              <w:ind w:firstLine="0"/>
              <w:jc w:val="right"/>
              <w:rPr>
                <w:rFonts w:ascii="Arial" w:eastAsia="Times New Roman" w:hAnsi="Arial" w:cs="Arial"/>
                <w:color w:val="000000"/>
                <w:sz w:val="20"/>
                <w:szCs w:val="20"/>
                <w:lang w:eastAsia="ro-RO"/>
              </w:rPr>
            </w:pPr>
            <w:r w:rsidRPr="00344803">
              <w:rPr>
                <w:rFonts w:ascii="Arial" w:eastAsia="Times New Roman" w:hAnsi="Arial" w:cs="Arial"/>
                <w:color w:val="000000"/>
                <w:sz w:val="20"/>
                <w:szCs w:val="20"/>
                <w:lang w:eastAsia="ro-RO"/>
              </w:rPr>
              <w:t>592,8</w:t>
            </w:r>
          </w:p>
        </w:tc>
        <w:tc>
          <w:tcPr>
            <w:tcW w:w="1293" w:type="dxa"/>
            <w:tcBorders>
              <w:top w:val="nil"/>
              <w:left w:val="nil"/>
              <w:bottom w:val="nil"/>
              <w:right w:val="nil"/>
            </w:tcBorders>
            <w:shd w:val="clear" w:color="000000" w:fill="FFFFFF"/>
            <w:noWrap/>
            <w:vAlign w:val="center"/>
            <w:hideMark/>
          </w:tcPr>
          <w:p w:rsidR="00344803" w:rsidRPr="00344803" w:rsidRDefault="00344803" w:rsidP="00344803">
            <w:pPr>
              <w:spacing w:after="0" w:line="240" w:lineRule="auto"/>
              <w:ind w:firstLine="0"/>
              <w:jc w:val="right"/>
              <w:rPr>
                <w:rFonts w:ascii="Arial" w:eastAsia="Times New Roman" w:hAnsi="Arial" w:cs="Arial"/>
                <w:color w:val="000000"/>
                <w:sz w:val="20"/>
                <w:szCs w:val="20"/>
                <w:lang w:eastAsia="ro-RO"/>
              </w:rPr>
            </w:pPr>
            <w:r w:rsidRPr="00344803">
              <w:rPr>
                <w:rFonts w:ascii="Arial" w:eastAsia="Times New Roman" w:hAnsi="Arial" w:cs="Arial"/>
                <w:color w:val="000000"/>
                <w:sz w:val="20"/>
                <w:szCs w:val="20"/>
                <w:lang w:eastAsia="ro-RO"/>
              </w:rPr>
              <w:t>1.226,1</w:t>
            </w:r>
          </w:p>
        </w:tc>
      </w:tr>
      <w:tr w:rsidR="00344803" w:rsidRPr="00344803" w:rsidTr="00344803">
        <w:trPr>
          <w:trHeight w:val="343"/>
        </w:trPr>
        <w:tc>
          <w:tcPr>
            <w:tcW w:w="4601" w:type="dxa"/>
            <w:tcBorders>
              <w:top w:val="nil"/>
              <w:left w:val="nil"/>
              <w:bottom w:val="nil"/>
              <w:right w:val="nil"/>
            </w:tcBorders>
            <w:shd w:val="clear" w:color="000000" w:fill="FFFFFF"/>
            <w:vAlign w:val="center"/>
            <w:hideMark/>
          </w:tcPr>
          <w:p w:rsidR="00344803" w:rsidRPr="00344803" w:rsidRDefault="00344803" w:rsidP="00344803">
            <w:pPr>
              <w:spacing w:after="0" w:line="240" w:lineRule="auto"/>
              <w:ind w:firstLine="0"/>
              <w:jc w:val="left"/>
              <w:rPr>
                <w:rFonts w:ascii="Arial" w:eastAsia="Times New Roman" w:hAnsi="Arial" w:cs="Arial"/>
                <w:color w:val="000000"/>
                <w:sz w:val="20"/>
                <w:szCs w:val="20"/>
                <w:lang w:eastAsia="ro-RO"/>
              </w:rPr>
            </w:pPr>
            <w:r w:rsidRPr="00344803">
              <w:rPr>
                <w:rFonts w:ascii="Arial" w:eastAsia="Times New Roman" w:hAnsi="Arial" w:cs="Arial"/>
                <w:color w:val="000000"/>
                <w:sz w:val="20"/>
                <w:szCs w:val="20"/>
                <w:lang w:eastAsia="ro-RO"/>
              </w:rPr>
              <w:t xml:space="preserve">Sold bugetul </w:t>
            </w:r>
            <w:r w:rsidR="00741CC2" w:rsidRPr="00344803">
              <w:rPr>
                <w:rFonts w:ascii="Arial" w:eastAsia="Times New Roman" w:hAnsi="Arial" w:cs="Arial"/>
                <w:color w:val="000000"/>
                <w:sz w:val="20"/>
                <w:szCs w:val="20"/>
                <w:lang w:eastAsia="ro-RO"/>
              </w:rPr>
              <w:t>instituțiilor</w:t>
            </w:r>
            <w:r w:rsidR="00A26E1A">
              <w:rPr>
                <w:rFonts w:ascii="Arial" w:eastAsia="Times New Roman" w:hAnsi="Arial" w:cs="Arial"/>
                <w:color w:val="000000"/>
                <w:sz w:val="20"/>
                <w:szCs w:val="20"/>
                <w:lang w:eastAsia="ro-RO"/>
              </w:rPr>
              <w:t xml:space="preserve"> </w:t>
            </w:r>
            <w:r w:rsidR="00741CC2" w:rsidRPr="00344803">
              <w:rPr>
                <w:rFonts w:ascii="Arial" w:eastAsia="Times New Roman" w:hAnsi="Arial" w:cs="Arial"/>
                <w:color w:val="000000"/>
                <w:sz w:val="20"/>
                <w:szCs w:val="20"/>
                <w:lang w:eastAsia="ro-RO"/>
              </w:rPr>
              <w:t>finanțe</w:t>
            </w:r>
            <w:r w:rsidRPr="00344803">
              <w:rPr>
                <w:rFonts w:ascii="Arial" w:eastAsia="Times New Roman" w:hAnsi="Arial" w:cs="Arial"/>
                <w:color w:val="000000"/>
                <w:sz w:val="20"/>
                <w:szCs w:val="20"/>
                <w:lang w:eastAsia="ro-RO"/>
              </w:rPr>
              <w:t xml:space="preserve"> din venituri proprii (mil. lei)</w:t>
            </w:r>
          </w:p>
        </w:tc>
        <w:tc>
          <w:tcPr>
            <w:tcW w:w="1292" w:type="dxa"/>
            <w:tcBorders>
              <w:top w:val="nil"/>
              <w:left w:val="nil"/>
              <w:bottom w:val="nil"/>
              <w:right w:val="nil"/>
            </w:tcBorders>
            <w:shd w:val="clear" w:color="000000" w:fill="FFFFFF"/>
            <w:noWrap/>
            <w:vAlign w:val="center"/>
            <w:hideMark/>
          </w:tcPr>
          <w:p w:rsidR="00344803" w:rsidRPr="00344803" w:rsidRDefault="00344803" w:rsidP="00344803">
            <w:pPr>
              <w:spacing w:after="0" w:line="240" w:lineRule="auto"/>
              <w:ind w:firstLine="0"/>
              <w:jc w:val="right"/>
              <w:rPr>
                <w:rFonts w:ascii="Arial" w:eastAsia="Times New Roman" w:hAnsi="Arial" w:cs="Arial"/>
                <w:color w:val="000000"/>
                <w:sz w:val="20"/>
                <w:szCs w:val="20"/>
                <w:lang w:eastAsia="ro-RO"/>
              </w:rPr>
            </w:pPr>
            <w:r w:rsidRPr="00344803">
              <w:rPr>
                <w:rFonts w:ascii="Arial" w:eastAsia="Times New Roman" w:hAnsi="Arial" w:cs="Arial"/>
                <w:color w:val="000000"/>
                <w:sz w:val="20"/>
                <w:szCs w:val="20"/>
                <w:lang w:eastAsia="ro-RO"/>
              </w:rPr>
              <w:t>2.667,2</w:t>
            </w:r>
          </w:p>
        </w:tc>
        <w:tc>
          <w:tcPr>
            <w:tcW w:w="1342" w:type="dxa"/>
            <w:tcBorders>
              <w:top w:val="nil"/>
              <w:left w:val="nil"/>
              <w:bottom w:val="nil"/>
              <w:right w:val="nil"/>
            </w:tcBorders>
            <w:shd w:val="clear" w:color="000000" w:fill="FFFFFF"/>
            <w:noWrap/>
            <w:vAlign w:val="center"/>
            <w:hideMark/>
          </w:tcPr>
          <w:p w:rsidR="00344803" w:rsidRPr="00344803" w:rsidRDefault="00344803" w:rsidP="00344803">
            <w:pPr>
              <w:spacing w:after="0" w:line="240" w:lineRule="auto"/>
              <w:ind w:firstLine="0"/>
              <w:jc w:val="right"/>
              <w:rPr>
                <w:rFonts w:ascii="Arial" w:eastAsia="Times New Roman" w:hAnsi="Arial" w:cs="Arial"/>
                <w:color w:val="000000"/>
                <w:sz w:val="20"/>
                <w:szCs w:val="20"/>
                <w:lang w:eastAsia="ro-RO"/>
              </w:rPr>
            </w:pPr>
            <w:r w:rsidRPr="00344803">
              <w:rPr>
                <w:rFonts w:ascii="Arial" w:eastAsia="Times New Roman" w:hAnsi="Arial" w:cs="Arial"/>
                <w:color w:val="000000"/>
                <w:sz w:val="20"/>
                <w:szCs w:val="20"/>
                <w:lang w:eastAsia="ro-RO"/>
              </w:rPr>
              <w:t>1.649,2</w:t>
            </w:r>
          </w:p>
        </w:tc>
        <w:tc>
          <w:tcPr>
            <w:tcW w:w="1293" w:type="dxa"/>
            <w:tcBorders>
              <w:top w:val="nil"/>
              <w:left w:val="nil"/>
              <w:bottom w:val="nil"/>
              <w:right w:val="nil"/>
            </w:tcBorders>
            <w:shd w:val="clear" w:color="000000" w:fill="FFFFFF"/>
            <w:noWrap/>
            <w:vAlign w:val="center"/>
            <w:hideMark/>
          </w:tcPr>
          <w:p w:rsidR="00344803" w:rsidRPr="00344803" w:rsidRDefault="00344803" w:rsidP="00344803">
            <w:pPr>
              <w:spacing w:after="0" w:line="240" w:lineRule="auto"/>
              <w:ind w:firstLine="0"/>
              <w:jc w:val="right"/>
              <w:rPr>
                <w:rFonts w:ascii="Arial" w:eastAsia="Times New Roman" w:hAnsi="Arial" w:cs="Arial"/>
                <w:color w:val="000000"/>
                <w:sz w:val="20"/>
                <w:szCs w:val="20"/>
                <w:lang w:eastAsia="ro-RO"/>
              </w:rPr>
            </w:pPr>
            <w:r w:rsidRPr="00344803">
              <w:rPr>
                <w:rFonts w:ascii="Arial" w:eastAsia="Times New Roman" w:hAnsi="Arial" w:cs="Arial"/>
                <w:color w:val="000000"/>
                <w:sz w:val="20"/>
                <w:szCs w:val="20"/>
                <w:lang w:eastAsia="ro-RO"/>
              </w:rPr>
              <w:t>2.667,2</w:t>
            </w:r>
          </w:p>
        </w:tc>
      </w:tr>
    </w:tbl>
    <w:p w:rsidR="00344803" w:rsidRDefault="00344803" w:rsidP="00060B8F">
      <w:pPr>
        <w:spacing w:after="120"/>
        <w:ind w:firstLine="0"/>
        <w:rPr>
          <w:rFonts w:cs="Arial"/>
          <w:bCs/>
          <w:sz w:val="24"/>
          <w:szCs w:val="24"/>
        </w:rPr>
      </w:pPr>
    </w:p>
    <w:p w:rsidR="00FE0C7D" w:rsidRDefault="00FE0C7D" w:rsidP="00060B8F">
      <w:pPr>
        <w:spacing w:after="120"/>
        <w:ind w:firstLine="0"/>
        <w:rPr>
          <w:rFonts w:cs="Arial"/>
          <w:bCs/>
          <w:sz w:val="24"/>
          <w:szCs w:val="24"/>
        </w:rPr>
      </w:pPr>
    </w:p>
    <w:p w:rsidR="007E04FF" w:rsidRPr="009C6832" w:rsidRDefault="007C4F03" w:rsidP="00060B8F">
      <w:pPr>
        <w:spacing w:after="120"/>
        <w:rPr>
          <w:rFonts w:cs="Arial"/>
          <w:sz w:val="24"/>
          <w:szCs w:val="24"/>
        </w:rPr>
      </w:pPr>
      <w:r w:rsidRPr="009C6832">
        <w:rPr>
          <w:rFonts w:cs="Arial"/>
          <w:b/>
          <w:sz w:val="24"/>
          <w:szCs w:val="24"/>
        </w:rPr>
        <w:tab/>
      </w:r>
      <w:r w:rsidR="00105A75" w:rsidRPr="009C6832">
        <w:rPr>
          <w:rFonts w:cs="Arial"/>
          <w:b/>
          <w:sz w:val="24"/>
          <w:szCs w:val="24"/>
        </w:rPr>
        <w:tab/>
      </w:r>
      <w:r w:rsidR="007E04FF" w:rsidRPr="009C6832">
        <w:rPr>
          <w:rFonts w:cs="Arial"/>
          <w:b/>
          <w:sz w:val="24"/>
          <w:szCs w:val="24"/>
        </w:rPr>
        <w:t>Stocul</w:t>
      </w:r>
      <w:r w:rsidR="007E04FF" w:rsidRPr="009C6832">
        <w:rPr>
          <w:rFonts w:cs="Arial"/>
          <w:sz w:val="24"/>
          <w:szCs w:val="24"/>
        </w:rPr>
        <w:t xml:space="preserve"> plăților restante raportate la data de 30 iunie </w:t>
      </w:r>
      <w:r w:rsidR="009015CD" w:rsidRPr="009C6832">
        <w:rPr>
          <w:rFonts w:cs="Arial"/>
          <w:sz w:val="24"/>
          <w:szCs w:val="24"/>
        </w:rPr>
        <w:t xml:space="preserve">2017 </w:t>
      </w:r>
      <w:r w:rsidR="007E04FF" w:rsidRPr="009C6832">
        <w:rPr>
          <w:rFonts w:cs="Arial"/>
          <w:sz w:val="24"/>
          <w:szCs w:val="24"/>
        </w:rPr>
        <w:t xml:space="preserve">a fost în sumă totală de </w:t>
      </w:r>
      <w:r w:rsidR="009015CD" w:rsidRPr="009C6832">
        <w:rPr>
          <w:rFonts w:cs="Arial"/>
          <w:sz w:val="24"/>
          <w:szCs w:val="24"/>
        </w:rPr>
        <w:t xml:space="preserve">653,48 </w:t>
      </w:r>
      <w:r w:rsidR="007E04FF" w:rsidRPr="009C6832">
        <w:rPr>
          <w:rFonts w:cs="Arial"/>
          <w:sz w:val="24"/>
          <w:szCs w:val="24"/>
        </w:rPr>
        <w:t>mi</w:t>
      </w:r>
      <w:r w:rsidR="008D6F4B" w:rsidRPr="009C6832">
        <w:rPr>
          <w:rFonts w:cs="Arial"/>
          <w:sz w:val="24"/>
          <w:szCs w:val="24"/>
        </w:rPr>
        <w:t xml:space="preserve">lioane lei, </w:t>
      </w:r>
      <w:r w:rsidR="009015CD" w:rsidRPr="009C6832">
        <w:rPr>
          <w:rFonts w:cs="Arial"/>
          <w:sz w:val="24"/>
          <w:szCs w:val="24"/>
        </w:rPr>
        <w:t>cu 26,4% sub nivelul înregistrat la data de 30 iunie 2016. A</w:t>
      </w:r>
      <w:r w:rsidR="008D6F4B" w:rsidRPr="009C6832">
        <w:rPr>
          <w:rFonts w:cs="Arial"/>
          <w:sz w:val="24"/>
          <w:szCs w:val="24"/>
        </w:rPr>
        <w:t>rieratele(</w:t>
      </w:r>
      <w:r w:rsidR="007E04FF" w:rsidRPr="009C6832">
        <w:rPr>
          <w:rFonts w:cs="Arial"/>
          <w:sz w:val="24"/>
          <w:szCs w:val="24"/>
        </w:rPr>
        <w:t>plățile restante peste 90 de zile</w:t>
      </w:r>
      <w:r w:rsidR="008D6F4B" w:rsidRPr="009C6832">
        <w:rPr>
          <w:rFonts w:cs="Arial"/>
          <w:sz w:val="24"/>
          <w:szCs w:val="24"/>
        </w:rPr>
        <w:t>)</w:t>
      </w:r>
      <w:r w:rsidR="00E77879">
        <w:rPr>
          <w:rFonts w:cs="Arial"/>
          <w:sz w:val="24"/>
          <w:szCs w:val="24"/>
        </w:rPr>
        <w:t xml:space="preserve"> </w:t>
      </w:r>
      <w:r w:rsidR="009015CD" w:rsidRPr="009C6832">
        <w:rPr>
          <w:rFonts w:cs="Arial"/>
          <w:sz w:val="24"/>
          <w:szCs w:val="24"/>
        </w:rPr>
        <w:t xml:space="preserve">înregistrate la data de 30 iunie 2017 </w:t>
      </w:r>
      <w:r w:rsidR="007E04FF" w:rsidRPr="009C6832">
        <w:rPr>
          <w:rFonts w:cs="Arial"/>
          <w:sz w:val="24"/>
          <w:szCs w:val="24"/>
        </w:rPr>
        <w:t xml:space="preserve">au </w:t>
      </w:r>
      <w:r w:rsidR="006E6C8A" w:rsidRPr="009C6832">
        <w:rPr>
          <w:rFonts w:cs="Arial"/>
          <w:sz w:val="24"/>
          <w:szCs w:val="24"/>
        </w:rPr>
        <w:t xml:space="preserve">fost în sumă de </w:t>
      </w:r>
      <w:r w:rsidR="009015CD" w:rsidRPr="009C6832">
        <w:rPr>
          <w:rFonts w:cs="Arial"/>
          <w:sz w:val="24"/>
          <w:szCs w:val="24"/>
        </w:rPr>
        <w:t>208,54</w:t>
      </w:r>
      <w:r w:rsidR="006E6C8A" w:rsidRPr="009C6832">
        <w:rPr>
          <w:rFonts w:cs="Arial"/>
          <w:sz w:val="24"/>
          <w:szCs w:val="24"/>
        </w:rPr>
        <w:t xml:space="preserve"> milioane lei, </w:t>
      </w:r>
      <w:r w:rsidR="00E77879">
        <w:rPr>
          <w:rFonts w:cs="Arial"/>
          <w:sz w:val="24"/>
          <w:szCs w:val="24"/>
        </w:rPr>
        <w:t xml:space="preserve"> </w:t>
      </w:r>
      <w:r w:rsidR="006E6C8A" w:rsidRPr="009C6832">
        <w:rPr>
          <w:rFonts w:cs="Arial"/>
          <w:sz w:val="24"/>
          <w:szCs w:val="24"/>
        </w:rPr>
        <w:t xml:space="preserve">în </w:t>
      </w:r>
      <w:r w:rsidR="00AE3CDA" w:rsidRPr="009C6832">
        <w:rPr>
          <w:rFonts w:cs="Arial"/>
          <w:sz w:val="24"/>
          <w:szCs w:val="24"/>
        </w:rPr>
        <w:t xml:space="preserve">creștere </w:t>
      </w:r>
      <w:r w:rsidR="009015CD" w:rsidRPr="009C6832">
        <w:rPr>
          <w:rFonts w:cs="Arial"/>
          <w:sz w:val="24"/>
          <w:szCs w:val="24"/>
        </w:rPr>
        <w:t xml:space="preserve">cu 33,2% comparativ cu cele înregistrate la data de 30 iunie 2016 </w:t>
      </w:r>
      <w:r w:rsidR="006E6C8A" w:rsidRPr="009C6832">
        <w:rPr>
          <w:rFonts w:cs="Arial"/>
          <w:sz w:val="24"/>
          <w:szCs w:val="24"/>
        </w:rPr>
        <w:t>pe fondul creșterii arier</w:t>
      </w:r>
      <w:r w:rsidR="00553FEF" w:rsidRPr="009C6832">
        <w:rPr>
          <w:rFonts w:cs="Arial"/>
          <w:sz w:val="24"/>
          <w:szCs w:val="24"/>
        </w:rPr>
        <w:t>atelor în administrația locală</w:t>
      </w:r>
      <w:r w:rsidR="00E77879">
        <w:rPr>
          <w:rFonts w:cs="Arial"/>
          <w:sz w:val="24"/>
          <w:szCs w:val="24"/>
        </w:rPr>
        <w:t>,</w:t>
      </w:r>
      <w:r w:rsidR="009015CD" w:rsidRPr="009C6832">
        <w:rPr>
          <w:rFonts w:cs="Arial"/>
          <w:sz w:val="24"/>
          <w:szCs w:val="24"/>
        </w:rPr>
        <w:t xml:space="preserve"> acestea reprezentând 87% din totalul arieratelor înregistrate la 30 iunie 2017.</w:t>
      </w:r>
    </w:p>
    <w:p w:rsidR="00553FEF" w:rsidRPr="009C6832" w:rsidRDefault="00553FEF" w:rsidP="00105A75">
      <w:pPr>
        <w:rPr>
          <w:rFonts w:cs="Arial"/>
          <w:sz w:val="24"/>
        </w:rPr>
      </w:pPr>
    </w:p>
    <w:p w:rsidR="007E04FF" w:rsidRPr="009C6832" w:rsidRDefault="009015CD" w:rsidP="00D04A87">
      <w:pPr>
        <w:spacing w:line="360" w:lineRule="auto"/>
      </w:pPr>
      <w:r w:rsidRPr="009C6832">
        <w:rPr>
          <w:noProof/>
          <w:lang w:eastAsia="ro-RO"/>
        </w:rPr>
        <w:drawing>
          <wp:inline distT="0" distB="0" distL="0" distR="0">
            <wp:extent cx="5996940" cy="207835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17373" cy="2085436"/>
                    </a:xfrm>
                    <a:prstGeom prst="rect">
                      <a:avLst/>
                    </a:prstGeom>
                    <a:noFill/>
                    <a:ln>
                      <a:noFill/>
                    </a:ln>
                  </pic:spPr>
                </pic:pic>
              </a:graphicData>
            </a:graphic>
          </wp:inline>
        </w:drawing>
      </w:r>
    </w:p>
    <w:p w:rsidR="008D6F4B" w:rsidRPr="009C6832" w:rsidRDefault="008D6F4B">
      <w:r w:rsidRPr="009C6832">
        <w:br w:type="page"/>
      </w:r>
    </w:p>
    <w:p w:rsidR="007C4F03" w:rsidRPr="009C6832" w:rsidRDefault="00E3087D" w:rsidP="0047638C">
      <w:pPr>
        <w:pStyle w:val="ListParagraph"/>
        <w:numPr>
          <w:ilvl w:val="0"/>
          <w:numId w:val="1"/>
        </w:numPr>
        <w:ind w:left="567" w:hanging="283"/>
        <w:outlineLvl w:val="0"/>
        <w:rPr>
          <w:rFonts w:cs="Arial"/>
          <w:b/>
          <w:sz w:val="28"/>
          <w:szCs w:val="28"/>
        </w:rPr>
      </w:pPr>
      <w:bookmarkStart w:id="21" w:name="_Ref394150346"/>
      <w:bookmarkStart w:id="22" w:name="_Toc425320861"/>
      <w:bookmarkStart w:id="23" w:name="_Toc425428330"/>
      <w:bookmarkStart w:id="24" w:name="_Toc456256140"/>
      <w:bookmarkStart w:id="25" w:name="_Toc456256937"/>
      <w:bookmarkStart w:id="26" w:name="_Toc456257461"/>
      <w:bookmarkStart w:id="27" w:name="_Toc456258319"/>
      <w:bookmarkStart w:id="28" w:name="_Toc456258424"/>
      <w:bookmarkStart w:id="29" w:name="_Toc456259614"/>
      <w:r w:rsidRPr="009C6832">
        <w:rPr>
          <w:rFonts w:cs="Arial"/>
          <w:b/>
          <w:sz w:val="28"/>
          <w:szCs w:val="28"/>
        </w:rPr>
        <w:t>Finanțarea deficitului bugetar şi datoria publică</w:t>
      </w:r>
      <w:bookmarkEnd w:id="21"/>
      <w:bookmarkEnd w:id="22"/>
      <w:bookmarkEnd w:id="23"/>
      <w:bookmarkEnd w:id="24"/>
      <w:bookmarkEnd w:id="25"/>
      <w:bookmarkEnd w:id="26"/>
      <w:bookmarkEnd w:id="27"/>
      <w:bookmarkEnd w:id="28"/>
      <w:bookmarkEnd w:id="29"/>
    </w:p>
    <w:p w:rsidR="00155F43" w:rsidRPr="009C6832" w:rsidRDefault="00155F43" w:rsidP="00060B8F">
      <w:pPr>
        <w:pStyle w:val="ListParagraph"/>
        <w:ind w:left="567"/>
        <w:outlineLvl w:val="0"/>
        <w:rPr>
          <w:rFonts w:cs="Arial"/>
          <w:b/>
          <w:sz w:val="24"/>
          <w:szCs w:val="24"/>
        </w:rPr>
      </w:pPr>
    </w:p>
    <w:p w:rsidR="007C4F03" w:rsidRPr="00E77879" w:rsidRDefault="007C4F03" w:rsidP="00060B8F">
      <w:pPr>
        <w:spacing w:before="120" w:after="100" w:afterAutospacing="1"/>
        <w:ind w:left="720"/>
        <w:rPr>
          <w:rFonts w:cs="Arial"/>
          <w:b/>
          <w:sz w:val="24"/>
          <w:szCs w:val="24"/>
        </w:rPr>
      </w:pPr>
      <w:bookmarkStart w:id="30" w:name="RANGE!B1:I9"/>
      <w:bookmarkEnd w:id="30"/>
      <w:r w:rsidRPr="009C6832">
        <w:rPr>
          <w:rFonts w:cs="Arial"/>
          <w:b/>
          <w:sz w:val="24"/>
          <w:szCs w:val="24"/>
        </w:rPr>
        <w:t xml:space="preserve">IV.1 </w:t>
      </w:r>
      <w:r w:rsidRPr="00E77879">
        <w:rPr>
          <w:rFonts w:cs="Arial"/>
          <w:b/>
          <w:sz w:val="24"/>
          <w:szCs w:val="24"/>
        </w:rPr>
        <w:t>Datoria publică</w:t>
      </w:r>
    </w:p>
    <w:p w:rsidR="00006DDD" w:rsidRPr="00E77879" w:rsidRDefault="00006DDD" w:rsidP="00060B8F">
      <w:pPr>
        <w:widowControl w:val="0"/>
        <w:spacing w:after="120"/>
        <w:ind w:firstLine="720"/>
        <w:rPr>
          <w:rFonts w:eastAsia="Calibri" w:cs="Arial"/>
          <w:sz w:val="24"/>
          <w:szCs w:val="24"/>
        </w:rPr>
      </w:pPr>
      <w:r w:rsidRPr="00E77879">
        <w:rPr>
          <w:rFonts w:eastAsia="Calibri" w:cs="Arial"/>
          <w:sz w:val="24"/>
          <w:szCs w:val="24"/>
        </w:rPr>
        <w:t>Datoria guvernamentală conform metodologiei UE s-a situat la data de</w:t>
      </w:r>
      <w:r w:rsidR="00F204DD" w:rsidRPr="00E77879">
        <w:rPr>
          <w:rFonts w:eastAsia="Calibri" w:cs="Arial"/>
          <w:sz w:val="24"/>
          <w:szCs w:val="24"/>
        </w:rPr>
        <w:t xml:space="preserve"> 30 iunie  2017 la un nivel de 38,1</w:t>
      </w:r>
      <w:r w:rsidRPr="00E77879">
        <w:rPr>
          <w:rFonts w:eastAsia="Calibri" w:cs="Arial"/>
          <w:sz w:val="24"/>
          <w:szCs w:val="24"/>
        </w:rPr>
        <w:t xml:space="preserve">% din PIB în </w:t>
      </w:r>
      <w:r w:rsidR="00AA1EED" w:rsidRPr="00E77879">
        <w:rPr>
          <w:rFonts w:eastAsia="Calibri" w:cs="Arial"/>
          <w:sz w:val="24"/>
          <w:szCs w:val="24"/>
        </w:rPr>
        <w:t>creștere</w:t>
      </w:r>
      <w:r w:rsidRPr="00E77879">
        <w:rPr>
          <w:rFonts w:eastAsia="Calibri" w:cs="Arial"/>
          <w:sz w:val="24"/>
          <w:szCs w:val="24"/>
        </w:rPr>
        <w:t xml:space="preserve"> față de nivelul de 37,6% din PIB, cât s-a înregistrat la sfârșitul anului 2016, sub plafonul de 40% din PIB stabilit prin Legea nr.5/2017 pentru aprobarea plafoanelor unor indicatori specificați în cadrul fiscal-bugetar pe anul 2017. </w:t>
      </w:r>
    </w:p>
    <w:p w:rsidR="00006DDD" w:rsidRPr="009C6832" w:rsidRDefault="00006DDD" w:rsidP="00060B8F">
      <w:pPr>
        <w:widowControl w:val="0"/>
        <w:spacing w:after="120"/>
        <w:ind w:firstLine="720"/>
        <w:rPr>
          <w:rFonts w:eastAsia="Calibri" w:cs="Arial"/>
          <w:sz w:val="24"/>
          <w:szCs w:val="24"/>
        </w:rPr>
      </w:pPr>
      <w:r w:rsidRPr="00E77879">
        <w:rPr>
          <w:rFonts w:eastAsia="Calibri" w:cs="Arial"/>
          <w:sz w:val="24"/>
          <w:szCs w:val="24"/>
        </w:rPr>
        <w:t xml:space="preserve">Din datoria </w:t>
      </w:r>
      <w:r w:rsidR="00AA1EED" w:rsidRPr="00E77879">
        <w:rPr>
          <w:rFonts w:eastAsia="Calibri" w:cs="Arial"/>
          <w:sz w:val="24"/>
          <w:szCs w:val="24"/>
        </w:rPr>
        <w:t>guvernamentală</w:t>
      </w:r>
      <w:r w:rsidRPr="00E77879">
        <w:rPr>
          <w:rFonts w:eastAsia="Calibri" w:cs="Arial"/>
          <w:sz w:val="24"/>
          <w:szCs w:val="24"/>
        </w:rPr>
        <w:t>, la 3</w:t>
      </w:r>
      <w:r w:rsidR="00F204DD" w:rsidRPr="00E77879">
        <w:rPr>
          <w:rFonts w:eastAsia="Calibri" w:cs="Arial"/>
          <w:sz w:val="24"/>
          <w:szCs w:val="24"/>
        </w:rPr>
        <w:t>0 iunie</w:t>
      </w:r>
      <w:r w:rsidRPr="00E77879">
        <w:rPr>
          <w:rFonts w:eastAsia="Calibri" w:cs="Arial"/>
          <w:sz w:val="24"/>
          <w:szCs w:val="24"/>
        </w:rPr>
        <w:t xml:space="preserve"> 2017,</w:t>
      </w:r>
      <w:r w:rsidR="00F204DD" w:rsidRPr="00E77879">
        <w:rPr>
          <w:rFonts w:eastAsia="Calibri" w:cs="Arial"/>
          <w:sz w:val="24"/>
          <w:szCs w:val="24"/>
        </w:rPr>
        <w:t xml:space="preserve"> 51,3% reprezintă d</w:t>
      </w:r>
      <w:r w:rsidRPr="00E77879">
        <w:rPr>
          <w:rFonts w:eastAsia="Calibri" w:cs="Arial"/>
          <w:sz w:val="24"/>
          <w:szCs w:val="24"/>
        </w:rPr>
        <w:t xml:space="preserve">atoria </w:t>
      </w:r>
      <w:r w:rsidR="00AA1EED" w:rsidRPr="00E77879">
        <w:rPr>
          <w:rFonts w:eastAsia="Calibri" w:cs="Arial"/>
          <w:sz w:val="24"/>
          <w:szCs w:val="24"/>
        </w:rPr>
        <w:t>internă</w:t>
      </w:r>
      <w:r w:rsidR="00F204DD" w:rsidRPr="00E77879">
        <w:rPr>
          <w:rFonts w:eastAsia="Calibri" w:cs="Arial"/>
          <w:sz w:val="24"/>
          <w:szCs w:val="24"/>
        </w:rPr>
        <w:t xml:space="preserve">, iar </w:t>
      </w:r>
      <w:r w:rsidRPr="00E77879">
        <w:rPr>
          <w:rFonts w:eastAsia="Calibri" w:cs="Arial"/>
          <w:sz w:val="24"/>
          <w:szCs w:val="24"/>
        </w:rPr>
        <w:t xml:space="preserve"> </w:t>
      </w:r>
      <w:r w:rsidR="00F204DD" w:rsidRPr="00E77879">
        <w:rPr>
          <w:rFonts w:eastAsia="Calibri" w:cs="Arial"/>
          <w:sz w:val="24"/>
          <w:szCs w:val="24"/>
        </w:rPr>
        <w:t>48,7</w:t>
      </w:r>
      <w:r w:rsidR="00C410EC" w:rsidRPr="00E77879">
        <w:rPr>
          <w:rFonts w:eastAsia="Calibri" w:cs="Arial"/>
          <w:sz w:val="24"/>
          <w:szCs w:val="24"/>
        </w:rPr>
        <w:t>%</w:t>
      </w:r>
      <w:r w:rsidR="00F204DD" w:rsidRPr="00E77879">
        <w:rPr>
          <w:rFonts w:eastAsia="Calibri" w:cs="Arial"/>
          <w:sz w:val="24"/>
          <w:szCs w:val="24"/>
        </w:rPr>
        <w:t xml:space="preserve"> </w:t>
      </w:r>
      <w:r w:rsidRPr="00E77879">
        <w:rPr>
          <w:rFonts w:eastAsia="Calibri" w:cs="Arial"/>
          <w:sz w:val="24"/>
          <w:szCs w:val="24"/>
        </w:rPr>
        <w:t>datori</w:t>
      </w:r>
      <w:r w:rsidR="00F204DD" w:rsidRPr="00E77879">
        <w:rPr>
          <w:rFonts w:eastAsia="Calibri" w:cs="Arial"/>
          <w:sz w:val="24"/>
          <w:szCs w:val="24"/>
        </w:rPr>
        <w:t>e</w:t>
      </w:r>
      <w:r w:rsidRPr="00E77879">
        <w:rPr>
          <w:rFonts w:eastAsia="Calibri" w:cs="Arial"/>
          <w:sz w:val="24"/>
          <w:szCs w:val="24"/>
        </w:rPr>
        <w:t xml:space="preserve"> externă</w:t>
      </w:r>
      <w:r w:rsidR="00F204DD" w:rsidRPr="00E77879">
        <w:rPr>
          <w:rFonts w:eastAsia="Calibri" w:cs="Arial"/>
          <w:sz w:val="24"/>
          <w:szCs w:val="24"/>
        </w:rPr>
        <w:t>.</w:t>
      </w:r>
      <w:r w:rsidRPr="009C6832">
        <w:rPr>
          <w:rFonts w:eastAsia="Calibri" w:cs="Arial"/>
          <w:sz w:val="24"/>
          <w:szCs w:val="24"/>
        </w:rPr>
        <w:t xml:space="preserve"> </w:t>
      </w:r>
    </w:p>
    <w:p w:rsidR="00197AF4" w:rsidRPr="009C6832" w:rsidRDefault="00197AF4" w:rsidP="00060B8F">
      <w:pPr>
        <w:pStyle w:val="ListParagraph"/>
        <w:widowControl w:val="0"/>
        <w:spacing w:after="120"/>
        <w:ind w:left="0" w:firstLine="680"/>
        <w:rPr>
          <w:rFonts w:cs="Arial"/>
          <w:sz w:val="24"/>
          <w:szCs w:val="24"/>
        </w:rPr>
      </w:pPr>
    </w:p>
    <w:p w:rsidR="007C4F03" w:rsidRPr="009C6832" w:rsidRDefault="007C4F03" w:rsidP="00060B8F">
      <w:pPr>
        <w:tabs>
          <w:tab w:val="left" w:pos="0"/>
        </w:tabs>
        <w:spacing w:before="120" w:after="100" w:afterAutospacing="1"/>
        <w:ind w:firstLine="709"/>
        <w:rPr>
          <w:rFonts w:cs="Arial"/>
          <w:b/>
          <w:sz w:val="24"/>
          <w:szCs w:val="24"/>
        </w:rPr>
      </w:pPr>
      <w:r w:rsidRPr="009C6832">
        <w:rPr>
          <w:rFonts w:cs="Arial"/>
          <w:b/>
          <w:sz w:val="24"/>
          <w:szCs w:val="24"/>
        </w:rPr>
        <w:t>IV.2 Finanțarea deficitului bugetar</w:t>
      </w:r>
    </w:p>
    <w:p w:rsidR="00006DDD" w:rsidRPr="009C6832" w:rsidRDefault="007C4F03" w:rsidP="00060B8F">
      <w:pPr>
        <w:ind w:firstLine="426"/>
        <w:rPr>
          <w:rFonts w:eastAsia="MS Mincho" w:cs="Arial"/>
          <w:sz w:val="24"/>
          <w:szCs w:val="24"/>
          <w:lang w:eastAsia="ja-JP"/>
        </w:rPr>
      </w:pPr>
      <w:r w:rsidRPr="009C6832">
        <w:rPr>
          <w:rFonts w:cs="Arial"/>
          <w:sz w:val="24"/>
          <w:szCs w:val="24"/>
        </w:rPr>
        <w:tab/>
      </w:r>
    </w:p>
    <w:p w:rsidR="00006DDD" w:rsidRPr="009C6832" w:rsidRDefault="00006DDD" w:rsidP="00060B8F">
      <w:pPr>
        <w:spacing w:after="120"/>
        <w:ind w:firstLine="425"/>
        <w:rPr>
          <w:rFonts w:eastAsia="MS Mincho" w:cs="Arial"/>
          <w:sz w:val="24"/>
          <w:szCs w:val="24"/>
          <w:lang w:eastAsia="ja-JP"/>
        </w:rPr>
      </w:pPr>
      <w:r w:rsidRPr="009C6832">
        <w:rPr>
          <w:rFonts w:eastAsia="MS Mincho" w:cs="Arial"/>
          <w:sz w:val="24"/>
          <w:szCs w:val="24"/>
          <w:lang w:eastAsia="ja-JP"/>
        </w:rPr>
        <w:t>Finanțarea deficitului bugetar în primul semestru al anului 2017 s-a realizat</w:t>
      </w:r>
      <w:r w:rsidR="008B3560" w:rsidRPr="009C6832">
        <w:rPr>
          <w:rFonts w:eastAsia="MS Mincho" w:cs="Arial"/>
          <w:sz w:val="24"/>
          <w:szCs w:val="24"/>
          <w:lang w:eastAsia="ja-JP"/>
        </w:rPr>
        <w:t>,</w:t>
      </w:r>
      <w:r w:rsidRPr="009C6832">
        <w:rPr>
          <w:rFonts w:eastAsia="MS Mincho" w:cs="Arial"/>
          <w:sz w:val="24"/>
          <w:szCs w:val="24"/>
          <w:lang w:eastAsia="ja-JP"/>
        </w:rPr>
        <w:t xml:space="preserve"> în principal din surse interne prin emisiuni de titluri de stat lansate pe piața internă și în completare din surse externe. Sursele necesare refinanțării datoriei publice guvernamentale s-au asigurat de pe piețele pe care s-au emis aceste datorii şi din rezerva financiară în valută la dispoziția MFP care la sfârșitul primului semestru al anului 2017</w:t>
      </w:r>
      <w:r w:rsidR="00C410EC">
        <w:rPr>
          <w:rFonts w:eastAsia="MS Mincho" w:cs="Arial"/>
          <w:sz w:val="24"/>
          <w:szCs w:val="24"/>
          <w:lang w:eastAsia="ja-JP"/>
        </w:rPr>
        <w:t xml:space="preserve"> </w:t>
      </w:r>
      <w:r w:rsidRPr="009C6832">
        <w:rPr>
          <w:rFonts w:eastAsia="MS Mincho" w:cs="Arial"/>
          <w:sz w:val="24"/>
          <w:szCs w:val="24"/>
          <w:lang w:eastAsia="ja-JP"/>
        </w:rPr>
        <w:t>acoperea</w:t>
      </w:r>
      <w:r w:rsidR="00F204DD">
        <w:rPr>
          <w:rFonts w:eastAsia="MS Mincho" w:cs="Arial"/>
          <w:sz w:val="24"/>
          <w:szCs w:val="24"/>
          <w:lang w:eastAsia="ja-JP"/>
        </w:rPr>
        <w:t xml:space="preserve"> </w:t>
      </w:r>
      <w:r w:rsidRPr="009C6832">
        <w:rPr>
          <w:rFonts w:eastAsia="MS Mincho" w:cs="Arial"/>
          <w:sz w:val="24"/>
          <w:szCs w:val="24"/>
          <w:lang w:eastAsia="ja-JP"/>
        </w:rPr>
        <w:t>5,1</w:t>
      </w:r>
      <w:r w:rsidR="00F204DD">
        <w:rPr>
          <w:rFonts w:eastAsia="MS Mincho" w:cs="Arial"/>
          <w:sz w:val="24"/>
          <w:szCs w:val="24"/>
          <w:lang w:eastAsia="ja-JP"/>
        </w:rPr>
        <w:t xml:space="preserve"> </w:t>
      </w:r>
      <w:r w:rsidRPr="009C6832">
        <w:rPr>
          <w:rFonts w:eastAsia="MS Mincho" w:cs="Arial"/>
          <w:sz w:val="24"/>
          <w:szCs w:val="24"/>
          <w:lang w:eastAsia="ja-JP"/>
        </w:rPr>
        <w:t>luni</w:t>
      </w:r>
      <w:r w:rsidR="00F204DD">
        <w:rPr>
          <w:rFonts w:eastAsia="MS Mincho" w:cs="Arial"/>
          <w:sz w:val="24"/>
          <w:szCs w:val="24"/>
          <w:lang w:eastAsia="ja-JP"/>
        </w:rPr>
        <w:t xml:space="preserve"> </w:t>
      </w:r>
      <w:r w:rsidRPr="009C6832">
        <w:rPr>
          <w:rFonts w:eastAsia="MS Mincho" w:cs="Arial"/>
          <w:sz w:val="24"/>
          <w:szCs w:val="24"/>
          <w:lang w:eastAsia="ja-JP"/>
        </w:rPr>
        <w:t xml:space="preserve">din necesarul brut de finanțare. </w:t>
      </w:r>
    </w:p>
    <w:p w:rsidR="00006DDD" w:rsidRPr="009C6832" w:rsidRDefault="00006DDD" w:rsidP="00060B8F">
      <w:pPr>
        <w:autoSpaceDE w:val="0"/>
        <w:autoSpaceDN w:val="0"/>
        <w:adjustRightInd w:val="0"/>
        <w:spacing w:after="0"/>
        <w:ind w:firstLine="360"/>
        <w:rPr>
          <w:rFonts w:eastAsia="Calibri" w:cs="Arial"/>
          <w:color w:val="000000"/>
          <w:sz w:val="24"/>
          <w:szCs w:val="24"/>
          <w:lang w:eastAsia="ro-RO"/>
        </w:rPr>
      </w:pPr>
    </w:p>
    <w:p w:rsidR="00006DDD" w:rsidRPr="009C6832" w:rsidRDefault="00006DDD" w:rsidP="00060B8F">
      <w:pPr>
        <w:autoSpaceDE w:val="0"/>
        <w:autoSpaceDN w:val="0"/>
        <w:adjustRightInd w:val="0"/>
        <w:spacing w:after="120"/>
        <w:ind w:firstLine="357"/>
        <w:rPr>
          <w:rFonts w:eastAsia="Calibri" w:cs="Arial"/>
          <w:color w:val="000000"/>
          <w:sz w:val="24"/>
          <w:szCs w:val="24"/>
          <w:lang w:eastAsia="ro-RO"/>
        </w:rPr>
      </w:pPr>
      <w:r w:rsidRPr="009C6832">
        <w:rPr>
          <w:rFonts w:eastAsia="Calibri" w:cs="Arial"/>
          <w:color w:val="000000"/>
          <w:sz w:val="24"/>
          <w:szCs w:val="24"/>
          <w:lang w:eastAsia="ro-RO"/>
        </w:rPr>
        <w:t xml:space="preserve">Instrumentele de datorie utilizate în </w:t>
      </w:r>
      <w:r w:rsidRPr="009C6832">
        <w:rPr>
          <w:rFonts w:eastAsia="MS Mincho" w:cs="Arial"/>
          <w:sz w:val="24"/>
          <w:szCs w:val="24"/>
          <w:lang w:eastAsia="ja-JP"/>
        </w:rPr>
        <w:t xml:space="preserve">primul semestru al </w:t>
      </w:r>
      <w:r w:rsidRPr="009C6832">
        <w:rPr>
          <w:rFonts w:eastAsia="Calibri" w:cs="Arial"/>
          <w:color w:val="000000"/>
          <w:sz w:val="24"/>
          <w:szCs w:val="24"/>
          <w:lang w:eastAsia="ro-RO"/>
        </w:rPr>
        <w:t xml:space="preserve">anului 2017 pentru finanțarea deficitului bugetar şi refinanțarea datoriei publice au fost: </w:t>
      </w:r>
    </w:p>
    <w:p w:rsidR="00006DDD" w:rsidRPr="009C6832" w:rsidRDefault="00006DDD" w:rsidP="00060B8F">
      <w:pPr>
        <w:pStyle w:val="ListParagraph"/>
        <w:numPr>
          <w:ilvl w:val="0"/>
          <w:numId w:val="11"/>
        </w:numPr>
        <w:autoSpaceDE w:val="0"/>
        <w:autoSpaceDN w:val="0"/>
        <w:adjustRightInd w:val="0"/>
        <w:spacing w:after="120"/>
        <w:ind w:left="1208" w:hanging="357"/>
        <w:contextualSpacing w:val="0"/>
        <w:rPr>
          <w:rFonts w:eastAsia="Calibri" w:cs="Arial"/>
          <w:color w:val="000000"/>
          <w:sz w:val="24"/>
          <w:szCs w:val="24"/>
          <w:lang w:eastAsia="ro-RO"/>
        </w:rPr>
      </w:pPr>
      <w:r w:rsidRPr="009C6832">
        <w:rPr>
          <w:rFonts w:eastAsia="Calibri" w:cs="Arial"/>
          <w:color w:val="000000"/>
          <w:sz w:val="24"/>
          <w:szCs w:val="24"/>
          <w:lang w:eastAsia="ro-RO"/>
        </w:rPr>
        <w:t xml:space="preserve">emisiunile de titluri de stat denominate în lei, pe piața internă, în valoare de 27,91 miliarde lei. Astfel, s-au emis certificate de trezorerie cu scadența de până la 1 an în sumă de  8,34 miliarde lei şi obligațiuni de stat de tip benchmark în valoare de 19,58 miliarde lei, conform calendarului anunțat. </w:t>
      </w:r>
    </w:p>
    <w:p w:rsidR="00006DDD" w:rsidRPr="009C6832" w:rsidRDefault="00006DDD" w:rsidP="00060B8F">
      <w:pPr>
        <w:pStyle w:val="ListParagraph"/>
        <w:numPr>
          <w:ilvl w:val="2"/>
          <w:numId w:val="2"/>
        </w:numPr>
        <w:autoSpaceDE w:val="0"/>
        <w:autoSpaceDN w:val="0"/>
        <w:adjustRightInd w:val="0"/>
        <w:spacing w:after="120"/>
        <w:ind w:left="1208" w:hanging="357"/>
        <w:contextualSpacing w:val="0"/>
        <w:rPr>
          <w:rFonts w:eastAsia="Calibri" w:cs="Arial"/>
          <w:color w:val="000000"/>
          <w:sz w:val="24"/>
          <w:szCs w:val="24"/>
          <w:lang w:eastAsia="ro-RO"/>
        </w:rPr>
      </w:pPr>
      <w:r w:rsidRPr="009C6832">
        <w:rPr>
          <w:rFonts w:eastAsia="Calibri" w:cs="Arial"/>
          <w:color w:val="000000"/>
          <w:sz w:val="24"/>
          <w:szCs w:val="24"/>
          <w:lang w:eastAsia="ro-RO"/>
        </w:rPr>
        <w:t>emisiunile de titluri de stat denominate în euro, pe piața internă, în valoare de 340 milioane euro.</w:t>
      </w:r>
    </w:p>
    <w:p w:rsidR="00006DDD" w:rsidRPr="009C6832" w:rsidRDefault="00006DDD" w:rsidP="00060B8F">
      <w:pPr>
        <w:pStyle w:val="ListParagraph"/>
        <w:numPr>
          <w:ilvl w:val="2"/>
          <w:numId w:val="2"/>
        </w:numPr>
        <w:autoSpaceDE w:val="0"/>
        <w:autoSpaceDN w:val="0"/>
        <w:adjustRightInd w:val="0"/>
        <w:spacing w:after="120"/>
        <w:ind w:left="1208" w:hanging="357"/>
        <w:rPr>
          <w:rFonts w:eastAsia="MS Mincho" w:cs="Arial"/>
          <w:sz w:val="24"/>
          <w:szCs w:val="24"/>
          <w:lang w:eastAsia="ja-JP"/>
        </w:rPr>
      </w:pPr>
      <w:r w:rsidRPr="009C6832">
        <w:rPr>
          <w:rFonts w:eastAsia="MS Mincho" w:cs="Arial"/>
          <w:sz w:val="24"/>
          <w:szCs w:val="24"/>
          <w:lang w:eastAsia="ja-JP"/>
        </w:rPr>
        <w:t xml:space="preserve">emisiunile de euroobligațiuni lansate pe piețele externe de capital. În anul 2017, MFP a atras de pe piețele externe suma de 1,75 miliarde euro printr-o emisiune de euroobligațiuni în euro în două tranșe, din care 1 miliard euro printr-o emisiune nouă cu maturitatea de 10 ani, cupon 2,375% și 750 milioane euro prin redeschiderea emisiunii lansată în octombrie 2015, cu maturitatea inițială de 20 ani, cupon 3,875%. Cele două tranșe au fost realizate la costuri în scădere pentru statul român. Astfel, pentru maturitatea de 10 ani s-a obținut un randament de 2,411%, cel mai scăzut nivel istoric pentru această maturitate, în scădere față de emisiunea similară cu maturitatea de 10 ani realizată în luna octombrie 2015 (cu un randament de 2,845% </w:t>
      </w:r>
      <w:r w:rsidR="008B3560" w:rsidRPr="009C6832">
        <w:rPr>
          <w:rFonts w:eastAsia="MS Mincho" w:cs="Arial"/>
          <w:sz w:val="24"/>
          <w:szCs w:val="24"/>
          <w:lang w:eastAsia="ja-JP"/>
        </w:rPr>
        <w:t>ș</w:t>
      </w:r>
      <w:r w:rsidRPr="009C6832">
        <w:rPr>
          <w:rFonts w:eastAsia="MS Mincho" w:cs="Arial"/>
          <w:sz w:val="24"/>
          <w:szCs w:val="24"/>
          <w:lang w:eastAsia="ja-JP"/>
        </w:rPr>
        <w:t>i care a fost redeschisă la un randament de 2,55% în luna februarie 2016). De asemenea</w:t>
      </w:r>
      <w:r w:rsidR="008B3560" w:rsidRPr="009C6832">
        <w:rPr>
          <w:rFonts w:eastAsia="MS Mincho" w:cs="Arial"/>
          <w:sz w:val="24"/>
          <w:szCs w:val="24"/>
          <w:lang w:eastAsia="ja-JP"/>
        </w:rPr>
        <w:t>,</w:t>
      </w:r>
      <w:r w:rsidRPr="009C6832">
        <w:rPr>
          <w:rFonts w:eastAsia="MS Mincho" w:cs="Arial"/>
          <w:sz w:val="24"/>
          <w:szCs w:val="24"/>
          <w:lang w:eastAsia="ja-JP"/>
        </w:rPr>
        <w:t xml:space="preserve"> marja aferenta riscului de credit al </w:t>
      </w:r>
      <w:r w:rsidR="00AA1EED" w:rsidRPr="009C6832">
        <w:rPr>
          <w:rFonts w:eastAsia="MS Mincho" w:cs="Arial"/>
          <w:sz w:val="24"/>
          <w:szCs w:val="24"/>
          <w:lang w:eastAsia="ja-JP"/>
        </w:rPr>
        <w:t>României</w:t>
      </w:r>
      <w:r w:rsidRPr="009C6832">
        <w:rPr>
          <w:rFonts w:eastAsia="MS Mincho" w:cs="Arial"/>
          <w:sz w:val="24"/>
          <w:szCs w:val="24"/>
          <w:lang w:eastAsia="ja-JP"/>
        </w:rPr>
        <w:t xml:space="preserve"> a </w:t>
      </w:r>
      <w:r w:rsidR="00AA1EED" w:rsidRPr="009C6832">
        <w:rPr>
          <w:rFonts w:eastAsia="MS Mincho" w:cs="Arial"/>
          <w:sz w:val="24"/>
          <w:szCs w:val="24"/>
          <w:lang w:eastAsia="ja-JP"/>
        </w:rPr>
        <w:t>înregistrat</w:t>
      </w:r>
      <w:r w:rsidRPr="009C6832">
        <w:rPr>
          <w:rFonts w:eastAsia="MS Mincho" w:cs="Arial"/>
          <w:sz w:val="24"/>
          <w:szCs w:val="24"/>
          <w:lang w:eastAsia="ja-JP"/>
        </w:rPr>
        <w:t xml:space="preserve"> cel mai </w:t>
      </w:r>
      <w:r w:rsidR="00AA1EED" w:rsidRPr="009C6832">
        <w:rPr>
          <w:rFonts w:eastAsia="MS Mincho" w:cs="Arial"/>
          <w:sz w:val="24"/>
          <w:szCs w:val="24"/>
          <w:lang w:eastAsia="ja-JP"/>
        </w:rPr>
        <w:t>scăzut</w:t>
      </w:r>
      <w:r w:rsidRPr="009C6832">
        <w:rPr>
          <w:rFonts w:eastAsia="MS Mincho" w:cs="Arial"/>
          <w:sz w:val="24"/>
          <w:szCs w:val="24"/>
          <w:lang w:eastAsia="ja-JP"/>
        </w:rPr>
        <w:t xml:space="preserve"> nivel pentru o astfel de maturitate, situ</w:t>
      </w:r>
      <w:r w:rsidR="008B3560" w:rsidRPr="009C6832">
        <w:rPr>
          <w:rFonts w:eastAsia="MS Mincho" w:cs="Arial"/>
          <w:sz w:val="24"/>
          <w:szCs w:val="24"/>
          <w:lang w:eastAsia="ja-JP"/>
        </w:rPr>
        <w:t>â</w:t>
      </w:r>
      <w:r w:rsidRPr="009C6832">
        <w:rPr>
          <w:rFonts w:eastAsia="MS Mincho" w:cs="Arial"/>
          <w:sz w:val="24"/>
          <w:szCs w:val="24"/>
          <w:lang w:eastAsia="ja-JP"/>
        </w:rPr>
        <w:t>ndu-se la 170 puncte de bază peste cotațiile nivelului de referință mid swap.</w:t>
      </w:r>
    </w:p>
    <w:p w:rsidR="00060B8F" w:rsidRPr="009C6832" w:rsidRDefault="00006DDD" w:rsidP="00060B8F">
      <w:pPr>
        <w:autoSpaceDE w:val="0"/>
        <w:autoSpaceDN w:val="0"/>
        <w:adjustRightInd w:val="0"/>
        <w:spacing w:after="0"/>
        <w:ind w:firstLine="709"/>
        <w:rPr>
          <w:rFonts w:eastAsia="MS Mincho" w:cs="Arial"/>
          <w:sz w:val="24"/>
          <w:szCs w:val="24"/>
          <w:lang w:eastAsia="ja-JP"/>
        </w:rPr>
      </w:pPr>
      <w:r w:rsidRPr="009C6832">
        <w:rPr>
          <w:rFonts w:eastAsia="MS Mincho" w:cs="Arial"/>
          <w:sz w:val="24"/>
          <w:szCs w:val="24"/>
          <w:lang w:eastAsia="ja-JP"/>
        </w:rPr>
        <w:t xml:space="preserve">De asemenea, redeschiderea emisiunii scadentă în data de 29 octombrie 2035, a atras atenția investitorilor, aceasta fiind realizată la randamentul cel mai </w:t>
      </w:r>
      <w:r w:rsidR="00AA1EED" w:rsidRPr="009C6832">
        <w:rPr>
          <w:rFonts w:eastAsia="MS Mincho" w:cs="Arial"/>
          <w:sz w:val="24"/>
          <w:szCs w:val="24"/>
          <w:lang w:eastAsia="ja-JP"/>
        </w:rPr>
        <w:t>scăzut</w:t>
      </w:r>
      <w:r w:rsidRPr="009C6832">
        <w:rPr>
          <w:rFonts w:eastAsia="MS Mincho" w:cs="Arial"/>
          <w:sz w:val="24"/>
          <w:szCs w:val="24"/>
          <w:lang w:eastAsia="ja-JP"/>
        </w:rPr>
        <w:t xml:space="preserve"> de 3,55%, în scădere față de cel înregistrat la lansarea inițială a acesteia în luna octombrie 2015 (3,93%) </w:t>
      </w:r>
      <w:r w:rsidR="008B3560" w:rsidRPr="009C6832">
        <w:rPr>
          <w:rFonts w:eastAsia="MS Mincho" w:cs="Arial"/>
          <w:sz w:val="24"/>
          <w:szCs w:val="24"/>
          <w:lang w:eastAsia="ja-JP"/>
        </w:rPr>
        <w:t>ș</w:t>
      </w:r>
      <w:r w:rsidRPr="009C6832">
        <w:rPr>
          <w:rFonts w:eastAsia="MS Mincho" w:cs="Arial"/>
          <w:sz w:val="24"/>
          <w:szCs w:val="24"/>
          <w:lang w:eastAsia="ja-JP"/>
        </w:rPr>
        <w:t xml:space="preserve">i la redeschiderea </w:t>
      </w:r>
      <w:r w:rsidR="00AA1EED" w:rsidRPr="009C6832">
        <w:rPr>
          <w:rFonts w:eastAsia="MS Mincho" w:cs="Arial"/>
          <w:sz w:val="24"/>
          <w:szCs w:val="24"/>
          <w:lang w:eastAsia="ja-JP"/>
        </w:rPr>
        <w:t>aceleiași</w:t>
      </w:r>
      <w:r w:rsidRPr="009C6832">
        <w:rPr>
          <w:rFonts w:eastAsia="MS Mincho" w:cs="Arial"/>
          <w:sz w:val="24"/>
          <w:szCs w:val="24"/>
          <w:lang w:eastAsia="ja-JP"/>
        </w:rPr>
        <w:t xml:space="preserve"> emisiuni din februarie 2016 (3,90%). Cu această nouă redeschidere, volumul cumulat pe această serie a atins un nivel de 2 miliarde euro, creând astfel </w:t>
      </w:r>
      <w:r w:rsidR="00AA1EED" w:rsidRPr="009C6832">
        <w:rPr>
          <w:rFonts w:eastAsia="MS Mincho" w:cs="Arial"/>
          <w:sz w:val="24"/>
          <w:szCs w:val="24"/>
          <w:lang w:eastAsia="ja-JP"/>
        </w:rPr>
        <w:t>premisele</w:t>
      </w:r>
      <w:r w:rsidRPr="009C6832">
        <w:rPr>
          <w:rFonts w:eastAsia="MS Mincho" w:cs="Arial"/>
          <w:sz w:val="24"/>
          <w:szCs w:val="24"/>
          <w:lang w:eastAsia="ja-JP"/>
        </w:rPr>
        <w:t xml:space="preserve"> cre</w:t>
      </w:r>
      <w:r w:rsidR="008B3560" w:rsidRPr="009C6832">
        <w:rPr>
          <w:rFonts w:eastAsia="MS Mincho" w:cs="Arial"/>
          <w:sz w:val="24"/>
          <w:szCs w:val="24"/>
          <w:lang w:eastAsia="ja-JP"/>
        </w:rPr>
        <w:t>ș</w:t>
      </w:r>
      <w:r w:rsidRPr="009C6832">
        <w:rPr>
          <w:rFonts w:eastAsia="MS Mincho" w:cs="Arial"/>
          <w:sz w:val="24"/>
          <w:szCs w:val="24"/>
          <w:lang w:eastAsia="ja-JP"/>
        </w:rPr>
        <w:t>terii lichidit</w:t>
      </w:r>
      <w:r w:rsidR="008B3560" w:rsidRPr="009C6832">
        <w:rPr>
          <w:rFonts w:eastAsia="MS Mincho" w:cs="Arial"/>
          <w:sz w:val="24"/>
          <w:szCs w:val="24"/>
          <w:lang w:eastAsia="ja-JP"/>
        </w:rPr>
        <w:t>ăț</w:t>
      </w:r>
      <w:r w:rsidRPr="009C6832">
        <w:rPr>
          <w:rFonts w:eastAsia="MS Mincho" w:cs="Arial"/>
          <w:sz w:val="24"/>
          <w:szCs w:val="24"/>
          <w:lang w:eastAsia="ja-JP"/>
        </w:rPr>
        <w:t xml:space="preserve">ii acestei emisiuni. </w:t>
      </w:r>
    </w:p>
    <w:p w:rsidR="00060B8F" w:rsidRPr="009C6832" w:rsidRDefault="00006DDD" w:rsidP="00060B8F">
      <w:pPr>
        <w:autoSpaceDE w:val="0"/>
        <w:autoSpaceDN w:val="0"/>
        <w:adjustRightInd w:val="0"/>
        <w:spacing w:after="0"/>
        <w:ind w:firstLine="709"/>
        <w:rPr>
          <w:rFonts w:eastAsia="MS Mincho" w:cs="Arial"/>
          <w:sz w:val="24"/>
          <w:szCs w:val="24"/>
          <w:lang w:eastAsia="ja-JP"/>
        </w:rPr>
      </w:pPr>
      <w:r w:rsidRPr="009C6832">
        <w:rPr>
          <w:rFonts w:eastAsia="MS Mincho" w:cs="Arial"/>
          <w:sz w:val="24"/>
          <w:szCs w:val="24"/>
          <w:lang w:eastAsia="ja-JP"/>
        </w:rPr>
        <w:t xml:space="preserve">Garanțiile guvernamentale acordate de Ministerul Finanțelor Publice în primele 5 luni ale anului 2017 au fost în valoare de 1.231,6 mil. lei, în limita plafonului de 8.000 mil. lei </w:t>
      </w:r>
      <w:r w:rsidRPr="009C6832">
        <w:rPr>
          <w:rFonts w:eastAsia="Calibri" w:cs="Arial"/>
          <w:sz w:val="24"/>
          <w:szCs w:val="24"/>
        </w:rPr>
        <w:t xml:space="preserve">stabilit prin </w:t>
      </w:r>
      <w:r w:rsidRPr="009C6832">
        <w:rPr>
          <w:rFonts w:eastAsia="Calibri" w:cs="Arial"/>
          <w:i/>
          <w:sz w:val="24"/>
          <w:szCs w:val="24"/>
        </w:rPr>
        <w:t>Legea nr. 5/2017 pentru aprobarea plafoanelor unor indicatori specificați în cadrul fiscal-bugetar pe anul 2017</w:t>
      </w:r>
      <w:r w:rsidRPr="009C6832">
        <w:rPr>
          <w:rFonts w:eastAsia="Calibri" w:cs="Arial"/>
          <w:sz w:val="24"/>
          <w:szCs w:val="24"/>
        </w:rPr>
        <w:t>.</w:t>
      </w:r>
    </w:p>
    <w:p w:rsidR="00060B8F" w:rsidRPr="009C6832" w:rsidRDefault="00006DDD" w:rsidP="00060B8F">
      <w:pPr>
        <w:autoSpaceDE w:val="0"/>
        <w:autoSpaceDN w:val="0"/>
        <w:adjustRightInd w:val="0"/>
        <w:spacing w:after="0"/>
        <w:ind w:firstLine="709"/>
        <w:rPr>
          <w:rFonts w:eastAsia="MS Mincho" w:cs="Arial"/>
          <w:sz w:val="24"/>
          <w:szCs w:val="24"/>
          <w:lang w:eastAsia="ja-JP"/>
        </w:rPr>
      </w:pPr>
      <w:r w:rsidRPr="009C6832">
        <w:rPr>
          <w:rFonts w:eastAsia="MS Mincho" w:cs="Arial"/>
          <w:sz w:val="24"/>
          <w:szCs w:val="24"/>
          <w:lang w:eastAsia="ja-JP"/>
        </w:rPr>
        <w:t xml:space="preserve">În ceea ce privește tragerile autorizate pentru a fi efectuate în anul 2017 din finanțările rambursabile contractate sau care urmează să fie contractate de către unitățile/subdiviziunile administrativ-teritoriale, acestea au fost în valoare de 1.200,00 milioane lei, nefiind depășit plafonul anual de 1.200 milioane lei, aprobat prin Legea nr. 5/2017 şi Hotărârea </w:t>
      </w:r>
      <w:r w:rsidRPr="009C6832">
        <w:rPr>
          <w:rFonts w:eastAsia="MS Mincho" w:cs="Arial"/>
          <w:i/>
          <w:sz w:val="24"/>
          <w:szCs w:val="24"/>
          <w:lang w:eastAsia="ja-JP"/>
        </w:rPr>
        <w:t xml:space="preserve">Guvernului nr. 884/2016 privind aprobarea limitelor anuale, aferente anilor 2017–2019, pentru </w:t>
      </w:r>
      <w:r w:rsidR="00AA1EED" w:rsidRPr="009C6832">
        <w:rPr>
          <w:rFonts w:eastAsia="MS Mincho" w:cs="Arial"/>
          <w:i/>
          <w:sz w:val="24"/>
          <w:szCs w:val="24"/>
          <w:lang w:eastAsia="ja-JP"/>
        </w:rPr>
        <w:t>finanțările</w:t>
      </w:r>
      <w:r w:rsidRPr="009C6832">
        <w:rPr>
          <w:rFonts w:eastAsia="MS Mincho" w:cs="Arial"/>
          <w:i/>
          <w:sz w:val="24"/>
          <w:szCs w:val="24"/>
          <w:lang w:eastAsia="ja-JP"/>
        </w:rPr>
        <w:t xml:space="preserve"> rambursabile care pot fi contractate şi pentru tragerile din </w:t>
      </w:r>
      <w:r w:rsidR="00AA1EED" w:rsidRPr="009C6832">
        <w:rPr>
          <w:rFonts w:eastAsia="MS Mincho" w:cs="Arial"/>
          <w:i/>
          <w:sz w:val="24"/>
          <w:szCs w:val="24"/>
          <w:lang w:eastAsia="ja-JP"/>
        </w:rPr>
        <w:t>finanțările</w:t>
      </w:r>
      <w:r w:rsidRPr="009C6832">
        <w:rPr>
          <w:rFonts w:eastAsia="MS Mincho" w:cs="Arial"/>
          <w:i/>
          <w:sz w:val="24"/>
          <w:szCs w:val="24"/>
          <w:lang w:eastAsia="ja-JP"/>
        </w:rPr>
        <w:t xml:space="preserve"> rambursabile contractate sau care urmează a fi contractate de </w:t>
      </w:r>
      <w:r w:rsidR="00AA1EED" w:rsidRPr="009C6832">
        <w:rPr>
          <w:rFonts w:eastAsia="MS Mincho" w:cs="Arial"/>
          <w:i/>
          <w:sz w:val="24"/>
          <w:szCs w:val="24"/>
          <w:lang w:eastAsia="ja-JP"/>
        </w:rPr>
        <w:t>unitățile</w:t>
      </w:r>
      <w:r w:rsidRPr="009C6832">
        <w:rPr>
          <w:rFonts w:eastAsia="MS Mincho" w:cs="Arial"/>
          <w:i/>
          <w:sz w:val="24"/>
          <w:szCs w:val="24"/>
          <w:lang w:eastAsia="ja-JP"/>
        </w:rPr>
        <w:t>/subdiviziunile administrativ-teritoriale</w:t>
      </w:r>
      <w:r w:rsidRPr="009C6832">
        <w:rPr>
          <w:rFonts w:eastAsia="MS Mincho" w:cs="Arial"/>
          <w:sz w:val="24"/>
          <w:szCs w:val="24"/>
          <w:lang w:eastAsia="ja-JP"/>
        </w:rPr>
        <w:t>. Finanțările rambursabile autorizate în semestrul I 2017 pentru a fi contractate de unitățile/subdiviziunile administrativ-teritoriale pentru realizarea de investiții publice de interes local au fost în valoare de 414,14 milioane lei, în limita plafonului de 1.200 milioane lei stabilit prin Legea nr. 5/2017.</w:t>
      </w:r>
    </w:p>
    <w:p w:rsidR="00006DDD" w:rsidRPr="009C6832" w:rsidRDefault="00006DDD" w:rsidP="00060B8F">
      <w:pPr>
        <w:autoSpaceDE w:val="0"/>
        <w:autoSpaceDN w:val="0"/>
        <w:adjustRightInd w:val="0"/>
        <w:spacing w:after="0"/>
        <w:ind w:firstLine="709"/>
        <w:rPr>
          <w:rFonts w:eastAsia="MS Mincho" w:cs="Arial"/>
          <w:sz w:val="24"/>
          <w:szCs w:val="24"/>
          <w:lang w:eastAsia="ja-JP"/>
        </w:rPr>
      </w:pPr>
      <w:r w:rsidRPr="009C6832">
        <w:rPr>
          <w:rFonts w:eastAsia="MS Mincho" w:cs="Arial"/>
          <w:sz w:val="24"/>
          <w:szCs w:val="24"/>
          <w:lang w:eastAsia="ja-JP"/>
        </w:rPr>
        <w:t xml:space="preserve">În baza art. 1 din </w:t>
      </w:r>
      <w:r w:rsidRPr="009C6832">
        <w:rPr>
          <w:rFonts w:eastAsia="MS Mincho" w:cs="Arial"/>
          <w:i/>
          <w:sz w:val="24"/>
          <w:szCs w:val="24"/>
          <w:lang w:eastAsia="ja-JP"/>
        </w:rPr>
        <w:t>OUG nr. 27/2017 pentru adoptarea unor măsuri fiscal-bugetare</w:t>
      </w:r>
      <w:r w:rsidRPr="009C6832">
        <w:rPr>
          <w:rFonts w:eastAsia="MS Mincho" w:cs="Arial"/>
          <w:sz w:val="24"/>
          <w:szCs w:val="24"/>
          <w:lang w:eastAsia="ja-JP"/>
        </w:rPr>
        <w:t xml:space="preserve">, în primul semestru al anului 2017 s-a autorizat contractarea unui împrumut în valoare de 84,69 milioane lei de la Ministerul Finanțelor Publice, destinat asigurării prefinanțării și/sau cofinanțării de proiecte finanțate din fonduri externe nerambursabile de la Uniunea Europeană din perioada 2014 – 2020. </w:t>
      </w:r>
    </w:p>
    <w:p w:rsidR="007C4F03" w:rsidRPr="009C6832" w:rsidRDefault="007C4F03" w:rsidP="003349C9">
      <w:pPr>
        <w:spacing w:line="360" w:lineRule="auto"/>
        <w:rPr>
          <w:sz w:val="24"/>
          <w:szCs w:val="24"/>
        </w:rPr>
      </w:pPr>
    </w:p>
    <w:p w:rsidR="007C4F03" w:rsidRPr="009C6832" w:rsidRDefault="007C4F03" w:rsidP="0047638C"/>
    <w:p w:rsidR="00FD47E5" w:rsidRPr="009C6832" w:rsidRDefault="00FD47E5" w:rsidP="0047638C"/>
    <w:p w:rsidR="00FD47E5" w:rsidRPr="009C6832" w:rsidRDefault="00FD47E5" w:rsidP="0047638C"/>
    <w:p w:rsidR="00FD47E5" w:rsidRPr="009C6832" w:rsidRDefault="00FD47E5" w:rsidP="0047638C"/>
    <w:p w:rsidR="00FD47E5" w:rsidRPr="009C6832" w:rsidRDefault="00FD47E5" w:rsidP="0047638C"/>
    <w:p w:rsidR="007C4F03" w:rsidRPr="009C6832" w:rsidRDefault="00E3087D" w:rsidP="0047638C">
      <w:pPr>
        <w:pStyle w:val="ListParagraph"/>
        <w:numPr>
          <w:ilvl w:val="0"/>
          <w:numId w:val="1"/>
        </w:numPr>
        <w:ind w:left="567" w:hanging="283"/>
        <w:outlineLvl w:val="0"/>
        <w:rPr>
          <w:rFonts w:cs="Arial"/>
          <w:b/>
          <w:sz w:val="28"/>
          <w:szCs w:val="28"/>
        </w:rPr>
      </w:pPr>
      <w:bookmarkStart w:id="31" w:name="_Toc425320862"/>
      <w:bookmarkStart w:id="32" w:name="_Toc456256938"/>
      <w:bookmarkStart w:id="33" w:name="_Toc456257462"/>
      <w:bookmarkStart w:id="34" w:name="_Toc456258320"/>
      <w:bookmarkStart w:id="35" w:name="_Toc456258425"/>
      <w:bookmarkStart w:id="36" w:name="_Toc456259615"/>
      <w:r w:rsidRPr="009C6832">
        <w:rPr>
          <w:rFonts w:cs="Arial"/>
          <w:b/>
          <w:sz w:val="28"/>
          <w:szCs w:val="28"/>
        </w:rPr>
        <w:t>Absorbția fondurilor externe nerambursabile</w:t>
      </w:r>
      <w:bookmarkEnd w:id="31"/>
      <w:bookmarkEnd w:id="32"/>
      <w:bookmarkEnd w:id="33"/>
      <w:bookmarkEnd w:id="34"/>
      <w:bookmarkEnd w:id="35"/>
      <w:bookmarkEnd w:id="36"/>
    </w:p>
    <w:p w:rsidR="008B509B" w:rsidRPr="009C6832" w:rsidRDefault="008B509B" w:rsidP="0047638C">
      <w:pPr>
        <w:rPr>
          <w:rFonts w:cs="Arial"/>
          <w:b/>
          <w:bCs/>
          <w:szCs w:val="28"/>
        </w:rPr>
      </w:pPr>
      <w:bookmarkStart w:id="37" w:name="_Toc425320863"/>
      <w:bookmarkStart w:id="38" w:name="_Toc425321145"/>
      <w:bookmarkStart w:id="39" w:name="_Toc425428331"/>
      <w:bookmarkStart w:id="40" w:name="_Toc456256141"/>
      <w:bookmarkStart w:id="41" w:name="_Toc456256939"/>
      <w:bookmarkStart w:id="42" w:name="_Toc456257463"/>
      <w:bookmarkStart w:id="43" w:name="_Toc456258321"/>
      <w:bookmarkStart w:id="44" w:name="_Toc456258373"/>
      <w:bookmarkStart w:id="45" w:name="_Toc456258426"/>
    </w:p>
    <w:p w:rsidR="00FA0452" w:rsidRPr="009C6832" w:rsidRDefault="00FA0452" w:rsidP="00060B8F">
      <w:pPr>
        <w:keepNext/>
        <w:spacing w:after="0"/>
        <w:ind w:firstLine="720"/>
        <w:rPr>
          <w:rFonts w:eastAsia="Times New Roman" w:cs="Arial"/>
          <w:sz w:val="24"/>
          <w:szCs w:val="24"/>
        </w:rPr>
      </w:pPr>
      <w:r w:rsidRPr="009C6832">
        <w:rPr>
          <w:rFonts w:eastAsia="Times New Roman" w:cs="Arial"/>
          <w:sz w:val="24"/>
          <w:szCs w:val="24"/>
        </w:rPr>
        <w:t xml:space="preserve">Sumele primite de România de la bugetul UE, în primul semestru al anului 2017, sunt de 2.118,26 milioane euro. Cea mai mare parte dintre acestea o dețin sumele primite din cadrul financiar multianual (CFM) 2014-2020, respectiv 2.108,95 milioane euro cu o pondere de 44,34%, iar  sumele primite din CFM 2007-2013 sunt de 9,31 milioane euro. Rambursările (inclusiv sumele primite din Fondul European pentru Garantare Agricolă-FEGA) aferente CFM 2007-2013, se ridică la valoarea de 1,29 milioane euro (0,14%). </w:t>
      </w:r>
    </w:p>
    <w:p w:rsidR="00FA0452" w:rsidRPr="009C6832" w:rsidRDefault="00FA0452" w:rsidP="00060B8F">
      <w:pPr>
        <w:keepNext/>
        <w:spacing w:after="0"/>
        <w:ind w:firstLine="720"/>
        <w:rPr>
          <w:rFonts w:eastAsia="Times New Roman" w:cs="Arial"/>
          <w:sz w:val="24"/>
          <w:szCs w:val="24"/>
        </w:rPr>
      </w:pPr>
      <w:r w:rsidRPr="009C6832">
        <w:rPr>
          <w:rFonts w:eastAsia="Times New Roman" w:cs="Arial"/>
          <w:sz w:val="24"/>
          <w:szCs w:val="24"/>
        </w:rPr>
        <w:t>Avansurile primite din CFM 2014-2020 în primele 6 luni ale anului 2017 sunt de 8,70 milioane euro (3,50%), iar rambursările (inclusiv sumele primite din FEGA) sunt de 2</w:t>
      </w:r>
      <w:r w:rsidR="000B6552" w:rsidRPr="009C6832">
        <w:rPr>
          <w:rFonts w:eastAsia="Times New Roman" w:cs="Arial"/>
          <w:sz w:val="24"/>
          <w:szCs w:val="24"/>
        </w:rPr>
        <w:t>.</w:t>
      </w:r>
      <w:r w:rsidRPr="009C6832">
        <w:rPr>
          <w:rFonts w:eastAsia="Times New Roman" w:cs="Arial"/>
          <w:sz w:val="24"/>
          <w:szCs w:val="24"/>
        </w:rPr>
        <w:t>100,25 milioane euro (46,59%).</w:t>
      </w:r>
    </w:p>
    <w:p w:rsidR="00FA0452" w:rsidRPr="009C6832" w:rsidRDefault="00FA0452" w:rsidP="00060B8F">
      <w:pPr>
        <w:keepNext/>
        <w:spacing w:after="0"/>
        <w:ind w:firstLine="720"/>
        <w:rPr>
          <w:rFonts w:eastAsia="Times New Roman" w:cs="Arial"/>
          <w:color w:val="4472C4"/>
          <w:sz w:val="24"/>
          <w:szCs w:val="24"/>
        </w:rPr>
      </w:pPr>
      <w:r w:rsidRPr="009C6832">
        <w:rPr>
          <w:rFonts w:eastAsia="Times New Roman" w:cs="Arial"/>
          <w:sz w:val="24"/>
          <w:szCs w:val="24"/>
        </w:rPr>
        <w:t xml:space="preserve">Din punct de vedere al </w:t>
      </w:r>
      <w:r w:rsidR="00AA1EED" w:rsidRPr="009C6832">
        <w:rPr>
          <w:rFonts w:eastAsia="Times New Roman" w:cs="Arial"/>
          <w:sz w:val="24"/>
          <w:szCs w:val="24"/>
        </w:rPr>
        <w:t>absorbției</w:t>
      </w:r>
      <w:r w:rsidRPr="009C6832">
        <w:rPr>
          <w:rFonts w:eastAsia="Times New Roman" w:cs="Arial"/>
          <w:sz w:val="24"/>
          <w:szCs w:val="24"/>
        </w:rPr>
        <w:t>, cele mai bune rezultate au fost înregistrate de FEGA prin intermediul căruia au fost atrase 1.450,46 milioane euro (78,07%), urmată de fondurile de dezvoltare rurală şi pescuit (FEADR</w:t>
      </w:r>
      <w:r w:rsidRPr="009C6832">
        <w:rPr>
          <w:rFonts w:eastAsia="Times New Roman" w:cs="Arial"/>
          <w:sz w:val="24"/>
          <w:szCs w:val="24"/>
          <w:vertAlign w:val="superscript"/>
        </w:rPr>
        <w:footnoteReference w:id="10"/>
      </w:r>
      <w:r w:rsidRPr="009C6832">
        <w:rPr>
          <w:rFonts w:eastAsia="Times New Roman" w:cs="Arial"/>
          <w:sz w:val="24"/>
          <w:szCs w:val="24"/>
        </w:rPr>
        <w:t xml:space="preserve"> si FEPAM</w:t>
      </w:r>
      <w:r w:rsidRPr="009C6832">
        <w:rPr>
          <w:rFonts w:eastAsia="Times New Roman" w:cs="Arial"/>
          <w:sz w:val="24"/>
          <w:szCs w:val="24"/>
          <w:vertAlign w:val="superscript"/>
        </w:rPr>
        <w:footnoteReference w:id="11"/>
      </w:r>
      <w:r w:rsidRPr="009C6832">
        <w:rPr>
          <w:rFonts w:eastAsia="Times New Roman" w:cs="Arial"/>
          <w:sz w:val="24"/>
          <w:szCs w:val="24"/>
        </w:rPr>
        <w:t>) cu 572,08 milioane euro (34,84%).</w:t>
      </w:r>
    </w:p>
    <w:p w:rsidR="00FA0452" w:rsidRPr="009C6832" w:rsidRDefault="00FA0452" w:rsidP="00060B8F">
      <w:pPr>
        <w:keepNext/>
        <w:spacing w:after="0"/>
        <w:ind w:firstLine="720"/>
        <w:rPr>
          <w:rFonts w:eastAsia="Times New Roman" w:cs="Arial"/>
          <w:sz w:val="24"/>
          <w:szCs w:val="24"/>
        </w:rPr>
      </w:pPr>
      <w:r w:rsidRPr="009C6832">
        <w:rPr>
          <w:rFonts w:eastAsia="Times New Roman" w:cs="Arial"/>
          <w:sz w:val="24"/>
          <w:szCs w:val="24"/>
        </w:rPr>
        <w:t>În ceea ce privește încasările cumulate din ambele CFM, fonduri structurale și de coeziune – FSC se situează pe primul loc cu 18.631,94 milioane euro, urmate de plățile directe către fermieri, acordate din Fondul European pentru Garantare Agricolă - FEGA cu 10.349,87 milioane euro.</w:t>
      </w:r>
    </w:p>
    <w:p w:rsidR="007207DF" w:rsidRPr="009C6832" w:rsidRDefault="007207DF" w:rsidP="00FA0452">
      <w:pPr>
        <w:keepNext/>
        <w:spacing w:after="0"/>
        <w:ind w:firstLine="720"/>
        <w:rPr>
          <w:rFonts w:eastAsia="Times New Roman" w:cs="Arial"/>
          <w:sz w:val="24"/>
          <w:szCs w:val="24"/>
        </w:rPr>
      </w:pPr>
    </w:p>
    <w:p w:rsidR="007207DF" w:rsidRPr="009C6832" w:rsidRDefault="007207DF" w:rsidP="00FA0452">
      <w:pPr>
        <w:keepNext/>
        <w:spacing w:after="0"/>
        <w:ind w:firstLine="720"/>
        <w:rPr>
          <w:rFonts w:eastAsia="Times New Roman" w:cs="Arial"/>
          <w:sz w:val="24"/>
          <w:szCs w:val="24"/>
        </w:rPr>
      </w:pPr>
    </w:p>
    <w:tbl>
      <w:tblPr>
        <w:tblW w:w="8913" w:type="dxa"/>
        <w:tblInd w:w="108" w:type="dxa"/>
        <w:tblLook w:val="04A0" w:firstRow="1" w:lastRow="0" w:firstColumn="1" w:lastColumn="0" w:noHBand="0" w:noVBand="1"/>
      </w:tblPr>
      <w:tblGrid>
        <w:gridCol w:w="3861"/>
        <w:gridCol w:w="1134"/>
        <w:gridCol w:w="1134"/>
        <w:gridCol w:w="1284"/>
        <w:gridCol w:w="1500"/>
      </w:tblGrid>
      <w:tr w:rsidR="007207DF" w:rsidRPr="009C6832" w:rsidTr="0050101A">
        <w:trPr>
          <w:trHeight w:val="641"/>
        </w:trPr>
        <w:tc>
          <w:tcPr>
            <w:tcW w:w="8913" w:type="dxa"/>
            <w:gridSpan w:val="5"/>
            <w:tcBorders>
              <w:top w:val="nil"/>
              <w:left w:val="nil"/>
              <w:bottom w:val="nil"/>
              <w:right w:val="nil"/>
            </w:tcBorders>
            <w:shd w:val="clear" w:color="auto" w:fill="auto"/>
            <w:vAlign w:val="bottom"/>
            <w:hideMark/>
          </w:tcPr>
          <w:p w:rsidR="007207DF" w:rsidRPr="009C6832" w:rsidRDefault="007207DF" w:rsidP="007207DF">
            <w:pPr>
              <w:spacing w:after="0" w:line="240" w:lineRule="auto"/>
              <w:ind w:firstLine="0"/>
              <w:jc w:val="center"/>
              <w:rPr>
                <w:rFonts w:eastAsia="Times New Roman" w:cs="Arial"/>
                <w:b/>
                <w:bCs/>
                <w:sz w:val="24"/>
                <w:szCs w:val="24"/>
                <w:lang w:eastAsia="ro-RO"/>
              </w:rPr>
            </w:pPr>
            <w:r w:rsidRPr="009C6832">
              <w:rPr>
                <w:rFonts w:eastAsia="Times New Roman" w:cs="Arial"/>
                <w:b/>
                <w:bCs/>
                <w:sz w:val="24"/>
                <w:szCs w:val="24"/>
                <w:lang w:val="en-US"/>
              </w:rPr>
              <w:t>Evoluţia fluxurilor financiare dintre România şi Uniunea Europeană</w:t>
            </w:r>
            <w:r w:rsidRPr="009C6832">
              <w:rPr>
                <w:rFonts w:eastAsia="Times New Roman" w:cs="Arial"/>
                <w:b/>
                <w:bCs/>
                <w:sz w:val="24"/>
                <w:szCs w:val="24"/>
                <w:lang w:val="en-US"/>
              </w:rPr>
              <w:br/>
              <w:t>( BALANŢA FINANCIARĂ NETĂ)</w:t>
            </w:r>
          </w:p>
        </w:tc>
      </w:tr>
      <w:tr w:rsidR="007207DF" w:rsidRPr="009C6832" w:rsidTr="0050101A">
        <w:trPr>
          <w:trHeight w:val="299"/>
        </w:trPr>
        <w:tc>
          <w:tcPr>
            <w:tcW w:w="8913" w:type="dxa"/>
            <w:gridSpan w:val="5"/>
            <w:tcBorders>
              <w:top w:val="nil"/>
              <w:left w:val="nil"/>
              <w:bottom w:val="nil"/>
              <w:right w:val="nil"/>
            </w:tcBorders>
            <w:shd w:val="clear" w:color="auto" w:fill="auto"/>
            <w:vAlign w:val="bottom"/>
            <w:hideMark/>
          </w:tcPr>
          <w:p w:rsidR="007207DF" w:rsidRPr="009C6832" w:rsidRDefault="007207DF" w:rsidP="007207DF">
            <w:pPr>
              <w:spacing w:after="0" w:line="240" w:lineRule="auto"/>
              <w:ind w:firstLine="0"/>
              <w:jc w:val="center"/>
              <w:rPr>
                <w:rFonts w:eastAsia="Times New Roman" w:cs="Arial"/>
                <w:b/>
                <w:bCs/>
                <w:sz w:val="24"/>
                <w:szCs w:val="24"/>
                <w:lang w:val="en-US"/>
              </w:rPr>
            </w:pPr>
            <w:r w:rsidRPr="009C6832">
              <w:rPr>
                <w:rFonts w:eastAsia="Times New Roman" w:cs="Arial"/>
                <w:b/>
                <w:bCs/>
                <w:sz w:val="24"/>
                <w:szCs w:val="24"/>
                <w:lang w:val="en-US"/>
              </w:rPr>
              <w:t>la 30.06.2017</w:t>
            </w:r>
          </w:p>
        </w:tc>
      </w:tr>
      <w:tr w:rsidR="0050101A" w:rsidRPr="009C6832" w:rsidTr="00F93CAD">
        <w:trPr>
          <w:trHeight w:val="359"/>
        </w:trPr>
        <w:tc>
          <w:tcPr>
            <w:tcW w:w="3861" w:type="dxa"/>
            <w:tcBorders>
              <w:top w:val="nil"/>
              <w:left w:val="nil"/>
              <w:bottom w:val="nil"/>
              <w:right w:val="nil"/>
            </w:tcBorders>
            <w:shd w:val="clear" w:color="auto" w:fill="auto"/>
            <w:vAlign w:val="bottom"/>
            <w:hideMark/>
          </w:tcPr>
          <w:p w:rsidR="0050101A" w:rsidRPr="009C6832" w:rsidRDefault="0050101A" w:rsidP="007207DF">
            <w:pPr>
              <w:spacing w:after="0" w:line="240" w:lineRule="auto"/>
              <w:ind w:firstLine="0"/>
              <w:jc w:val="left"/>
              <w:rPr>
                <w:rFonts w:eastAsia="Times New Roman" w:cs="Arial"/>
                <w:b/>
                <w:bCs/>
                <w:sz w:val="20"/>
                <w:szCs w:val="20"/>
                <w:lang w:val="en-US"/>
              </w:rPr>
            </w:pPr>
            <w:r w:rsidRPr="009C6832">
              <w:rPr>
                <w:rFonts w:eastAsia="Times New Roman" w:cs="Arial"/>
                <w:b/>
                <w:bCs/>
                <w:sz w:val="20"/>
                <w:szCs w:val="20"/>
                <w:lang w:val="en-US"/>
              </w:rPr>
              <w:t>Sume primite în CFM</w:t>
            </w:r>
            <w:r w:rsidRPr="009C6832">
              <w:rPr>
                <w:rFonts w:eastAsia="Times New Roman" w:cs="Arial"/>
                <w:b/>
                <w:bCs/>
                <w:sz w:val="20"/>
                <w:szCs w:val="20"/>
                <w:vertAlign w:val="superscript"/>
                <w:lang w:val="en-US"/>
              </w:rPr>
              <w:t>*)</w:t>
            </w:r>
            <w:r w:rsidRPr="009C6832">
              <w:rPr>
                <w:rFonts w:eastAsia="Times New Roman" w:cs="Arial"/>
                <w:b/>
                <w:bCs/>
                <w:sz w:val="20"/>
                <w:szCs w:val="20"/>
                <w:lang w:val="en-US"/>
              </w:rPr>
              <w:t xml:space="preserve"> 2007-2013</w:t>
            </w:r>
          </w:p>
        </w:tc>
        <w:tc>
          <w:tcPr>
            <w:tcW w:w="1134" w:type="dxa"/>
            <w:tcBorders>
              <w:top w:val="nil"/>
              <w:left w:val="nil"/>
              <w:bottom w:val="nil"/>
              <w:right w:val="nil"/>
            </w:tcBorders>
            <w:shd w:val="clear" w:color="auto" w:fill="auto"/>
            <w:noWrap/>
            <w:vAlign w:val="bottom"/>
            <w:hideMark/>
          </w:tcPr>
          <w:p w:rsidR="0050101A" w:rsidRPr="009C6832" w:rsidRDefault="0050101A" w:rsidP="007207DF">
            <w:pPr>
              <w:spacing w:after="0" w:line="240" w:lineRule="auto"/>
              <w:ind w:firstLine="0"/>
              <w:jc w:val="left"/>
              <w:rPr>
                <w:rFonts w:eastAsia="Times New Roman" w:cs="Arial"/>
                <w:b/>
                <w:bCs/>
                <w:sz w:val="20"/>
                <w:szCs w:val="20"/>
                <w:lang w:val="en-US"/>
              </w:rPr>
            </w:pPr>
          </w:p>
        </w:tc>
        <w:tc>
          <w:tcPr>
            <w:tcW w:w="1134" w:type="dxa"/>
            <w:tcBorders>
              <w:top w:val="nil"/>
              <w:left w:val="nil"/>
              <w:bottom w:val="nil"/>
              <w:right w:val="nil"/>
            </w:tcBorders>
            <w:shd w:val="clear" w:color="auto" w:fill="auto"/>
            <w:noWrap/>
            <w:vAlign w:val="bottom"/>
            <w:hideMark/>
          </w:tcPr>
          <w:p w:rsidR="0050101A" w:rsidRPr="009C6832" w:rsidRDefault="0050101A" w:rsidP="007207DF">
            <w:pPr>
              <w:spacing w:after="0" w:line="240" w:lineRule="auto"/>
              <w:ind w:firstLine="0"/>
              <w:jc w:val="left"/>
              <w:rPr>
                <w:rFonts w:eastAsia="Times New Roman" w:cs="Times New Roman"/>
                <w:sz w:val="20"/>
                <w:szCs w:val="20"/>
                <w:lang w:val="en-US"/>
              </w:rPr>
            </w:pPr>
          </w:p>
        </w:tc>
        <w:tc>
          <w:tcPr>
            <w:tcW w:w="2784" w:type="dxa"/>
            <w:gridSpan w:val="2"/>
            <w:tcBorders>
              <w:top w:val="nil"/>
              <w:left w:val="nil"/>
              <w:bottom w:val="nil"/>
              <w:right w:val="nil"/>
            </w:tcBorders>
            <w:shd w:val="clear" w:color="auto" w:fill="auto"/>
            <w:noWrap/>
            <w:vAlign w:val="bottom"/>
            <w:hideMark/>
          </w:tcPr>
          <w:p w:rsidR="0050101A" w:rsidRPr="009C6832" w:rsidRDefault="0050101A" w:rsidP="0050101A">
            <w:pPr>
              <w:spacing w:after="0" w:line="240" w:lineRule="auto"/>
              <w:ind w:firstLine="0"/>
              <w:jc w:val="right"/>
              <w:rPr>
                <w:rFonts w:eastAsia="Times New Roman" w:cs="Arial"/>
                <w:b/>
                <w:bCs/>
                <w:sz w:val="20"/>
                <w:szCs w:val="20"/>
                <w:lang w:val="en-US"/>
              </w:rPr>
            </w:pPr>
            <w:r w:rsidRPr="009C6832">
              <w:rPr>
                <w:rFonts w:eastAsia="Times New Roman" w:cs="Arial"/>
                <w:b/>
                <w:bCs/>
                <w:sz w:val="20"/>
                <w:szCs w:val="20"/>
                <w:lang w:val="en-US"/>
              </w:rPr>
              <w:t>milioane euro</w:t>
            </w:r>
          </w:p>
        </w:tc>
      </w:tr>
      <w:tr w:rsidR="007207DF" w:rsidRPr="009C6832" w:rsidTr="0050101A">
        <w:trPr>
          <w:trHeight w:val="760"/>
        </w:trPr>
        <w:tc>
          <w:tcPr>
            <w:tcW w:w="38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07DF" w:rsidRPr="009C6832" w:rsidRDefault="007207DF" w:rsidP="007207DF">
            <w:pPr>
              <w:spacing w:after="0" w:line="240" w:lineRule="auto"/>
              <w:ind w:firstLine="0"/>
              <w:jc w:val="center"/>
              <w:rPr>
                <w:rFonts w:eastAsia="Times New Roman" w:cs="Arial"/>
                <w:sz w:val="20"/>
                <w:szCs w:val="20"/>
                <w:lang w:val="en-US"/>
              </w:rPr>
            </w:pPr>
            <w:r w:rsidRPr="009C6832">
              <w:rPr>
                <w:rFonts w:eastAsia="Times New Roman" w:cs="Arial"/>
                <w:sz w:val="20"/>
                <w:szCs w:val="20"/>
                <w:lang w:val="en-US"/>
              </w:rPr>
              <w:t>Denumire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07DF" w:rsidRPr="009C6832" w:rsidRDefault="003E5F89" w:rsidP="007207DF">
            <w:pPr>
              <w:spacing w:after="0" w:line="240" w:lineRule="auto"/>
              <w:ind w:firstLine="0"/>
              <w:jc w:val="center"/>
              <w:rPr>
                <w:rFonts w:eastAsia="Times New Roman" w:cs="Arial"/>
                <w:sz w:val="20"/>
                <w:szCs w:val="20"/>
                <w:lang w:val="en-US"/>
              </w:rPr>
            </w:pPr>
            <w:r w:rsidRPr="009C6832">
              <w:rPr>
                <w:rFonts w:eastAsia="Times New Roman" w:cs="Arial"/>
                <w:sz w:val="20"/>
                <w:szCs w:val="20"/>
                <w:lang w:val="en-US"/>
              </w:rPr>
              <w:t xml:space="preserve">Estimari </w:t>
            </w:r>
            <w:r w:rsidRPr="009C6832">
              <w:rPr>
                <w:rFonts w:eastAsia="Times New Roman" w:cs="Arial"/>
                <w:sz w:val="20"/>
                <w:szCs w:val="20"/>
                <w:lang w:val="en-US"/>
              </w:rPr>
              <w:br/>
              <w:t>2017</w:t>
            </w:r>
            <w:r>
              <w:rPr>
                <w:rFonts w:eastAsia="Times New Roman" w:cs="Arial"/>
                <w:sz w:val="20"/>
                <w:szCs w:val="20"/>
                <w:lang w:val="en-US"/>
              </w:rPr>
              <w:t>**)</w:t>
            </w:r>
          </w:p>
        </w:tc>
        <w:tc>
          <w:tcPr>
            <w:tcW w:w="2418" w:type="dxa"/>
            <w:gridSpan w:val="2"/>
            <w:tcBorders>
              <w:top w:val="single" w:sz="4" w:space="0" w:color="auto"/>
              <w:left w:val="nil"/>
              <w:bottom w:val="single" w:sz="4" w:space="0" w:color="auto"/>
              <w:right w:val="single" w:sz="4" w:space="0" w:color="auto"/>
            </w:tcBorders>
            <w:shd w:val="clear" w:color="auto" w:fill="auto"/>
            <w:vAlign w:val="center"/>
            <w:hideMark/>
          </w:tcPr>
          <w:p w:rsidR="007207DF" w:rsidRPr="009C6832" w:rsidRDefault="007207DF" w:rsidP="007207DF">
            <w:pPr>
              <w:spacing w:after="0" w:line="240" w:lineRule="auto"/>
              <w:ind w:firstLine="0"/>
              <w:jc w:val="center"/>
              <w:rPr>
                <w:rFonts w:eastAsia="Times New Roman" w:cs="Arial"/>
                <w:sz w:val="20"/>
                <w:szCs w:val="20"/>
                <w:lang w:val="en-US"/>
              </w:rPr>
            </w:pPr>
            <w:r w:rsidRPr="009C6832">
              <w:rPr>
                <w:rFonts w:eastAsia="Times New Roman" w:cs="Arial"/>
                <w:sz w:val="20"/>
                <w:szCs w:val="20"/>
                <w:lang w:val="en-US"/>
              </w:rPr>
              <w:t xml:space="preserve">Realizat 2017 </w:t>
            </w:r>
            <w:r w:rsidRPr="009C6832">
              <w:rPr>
                <w:rFonts w:eastAsia="Times New Roman" w:cs="Arial"/>
                <w:sz w:val="20"/>
                <w:szCs w:val="20"/>
                <w:lang w:val="en-US"/>
              </w:rPr>
              <w:br/>
              <w:t xml:space="preserve">(execuţia la </w:t>
            </w:r>
            <w:r w:rsidRPr="009C6832">
              <w:rPr>
                <w:rFonts w:eastAsia="Times New Roman" w:cs="Arial"/>
                <w:sz w:val="20"/>
                <w:szCs w:val="20"/>
                <w:lang w:val="en-US"/>
              </w:rPr>
              <w:br/>
              <w:t>30.06.2017)</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07DF" w:rsidRPr="009C6832" w:rsidRDefault="007207DF" w:rsidP="007207DF">
            <w:pPr>
              <w:spacing w:after="0" w:line="240" w:lineRule="auto"/>
              <w:ind w:firstLine="0"/>
              <w:jc w:val="center"/>
              <w:rPr>
                <w:rFonts w:eastAsia="Times New Roman" w:cs="Arial"/>
                <w:sz w:val="20"/>
                <w:szCs w:val="20"/>
                <w:lang w:val="en-US"/>
              </w:rPr>
            </w:pPr>
            <w:r w:rsidRPr="009C6832">
              <w:rPr>
                <w:rFonts w:eastAsia="Times New Roman" w:cs="Arial"/>
                <w:sz w:val="20"/>
                <w:szCs w:val="20"/>
                <w:lang w:val="en-US"/>
              </w:rPr>
              <w:t>Realizat</w:t>
            </w:r>
            <w:r w:rsidRPr="009C6832">
              <w:rPr>
                <w:rFonts w:eastAsia="Times New Roman" w:cs="Arial"/>
                <w:sz w:val="20"/>
                <w:szCs w:val="20"/>
                <w:lang w:val="en-US"/>
              </w:rPr>
              <w:br/>
              <w:t xml:space="preserve"> 2007-2017</w:t>
            </w:r>
            <w:r w:rsidRPr="009C6832">
              <w:rPr>
                <w:rFonts w:eastAsia="Times New Roman" w:cs="Arial"/>
                <w:sz w:val="20"/>
                <w:szCs w:val="20"/>
                <w:lang w:val="en-US"/>
              </w:rPr>
              <w:br/>
              <w:t xml:space="preserve">(execuţia la </w:t>
            </w:r>
            <w:r w:rsidRPr="009C6832">
              <w:rPr>
                <w:rFonts w:eastAsia="Times New Roman" w:cs="Arial"/>
                <w:sz w:val="20"/>
                <w:szCs w:val="20"/>
                <w:lang w:val="en-US"/>
              </w:rPr>
              <w:br/>
              <w:t>30.06.2017)</w:t>
            </w:r>
          </w:p>
        </w:tc>
      </w:tr>
      <w:tr w:rsidR="007207DF" w:rsidRPr="009C6832" w:rsidTr="0050101A">
        <w:trPr>
          <w:trHeight w:val="359"/>
        </w:trPr>
        <w:tc>
          <w:tcPr>
            <w:tcW w:w="3861" w:type="dxa"/>
            <w:vMerge/>
            <w:tcBorders>
              <w:top w:val="single" w:sz="4" w:space="0" w:color="auto"/>
              <w:left w:val="single" w:sz="4" w:space="0" w:color="auto"/>
              <w:bottom w:val="single" w:sz="4" w:space="0" w:color="auto"/>
              <w:right w:val="single" w:sz="4" w:space="0" w:color="auto"/>
            </w:tcBorders>
            <w:vAlign w:val="center"/>
            <w:hideMark/>
          </w:tcPr>
          <w:p w:rsidR="007207DF" w:rsidRPr="009C6832" w:rsidRDefault="007207DF" w:rsidP="007207DF">
            <w:pPr>
              <w:spacing w:after="0" w:line="240" w:lineRule="auto"/>
              <w:ind w:firstLine="0"/>
              <w:jc w:val="left"/>
              <w:rPr>
                <w:rFonts w:eastAsia="Times New Roman" w:cs="Arial"/>
                <w:sz w:val="20"/>
                <w:szCs w:val="20"/>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207DF" w:rsidRPr="009C6832" w:rsidRDefault="007207DF" w:rsidP="007207DF">
            <w:pPr>
              <w:spacing w:after="0" w:line="240" w:lineRule="auto"/>
              <w:ind w:firstLine="0"/>
              <w:jc w:val="left"/>
              <w:rPr>
                <w:rFonts w:eastAsia="Times New Roman" w:cs="Arial"/>
                <w:sz w:val="20"/>
                <w:szCs w:val="20"/>
                <w:lang w:val="en-US"/>
              </w:rPr>
            </w:pPr>
          </w:p>
        </w:tc>
        <w:tc>
          <w:tcPr>
            <w:tcW w:w="1134" w:type="dxa"/>
            <w:tcBorders>
              <w:top w:val="nil"/>
              <w:left w:val="nil"/>
              <w:bottom w:val="single" w:sz="4" w:space="0" w:color="auto"/>
              <w:right w:val="single" w:sz="4" w:space="0" w:color="auto"/>
            </w:tcBorders>
            <w:shd w:val="clear" w:color="auto" w:fill="auto"/>
            <w:vAlign w:val="center"/>
            <w:hideMark/>
          </w:tcPr>
          <w:p w:rsidR="007207DF" w:rsidRPr="009C6832" w:rsidRDefault="007207DF" w:rsidP="007207DF">
            <w:pPr>
              <w:spacing w:after="0" w:line="240" w:lineRule="auto"/>
              <w:ind w:firstLine="0"/>
              <w:jc w:val="center"/>
              <w:rPr>
                <w:rFonts w:eastAsia="Times New Roman" w:cs="Arial"/>
                <w:sz w:val="20"/>
                <w:szCs w:val="20"/>
                <w:lang w:val="en-US"/>
              </w:rPr>
            </w:pPr>
            <w:r w:rsidRPr="009C6832">
              <w:rPr>
                <w:rFonts w:eastAsia="Times New Roman" w:cs="Arial"/>
                <w:sz w:val="20"/>
                <w:szCs w:val="20"/>
                <w:lang w:val="en-US"/>
              </w:rPr>
              <w:t>mil. euro</w:t>
            </w:r>
          </w:p>
        </w:tc>
        <w:tc>
          <w:tcPr>
            <w:tcW w:w="1284" w:type="dxa"/>
            <w:tcBorders>
              <w:top w:val="nil"/>
              <w:left w:val="nil"/>
              <w:bottom w:val="single" w:sz="4" w:space="0" w:color="auto"/>
              <w:right w:val="single" w:sz="4" w:space="0" w:color="auto"/>
            </w:tcBorders>
            <w:shd w:val="clear" w:color="auto" w:fill="auto"/>
            <w:vAlign w:val="center"/>
            <w:hideMark/>
          </w:tcPr>
          <w:p w:rsidR="007207DF" w:rsidRPr="009C6832" w:rsidRDefault="007207DF" w:rsidP="007207DF">
            <w:pPr>
              <w:spacing w:after="0" w:line="240" w:lineRule="auto"/>
              <w:ind w:firstLine="0"/>
              <w:jc w:val="center"/>
              <w:rPr>
                <w:rFonts w:eastAsia="Times New Roman" w:cs="Arial"/>
                <w:i/>
                <w:iCs/>
                <w:sz w:val="20"/>
                <w:szCs w:val="20"/>
                <w:lang w:val="en-US"/>
              </w:rPr>
            </w:pPr>
            <w:r w:rsidRPr="009C6832">
              <w:rPr>
                <w:rFonts w:eastAsia="Times New Roman" w:cs="Arial"/>
                <w:i/>
                <w:iCs/>
                <w:sz w:val="20"/>
                <w:szCs w:val="20"/>
                <w:lang w:val="en-US"/>
              </w:rPr>
              <w:t xml:space="preserve">% </w:t>
            </w: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7207DF" w:rsidRPr="009C6832" w:rsidRDefault="007207DF" w:rsidP="007207DF">
            <w:pPr>
              <w:spacing w:after="0" w:line="240" w:lineRule="auto"/>
              <w:ind w:firstLine="0"/>
              <w:jc w:val="left"/>
              <w:rPr>
                <w:rFonts w:eastAsia="Times New Roman" w:cs="Arial"/>
                <w:sz w:val="20"/>
                <w:szCs w:val="20"/>
                <w:lang w:val="en-US"/>
              </w:rPr>
            </w:pPr>
          </w:p>
        </w:tc>
      </w:tr>
      <w:tr w:rsidR="007207DF" w:rsidRPr="009C6832" w:rsidTr="0050101A">
        <w:trPr>
          <w:trHeight w:val="599"/>
        </w:trPr>
        <w:tc>
          <w:tcPr>
            <w:tcW w:w="3861"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hideMark/>
          </w:tcPr>
          <w:p w:rsidR="007207DF" w:rsidRPr="009C6832" w:rsidRDefault="007207DF" w:rsidP="007207DF">
            <w:pPr>
              <w:spacing w:after="0" w:line="240" w:lineRule="auto"/>
              <w:ind w:firstLine="0"/>
              <w:jc w:val="left"/>
              <w:rPr>
                <w:rFonts w:eastAsia="Times New Roman" w:cs="Arial"/>
                <w:b/>
                <w:bCs/>
                <w:sz w:val="20"/>
                <w:szCs w:val="20"/>
                <w:lang w:val="en-US"/>
              </w:rPr>
            </w:pPr>
            <w:r w:rsidRPr="009C6832">
              <w:rPr>
                <w:rFonts w:eastAsia="Times New Roman" w:cs="Arial"/>
                <w:b/>
                <w:bCs/>
                <w:sz w:val="20"/>
                <w:szCs w:val="20"/>
                <w:lang w:val="en-US"/>
              </w:rPr>
              <w:t xml:space="preserve">I. SUME PRIMITE DE LA BUGETUL UE </w:t>
            </w:r>
            <w:r w:rsidRPr="009C6832">
              <w:rPr>
                <w:rFonts w:eastAsia="Times New Roman" w:cs="Arial"/>
                <w:sz w:val="20"/>
                <w:szCs w:val="20"/>
                <w:lang w:val="en-US"/>
              </w:rPr>
              <w:t>(A+B)</w:t>
            </w:r>
          </w:p>
        </w:tc>
        <w:tc>
          <w:tcPr>
            <w:tcW w:w="1134" w:type="dxa"/>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hideMark/>
          </w:tcPr>
          <w:p w:rsidR="007207DF" w:rsidRPr="009C6832" w:rsidRDefault="007207DF" w:rsidP="007207DF">
            <w:pPr>
              <w:spacing w:after="0" w:line="240" w:lineRule="auto"/>
              <w:ind w:firstLine="0"/>
              <w:jc w:val="right"/>
              <w:rPr>
                <w:rFonts w:eastAsia="Times New Roman" w:cs="Arial"/>
                <w:b/>
                <w:bCs/>
                <w:sz w:val="20"/>
                <w:szCs w:val="20"/>
                <w:lang w:val="en-US"/>
              </w:rPr>
            </w:pPr>
            <w:r w:rsidRPr="009C6832">
              <w:rPr>
                <w:rFonts w:eastAsia="Times New Roman" w:cs="Arial"/>
                <w:b/>
                <w:bCs/>
                <w:sz w:val="20"/>
                <w:szCs w:val="20"/>
                <w:lang w:val="en-US"/>
              </w:rPr>
              <w:t>922,48</w:t>
            </w:r>
          </w:p>
        </w:tc>
        <w:tc>
          <w:tcPr>
            <w:tcW w:w="1134" w:type="dxa"/>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hideMark/>
          </w:tcPr>
          <w:p w:rsidR="007207DF" w:rsidRPr="009C6832" w:rsidRDefault="007207DF" w:rsidP="007207DF">
            <w:pPr>
              <w:spacing w:after="0" w:line="240" w:lineRule="auto"/>
              <w:ind w:firstLine="0"/>
              <w:jc w:val="right"/>
              <w:rPr>
                <w:rFonts w:eastAsia="Times New Roman" w:cs="Arial"/>
                <w:b/>
                <w:bCs/>
                <w:sz w:val="20"/>
                <w:szCs w:val="20"/>
                <w:lang w:val="en-US"/>
              </w:rPr>
            </w:pPr>
            <w:r w:rsidRPr="009C6832">
              <w:rPr>
                <w:rFonts w:eastAsia="Times New Roman" w:cs="Arial"/>
                <w:b/>
                <w:bCs/>
                <w:sz w:val="20"/>
                <w:szCs w:val="20"/>
                <w:lang w:val="en-US"/>
              </w:rPr>
              <w:t>9,31</w:t>
            </w:r>
          </w:p>
        </w:tc>
        <w:tc>
          <w:tcPr>
            <w:tcW w:w="1284" w:type="dxa"/>
            <w:tcBorders>
              <w:top w:val="single" w:sz="8" w:space="0" w:color="auto"/>
              <w:left w:val="nil"/>
              <w:bottom w:val="single" w:sz="8" w:space="0" w:color="auto"/>
              <w:right w:val="single" w:sz="8" w:space="0" w:color="auto"/>
            </w:tcBorders>
            <w:shd w:val="clear" w:color="auto" w:fill="DEEAF6" w:themeFill="accent1" w:themeFillTint="33"/>
            <w:noWrap/>
            <w:vAlign w:val="center"/>
            <w:hideMark/>
          </w:tcPr>
          <w:p w:rsidR="007207DF" w:rsidRPr="009C6832" w:rsidRDefault="007207DF" w:rsidP="007207DF">
            <w:pPr>
              <w:spacing w:after="0" w:line="240" w:lineRule="auto"/>
              <w:ind w:firstLine="0"/>
              <w:jc w:val="right"/>
              <w:rPr>
                <w:rFonts w:eastAsia="Times New Roman" w:cs="Arial"/>
                <w:b/>
                <w:bCs/>
                <w:i/>
                <w:iCs/>
                <w:sz w:val="20"/>
                <w:szCs w:val="20"/>
                <w:lang w:val="en-US"/>
              </w:rPr>
            </w:pPr>
            <w:r w:rsidRPr="009C6832">
              <w:rPr>
                <w:rFonts w:eastAsia="Times New Roman" w:cs="Arial"/>
                <w:b/>
                <w:bCs/>
                <w:i/>
                <w:iCs/>
                <w:sz w:val="20"/>
                <w:szCs w:val="20"/>
                <w:lang w:val="en-US"/>
              </w:rPr>
              <w:t>1,01%</w:t>
            </w:r>
          </w:p>
        </w:tc>
        <w:tc>
          <w:tcPr>
            <w:tcW w:w="1500" w:type="dxa"/>
            <w:tcBorders>
              <w:top w:val="single" w:sz="8" w:space="0" w:color="auto"/>
              <w:left w:val="nil"/>
              <w:bottom w:val="single" w:sz="8" w:space="0" w:color="auto"/>
              <w:right w:val="single" w:sz="8" w:space="0" w:color="auto"/>
            </w:tcBorders>
            <w:shd w:val="clear" w:color="auto" w:fill="DEEAF6" w:themeFill="accent1" w:themeFillTint="33"/>
            <w:noWrap/>
            <w:vAlign w:val="center"/>
            <w:hideMark/>
          </w:tcPr>
          <w:p w:rsidR="007207DF" w:rsidRPr="009C6832" w:rsidRDefault="007207DF" w:rsidP="007207DF">
            <w:pPr>
              <w:spacing w:after="0" w:line="240" w:lineRule="auto"/>
              <w:ind w:firstLine="0"/>
              <w:jc w:val="right"/>
              <w:rPr>
                <w:rFonts w:eastAsia="Times New Roman" w:cs="Arial"/>
                <w:b/>
                <w:bCs/>
                <w:sz w:val="20"/>
                <w:szCs w:val="20"/>
                <w:lang w:val="en-US"/>
              </w:rPr>
            </w:pPr>
            <w:r w:rsidRPr="009C6832">
              <w:rPr>
                <w:rFonts w:eastAsia="Times New Roman" w:cs="Arial"/>
                <w:b/>
                <w:bCs/>
                <w:sz w:val="20"/>
                <w:szCs w:val="20"/>
                <w:lang w:val="en-US"/>
              </w:rPr>
              <w:t>37.062,12</w:t>
            </w:r>
          </w:p>
        </w:tc>
      </w:tr>
      <w:tr w:rsidR="007207DF" w:rsidRPr="009C6832" w:rsidTr="0050101A">
        <w:trPr>
          <w:trHeight w:val="359"/>
        </w:trPr>
        <w:tc>
          <w:tcPr>
            <w:tcW w:w="3861" w:type="dxa"/>
            <w:tcBorders>
              <w:top w:val="nil"/>
              <w:left w:val="single" w:sz="4" w:space="0" w:color="auto"/>
              <w:bottom w:val="single" w:sz="4" w:space="0" w:color="auto"/>
              <w:right w:val="single" w:sz="4" w:space="0" w:color="auto"/>
            </w:tcBorders>
            <w:shd w:val="clear" w:color="auto" w:fill="auto"/>
            <w:vAlign w:val="center"/>
            <w:hideMark/>
          </w:tcPr>
          <w:p w:rsidR="007207DF" w:rsidRPr="009C6832" w:rsidRDefault="007207DF" w:rsidP="007207DF">
            <w:pPr>
              <w:spacing w:after="0" w:line="240" w:lineRule="auto"/>
              <w:ind w:firstLine="0"/>
              <w:jc w:val="left"/>
              <w:rPr>
                <w:rFonts w:eastAsia="Times New Roman" w:cs="Arial"/>
                <w:b/>
                <w:bCs/>
                <w:i/>
                <w:iCs/>
                <w:sz w:val="20"/>
                <w:szCs w:val="20"/>
                <w:lang w:val="en-US"/>
              </w:rPr>
            </w:pPr>
            <w:r w:rsidRPr="009C6832">
              <w:rPr>
                <w:rFonts w:eastAsia="Times New Roman" w:cs="Arial"/>
                <w:b/>
                <w:bCs/>
                <w:i/>
                <w:iCs/>
                <w:sz w:val="20"/>
                <w:szCs w:val="20"/>
                <w:lang w:val="en-US"/>
              </w:rPr>
              <w:t>A. Fonduri de pre-aderare</w:t>
            </w:r>
          </w:p>
        </w:tc>
        <w:tc>
          <w:tcPr>
            <w:tcW w:w="1134"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b/>
                <w:bCs/>
                <w:sz w:val="20"/>
                <w:szCs w:val="20"/>
                <w:lang w:val="en-US"/>
              </w:rPr>
            </w:pPr>
            <w:r w:rsidRPr="009C6832">
              <w:rPr>
                <w:rFonts w:eastAsia="Times New Roman" w:cs="Arial"/>
                <w:b/>
                <w:bCs/>
                <w:sz w:val="20"/>
                <w:szCs w:val="20"/>
                <w:lang w:val="en-US"/>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b/>
                <w:bCs/>
                <w:sz w:val="20"/>
                <w:szCs w:val="20"/>
                <w:lang w:val="en-US"/>
              </w:rPr>
            </w:pPr>
            <w:r w:rsidRPr="009C6832">
              <w:rPr>
                <w:rFonts w:eastAsia="Times New Roman" w:cs="Arial"/>
                <w:b/>
                <w:bCs/>
                <w:sz w:val="20"/>
                <w:szCs w:val="20"/>
                <w:lang w:val="en-US"/>
              </w:rPr>
              <w:t>0,00</w:t>
            </w:r>
          </w:p>
        </w:tc>
        <w:tc>
          <w:tcPr>
            <w:tcW w:w="1284" w:type="dxa"/>
            <w:tcBorders>
              <w:top w:val="nil"/>
              <w:left w:val="nil"/>
              <w:bottom w:val="single" w:sz="4" w:space="0" w:color="auto"/>
              <w:right w:val="single" w:sz="4" w:space="0" w:color="auto"/>
            </w:tcBorders>
            <w:shd w:val="clear" w:color="CCCCFF" w:fill="FFFFFF"/>
            <w:noWrap/>
            <w:vAlign w:val="center"/>
            <w:hideMark/>
          </w:tcPr>
          <w:p w:rsidR="007207DF" w:rsidRPr="009C6832" w:rsidRDefault="007207DF" w:rsidP="007207DF">
            <w:pPr>
              <w:spacing w:after="0" w:line="240" w:lineRule="auto"/>
              <w:ind w:firstLine="0"/>
              <w:jc w:val="right"/>
              <w:rPr>
                <w:rFonts w:eastAsia="Times New Roman" w:cs="Arial"/>
                <w:b/>
                <w:bCs/>
                <w:i/>
                <w:iCs/>
                <w:sz w:val="20"/>
                <w:szCs w:val="20"/>
                <w:lang w:val="en-US"/>
              </w:rPr>
            </w:pPr>
            <w:r w:rsidRPr="009C6832">
              <w:rPr>
                <w:rFonts w:eastAsia="Times New Roman" w:cs="Arial"/>
                <w:b/>
                <w:bCs/>
                <w:i/>
                <w:iCs/>
                <w:sz w:val="20"/>
                <w:szCs w:val="20"/>
                <w:lang w:val="en-US"/>
              </w:rPr>
              <w:t>0,00%</w:t>
            </w:r>
          </w:p>
        </w:tc>
        <w:tc>
          <w:tcPr>
            <w:tcW w:w="1500"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b/>
                <w:bCs/>
                <w:sz w:val="20"/>
                <w:szCs w:val="20"/>
                <w:lang w:val="en-US"/>
              </w:rPr>
            </w:pPr>
            <w:r w:rsidRPr="009C6832">
              <w:rPr>
                <w:rFonts w:eastAsia="Times New Roman" w:cs="Arial"/>
                <w:b/>
                <w:bCs/>
                <w:sz w:val="20"/>
                <w:szCs w:val="20"/>
                <w:lang w:val="en-US"/>
              </w:rPr>
              <w:t>2.709,47</w:t>
            </w:r>
          </w:p>
        </w:tc>
      </w:tr>
      <w:tr w:rsidR="007207DF" w:rsidRPr="009C6832" w:rsidTr="0050101A">
        <w:trPr>
          <w:trHeight w:val="359"/>
        </w:trPr>
        <w:tc>
          <w:tcPr>
            <w:tcW w:w="3861" w:type="dxa"/>
            <w:tcBorders>
              <w:top w:val="nil"/>
              <w:left w:val="single" w:sz="4" w:space="0" w:color="auto"/>
              <w:bottom w:val="single" w:sz="4" w:space="0" w:color="auto"/>
              <w:right w:val="single" w:sz="4" w:space="0" w:color="auto"/>
            </w:tcBorders>
            <w:shd w:val="clear" w:color="auto" w:fill="auto"/>
            <w:vAlign w:val="center"/>
            <w:hideMark/>
          </w:tcPr>
          <w:p w:rsidR="007207DF" w:rsidRPr="009C6832" w:rsidRDefault="007207DF" w:rsidP="007207DF">
            <w:pPr>
              <w:spacing w:after="0" w:line="240" w:lineRule="auto"/>
              <w:ind w:firstLine="0"/>
              <w:jc w:val="left"/>
              <w:rPr>
                <w:rFonts w:eastAsia="Times New Roman" w:cs="Arial"/>
                <w:b/>
                <w:bCs/>
                <w:i/>
                <w:iCs/>
                <w:sz w:val="20"/>
                <w:szCs w:val="20"/>
                <w:lang w:val="en-US"/>
              </w:rPr>
            </w:pPr>
            <w:r w:rsidRPr="009C6832">
              <w:rPr>
                <w:rFonts w:eastAsia="Times New Roman" w:cs="Arial"/>
                <w:b/>
                <w:bCs/>
                <w:i/>
                <w:iCs/>
                <w:sz w:val="20"/>
                <w:szCs w:val="20"/>
                <w:lang w:val="en-US"/>
              </w:rPr>
              <w:t>B. Fonduri post-aderare</w:t>
            </w:r>
            <w:r w:rsidRPr="009C6832">
              <w:rPr>
                <w:rFonts w:eastAsia="Times New Roman" w:cs="Arial"/>
                <w:i/>
                <w:iCs/>
                <w:sz w:val="20"/>
                <w:szCs w:val="20"/>
                <w:lang w:val="en-US"/>
              </w:rPr>
              <w:t xml:space="preserve">, din care: </w:t>
            </w:r>
          </w:p>
        </w:tc>
        <w:tc>
          <w:tcPr>
            <w:tcW w:w="1134"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b/>
                <w:bCs/>
                <w:sz w:val="20"/>
                <w:szCs w:val="20"/>
                <w:lang w:val="en-US"/>
              </w:rPr>
            </w:pPr>
            <w:r w:rsidRPr="009C6832">
              <w:rPr>
                <w:rFonts w:eastAsia="Times New Roman" w:cs="Arial"/>
                <w:b/>
                <w:bCs/>
                <w:sz w:val="20"/>
                <w:szCs w:val="20"/>
                <w:lang w:val="en-US"/>
              </w:rPr>
              <w:t>922,48</w:t>
            </w:r>
          </w:p>
        </w:tc>
        <w:tc>
          <w:tcPr>
            <w:tcW w:w="1134"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b/>
                <w:sz w:val="20"/>
                <w:szCs w:val="20"/>
                <w:lang w:val="en-US"/>
              </w:rPr>
            </w:pPr>
            <w:r w:rsidRPr="009C6832">
              <w:rPr>
                <w:rFonts w:eastAsia="Times New Roman" w:cs="Arial"/>
                <w:b/>
                <w:sz w:val="20"/>
                <w:szCs w:val="20"/>
                <w:lang w:val="en-US"/>
              </w:rPr>
              <w:t>9,31</w:t>
            </w:r>
          </w:p>
        </w:tc>
        <w:tc>
          <w:tcPr>
            <w:tcW w:w="1284" w:type="dxa"/>
            <w:tcBorders>
              <w:top w:val="nil"/>
              <w:left w:val="nil"/>
              <w:bottom w:val="single" w:sz="4" w:space="0" w:color="auto"/>
              <w:right w:val="single" w:sz="4" w:space="0" w:color="auto"/>
            </w:tcBorders>
            <w:shd w:val="clear" w:color="CCCCFF" w:fill="FFFFFF"/>
            <w:noWrap/>
            <w:vAlign w:val="center"/>
            <w:hideMark/>
          </w:tcPr>
          <w:p w:rsidR="007207DF" w:rsidRPr="009C6832" w:rsidRDefault="007207DF" w:rsidP="007207DF">
            <w:pPr>
              <w:spacing w:after="0" w:line="240" w:lineRule="auto"/>
              <w:ind w:firstLine="0"/>
              <w:jc w:val="right"/>
              <w:rPr>
                <w:rFonts w:eastAsia="Times New Roman" w:cs="Arial"/>
                <w:b/>
                <w:i/>
                <w:iCs/>
                <w:sz w:val="20"/>
                <w:szCs w:val="20"/>
                <w:lang w:val="en-US"/>
              </w:rPr>
            </w:pPr>
            <w:r w:rsidRPr="009C6832">
              <w:rPr>
                <w:rFonts w:eastAsia="Times New Roman" w:cs="Arial"/>
                <w:b/>
                <w:i/>
                <w:iCs/>
                <w:sz w:val="20"/>
                <w:szCs w:val="20"/>
                <w:lang w:val="en-US"/>
              </w:rPr>
              <w:t>1,01%</w:t>
            </w:r>
          </w:p>
        </w:tc>
        <w:tc>
          <w:tcPr>
            <w:tcW w:w="1500"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b/>
                <w:bCs/>
                <w:sz w:val="20"/>
                <w:szCs w:val="20"/>
                <w:lang w:val="en-US"/>
              </w:rPr>
            </w:pPr>
            <w:r w:rsidRPr="009C6832">
              <w:rPr>
                <w:rFonts w:eastAsia="Times New Roman" w:cs="Arial"/>
                <w:b/>
                <w:bCs/>
                <w:sz w:val="20"/>
                <w:szCs w:val="20"/>
                <w:lang w:val="en-US"/>
              </w:rPr>
              <w:t>34.352,65</w:t>
            </w:r>
          </w:p>
        </w:tc>
      </w:tr>
      <w:tr w:rsidR="007207DF" w:rsidRPr="009C6832" w:rsidTr="0050101A">
        <w:trPr>
          <w:trHeight w:val="359"/>
        </w:trPr>
        <w:tc>
          <w:tcPr>
            <w:tcW w:w="3861" w:type="dxa"/>
            <w:tcBorders>
              <w:top w:val="nil"/>
              <w:left w:val="single" w:sz="4" w:space="0" w:color="auto"/>
              <w:bottom w:val="single" w:sz="4" w:space="0" w:color="auto"/>
              <w:right w:val="single" w:sz="4" w:space="0" w:color="auto"/>
            </w:tcBorders>
            <w:shd w:val="clear" w:color="auto" w:fill="auto"/>
            <w:vAlign w:val="center"/>
            <w:hideMark/>
          </w:tcPr>
          <w:p w:rsidR="007207DF" w:rsidRPr="009C6832" w:rsidRDefault="007207DF" w:rsidP="007207DF">
            <w:pPr>
              <w:spacing w:after="0" w:line="240" w:lineRule="auto"/>
              <w:ind w:firstLineChars="300" w:firstLine="602"/>
              <w:jc w:val="left"/>
              <w:rPr>
                <w:rFonts w:eastAsia="Times New Roman" w:cs="Arial"/>
                <w:b/>
                <w:bCs/>
                <w:i/>
                <w:iCs/>
                <w:sz w:val="20"/>
                <w:szCs w:val="20"/>
                <w:lang w:val="en-US"/>
              </w:rPr>
            </w:pPr>
            <w:r w:rsidRPr="009C6832">
              <w:rPr>
                <w:rFonts w:eastAsia="Times New Roman" w:cs="Arial"/>
                <w:b/>
                <w:bCs/>
                <w:i/>
                <w:iCs/>
                <w:sz w:val="20"/>
                <w:szCs w:val="20"/>
                <w:lang w:val="en-US"/>
              </w:rPr>
              <w:t xml:space="preserve">i) </w:t>
            </w:r>
            <w:r w:rsidRPr="009C6832">
              <w:rPr>
                <w:rFonts w:eastAsia="Times New Roman" w:cs="Arial"/>
                <w:sz w:val="20"/>
                <w:szCs w:val="20"/>
                <w:lang w:val="en-US"/>
              </w:rPr>
              <w:t xml:space="preserve">Avansuri </w:t>
            </w:r>
          </w:p>
        </w:tc>
        <w:tc>
          <w:tcPr>
            <w:tcW w:w="1134"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sz w:val="20"/>
                <w:szCs w:val="20"/>
                <w:lang w:val="en-US"/>
              </w:rPr>
            </w:pPr>
            <w:r w:rsidRPr="009C6832">
              <w:rPr>
                <w:rFonts w:eastAsia="Times New Roman" w:cs="Arial"/>
                <w:sz w:val="20"/>
                <w:szCs w:val="20"/>
                <w:lang w:val="en-US"/>
              </w:rPr>
              <w:t>8,89</w:t>
            </w:r>
          </w:p>
        </w:tc>
        <w:tc>
          <w:tcPr>
            <w:tcW w:w="1134"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sz w:val="20"/>
                <w:szCs w:val="20"/>
                <w:lang w:val="en-US"/>
              </w:rPr>
            </w:pPr>
            <w:r w:rsidRPr="009C6832">
              <w:rPr>
                <w:rFonts w:eastAsia="Times New Roman" w:cs="Arial"/>
                <w:sz w:val="20"/>
                <w:szCs w:val="20"/>
                <w:lang w:val="en-US"/>
              </w:rPr>
              <w:t>8,02</w:t>
            </w:r>
          </w:p>
        </w:tc>
        <w:tc>
          <w:tcPr>
            <w:tcW w:w="1284" w:type="dxa"/>
            <w:tcBorders>
              <w:top w:val="nil"/>
              <w:left w:val="nil"/>
              <w:bottom w:val="single" w:sz="4" w:space="0" w:color="auto"/>
              <w:right w:val="single" w:sz="4" w:space="0" w:color="auto"/>
            </w:tcBorders>
            <w:shd w:val="clear" w:color="CCCCFF" w:fill="FFFFFF"/>
            <w:noWrap/>
            <w:vAlign w:val="center"/>
            <w:hideMark/>
          </w:tcPr>
          <w:p w:rsidR="007207DF" w:rsidRPr="009C6832" w:rsidRDefault="007207DF" w:rsidP="007207DF">
            <w:pPr>
              <w:spacing w:after="0" w:line="240" w:lineRule="auto"/>
              <w:ind w:firstLine="0"/>
              <w:jc w:val="right"/>
              <w:rPr>
                <w:rFonts w:eastAsia="Times New Roman" w:cs="Arial"/>
                <w:i/>
                <w:iCs/>
                <w:sz w:val="20"/>
                <w:szCs w:val="20"/>
                <w:lang w:val="en-US"/>
              </w:rPr>
            </w:pPr>
            <w:r w:rsidRPr="009C6832">
              <w:rPr>
                <w:rFonts w:eastAsia="Times New Roman" w:cs="Arial"/>
                <w:i/>
                <w:iCs/>
                <w:sz w:val="20"/>
                <w:szCs w:val="20"/>
                <w:lang w:val="en-US"/>
              </w:rPr>
              <w:t>90,19%</w:t>
            </w:r>
          </w:p>
        </w:tc>
        <w:tc>
          <w:tcPr>
            <w:tcW w:w="1500"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sz w:val="20"/>
                <w:szCs w:val="20"/>
                <w:lang w:val="en-US"/>
              </w:rPr>
            </w:pPr>
            <w:r w:rsidRPr="009C6832">
              <w:rPr>
                <w:rFonts w:eastAsia="Times New Roman" w:cs="Arial"/>
                <w:sz w:val="20"/>
                <w:szCs w:val="20"/>
                <w:lang w:val="en-US"/>
              </w:rPr>
              <w:t>4.216,07</w:t>
            </w:r>
          </w:p>
        </w:tc>
      </w:tr>
      <w:tr w:rsidR="007207DF" w:rsidRPr="009C6832" w:rsidTr="0050101A">
        <w:trPr>
          <w:trHeight w:val="359"/>
        </w:trPr>
        <w:tc>
          <w:tcPr>
            <w:tcW w:w="3861" w:type="dxa"/>
            <w:tcBorders>
              <w:top w:val="nil"/>
              <w:left w:val="single" w:sz="4" w:space="0" w:color="auto"/>
              <w:bottom w:val="single" w:sz="4" w:space="0" w:color="auto"/>
              <w:right w:val="single" w:sz="4" w:space="0" w:color="auto"/>
            </w:tcBorders>
            <w:shd w:val="clear" w:color="auto" w:fill="auto"/>
            <w:vAlign w:val="center"/>
            <w:hideMark/>
          </w:tcPr>
          <w:p w:rsidR="007207DF" w:rsidRPr="009C6832" w:rsidRDefault="007207DF" w:rsidP="007207DF">
            <w:pPr>
              <w:spacing w:after="0" w:line="240" w:lineRule="auto"/>
              <w:ind w:firstLineChars="300" w:firstLine="602"/>
              <w:jc w:val="left"/>
              <w:rPr>
                <w:rFonts w:eastAsia="Times New Roman" w:cs="Arial"/>
                <w:b/>
                <w:bCs/>
                <w:i/>
                <w:iCs/>
                <w:sz w:val="20"/>
                <w:szCs w:val="20"/>
                <w:lang w:val="en-US"/>
              </w:rPr>
            </w:pPr>
            <w:r w:rsidRPr="009C6832">
              <w:rPr>
                <w:rFonts w:eastAsia="Times New Roman" w:cs="Arial"/>
                <w:b/>
                <w:bCs/>
                <w:i/>
                <w:iCs/>
                <w:sz w:val="20"/>
                <w:szCs w:val="20"/>
                <w:lang w:val="en-US"/>
              </w:rPr>
              <w:t>ii)</w:t>
            </w:r>
            <w:r w:rsidRPr="009C6832">
              <w:rPr>
                <w:rFonts w:eastAsia="Times New Roman" w:cs="Arial"/>
                <w:sz w:val="20"/>
                <w:szCs w:val="20"/>
                <w:lang w:val="en-US"/>
              </w:rPr>
              <w:t>Rambursari (inclusiv FEGA)</w:t>
            </w:r>
          </w:p>
        </w:tc>
        <w:tc>
          <w:tcPr>
            <w:tcW w:w="1134"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sz w:val="20"/>
                <w:szCs w:val="20"/>
                <w:lang w:val="en-US"/>
              </w:rPr>
            </w:pPr>
            <w:r w:rsidRPr="009C6832">
              <w:rPr>
                <w:rFonts w:eastAsia="Times New Roman" w:cs="Arial"/>
                <w:sz w:val="20"/>
                <w:szCs w:val="20"/>
                <w:lang w:val="en-US"/>
              </w:rPr>
              <w:t>913,58</w:t>
            </w:r>
          </w:p>
        </w:tc>
        <w:tc>
          <w:tcPr>
            <w:tcW w:w="1134"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sz w:val="20"/>
                <w:szCs w:val="20"/>
                <w:lang w:val="en-US"/>
              </w:rPr>
            </w:pPr>
            <w:r w:rsidRPr="009C6832">
              <w:rPr>
                <w:rFonts w:eastAsia="Times New Roman" w:cs="Arial"/>
                <w:sz w:val="20"/>
                <w:szCs w:val="20"/>
                <w:lang w:val="en-US"/>
              </w:rPr>
              <w:t>1,29</w:t>
            </w:r>
          </w:p>
        </w:tc>
        <w:tc>
          <w:tcPr>
            <w:tcW w:w="1284" w:type="dxa"/>
            <w:tcBorders>
              <w:top w:val="nil"/>
              <w:left w:val="nil"/>
              <w:bottom w:val="single" w:sz="4" w:space="0" w:color="auto"/>
              <w:right w:val="single" w:sz="4" w:space="0" w:color="auto"/>
            </w:tcBorders>
            <w:shd w:val="clear" w:color="CCCCFF" w:fill="FFFFFF"/>
            <w:noWrap/>
            <w:vAlign w:val="center"/>
            <w:hideMark/>
          </w:tcPr>
          <w:p w:rsidR="007207DF" w:rsidRPr="009C6832" w:rsidRDefault="007207DF" w:rsidP="007207DF">
            <w:pPr>
              <w:spacing w:after="0" w:line="240" w:lineRule="auto"/>
              <w:ind w:firstLine="0"/>
              <w:jc w:val="right"/>
              <w:rPr>
                <w:rFonts w:eastAsia="Times New Roman" w:cs="Arial"/>
                <w:i/>
                <w:iCs/>
                <w:sz w:val="20"/>
                <w:szCs w:val="20"/>
                <w:lang w:val="en-US"/>
              </w:rPr>
            </w:pPr>
            <w:r w:rsidRPr="009C6832">
              <w:rPr>
                <w:rFonts w:eastAsia="Times New Roman" w:cs="Arial"/>
                <w:i/>
                <w:iCs/>
                <w:sz w:val="20"/>
                <w:szCs w:val="20"/>
                <w:lang w:val="en-US"/>
              </w:rPr>
              <w:t>0,14%</w:t>
            </w:r>
          </w:p>
        </w:tc>
        <w:tc>
          <w:tcPr>
            <w:tcW w:w="1500"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sz w:val="20"/>
                <w:szCs w:val="20"/>
                <w:lang w:val="en-US"/>
              </w:rPr>
            </w:pPr>
            <w:r w:rsidRPr="009C6832">
              <w:rPr>
                <w:rFonts w:eastAsia="Times New Roman" w:cs="Arial"/>
                <w:sz w:val="20"/>
                <w:szCs w:val="20"/>
                <w:lang w:val="en-US"/>
              </w:rPr>
              <w:t>30.136,58</w:t>
            </w:r>
          </w:p>
        </w:tc>
      </w:tr>
      <w:tr w:rsidR="007207DF" w:rsidRPr="009C6832" w:rsidTr="0050101A">
        <w:trPr>
          <w:trHeight w:val="599"/>
        </w:trPr>
        <w:tc>
          <w:tcPr>
            <w:tcW w:w="3861" w:type="dxa"/>
            <w:tcBorders>
              <w:top w:val="nil"/>
              <w:left w:val="single" w:sz="4" w:space="0" w:color="auto"/>
              <w:bottom w:val="single" w:sz="4" w:space="0" w:color="auto"/>
              <w:right w:val="single" w:sz="4" w:space="0" w:color="auto"/>
            </w:tcBorders>
            <w:shd w:val="clear" w:color="auto" w:fill="auto"/>
            <w:vAlign w:val="center"/>
            <w:hideMark/>
          </w:tcPr>
          <w:p w:rsidR="007207DF" w:rsidRPr="009C6832" w:rsidRDefault="007207DF" w:rsidP="007207DF">
            <w:pPr>
              <w:spacing w:after="0" w:line="240" w:lineRule="auto"/>
              <w:ind w:firstLineChars="100" w:firstLine="201"/>
              <w:jc w:val="left"/>
              <w:rPr>
                <w:rFonts w:eastAsia="Times New Roman" w:cs="Arial"/>
                <w:b/>
                <w:bCs/>
                <w:sz w:val="20"/>
                <w:szCs w:val="20"/>
                <w:lang w:val="en-US"/>
              </w:rPr>
            </w:pPr>
            <w:r w:rsidRPr="009C6832">
              <w:rPr>
                <w:rFonts w:eastAsia="Times New Roman" w:cs="Arial"/>
                <w:b/>
                <w:bCs/>
                <w:sz w:val="20"/>
                <w:szCs w:val="20"/>
                <w:lang w:val="en-US"/>
              </w:rPr>
              <w:t xml:space="preserve">B1. Fonduri structurale si de coeziune (FSC), </w:t>
            </w:r>
            <w:r w:rsidRPr="009C6832">
              <w:rPr>
                <w:rFonts w:eastAsia="Times New Roman" w:cs="Arial"/>
                <w:sz w:val="20"/>
                <w:szCs w:val="20"/>
                <w:lang w:val="en-US"/>
              </w:rPr>
              <w:t>din care:</w:t>
            </w:r>
          </w:p>
        </w:tc>
        <w:tc>
          <w:tcPr>
            <w:tcW w:w="1134"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b/>
                <w:bCs/>
                <w:sz w:val="20"/>
                <w:szCs w:val="20"/>
                <w:lang w:val="en-US"/>
              </w:rPr>
            </w:pPr>
            <w:r w:rsidRPr="009C6832">
              <w:rPr>
                <w:rFonts w:eastAsia="Times New Roman" w:cs="Arial"/>
                <w:b/>
                <w:bCs/>
                <w:sz w:val="20"/>
                <w:szCs w:val="20"/>
                <w:lang w:val="en-US"/>
              </w:rPr>
              <w:t>908,65</w:t>
            </w:r>
          </w:p>
        </w:tc>
        <w:tc>
          <w:tcPr>
            <w:tcW w:w="1134"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b/>
                <w:bCs/>
                <w:sz w:val="20"/>
                <w:szCs w:val="20"/>
                <w:lang w:val="en-US"/>
              </w:rPr>
            </w:pPr>
            <w:r w:rsidRPr="009C6832">
              <w:rPr>
                <w:rFonts w:eastAsia="Times New Roman" w:cs="Arial"/>
                <w:b/>
                <w:bCs/>
                <w:sz w:val="20"/>
                <w:szCs w:val="20"/>
                <w:lang w:val="en-US"/>
              </w:rPr>
              <w:t>1,29</w:t>
            </w:r>
          </w:p>
        </w:tc>
        <w:tc>
          <w:tcPr>
            <w:tcW w:w="1284" w:type="dxa"/>
            <w:tcBorders>
              <w:top w:val="nil"/>
              <w:left w:val="nil"/>
              <w:bottom w:val="single" w:sz="4" w:space="0" w:color="auto"/>
              <w:right w:val="single" w:sz="4" w:space="0" w:color="auto"/>
            </w:tcBorders>
            <w:shd w:val="clear" w:color="CCCCFF" w:fill="FFFFFF"/>
            <w:noWrap/>
            <w:vAlign w:val="center"/>
            <w:hideMark/>
          </w:tcPr>
          <w:p w:rsidR="007207DF" w:rsidRPr="009C6832" w:rsidRDefault="007207DF" w:rsidP="007207DF">
            <w:pPr>
              <w:spacing w:after="0" w:line="240" w:lineRule="auto"/>
              <w:ind w:firstLine="0"/>
              <w:jc w:val="right"/>
              <w:rPr>
                <w:rFonts w:eastAsia="Times New Roman" w:cs="Arial"/>
                <w:b/>
                <w:bCs/>
                <w:i/>
                <w:iCs/>
                <w:sz w:val="20"/>
                <w:szCs w:val="20"/>
                <w:lang w:val="en-US"/>
              </w:rPr>
            </w:pPr>
            <w:r w:rsidRPr="009C6832">
              <w:rPr>
                <w:rFonts w:eastAsia="Times New Roman" w:cs="Arial"/>
                <w:b/>
                <w:bCs/>
                <w:i/>
                <w:iCs/>
                <w:sz w:val="20"/>
                <w:szCs w:val="20"/>
                <w:lang w:val="en-US"/>
              </w:rPr>
              <w:t>0,14%</w:t>
            </w:r>
          </w:p>
        </w:tc>
        <w:tc>
          <w:tcPr>
            <w:tcW w:w="1500"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b/>
                <w:bCs/>
                <w:sz w:val="20"/>
                <w:szCs w:val="20"/>
                <w:lang w:val="en-US"/>
              </w:rPr>
            </w:pPr>
            <w:r w:rsidRPr="009C6832">
              <w:rPr>
                <w:rFonts w:eastAsia="Times New Roman" w:cs="Arial"/>
                <w:b/>
                <w:bCs/>
                <w:sz w:val="20"/>
                <w:szCs w:val="20"/>
                <w:lang w:val="en-US"/>
              </w:rPr>
              <w:t>17.253,45</w:t>
            </w:r>
          </w:p>
        </w:tc>
      </w:tr>
      <w:tr w:rsidR="007207DF" w:rsidRPr="009C6832" w:rsidTr="0050101A">
        <w:trPr>
          <w:trHeight w:val="359"/>
        </w:trPr>
        <w:tc>
          <w:tcPr>
            <w:tcW w:w="3861" w:type="dxa"/>
            <w:tcBorders>
              <w:top w:val="nil"/>
              <w:left w:val="single" w:sz="4" w:space="0" w:color="auto"/>
              <w:bottom w:val="single" w:sz="4" w:space="0" w:color="auto"/>
              <w:right w:val="single" w:sz="4" w:space="0" w:color="auto"/>
            </w:tcBorders>
            <w:shd w:val="clear" w:color="auto" w:fill="auto"/>
            <w:vAlign w:val="center"/>
            <w:hideMark/>
          </w:tcPr>
          <w:p w:rsidR="007207DF" w:rsidRPr="009C6832" w:rsidRDefault="007207DF" w:rsidP="007207DF">
            <w:pPr>
              <w:spacing w:after="0" w:line="240" w:lineRule="auto"/>
              <w:ind w:firstLineChars="300" w:firstLine="602"/>
              <w:jc w:val="left"/>
              <w:rPr>
                <w:rFonts w:eastAsia="Times New Roman" w:cs="Arial"/>
                <w:b/>
                <w:bCs/>
                <w:sz w:val="20"/>
                <w:szCs w:val="20"/>
                <w:lang w:val="en-US"/>
              </w:rPr>
            </w:pPr>
            <w:r w:rsidRPr="009C6832">
              <w:rPr>
                <w:rFonts w:eastAsia="Times New Roman" w:cs="Arial"/>
                <w:b/>
                <w:bCs/>
                <w:sz w:val="20"/>
                <w:szCs w:val="20"/>
                <w:lang w:val="en-US"/>
              </w:rPr>
              <w:t>a)</w:t>
            </w:r>
            <w:r w:rsidRPr="009C6832">
              <w:rPr>
                <w:rFonts w:eastAsia="Times New Roman" w:cs="Arial"/>
                <w:sz w:val="20"/>
                <w:szCs w:val="20"/>
                <w:lang w:val="en-US"/>
              </w:rPr>
              <w:t xml:space="preserve"> Avansuri din FSC</w:t>
            </w:r>
          </w:p>
        </w:tc>
        <w:tc>
          <w:tcPr>
            <w:tcW w:w="1134"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sz w:val="20"/>
                <w:szCs w:val="20"/>
                <w:lang w:val="en-US"/>
              </w:rPr>
            </w:pPr>
            <w:r w:rsidRPr="009C6832">
              <w:rPr>
                <w:rFonts w:eastAsia="Times New Roman" w:cs="Arial"/>
                <w:sz w:val="20"/>
                <w:szCs w:val="20"/>
                <w:lang w:val="en-US"/>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sz w:val="20"/>
                <w:szCs w:val="20"/>
                <w:lang w:val="en-US"/>
              </w:rPr>
            </w:pPr>
            <w:r w:rsidRPr="009C6832">
              <w:rPr>
                <w:rFonts w:eastAsia="Times New Roman" w:cs="Arial"/>
                <w:sz w:val="20"/>
                <w:szCs w:val="20"/>
                <w:lang w:val="en-US"/>
              </w:rPr>
              <w:t>0,00</w:t>
            </w:r>
          </w:p>
        </w:tc>
        <w:tc>
          <w:tcPr>
            <w:tcW w:w="1284" w:type="dxa"/>
            <w:tcBorders>
              <w:top w:val="nil"/>
              <w:left w:val="nil"/>
              <w:bottom w:val="single" w:sz="4" w:space="0" w:color="auto"/>
              <w:right w:val="single" w:sz="4" w:space="0" w:color="auto"/>
            </w:tcBorders>
            <w:shd w:val="clear" w:color="CCCCFF" w:fill="FFFFFF"/>
            <w:noWrap/>
            <w:vAlign w:val="center"/>
            <w:hideMark/>
          </w:tcPr>
          <w:p w:rsidR="007207DF" w:rsidRPr="009C6832" w:rsidRDefault="007207DF" w:rsidP="007207DF">
            <w:pPr>
              <w:spacing w:after="0" w:line="240" w:lineRule="auto"/>
              <w:ind w:firstLine="0"/>
              <w:jc w:val="right"/>
              <w:rPr>
                <w:rFonts w:eastAsia="Times New Roman" w:cs="Arial"/>
                <w:i/>
                <w:iCs/>
                <w:sz w:val="20"/>
                <w:szCs w:val="20"/>
                <w:lang w:val="en-US"/>
              </w:rPr>
            </w:pPr>
            <w:r w:rsidRPr="009C6832">
              <w:rPr>
                <w:rFonts w:eastAsia="Times New Roman" w:cs="Arial"/>
                <w:i/>
                <w:iCs/>
                <w:sz w:val="20"/>
                <w:szCs w:val="20"/>
                <w:lang w:val="en-US"/>
              </w:rPr>
              <w:t>0,00%</w:t>
            </w:r>
          </w:p>
        </w:tc>
        <w:tc>
          <w:tcPr>
            <w:tcW w:w="1500"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sz w:val="20"/>
                <w:szCs w:val="20"/>
                <w:lang w:val="en-US"/>
              </w:rPr>
            </w:pPr>
            <w:r w:rsidRPr="009C6832">
              <w:rPr>
                <w:rFonts w:eastAsia="Times New Roman" w:cs="Arial"/>
                <w:sz w:val="20"/>
                <w:szCs w:val="20"/>
                <w:lang w:val="en-US"/>
              </w:rPr>
              <w:t>2.125,81</w:t>
            </w:r>
          </w:p>
        </w:tc>
      </w:tr>
      <w:tr w:rsidR="007207DF" w:rsidRPr="009C6832" w:rsidTr="0050101A">
        <w:trPr>
          <w:trHeight w:val="359"/>
        </w:trPr>
        <w:tc>
          <w:tcPr>
            <w:tcW w:w="3861" w:type="dxa"/>
            <w:tcBorders>
              <w:top w:val="nil"/>
              <w:left w:val="single" w:sz="4" w:space="0" w:color="auto"/>
              <w:bottom w:val="single" w:sz="4" w:space="0" w:color="auto"/>
              <w:right w:val="single" w:sz="4" w:space="0" w:color="auto"/>
            </w:tcBorders>
            <w:shd w:val="clear" w:color="auto" w:fill="auto"/>
            <w:vAlign w:val="center"/>
            <w:hideMark/>
          </w:tcPr>
          <w:p w:rsidR="007207DF" w:rsidRPr="009C6832" w:rsidRDefault="007207DF" w:rsidP="007207DF">
            <w:pPr>
              <w:spacing w:after="0" w:line="240" w:lineRule="auto"/>
              <w:ind w:firstLineChars="300" w:firstLine="602"/>
              <w:jc w:val="left"/>
              <w:rPr>
                <w:rFonts w:eastAsia="Times New Roman" w:cs="Arial"/>
                <w:b/>
                <w:bCs/>
                <w:sz w:val="20"/>
                <w:szCs w:val="20"/>
                <w:lang w:val="en-US"/>
              </w:rPr>
            </w:pPr>
            <w:r w:rsidRPr="009C6832">
              <w:rPr>
                <w:rFonts w:eastAsia="Times New Roman" w:cs="Arial"/>
                <w:b/>
                <w:bCs/>
                <w:sz w:val="20"/>
                <w:szCs w:val="20"/>
                <w:lang w:val="en-US"/>
              </w:rPr>
              <w:t>b)</w:t>
            </w:r>
            <w:r w:rsidRPr="009C6832">
              <w:rPr>
                <w:rFonts w:eastAsia="Times New Roman" w:cs="Arial"/>
                <w:sz w:val="20"/>
                <w:szCs w:val="20"/>
                <w:lang w:val="en-US"/>
              </w:rPr>
              <w:t xml:space="preserve"> Rambursari din FSC</w:t>
            </w:r>
          </w:p>
        </w:tc>
        <w:tc>
          <w:tcPr>
            <w:tcW w:w="1134"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sz w:val="20"/>
                <w:szCs w:val="20"/>
                <w:lang w:val="en-US"/>
              </w:rPr>
            </w:pPr>
            <w:r w:rsidRPr="009C6832">
              <w:rPr>
                <w:rFonts w:eastAsia="Times New Roman" w:cs="Arial"/>
                <w:sz w:val="20"/>
                <w:szCs w:val="20"/>
                <w:lang w:val="en-US"/>
              </w:rPr>
              <w:t>908,65</w:t>
            </w:r>
          </w:p>
        </w:tc>
        <w:tc>
          <w:tcPr>
            <w:tcW w:w="1134"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sz w:val="20"/>
                <w:szCs w:val="20"/>
                <w:lang w:val="en-US"/>
              </w:rPr>
            </w:pPr>
            <w:r w:rsidRPr="009C6832">
              <w:rPr>
                <w:rFonts w:eastAsia="Times New Roman" w:cs="Arial"/>
                <w:sz w:val="20"/>
                <w:szCs w:val="20"/>
                <w:lang w:val="en-US"/>
              </w:rPr>
              <w:t>1,29</w:t>
            </w:r>
          </w:p>
        </w:tc>
        <w:tc>
          <w:tcPr>
            <w:tcW w:w="1284" w:type="dxa"/>
            <w:tcBorders>
              <w:top w:val="nil"/>
              <w:left w:val="nil"/>
              <w:bottom w:val="single" w:sz="4" w:space="0" w:color="auto"/>
              <w:right w:val="single" w:sz="4" w:space="0" w:color="auto"/>
            </w:tcBorders>
            <w:shd w:val="clear" w:color="CCCCFF" w:fill="FFFFFF"/>
            <w:noWrap/>
            <w:vAlign w:val="center"/>
            <w:hideMark/>
          </w:tcPr>
          <w:p w:rsidR="007207DF" w:rsidRPr="009C6832" w:rsidRDefault="007207DF" w:rsidP="007207DF">
            <w:pPr>
              <w:spacing w:after="0" w:line="240" w:lineRule="auto"/>
              <w:ind w:firstLine="0"/>
              <w:jc w:val="right"/>
              <w:rPr>
                <w:rFonts w:eastAsia="Times New Roman" w:cs="Arial"/>
                <w:i/>
                <w:iCs/>
                <w:sz w:val="20"/>
                <w:szCs w:val="20"/>
                <w:lang w:val="en-US"/>
              </w:rPr>
            </w:pPr>
            <w:r w:rsidRPr="009C6832">
              <w:rPr>
                <w:rFonts w:eastAsia="Times New Roman" w:cs="Arial"/>
                <w:i/>
                <w:iCs/>
                <w:sz w:val="20"/>
                <w:szCs w:val="20"/>
                <w:lang w:val="en-US"/>
              </w:rPr>
              <w:t>0,14%</w:t>
            </w:r>
          </w:p>
        </w:tc>
        <w:tc>
          <w:tcPr>
            <w:tcW w:w="1500"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sz w:val="20"/>
                <w:szCs w:val="20"/>
                <w:lang w:val="en-US"/>
              </w:rPr>
            </w:pPr>
            <w:r w:rsidRPr="009C6832">
              <w:rPr>
                <w:rFonts w:eastAsia="Times New Roman" w:cs="Arial"/>
                <w:sz w:val="20"/>
                <w:szCs w:val="20"/>
                <w:lang w:val="en-US"/>
              </w:rPr>
              <w:t>15.127,64</w:t>
            </w:r>
          </w:p>
        </w:tc>
      </w:tr>
      <w:tr w:rsidR="007207DF" w:rsidRPr="009C6832" w:rsidTr="0050101A">
        <w:trPr>
          <w:trHeight w:val="599"/>
        </w:trPr>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7DF" w:rsidRPr="009C6832" w:rsidRDefault="007207DF" w:rsidP="007207DF">
            <w:pPr>
              <w:spacing w:after="0" w:line="240" w:lineRule="auto"/>
              <w:ind w:firstLineChars="100" w:firstLine="201"/>
              <w:jc w:val="left"/>
              <w:rPr>
                <w:rFonts w:eastAsia="Times New Roman" w:cs="Arial"/>
                <w:b/>
                <w:bCs/>
                <w:sz w:val="20"/>
                <w:szCs w:val="20"/>
                <w:lang w:val="en-US"/>
              </w:rPr>
            </w:pPr>
            <w:r w:rsidRPr="009C6832">
              <w:rPr>
                <w:rFonts w:eastAsia="Times New Roman" w:cs="Arial"/>
                <w:b/>
                <w:bCs/>
                <w:sz w:val="20"/>
                <w:szCs w:val="20"/>
                <w:lang w:val="en-US"/>
              </w:rPr>
              <w:t xml:space="preserve">B2. Fonduri pentru dezvoltare rurala si pescuit (FEADR+FEP), </w:t>
            </w:r>
            <w:r w:rsidRPr="009C6832">
              <w:rPr>
                <w:rFonts w:eastAsia="Times New Roman" w:cs="Arial"/>
                <w:sz w:val="20"/>
                <w:szCs w:val="20"/>
                <w:lang w:val="en-US"/>
              </w:rPr>
              <w:t>din care: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b/>
                <w:bCs/>
                <w:sz w:val="20"/>
                <w:szCs w:val="20"/>
                <w:lang w:val="en-US"/>
              </w:rPr>
            </w:pPr>
            <w:r w:rsidRPr="009C6832">
              <w:rPr>
                <w:rFonts w:eastAsia="Times New Roman" w:cs="Arial"/>
                <w:b/>
                <w:bCs/>
                <w:sz w:val="20"/>
                <w:szCs w:val="20"/>
                <w:lang w:val="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b/>
                <w:bCs/>
                <w:sz w:val="20"/>
                <w:szCs w:val="20"/>
                <w:lang w:val="en-US"/>
              </w:rPr>
            </w:pPr>
            <w:r w:rsidRPr="009C6832">
              <w:rPr>
                <w:rFonts w:eastAsia="Times New Roman" w:cs="Arial"/>
                <w:b/>
                <w:bCs/>
                <w:sz w:val="20"/>
                <w:szCs w:val="20"/>
                <w:lang w:val="en-US"/>
              </w:rPr>
              <w:t>0,00</w:t>
            </w:r>
          </w:p>
        </w:tc>
        <w:tc>
          <w:tcPr>
            <w:tcW w:w="1284" w:type="dxa"/>
            <w:tcBorders>
              <w:top w:val="single" w:sz="4" w:space="0" w:color="auto"/>
              <w:left w:val="single" w:sz="4" w:space="0" w:color="auto"/>
              <w:bottom w:val="single" w:sz="4" w:space="0" w:color="auto"/>
              <w:right w:val="single" w:sz="4" w:space="0" w:color="auto"/>
            </w:tcBorders>
            <w:shd w:val="clear" w:color="CCCCFF" w:fill="FFFFFF"/>
            <w:noWrap/>
            <w:vAlign w:val="center"/>
            <w:hideMark/>
          </w:tcPr>
          <w:p w:rsidR="007207DF" w:rsidRPr="009C6832" w:rsidRDefault="007207DF" w:rsidP="007207DF">
            <w:pPr>
              <w:spacing w:after="0" w:line="240" w:lineRule="auto"/>
              <w:ind w:firstLine="0"/>
              <w:jc w:val="right"/>
              <w:rPr>
                <w:rFonts w:eastAsia="Times New Roman" w:cs="Arial"/>
                <w:b/>
                <w:bCs/>
                <w:i/>
                <w:iCs/>
                <w:sz w:val="20"/>
                <w:szCs w:val="20"/>
                <w:lang w:val="en-US"/>
              </w:rPr>
            </w:pPr>
            <w:r w:rsidRPr="009C6832">
              <w:rPr>
                <w:rFonts w:eastAsia="Times New Roman" w:cs="Arial"/>
                <w:b/>
                <w:bCs/>
                <w:i/>
                <w:iCs/>
                <w:sz w:val="20"/>
                <w:szCs w:val="20"/>
                <w:lang w:val="en-US"/>
              </w:rPr>
              <w:t>0,00%</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b/>
                <w:bCs/>
                <w:sz w:val="20"/>
                <w:szCs w:val="20"/>
                <w:lang w:val="en-US"/>
              </w:rPr>
            </w:pPr>
            <w:r w:rsidRPr="009C6832">
              <w:rPr>
                <w:rFonts w:eastAsia="Times New Roman" w:cs="Arial"/>
                <w:b/>
                <w:bCs/>
                <w:sz w:val="20"/>
                <w:szCs w:val="20"/>
                <w:lang w:val="en-US"/>
              </w:rPr>
              <w:t>7.734,02</w:t>
            </w:r>
          </w:p>
        </w:tc>
      </w:tr>
      <w:tr w:rsidR="007207DF" w:rsidRPr="009C6832" w:rsidTr="0050101A">
        <w:trPr>
          <w:trHeight w:val="359"/>
        </w:trPr>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7DF" w:rsidRPr="009C6832" w:rsidRDefault="007207DF" w:rsidP="007207DF">
            <w:pPr>
              <w:spacing w:after="0" w:line="240" w:lineRule="auto"/>
              <w:ind w:firstLineChars="300" w:firstLine="602"/>
              <w:jc w:val="left"/>
              <w:rPr>
                <w:rFonts w:eastAsia="Times New Roman" w:cs="Arial"/>
                <w:b/>
                <w:bCs/>
                <w:sz w:val="20"/>
                <w:szCs w:val="20"/>
                <w:lang w:val="en-US"/>
              </w:rPr>
            </w:pPr>
            <w:r w:rsidRPr="009C6832">
              <w:rPr>
                <w:rFonts w:eastAsia="Times New Roman" w:cs="Arial"/>
                <w:b/>
                <w:bCs/>
                <w:sz w:val="20"/>
                <w:szCs w:val="20"/>
                <w:lang w:val="en-US"/>
              </w:rPr>
              <w:t>a)</w:t>
            </w:r>
            <w:r w:rsidRPr="009C6832">
              <w:rPr>
                <w:rFonts w:eastAsia="Times New Roman" w:cs="Arial"/>
                <w:sz w:val="20"/>
                <w:szCs w:val="20"/>
                <w:lang w:val="en-US"/>
              </w:rPr>
              <w:t xml:space="preserve"> Avansuri (FEADR+FEP)</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sz w:val="20"/>
                <w:szCs w:val="20"/>
                <w:lang w:val="en-US"/>
              </w:rPr>
            </w:pPr>
            <w:r w:rsidRPr="009C6832">
              <w:rPr>
                <w:rFonts w:eastAsia="Times New Roman" w:cs="Arial"/>
                <w:sz w:val="20"/>
                <w:szCs w:val="20"/>
                <w:lang w:val="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sz w:val="20"/>
                <w:szCs w:val="20"/>
                <w:lang w:val="en-US"/>
              </w:rPr>
            </w:pPr>
            <w:r w:rsidRPr="009C6832">
              <w:rPr>
                <w:rFonts w:eastAsia="Times New Roman" w:cs="Arial"/>
                <w:sz w:val="20"/>
                <w:szCs w:val="20"/>
                <w:lang w:val="en-US"/>
              </w:rPr>
              <w:t>0,00</w:t>
            </w:r>
          </w:p>
        </w:tc>
        <w:tc>
          <w:tcPr>
            <w:tcW w:w="1284" w:type="dxa"/>
            <w:tcBorders>
              <w:top w:val="single" w:sz="4" w:space="0" w:color="auto"/>
              <w:left w:val="single" w:sz="4" w:space="0" w:color="auto"/>
              <w:bottom w:val="single" w:sz="4" w:space="0" w:color="auto"/>
              <w:right w:val="single" w:sz="4" w:space="0" w:color="auto"/>
            </w:tcBorders>
            <w:shd w:val="clear" w:color="CCCCFF" w:fill="FFFFFF"/>
            <w:noWrap/>
            <w:vAlign w:val="center"/>
            <w:hideMark/>
          </w:tcPr>
          <w:p w:rsidR="007207DF" w:rsidRPr="009C6832" w:rsidRDefault="007207DF" w:rsidP="007207DF">
            <w:pPr>
              <w:spacing w:after="0" w:line="240" w:lineRule="auto"/>
              <w:ind w:firstLine="0"/>
              <w:jc w:val="right"/>
              <w:rPr>
                <w:rFonts w:eastAsia="Times New Roman" w:cs="Arial"/>
                <w:i/>
                <w:iCs/>
                <w:sz w:val="20"/>
                <w:szCs w:val="20"/>
                <w:lang w:val="en-US"/>
              </w:rPr>
            </w:pPr>
            <w:r w:rsidRPr="009C6832">
              <w:rPr>
                <w:rFonts w:eastAsia="Times New Roman" w:cs="Arial"/>
                <w:i/>
                <w:iCs/>
                <w:sz w:val="20"/>
                <w:szCs w:val="20"/>
                <w:lang w:val="en-US"/>
              </w:rPr>
              <w:t>0,00%</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sz w:val="20"/>
                <w:szCs w:val="20"/>
                <w:lang w:val="en-US"/>
              </w:rPr>
            </w:pPr>
            <w:r w:rsidRPr="009C6832">
              <w:rPr>
                <w:rFonts w:eastAsia="Times New Roman" w:cs="Arial"/>
                <w:sz w:val="20"/>
                <w:szCs w:val="20"/>
                <w:lang w:val="en-US"/>
              </w:rPr>
              <w:t>593,88</w:t>
            </w:r>
          </w:p>
        </w:tc>
      </w:tr>
      <w:tr w:rsidR="007207DF" w:rsidRPr="009C6832" w:rsidTr="0050101A">
        <w:trPr>
          <w:trHeight w:val="359"/>
        </w:trPr>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7DF" w:rsidRPr="009C6832" w:rsidRDefault="007207DF" w:rsidP="007207DF">
            <w:pPr>
              <w:spacing w:after="0" w:line="240" w:lineRule="auto"/>
              <w:ind w:firstLineChars="300" w:firstLine="602"/>
              <w:jc w:val="left"/>
              <w:rPr>
                <w:rFonts w:eastAsia="Times New Roman" w:cs="Arial"/>
                <w:b/>
                <w:bCs/>
                <w:sz w:val="20"/>
                <w:szCs w:val="20"/>
                <w:lang w:val="en-US"/>
              </w:rPr>
            </w:pPr>
            <w:r w:rsidRPr="009C6832">
              <w:rPr>
                <w:rFonts w:eastAsia="Times New Roman" w:cs="Arial"/>
                <w:b/>
                <w:bCs/>
                <w:sz w:val="20"/>
                <w:szCs w:val="20"/>
                <w:lang w:val="en-US"/>
              </w:rPr>
              <w:t>b)</w:t>
            </w:r>
            <w:r w:rsidRPr="009C6832">
              <w:rPr>
                <w:rFonts w:eastAsia="Times New Roman" w:cs="Arial"/>
                <w:sz w:val="20"/>
                <w:szCs w:val="20"/>
                <w:lang w:val="en-US"/>
              </w:rPr>
              <w:t xml:space="preserve"> Rambursari  (FEADR+FEP)</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sz w:val="20"/>
                <w:szCs w:val="20"/>
                <w:lang w:val="en-US"/>
              </w:rPr>
            </w:pPr>
            <w:r w:rsidRPr="009C6832">
              <w:rPr>
                <w:rFonts w:eastAsia="Times New Roman" w:cs="Arial"/>
                <w:sz w:val="20"/>
                <w:szCs w:val="20"/>
                <w:lang w:val="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sz w:val="20"/>
                <w:szCs w:val="20"/>
                <w:lang w:val="en-US"/>
              </w:rPr>
            </w:pPr>
            <w:r w:rsidRPr="009C6832">
              <w:rPr>
                <w:rFonts w:eastAsia="Times New Roman" w:cs="Arial"/>
                <w:sz w:val="20"/>
                <w:szCs w:val="20"/>
                <w:lang w:val="en-US"/>
              </w:rPr>
              <w:t>0,00</w:t>
            </w:r>
          </w:p>
        </w:tc>
        <w:tc>
          <w:tcPr>
            <w:tcW w:w="1284" w:type="dxa"/>
            <w:tcBorders>
              <w:top w:val="single" w:sz="4" w:space="0" w:color="auto"/>
              <w:left w:val="single" w:sz="4" w:space="0" w:color="auto"/>
              <w:bottom w:val="single" w:sz="4" w:space="0" w:color="auto"/>
              <w:right w:val="single" w:sz="4" w:space="0" w:color="auto"/>
            </w:tcBorders>
            <w:shd w:val="clear" w:color="CCCCFF" w:fill="FFFFFF"/>
            <w:noWrap/>
            <w:vAlign w:val="center"/>
            <w:hideMark/>
          </w:tcPr>
          <w:p w:rsidR="007207DF" w:rsidRPr="009C6832" w:rsidRDefault="007207DF" w:rsidP="007207DF">
            <w:pPr>
              <w:spacing w:after="0" w:line="240" w:lineRule="auto"/>
              <w:ind w:firstLine="0"/>
              <w:jc w:val="right"/>
              <w:rPr>
                <w:rFonts w:eastAsia="Times New Roman" w:cs="Arial"/>
                <w:i/>
                <w:iCs/>
                <w:sz w:val="20"/>
                <w:szCs w:val="20"/>
                <w:lang w:val="en-US"/>
              </w:rPr>
            </w:pPr>
            <w:r w:rsidRPr="009C6832">
              <w:rPr>
                <w:rFonts w:eastAsia="Times New Roman" w:cs="Arial"/>
                <w:i/>
                <w:iCs/>
                <w:sz w:val="20"/>
                <w:szCs w:val="20"/>
                <w:lang w:val="en-US"/>
              </w:rPr>
              <w:t>0,00%</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sz w:val="20"/>
                <w:szCs w:val="20"/>
                <w:lang w:val="en-US"/>
              </w:rPr>
            </w:pPr>
            <w:r w:rsidRPr="009C6832">
              <w:rPr>
                <w:rFonts w:eastAsia="Times New Roman" w:cs="Arial"/>
                <w:sz w:val="20"/>
                <w:szCs w:val="20"/>
                <w:lang w:val="en-US"/>
              </w:rPr>
              <w:t>7.140,15</w:t>
            </w:r>
          </w:p>
        </w:tc>
      </w:tr>
      <w:tr w:rsidR="007207DF" w:rsidRPr="009C6832" w:rsidTr="0050101A">
        <w:trPr>
          <w:trHeight w:val="599"/>
        </w:trPr>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7DF" w:rsidRPr="009C6832" w:rsidRDefault="007207DF" w:rsidP="007207DF">
            <w:pPr>
              <w:spacing w:after="0" w:line="240" w:lineRule="auto"/>
              <w:ind w:firstLineChars="100" w:firstLine="201"/>
              <w:jc w:val="left"/>
              <w:rPr>
                <w:rFonts w:eastAsia="Times New Roman" w:cs="Arial"/>
                <w:b/>
                <w:bCs/>
                <w:sz w:val="20"/>
                <w:szCs w:val="20"/>
                <w:lang w:val="en-US"/>
              </w:rPr>
            </w:pPr>
            <w:r w:rsidRPr="009C6832">
              <w:rPr>
                <w:rFonts w:eastAsia="Times New Roman" w:cs="Arial"/>
                <w:b/>
                <w:bCs/>
                <w:sz w:val="20"/>
                <w:szCs w:val="20"/>
                <w:lang w:val="en-US"/>
              </w:rPr>
              <w:t xml:space="preserve">B3. Fondul European pentru Garantare Agricola </w:t>
            </w:r>
            <w:r w:rsidRPr="009C6832">
              <w:rPr>
                <w:rFonts w:eastAsia="Times New Roman" w:cs="Arial"/>
                <w:sz w:val="20"/>
                <w:szCs w:val="20"/>
                <w:lang w:val="en-US"/>
              </w:rPr>
              <w:t xml:space="preserve">  (FEGA)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b/>
                <w:bCs/>
                <w:sz w:val="20"/>
                <w:szCs w:val="20"/>
                <w:lang w:val="en-US"/>
              </w:rPr>
            </w:pPr>
            <w:r w:rsidRPr="009C6832">
              <w:rPr>
                <w:rFonts w:eastAsia="Times New Roman" w:cs="Arial"/>
                <w:b/>
                <w:bCs/>
                <w:sz w:val="20"/>
                <w:szCs w:val="20"/>
                <w:lang w:val="en-US"/>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b/>
                <w:bCs/>
                <w:sz w:val="20"/>
                <w:szCs w:val="20"/>
                <w:lang w:val="en-US"/>
              </w:rPr>
            </w:pPr>
            <w:r w:rsidRPr="009C6832">
              <w:rPr>
                <w:rFonts w:eastAsia="Times New Roman" w:cs="Arial"/>
                <w:b/>
                <w:bCs/>
                <w:sz w:val="20"/>
                <w:szCs w:val="20"/>
                <w:lang w:val="en-US"/>
              </w:rPr>
              <w:t>0,00</w:t>
            </w:r>
          </w:p>
        </w:tc>
        <w:tc>
          <w:tcPr>
            <w:tcW w:w="1284" w:type="dxa"/>
            <w:tcBorders>
              <w:top w:val="single" w:sz="4" w:space="0" w:color="auto"/>
              <w:left w:val="single" w:sz="4" w:space="0" w:color="auto"/>
              <w:bottom w:val="single" w:sz="4" w:space="0" w:color="auto"/>
              <w:right w:val="single" w:sz="4" w:space="0" w:color="auto"/>
            </w:tcBorders>
            <w:shd w:val="clear" w:color="CCCCFF" w:fill="FFFFFF"/>
            <w:noWrap/>
            <w:vAlign w:val="center"/>
            <w:hideMark/>
          </w:tcPr>
          <w:p w:rsidR="007207DF" w:rsidRPr="009C6832" w:rsidRDefault="007207DF" w:rsidP="007207DF">
            <w:pPr>
              <w:spacing w:after="0" w:line="240" w:lineRule="auto"/>
              <w:ind w:firstLine="0"/>
              <w:jc w:val="right"/>
              <w:rPr>
                <w:rFonts w:eastAsia="Times New Roman" w:cs="Arial"/>
                <w:b/>
                <w:bCs/>
                <w:i/>
                <w:iCs/>
                <w:sz w:val="20"/>
                <w:szCs w:val="20"/>
                <w:lang w:val="en-US"/>
              </w:rPr>
            </w:pPr>
            <w:r w:rsidRPr="009C6832">
              <w:rPr>
                <w:rFonts w:eastAsia="Times New Roman" w:cs="Arial"/>
                <w:b/>
                <w:bCs/>
                <w:i/>
                <w:iCs/>
                <w:sz w:val="20"/>
                <w:szCs w:val="20"/>
                <w:lang w:val="en-US"/>
              </w:rPr>
              <w:t>0,00%</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b/>
                <w:bCs/>
                <w:sz w:val="20"/>
                <w:szCs w:val="20"/>
                <w:lang w:val="en-US"/>
              </w:rPr>
            </w:pPr>
            <w:r w:rsidRPr="009C6832">
              <w:rPr>
                <w:rFonts w:eastAsia="Times New Roman" w:cs="Arial"/>
                <w:b/>
                <w:bCs/>
                <w:sz w:val="20"/>
                <w:szCs w:val="20"/>
                <w:lang w:val="en-US"/>
              </w:rPr>
              <w:t>7.658,82</w:t>
            </w:r>
          </w:p>
        </w:tc>
      </w:tr>
      <w:tr w:rsidR="007207DF" w:rsidRPr="009C6832" w:rsidTr="0050101A">
        <w:trPr>
          <w:trHeight w:val="359"/>
        </w:trPr>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7DF" w:rsidRPr="009C6832" w:rsidRDefault="007207DF" w:rsidP="007207DF">
            <w:pPr>
              <w:spacing w:after="0" w:line="240" w:lineRule="auto"/>
              <w:ind w:firstLineChars="100" w:firstLine="201"/>
              <w:jc w:val="left"/>
              <w:rPr>
                <w:rFonts w:eastAsia="Times New Roman" w:cs="Arial"/>
                <w:b/>
                <w:bCs/>
                <w:sz w:val="20"/>
                <w:szCs w:val="20"/>
                <w:lang w:val="en-US"/>
              </w:rPr>
            </w:pPr>
            <w:r w:rsidRPr="009C6832">
              <w:rPr>
                <w:rFonts w:eastAsia="Times New Roman" w:cs="Arial"/>
                <w:b/>
                <w:bCs/>
                <w:sz w:val="20"/>
                <w:szCs w:val="20"/>
                <w:lang w:val="en-US"/>
              </w:rPr>
              <w:t xml:space="preserve">B4. Altele (post-aderare), din care: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b/>
                <w:bCs/>
                <w:sz w:val="20"/>
                <w:szCs w:val="20"/>
                <w:lang w:val="en-US"/>
              </w:rPr>
            </w:pPr>
            <w:r w:rsidRPr="009C6832">
              <w:rPr>
                <w:rFonts w:eastAsia="Times New Roman" w:cs="Arial"/>
                <w:b/>
                <w:bCs/>
                <w:sz w:val="20"/>
                <w:szCs w:val="20"/>
                <w:lang w:val="en-US"/>
              </w:rPr>
              <w:t>13,82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b/>
                <w:bCs/>
                <w:sz w:val="20"/>
                <w:szCs w:val="20"/>
                <w:lang w:val="en-US"/>
              </w:rPr>
            </w:pPr>
            <w:r w:rsidRPr="009C6832">
              <w:rPr>
                <w:rFonts w:eastAsia="Times New Roman" w:cs="Arial"/>
                <w:b/>
                <w:bCs/>
                <w:sz w:val="20"/>
                <w:szCs w:val="20"/>
                <w:lang w:val="en-US"/>
              </w:rPr>
              <w:t>8,02</w:t>
            </w:r>
          </w:p>
        </w:tc>
        <w:tc>
          <w:tcPr>
            <w:tcW w:w="1284" w:type="dxa"/>
            <w:tcBorders>
              <w:top w:val="single" w:sz="4" w:space="0" w:color="auto"/>
              <w:left w:val="single" w:sz="4" w:space="0" w:color="auto"/>
              <w:bottom w:val="single" w:sz="4" w:space="0" w:color="auto"/>
              <w:right w:val="single" w:sz="4" w:space="0" w:color="auto"/>
            </w:tcBorders>
            <w:shd w:val="clear" w:color="CCCCFF" w:fill="FFFFFF"/>
            <w:noWrap/>
            <w:vAlign w:val="center"/>
            <w:hideMark/>
          </w:tcPr>
          <w:p w:rsidR="007207DF" w:rsidRPr="009C6832" w:rsidRDefault="007207DF" w:rsidP="007207DF">
            <w:pPr>
              <w:spacing w:after="0" w:line="240" w:lineRule="auto"/>
              <w:ind w:firstLine="0"/>
              <w:jc w:val="right"/>
              <w:rPr>
                <w:rFonts w:eastAsia="Times New Roman" w:cs="Arial"/>
                <w:b/>
                <w:bCs/>
                <w:i/>
                <w:iCs/>
                <w:sz w:val="20"/>
                <w:szCs w:val="20"/>
                <w:lang w:val="en-US"/>
              </w:rPr>
            </w:pPr>
            <w:r w:rsidRPr="009C6832">
              <w:rPr>
                <w:rFonts w:eastAsia="Times New Roman" w:cs="Arial"/>
                <w:b/>
                <w:bCs/>
                <w:i/>
                <w:iCs/>
                <w:sz w:val="20"/>
                <w:szCs w:val="20"/>
                <w:lang w:val="en-US"/>
              </w:rPr>
              <w:t>58,03%</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b/>
                <w:bCs/>
                <w:sz w:val="20"/>
                <w:szCs w:val="20"/>
                <w:lang w:val="en-US"/>
              </w:rPr>
            </w:pPr>
            <w:r w:rsidRPr="009C6832">
              <w:rPr>
                <w:rFonts w:eastAsia="Times New Roman" w:cs="Arial"/>
                <w:b/>
                <w:bCs/>
                <w:sz w:val="20"/>
                <w:szCs w:val="20"/>
                <w:lang w:val="en-US"/>
              </w:rPr>
              <w:t>1.706,36</w:t>
            </w:r>
          </w:p>
        </w:tc>
      </w:tr>
      <w:tr w:rsidR="007207DF" w:rsidRPr="009C6832" w:rsidTr="0050101A">
        <w:trPr>
          <w:trHeight w:val="359"/>
        </w:trPr>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7DF" w:rsidRPr="009C6832" w:rsidRDefault="007207DF" w:rsidP="007207DF">
            <w:pPr>
              <w:spacing w:after="0" w:line="240" w:lineRule="auto"/>
              <w:ind w:firstLineChars="300" w:firstLine="602"/>
              <w:jc w:val="left"/>
              <w:rPr>
                <w:rFonts w:eastAsia="Times New Roman" w:cs="Arial"/>
                <w:b/>
                <w:bCs/>
                <w:i/>
                <w:iCs/>
                <w:sz w:val="20"/>
                <w:szCs w:val="20"/>
                <w:lang w:val="en-US"/>
              </w:rPr>
            </w:pPr>
            <w:r w:rsidRPr="009C6832">
              <w:rPr>
                <w:rFonts w:eastAsia="Times New Roman" w:cs="Arial"/>
                <w:b/>
                <w:bCs/>
                <w:i/>
                <w:iCs/>
                <w:sz w:val="20"/>
                <w:szCs w:val="20"/>
                <w:lang w:val="en-US"/>
              </w:rPr>
              <w:t xml:space="preserve">a) </w:t>
            </w:r>
            <w:r w:rsidRPr="009C6832">
              <w:rPr>
                <w:rFonts w:eastAsia="Times New Roman" w:cs="Arial"/>
                <w:sz w:val="20"/>
                <w:szCs w:val="20"/>
                <w:lang w:val="en-US"/>
              </w:rPr>
              <w:t xml:space="preserve">Avansuri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sz w:val="20"/>
                <w:szCs w:val="20"/>
                <w:lang w:val="en-US"/>
              </w:rPr>
            </w:pPr>
            <w:r w:rsidRPr="009C6832">
              <w:rPr>
                <w:rFonts w:eastAsia="Times New Roman" w:cs="Arial"/>
                <w:sz w:val="20"/>
                <w:szCs w:val="20"/>
                <w:lang w:val="en-US"/>
              </w:rPr>
              <w:t>8,89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sz w:val="20"/>
                <w:szCs w:val="20"/>
                <w:lang w:val="en-US"/>
              </w:rPr>
            </w:pPr>
            <w:r w:rsidRPr="009C6832">
              <w:rPr>
                <w:rFonts w:eastAsia="Times New Roman" w:cs="Arial"/>
                <w:sz w:val="20"/>
                <w:szCs w:val="20"/>
                <w:lang w:val="en-US"/>
              </w:rPr>
              <w:t>8,02</w:t>
            </w:r>
          </w:p>
        </w:tc>
        <w:tc>
          <w:tcPr>
            <w:tcW w:w="1284" w:type="dxa"/>
            <w:tcBorders>
              <w:top w:val="single" w:sz="4" w:space="0" w:color="auto"/>
              <w:left w:val="single" w:sz="4" w:space="0" w:color="auto"/>
              <w:bottom w:val="single" w:sz="4" w:space="0" w:color="auto"/>
              <w:right w:val="single" w:sz="4" w:space="0" w:color="auto"/>
            </w:tcBorders>
            <w:shd w:val="clear" w:color="CCCCFF" w:fill="FFFFFF"/>
            <w:noWrap/>
            <w:vAlign w:val="center"/>
            <w:hideMark/>
          </w:tcPr>
          <w:p w:rsidR="007207DF" w:rsidRPr="009C6832" w:rsidRDefault="007207DF" w:rsidP="007207DF">
            <w:pPr>
              <w:spacing w:after="0" w:line="240" w:lineRule="auto"/>
              <w:ind w:firstLine="0"/>
              <w:jc w:val="right"/>
              <w:rPr>
                <w:rFonts w:eastAsia="Times New Roman" w:cs="Arial"/>
                <w:i/>
                <w:iCs/>
                <w:sz w:val="20"/>
                <w:szCs w:val="20"/>
                <w:lang w:val="en-US"/>
              </w:rPr>
            </w:pPr>
            <w:r w:rsidRPr="009C6832">
              <w:rPr>
                <w:rFonts w:eastAsia="Times New Roman" w:cs="Arial"/>
                <w:i/>
                <w:iCs/>
                <w:sz w:val="20"/>
                <w:szCs w:val="20"/>
                <w:lang w:val="en-US"/>
              </w:rPr>
              <w:t>90,19%</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sz w:val="20"/>
                <w:szCs w:val="20"/>
                <w:lang w:val="en-US"/>
              </w:rPr>
            </w:pPr>
            <w:r w:rsidRPr="009C6832">
              <w:rPr>
                <w:rFonts w:eastAsia="Times New Roman" w:cs="Arial"/>
                <w:sz w:val="20"/>
                <w:szCs w:val="20"/>
                <w:lang w:val="en-US"/>
              </w:rPr>
              <w:t>1.496,39</w:t>
            </w:r>
          </w:p>
        </w:tc>
      </w:tr>
      <w:tr w:rsidR="007207DF" w:rsidRPr="009C6832" w:rsidTr="0050101A">
        <w:trPr>
          <w:trHeight w:val="359"/>
        </w:trPr>
        <w:tc>
          <w:tcPr>
            <w:tcW w:w="3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7DF" w:rsidRPr="009C6832" w:rsidRDefault="007207DF" w:rsidP="007207DF">
            <w:pPr>
              <w:spacing w:after="0" w:line="240" w:lineRule="auto"/>
              <w:ind w:firstLineChars="300" w:firstLine="602"/>
              <w:jc w:val="left"/>
              <w:rPr>
                <w:rFonts w:eastAsia="Times New Roman" w:cs="Arial"/>
                <w:b/>
                <w:bCs/>
                <w:i/>
                <w:iCs/>
                <w:sz w:val="20"/>
                <w:szCs w:val="20"/>
                <w:lang w:val="en-US"/>
              </w:rPr>
            </w:pPr>
            <w:r w:rsidRPr="009C6832">
              <w:rPr>
                <w:rFonts w:eastAsia="Times New Roman" w:cs="Arial"/>
                <w:b/>
                <w:bCs/>
                <w:i/>
                <w:iCs/>
                <w:sz w:val="20"/>
                <w:szCs w:val="20"/>
                <w:lang w:val="en-US"/>
              </w:rPr>
              <w:t>b)</w:t>
            </w:r>
            <w:r w:rsidRPr="009C6832">
              <w:rPr>
                <w:rFonts w:eastAsia="Times New Roman" w:cs="Arial"/>
                <w:sz w:val="20"/>
                <w:szCs w:val="20"/>
                <w:lang w:val="en-US"/>
              </w:rPr>
              <w:t>Rambursari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sz w:val="20"/>
                <w:szCs w:val="20"/>
                <w:lang w:val="en-US"/>
              </w:rPr>
            </w:pPr>
            <w:r w:rsidRPr="009C6832">
              <w:rPr>
                <w:rFonts w:eastAsia="Times New Roman" w:cs="Arial"/>
                <w:sz w:val="20"/>
                <w:szCs w:val="20"/>
                <w:lang w:val="en-US"/>
              </w:rPr>
              <w:t>4,93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sz w:val="20"/>
                <w:szCs w:val="20"/>
                <w:lang w:val="en-US"/>
              </w:rPr>
            </w:pPr>
            <w:r w:rsidRPr="009C6832">
              <w:rPr>
                <w:rFonts w:eastAsia="Times New Roman" w:cs="Arial"/>
                <w:sz w:val="20"/>
                <w:szCs w:val="20"/>
                <w:lang w:val="en-US"/>
              </w:rPr>
              <w:t>0,00</w:t>
            </w:r>
          </w:p>
        </w:tc>
        <w:tc>
          <w:tcPr>
            <w:tcW w:w="1284" w:type="dxa"/>
            <w:tcBorders>
              <w:top w:val="single" w:sz="4" w:space="0" w:color="auto"/>
              <w:left w:val="single" w:sz="4" w:space="0" w:color="auto"/>
              <w:bottom w:val="single" w:sz="4" w:space="0" w:color="auto"/>
              <w:right w:val="single" w:sz="4" w:space="0" w:color="auto"/>
            </w:tcBorders>
            <w:shd w:val="clear" w:color="CCCCFF" w:fill="FFFFFF"/>
            <w:noWrap/>
            <w:vAlign w:val="center"/>
            <w:hideMark/>
          </w:tcPr>
          <w:p w:rsidR="007207DF" w:rsidRPr="009C6832" w:rsidRDefault="007207DF" w:rsidP="007207DF">
            <w:pPr>
              <w:spacing w:after="0" w:line="240" w:lineRule="auto"/>
              <w:ind w:firstLine="0"/>
              <w:jc w:val="right"/>
              <w:rPr>
                <w:rFonts w:eastAsia="Times New Roman" w:cs="Arial"/>
                <w:i/>
                <w:iCs/>
                <w:sz w:val="20"/>
                <w:szCs w:val="20"/>
                <w:lang w:val="en-US"/>
              </w:rPr>
            </w:pPr>
            <w:r w:rsidRPr="009C6832">
              <w:rPr>
                <w:rFonts w:eastAsia="Times New Roman" w:cs="Arial"/>
                <w:i/>
                <w:iCs/>
                <w:sz w:val="20"/>
                <w:szCs w:val="20"/>
                <w:lang w:val="en-US"/>
              </w:rPr>
              <w:t>0,00%</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sz w:val="20"/>
                <w:szCs w:val="20"/>
                <w:lang w:val="en-US"/>
              </w:rPr>
            </w:pPr>
            <w:r w:rsidRPr="009C6832">
              <w:rPr>
                <w:rFonts w:eastAsia="Times New Roman" w:cs="Arial"/>
                <w:sz w:val="20"/>
                <w:szCs w:val="20"/>
                <w:lang w:val="en-US"/>
              </w:rPr>
              <w:t>209,97</w:t>
            </w:r>
          </w:p>
        </w:tc>
      </w:tr>
      <w:tr w:rsidR="007207DF" w:rsidRPr="009C6832" w:rsidTr="0050101A">
        <w:trPr>
          <w:trHeight w:val="254"/>
        </w:trPr>
        <w:tc>
          <w:tcPr>
            <w:tcW w:w="3861" w:type="dxa"/>
            <w:tcBorders>
              <w:top w:val="single" w:sz="4" w:space="0" w:color="auto"/>
              <w:left w:val="nil"/>
              <w:bottom w:val="nil"/>
              <w:right w:val="nil"/>
            </w:tcBorders>
            <w:shd w:val="clear" w:color="auto" w:fill="auto"/>
            <w:noWrap/>
            <w:vAlign w:val="bottom"/>
            <w:hideMark/>
          </w:tcPr>
          <w:p w:rsidR="007207DF" w:rsidRPr="009C6832" w:rsidRDefault="007207DF" w:rsidP="007207DF">
            <w:pPr>
              <w:spacing w:after="0" w:line="240" w:lineRule="auto"/>
              <w:ind w:firstLine="0"/>
              <w:jc w:val="left"/>
              <w:rPr>
                <w:rFonts w:eastAsia="Times New Roman" w:cs="Arial"/>
                <w:sz w:val="20"/>
                <w:szCs w:val="20"/>
                <w:lang w:val="en-US"/>
              </w:rPr>
            </w:pPr>
          </w:p>
        </w:tc>
        <w:tc>
          <w:tcPr>
            <w:tcW w:w="1134" w:type="dxa"/>
            <w:tcBorders>
              <w:top w:val="single" w:sz="4" w:space="0" w:color="auto"/>
              <w:left w:val="nil"/>
              <w:bottom w:val="nil"/>
              <w:right w:val="nil"/>
            </w:tcBorders>
            <w:shd w:val="clear" w:color="auto" w:fill="auto"/>
            <w:noWrap/>
            <w:vAlign w:val="bottom"/>
            <w:hideMark/>
          </w:tcPr>
          <w:p w:rsidR="007207DF" w:rsidRPr="009C6832" w:rsidRDefault="007207DF" w:rsidP="007207DF">
            <w:pPr>
              <w:spacing w:after="0" w:line="240" w:lineRule="auto"/>
              <w:ind w:firstLine="0"/>
              <w:jc w:val="left"/>
              <w:rPr>
                <w:rFonts w:eastAsia="Times New Roman" w:cs="Times New Roman"/>
                <w:sz w:val="20"/>
                <w:szCs w:val="20"/>
                <w:lang w:val="en-US"/>
              </w:rPr>
            </w:pPr>
          </w:p>
        </w:tc>
        <w:tc>
          <w:tcPr>
            <w:tcW w:w="1134" w:type="dxa"/>
            <w:tcBorders>
              <w:top w:val="single" w:sz="4" w:space="0" w:color="auto"/>
              <w:left w:val="nil"/>
              <w:bottom w:val="nil"/>
              <w:right w:val="nil"/>
            </w:tcBorders>
            <w:shd w:val="clear" w:color="auto" w:fill="auto"/>
            <w:noWrap/>
            <w:vAlign w:val="bottom"/>
            <w:hideMark/>
          </w:tcPr>
          <w:p w:rsidR="007207DF" w:rsidRPr="009C6832" w:rsidRDefault="007207DF" w:rsidP="007207DF">
            <w:pPr>
              <w:spacing w:after="0" w:line="240" w:lineRule="auto"/>
              <w:ind w:firstLine="0"/>
              <w:jc w:val="left"/>
              <w:rPr>
                <w:rFonts w:eastAsia="Times New Roman" w:cs="Times New Roman"/>
                <w:sz w:val="20"/>
                <w:szCs w:val="20"/>
                <w:lang w:val="en-US"/>
              </w:rPr>
            </w:pPr>
          </w:p>
        </w:tc>
        <w:tc>
          <w:tcPr>
            <w:tcW w:w="1284" w:type="dxa"/>
            <w:tcBorders>
              <w:top w:val="single" w:sz="4" w:space="0" w:color="auto"/>
              <w:left w:val="nil"/>
              <w:bottom w:val="nil"/>
              <w:right w:val="nil"/>
            </w:tcBorders>
            <w:shd w:val="clear" w:color="auto" w:fill="auto"/>
            <w:noWrap/>
            <w:vAlign w:val="bottom"/>
            <w:hideMark/>
          </w:tcPr>
          <w:p w:rsidR="007207DF" w:rsidRPr="009C6832" w:rsidRDefault="007207DF" w:rsidP="007207DF">
            <w:pPr>
              <w:spacing w:after="0" w:line="240" w:lineRule="auto"/>
              <w:ind w:firstLine="0"/>
              <w:jc w:val="left"/>
              <w:rPr>
                <w:rFonts w:eastAsia="Times New Roman" w:cs="Times New Roman"/>
                <w:sz w:val="20"/>
                <w:szCs w:val="20"/>
                <w:lang w:val="en-US"/>
              </w:rPr>
            </w:pPr>
          </w:p>
        </w:tc>
        <w:tc>
          <w:tcPr>
            <w:tcW w:w="1500" w:type="dxa"/>
            <w:tcBorders>
              <w:top w:val="single" w:sz="4" w:space="0" w:color="auto"/>
              <w:left w:val="nil"/>
              <w:bottom w:val="nil"/>
              <w:right w:val="nil"/>
            </w:tcBorders>
            <w:shd w:val="clear" w:color="auto" w:fill="auto"/>
            <w:noWrap/>
            <w:vAlign w:val="bottom"/>
            <w:hideMark/>
          </w:tcPr>
          <w:p w:rsidR="007207DF" w:rsidRPr="009C6832" w:rsidRDefault="007207DF" w:rsidP="007207DF">
            <w:pPr>
              <w:spacing w:after="0" w:line="240" w:lineRule="auto"/>
              <w:ind w:firstLine="0"/>
              <w:jc w:val="left"/>
              <w:rPr>
                <w:rFonts w:eastAsia="Times New Roman" w:cs="Times New Roman"/>
                <w:sz w:val="20"/>
                <w:szCs w:val="20"/>
                <w:lang w:val="en-US"/>
              </w:rPr>
            </w:pPr>
          </w:p>
        </w:tc>
      </w:tr>
      <w:tr w:rsidR="0050101A" w:rsidRPr="009C6832" w:rsidTr="00F93CAD">
        <w:trPr>
          <w:trHeight w:val="359"/>
        </w:trPr>
        <w:tc>
          <w:tcPr>
            <w:tcW w:w="3861" w:type="dxa"/>
            <w:tcBorders>
              <w:top w:val="nil"/>
              <w:left w:val="nil"/>
              <w:bottom w:val="nil"/>
              <w:right w:val="nil"/>
            </w:tcBorders>
            <w:shd w:val="clear" w:color="auto" w:fill="auto"/>
            <w:vAlign w:val="bottom"/>
            <w:hideMark/>
          </w:tcPr>
          <w:p w:rsidR="0050101A" w:rsidRPr="009C6832" w:rsidRDefault="00A26E1A" w:rsidP="007207DF">
            <w:pPr>
              <w:spacing w:after="0" w:line="240" w:lineRule="auto"/>
              <w:ind w:firstLine="0"/>
              <w:jc w:val="left"/>
              <w:rPr>
                <w:rFonts w:eastAsia="Times New Roman" w:cs="Arial"/>
                <w:b/>
                <w:bCs/>
                <w:sz w:val="20"/>
                <w:szCs w:val="20"/>
                <w:lang w:val="en-US"/>
              </w:rPr>
            </w:pPr>
            <w:r>
              <w:rPr>
                <w:rFonts w:eastAsia="Times New Roman" w:cs="Arial"/>
                <w:b/>
                <w:bCs/>
                <w:sz w:val="20"/>
                <w:szCs w:val="20"/>
                <w:lang w:val="en-US"/>
              </w:rPr>
              <w:t xml:space="preserve"> </w:t>
            </w:r>
          </w:p>
          <w:p w:rsidR="0050101A" w:rsidRPr="009C6832" w:rsidRDefault="0050101A" w:rsidP="007207DF">
            <w:pPr>
              <w:spacing w:after="0" w:line="240" w:lineRule="auto"/>
              <w:ind w:firstLine="0"/>
              <w:jc w:val="left"/>
              <w:rPr>
                <w:rFonts w:eastAsia="Times New Roman" w:cs="Arial"/>
                <w:b/>
                <w:bCs/>
                <w:sz w:val="20"/>
                <w:szCs w:val="20"/>
                <w:lang w:val="en-US"/>
              </w:rPr>
            </w:pPr>
            <w:r w:rsidRPr="009C6832">
              <w:rPr>
                <w:rFonts w:eastAsia="Times New Roman" w:cs="Arial"/>
                <w:b/>
                <w:bCs/>
                <w:sz w:val="20"/>
                <w:szCs w:val="20"/>
                <w:lang w:val="en-US"/>
              </w:rPr>
              <w:t>Sume primite în CFM 2014-2020</w:t>
            </w:r>
          </w:p>
        </w:tc>
        <w:tc>
          <w:tcPr>
            <w:tcW w:w="1134" w:type="dxa"/>
            <w:tcBorders>
              <w:top w:val="nil"/>
              <w:left w:val="nil"/>
              <w:bottom w:val="nil"/>
              <w:right w:val="nil"/>
            </w:tcBorders>
            <w:shd w:val="clear" w:color="auto" w:fill="auto"/>
            <w:noWrap/>
            <w:vAlign w:val="bottom"/>
            <w:hideMark/>
          </w:tcPr>
          <w:p w:rsidR="0050101A" w:rsidRPr="009C6832" w:rsidRDefault="0050101A" w:rsidP="007207DF">
            <w:pPr>
              <w:spacing w:after="0" w:line="240" w:lineRule="auto"/>
              <w:ind w:firstLine="0"/>
              <w:jc w:val="left"/>
              <w:rPr>
                <w:rFonts w:eastAsia="Times New Roman" w:cs="Arial"/>
                <w:b/>
                <w:bCs/>
                <w:sz w:val="20"/>
                <w:szCs w:val="20"/>
                <w:lang w:val="en-US"/>
              </w:rPr>
            </w:pPr>
          </w:p>
        </w:tc>
        <w:tc>
          <w:tcPr>
            <w:tcW w:w="1134" w:type="dxa"/>
            <w:tcBorders>
              <w:top w:val="nil"/>
              <w:left w:val="nil"/>
              <w:bottom w:val="nil"/>
              <w:right w:val="nil"/>
            </w:tcBorders>
            <w:shd w:val="clear" w:color="auto" w:fill="auto"/>
            <w:noWrap/>
            <w:vAlign w:val="bottom"/>
            <w:hideMark/>
          </w:tcPr>
          <w:p w:rsidR="0050101A" w:rsidRPr="009C6832" w:rsidRDefault="0050101A" w:rsidP="007207DF">
            <w:pPr>
              <w:spacing w:after="0" w:line="240" w:lineRule="auto"/>
              <w:ind w:firstLine="0"/>
              <w:jc w:val="left"/>
              <w:rPr>
                <w:rFonts w:eastAsia="Times New Roman" w:cs="Times New Roman"/>
                <w:sz w:val="20"/>
                <w:szCs w:val="20"/>
                <w:lang w:val="en-US"/>
              </w:rPr>
            </w:pPr>
          </w:p>
        </w:tc>
        <w:tc>
          <w:tcPr>
            <w:tcW w:w="2784" w:type="dxa"/>
            <w:gridSpan w:val="2"/>
            <w:tcBorders>
              <w:top w:val="nil"/>
              <w:left w:val="nil"/>
              <w:bottom w:val="nil"/>
              <w:right w:val="nil"/>
            </w:tcBorders>
            <w:shd w:val="clear" w:color="auto" w:fill="auto"/>
            <w:noWrap/>
            <w:vAlign w:val="bottom"/>
            <w:hideMark/>
          </w:tcPr>
          <w:p w:rsidR="0050101A" w:rsidRPr="009C6832" w:rsidRDefault="0050101A" w:rsidP="0050101A">
            <w:pPr>
              <w:spacing w:after="0" w:line="240" w:lineRule="auto"/>
              <w:ind w:firstLine="0"/>
              <w:jc w:val="right"/>
              <w:rPr>
                <w:rFonts w:eastAsia="Times New Roman" w:cs="Arial"/>
                <w:b/>
                <w:bCs/>
                <w:sz w:val="20"/>
                <w:szCs w:val="20"/>
                <w:lang w:val="en-US"/>
              </w:rPr>
            </w:pPr>
            <w:r w:rsidRPr="009C6832">
              <w:rPr>
                <w:rFonts w:eastAsia="Times New Roman" w:cs="Arial"/>
                <w:b/>
                <w:bCs/>
                <w:sz w:val="20"/>
                <w:szCs w:val="20"/>
                <w:lang w:val="en-US"/>
              </w:rPr>
              <w:t>milioane euro</w:t>
            </w:r>
          </w:p>
        </w:tc>
      </w:tr>
      <w:tr w:rsidR="007207DF" w:rsidRPr="009C6832" w:rsidTr="0050101A">
        <w:trPr>
          <w:trHeight w:val="760"/>
        </w:trPr>
        <w:tc>
          <w:tcPr>
            <w:tcW w:w="38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center"/>
              <w:rPr>
                <w:rFonts w:eastAsia="Times New Roman" w:cs="Arial"/>
                <w:sz w:val="20"/>
                <w:szCs w:val="20"/>
                <w:lang w:val="en-US"/>
              </w:rPr>
            </w:pPr>
            <w:r w:rsidRPr="009C6832">
              <w:rPr>
                <w:rFonts w:eastAsia="Times New Roman" w:cs="Arial"/>
                <w:sz w:val="20"/>
                <w:szCs w:val="20"/>
                <w:lang w:val="en-US"/>
              </w:rPr>
              <w:t>Denumire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07DF" w:rsidRPr="009C6832" w:rsidRDefault="003E5F89" w:rsidP="007207DF">
            <w:pPr>
              <w:spacing w:after="0" w:line="240" w:lineRule="auto"/>
              <w:ind w:firstLine="0"/>
              <w:jc w:val="center"/>
              <w:rPr>
                <w:rFonts w:eastAsia="Times New Roman" w:cs="Arial"/>
                <w:sz w:val="20"/>
                <w:szCs w:val="20"/>
                <w:lang w:val="en-US"/>
              </w:rPr>
            </w:pPr>
            <w:r w:rsidRPr="009C6832">
              <w:rPr>
                <w:rFonts w:eastAsia="Times New Roman" w:cs="Arial"/>
                <w:sz w:val="20"/>
                <w:szCs w:val="20"/>
                <w:lang w:val="en-US"/>
              </w:rPr>
              <w:t xml:space="preserve">Estimari </w:t>
            </w:r>
            <w:r w:rsidRPr="009C6832">
              <w:rPr>
                <w:rFonts w:eastAsia="Times New Roman" w:cs="Arial"/>
                <w:sz w:val="20"/>
                <w:szCs w:val="20"/>
                <w:lang w:val="en-US"/>
              </w:rPr>
              <w:br/>
              <w:t>2017</w:t>
            </w:r>
            <w:r>
              <w:rPr>
                <w:rFonts w:eastAsia="Times New Roman" w:cs="Arial"/>
                <w:sz w:val="20"/>
                <w:szCs w:val="20"/>
                <w:lang w:val="en-US"/>
              </w:rPr>
              <w:t>**)</w:t>
            </w:r>
          </w:p>
        </w:tc>
        <w:tc>
          <w:tcPr>
            <w:tcW w:w="2418" w:type="dxa"/>
            <w:gridSpan w:val="2"/>
            <w:tcBorders>
              <w:top w:val="single" w:sz="4" w:space="0" w:color="auto"/>
              <w:left w:val="nil"/>
              <w:bottom w:val="single" w:sz="4" w:space="0" w:color="auto"/>
              <w:right w:val="single" w:sz="4" w:space="0" w:color="auto"/>
            </w:tcBorders>
            <w:shd w:val="clear" w:color="auto" w:fill="auto"/>
            <w:vAlign w:val="center"/>
            <w:hideMark/>
          </w:tcPr>
          <w:p w:rsidR="007207DF" w:rsidRPr="009C6832" w:rsidRDefault="007207DF" w:rsidP="007207DF">
            <w:pPr>
              <w:spacing w:after="0" w:line="240" w:lineRule="auto"/>
              <w:ind w:firstLine="0"/>
              <w:jc w:val="center"/>
              <w:rPr>
                <w:rFonts w:eastAsia="Times New Roman" w:cs="Arial"/>
                <w:sz w:val="20"/>
                <w:szCs w:val="20"/>
                <w:lang w:val="en-US"/>
              </w:rPr>
            </w:pPr>
            <w:r w:rsidRPr="009C6832">
              <w:rPr>
                <w:rFonts w:eastAsia="Times New Roman" w:cs="Arial"/>
                <w:sz w:val="20"/>
                <w:szCs w:val="20"/>
                <w:lang w:val="en-US"/>
              </w:rPr>
              <w:t xml:space="preserve">Realizat 2017 </w:t>
            </w:r>
            <w:r w:rsidRPr="009C6832">
              <w:rPr>
                <w:rFonts w:eastAsia="Times New Roman" w:cs="Arial"/>
                <w:sz w:val="20"/>
                <w:szCs w:val="20"/>
                <w:lang w:val="en-US"/>
              </w:rPr>
              <w:br/>
              <w:t xml:space="preserve">(execuţia la </w:t>
            </w:r>
            <w:r w:rsidRPr="009C6832">
              <w:rPr>
                <w:rFonts w:eastAsia="Times New Roman" w:cs="Arial"/>
                <w:sz w:val="20"/>
                <w:szCs w:val="20"/>
                <w:lang w:val="en-US"/>
              </w:rPr>
              <w:br/>
              <w:t>30.06.2017)</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07DF" w:rsidRPr="009C6832" w:rsidRDefault="007207DF" w:rsidP="007207DF">
            <w:pPr>
              <w:spacing w:after="0" w:line="240" w:lineRule="auto"/>
              <w:ind w:firstLine="0"/>
              <w:jc w:val="center"/>
              <w:rPr>
                <w:rFonts w:eastAsia="Times New Roman" w:cs="Arial"/>
                <w:sz w:val="20"/>
                <w:szCs w:val="20"/>
                <w:lang w:val="en-US"/>
              </w:rPr>
            </w:pPr>
            <w:r w:rsidRPr="009C6832">
              <w:rPr>
                <w:rFonts w:eastAsia="Times New Roman" w:cs="Arial"/>
                <w:sz w:val="20"/>
                <w:szCs w:val="20"/>
                <w:lang w:val="en-US"/>
              </w:rPr>
              <w:t>Realizat</w:t>
            </w:r>
            <w:r w:rsidRPr="009C6832">
              <w:rPr>
                <w:rFonts w:eastAsia="Times New Roman" w:cs="Arial"/>
                <w:sz w:val="20"/>
                <w:szCs w:val="20"/>
                <w:lang w:val="en-US"/>
              </w:rPr>
              <w:br/>
              <w:t xml:space="preserve"> 2014-2017</w:t>
            </w:r>
            <w:r w:rsidRPr="009C6832">
              <w:rPr>
                <w:rFonts w:eastAsia="Times New Roman" w:cs="Arial"/>
                <w:sz w:val="20"/>
                <w:szCs w:val="20"/>
                <w:lang w:val="en-US"/>
              </w:rPr>
              <w:br/>
              <w:t xml:space="preserve">(execuţia la </w:t>
            </w:r>
            <w:r w:rsidRPr="009C6832">
              <w:rPr>
                <w:rFonts w:eastAsia="Times New Roman" w:cs="Arial"/>
                <w:sz w:val="20"/>
                <w:szCs w:val="20"/>
                <w:lang w:val="en-US"/>
              </w:rPr>
              <w:br/>
              <w:t>30.06.2017)</w:t>
            </w:r>
          </w:p>
        </w:tc>
      </w:tr>
      <w:tr w:rsidR="007207DF" w:rsidRPr="009C6832" w:rsidTr="0050101A">
        <w:trPr>
          <w:trHeight w:val="359"/>
        </w:trPr>
        <w:tc>
          <w:tcPr>
            <w:tcW w:w="3861" w:type="dxa"/>
            <w:vMerge/>
            <w:tcBorders>
              <w:top w:val="single" w:sz="4" w:space="0" w:color="auto"/>
              <w:left w:val="single" w:sz="4" w:space="0" w:color="auto"/>
              <w:bottom w:val="single" w:sz="4" w:space="0" w:color="auto"/>
              <w:right w:val="single" w:sz="4" w:space="0" w:color="auto"/>
            </w:tcBorders>
            <w:vAlign w:val="center"/>
            <w:hideMark/>
          </w:tcPr>
          <w:p w:rsidR="007207DF" w:rsidRPr="009C6832" w:rsidRDefault="007207DF" w:rsidP="007207DF">
            <w:pPr>
              <w:spacing w:after="0" w:line="240" w:lineRule="auto"/>
              <w:ind w:firstLine="0"/>
              <w:jc w:val="left"/>
              <w:rPr>
                <w:rFonts w:eastAsia="Times New Roman" w:cs="Arial"/>
                <w:sz w:val="20"/>
                <w:szCs w:val="20"/>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207DF" w:rsidRPr="009C6832" w:rsidRDefault="007207DF" w:rsidP="007207DF">
            <w:pPr>
              <w:spacing w:after="0" w:line="240" w:lineRule="auto"/>
              <w:ind w:firstLine="0"/>
              <w:jc w:val="left"/>
              <w:rPr>
                <w:rFonts w:eastAsia="Times New Roman" w:cs="Arial"/>
                <w:sz w:val="20"/>
                <w:szCs w:val="20"/>
                <w:lang w:val="en-US"/>
              </w:rPr>
            </w:pPr>
          </w:p>
        </w:tc>
        <w:tc>
          <w:tcPr>
            <w:tcW w:w="1134" w:type="dxa"/>
            <w:tcBorders>
              <w:top w:val="nil"/>
              <w:left w:val="nil"/>
              <w:bottom w:val="nil"/>
              <w:right w:val="single" w:sz="4" w:space="0" w:color="auto"/>
            </w:tcBorders>
            <w:shd w:val="clear" w:color="auto" w:fill="auto"/>
            <w:vAlign w:val="center"/>
            <w:hideMark/>
          </w:tcPr>
          <w:p w:rsidR="007207DF" w:rsidRPr="009C6832" w:rsidRDefault="007207DF" w:rsidP="007207DF">
            <w:pPr>
              <w:spacing w:after="0" w:line="240" w:lineRule="auto"/>
              <w:ind w:firstLine="0"/>
              <w:jc w:val="center"/>
              <w:rPr>
                <w:rFonts w:eastAsia="Times New Roman" w:cs="Arial"/>
                <w:sz w:val="20"/>
                <w:szCs w:val="20"/>
                <w:lang w:val="en-US"/>
              </w:rPr>
            </w:pPr>
            <w:r w:rsidRPr="009C6832">
              <w:rPr>
                <w:rFonts w:eastAsia="Times New Roman" w:cs="Arial"/>
                <w:sz w:val="20"/>
                <w:szCs w:val="20"/>
                <w:lang w:val="en-US"/>
              </w:rPr>
              <w:t>mil. euro</w:t>
            </w:r>
          </w:p>
        </w:tc>
        <w:tc>
          <w:tcPr>
            <w:tcW w:w="1284" w:type="dxa"/>
            <w:tcBorders>
              <w:top w:val="nil"/>
              <w:left w:val="nil"/>
              <w:bottom w:val="nil"/>
              <w:right w:val="single" w:sz="4" w:space="0" w:color="auto"/>
            </w:tcBorders>
            <w:shd w:val="clear" w:color="auto" w:fill="auto"/>
            <w:vAlign w:val="center"/>
            <w:hideMark/>
          </w:tcPr>
          <w:p w:rsidR="007207DF" w:rsidRPr="009C6832" w:rsidRDefault="007207DF" w:rsidP="007207DF">
            <w:pPr>
              <w:spacing w:after="0" w:line="240" w:lineRule="auto"/>
              <w:ind w:firstLine="0"/>
              <w:jc w:val="center"/>
              <w:rPr>
                <w:rFonts w:eastAsia="Times New Roman" w:cs="Arial"/>
                <w:sz w:val="20"/>
                <w:szCs w:val="20"/>
                <w:lang w:val="en-US"/>
              </w:rPr>
            </w:pPr>
            <w:r w:rsidRPr="009C6832">
              <w:rPr>
                <w:rFonts w:eastAsia="Times New Roman" w:cs="Arial"/>
                <w:sz w:val="20"/>
                <w:szCs w:val="20"/>
                <w:lang w:val="en-US"/>
              </w:rPr>
              <w:t>%</w:t>
            </w: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7207DF" w:rsidRPr="009C6832" w:rsidRDefault="007207DF" w:rsidP="007207DF">
            <w:pPr>
              <w:spacing w:after="0" w:line="240" w:lineRule="auto"/>
              <w:ind w:firstLine="0"/>
              <w:jc w:val="left"/>
              <w:rPr>
                <w:rFonts w:eastAsia="Times New Roman" w:cs="Arial"/>
                <w:sz w:val="20"/>
                <w:szCs w:val="20"/>
                <w:lang w:val="en-US"/>
              </w:rPr>
            </w:pPr>
          </w:p>
        </w:tc>
      </w:tr>
      <w:tr w:rsidR="007207DF" w:rsidRPr="009C6832" w:rsidTr="0050101A">
        <w:trPr>
          <w:trHeight w:val="599"/>
        </w:trPr>
        <w:tc>
          <w:tcPr>
            <w:tcW w:w="3861"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hideMark/>
          </w:tcPr>
          <w:p w:rsidR="007207DF" w:rsidRPr="009C6832" w:rsidRDefault="007207DF" w:rsidP="007207DF">
            <w:pPr>
              <w:spacing w:after="0" w:line="240" w:lineRule="auto"/>
              <w:ind w:firstLine="0"/>
              <w:jc w:val="left"/>
              <w:rPr>
                <w:rFonts w:eastAsia="Times New Roman" w:cs="Arial"/>
                <w:b/>
                <w:bCs/>
                <w:sz w:val="20"/>
                <w:szCs w:val="20"/>
                <w:lang w:val="en-US"/>
              </w:rPr>
            </w:pPr>
            <w:r w:rsidRPr="009C6832">
              <w:rPr>
                <w:rFonts w:eastAsia="Times New Roman" w:cs="Arial"/>
                <w:b/>
                <w:bCs/>
                <w:sz w:val="20"/>
                <w:szCs w:val="20"/>
                <w:lang w:val="en-US"/>
              </w:rPr>
              <w:t xml:space="preserve">I. SUME PRIMITE DE LA BUGETUL UE </w:t>
            </w:r>
            <w:r w:rsidRPr="009C6832">
              <w:rPr>
                <w:rFonts w:eastAsia="Times New Roman" w:cs="Arial"/>
                <w:sz w:val="20"/>
                <w:szCs w:val="20"/>
                <w:lang w:val="en-US"/>
              </w:rPr>
              <w:t>(A1+A2+A3+A4)</w:t>
            </w:r>
          </w:p>
        </w:tc>
        <w:tc>
          <w:tcPr>
            <w:tcW w:w="1134" w:type="dxa"/>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hideMark/>
          </w:tcPr>
          <w:p w:rsidR="007207DF" w:rsidRPr="009C6832" w:rsidRDefault="007207DF" w:rsidP="007207DF">
            <w:pPr>
              <w:spacing w:after="0" w:line="240" w:lineRule="auto"/>
              <w:ind w:firstLine="0"/>
              <w:jc w:val="right"/>
              <w:rPr>
                <w:rFonts w:eastAsia="Times New Roman" w:cs="Arial"/>
                <w:b/>
                <w:bCs/>
                <w:sz w:val="20"/>
                <w:szCs w:val="20"/>
                <w:lang w:val="en-US"/>
              </w:rPr>
            </w:pPr>
            <w:r w:rsidRPr="009C6832">
              <w:rPr>
                <w:rFonts w:eastAsia="Times New Roman" w:cs="Arial"/>
                <w:b/>
                <w:bCs/>
                <w:sz w:val="20"/>
                <w:szCs w:val="20"/>
                <w:lang w:val="en-US"/>
              </w:rPr>
              <w:t>4.756,41</w:t>
            </w:r>
          </w:p>
        </w:tc>
        <w:tc>
          <w:tcPr>
            <w:tcW w:w="1134" w:type="dxa"/>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hideMark/>
          </w:tcPr>
          <w:p w:rsidR="007207DF" w:rsidRPr="009C6832" w:rsidRDefault="007207DF" w:rsidP="007207DF">
            <w:pPr>
              <w:spacing w:after="0" w:line="240" w:lineRule="auto"/>
              <w:ind w:firstLine="0"/>
              <w:jc w:val="right"/>
              <w:rPr>
                <w:rFonts w:eastAsia="Times New Roman" w:cs="Arial"/>
                <w:b/>
                <w:bCs/>
                <w:color w:val="000000"/>
                <w:sz w:val="20"/>
                <w:szCs w:val="20"/>
                <w:lang w:val="en-US"/>
              </w:rPr>
            </w:pPr>
            <w:r w:rsidRPr="009C6832">
              <w:rPr>
                <w:rFonts w:eastAsia="Times New Roman" w:cs="Arial"/>
                <w:b/>
                <w:bCs/>
                <w:color w:val="000000"/>
                <w:sz w:val="20"/>
                <w:szCs w:val="20"/>
                <w:lang w:val="en-US"/>
              </w:rPr>
              <w:t>2.108,95</w:t>
            </w:r>
          </w:p>
        </w:tc>
        <w:tc>
          <w:tcPr>
            <w:tcW w:w="1284" w:type="dxa"/>
            <w:tcBorders>
              <w:top w:val="single" w:sz="8" w:space="0" w:color="auto"/>
              <w:left w:val="nil"/>
              <w:bottom w:val="single" w:sz="8" w:space="0" w:color="auto"/>
              <w:right w:val="single" w:sz="8" w:space="0" w:color="auto"/>
            </w:tcBorders>
            <w:shd w:val="clear" w:color="auto" w:fill="DEEAF6" w:themeFill="accent1" w:themeFillTint="33"/>
            <w:noWrap/>
            <w:vAlign w:val="center"/>
            <w:hideMark/>
          </w:tcPr>
          <w:p w:rsidR="007207DF" w:rsidRPr="009C6832" w:rsidRDefault="007207DF" w:rsidP="007207DF">
            <w:pPr>
              <w:spacing w:after="0" w:line="240" w:lineRule="auto"/>
              <w:ind w:firstLine="0"/>
              <w:jc w:val="right"/>
              <w:rPr>
                <w:rFonts w:eastAsia="Times New Roman" w:cs="Arial"/>
                <w:b/>
                <w:bCs/>
                <w:i/>
                <w:iCs/>
                <w:sz w:val="20"/>
                <w:szCs w:val="20"/>
                <w:lang w:val="en-US"/>
              </w:rPr>
            </w:pPr>
            <w:r w:rsidRPr="009C6832">
              <w:rPr>
                <w:rFonts w:eastAsia="Times New Roman" w:cs="Arial"/>
                <w:b/>
                <w:bCs/>
                <w:i/>
                <w:iCs/>
                <w:sz w:val="20"/>
                <w:szCs w:val="20"/>
                <w:lang w:val="en-US"/>
              </w:rPr>
              <w:t>44,34%</w:t>
            </w:r>
          </w:p>
        </w:tc>
        <w:tc>
          <w:tcPr>
            <w:tcW w:w="1500" w:type="dxa"/>
            <w:tcBorders>
              <w:top w:val="single" w:sz="8" w:space="0" w:color="auto"/>
              <w:left w:val="nil"/>
              <w:bottom w:val="single" w:sz="8" w:space="0" w:color="auto"/>
              <w:right w:val="single" w:sz="8" w:space="0" w:color="auto"/>
            </w:tcBorders>
            <w:shd w:val="clear" w:color="auto" w:fill="DEEAF6" w:themeFill="accent1" w:themeFillTint="33"/>
            <w:noWrap/>
            <w:vAlign w:val="center"/>
            <w:hideMark/>
          </w:tcPr>
          <w:p w:rsidR="007207DF" w:rsidRPr="009C6832" w:rsidRDefault="007207DF" w:rsidP="007207DF">
            <w:pPr>
              <w:spacing w:after="0" w:line="240" w:lineRule="auto"/>
              <w:ind w:firstLine="0"/>
              <w:jc w:val="right"/>
              <w:rPr>
                <w:rFonts w:eastAsia="Times New Roman" w:cs="Arial"/>
                <w:b/>
                <w:bCs/>
                <w:color w:val="000000"/>
                <w:sz w:val="20"/>
                <w:szCs w:val="20"/>
                <w:lang w:val="en-US"/>
              </w:rPr>
            </w:pPr>
            <w:r w:rsidRPr="009C6832">
              <w:rPr>
                <w:rFonts w:eastAsia="Times New Roman" w:cs="Arial"/>
                <w:b/>
                <w:bCs/>
                <w:color w:val="000000"/>
                <w:sz w:val="20"/>
                <w:szCs w:val="20"/>
                <w:lang w:val="en-US"/>
              </w:rPr>
              <w:t>5.923,32</w:t>
            </w:r>
          </w:p>
        </w:tc>
      </w:tr>
      <w:tr w:rsidR="007207DF" w:rsidRPr="009C6832" w:rsidTr="0050101A">
        <w:trPr>
          <w:trHeight w:val="359"/>
        </w:trPr>
        <w:tc>
          <w:tcPr>
            <w:tcW w:w="3861" w:type="dxa"/>
            <w:tcBorders>
              <w:top w:val="nil"/>
              <w:left w:val="single" w:sz="4" w:space="0" w:color="auto"/>
              <w:bottom w:val="single" w:sz="4" w:space="0" w:color="auto"/>
              <w:right w:val="single" w:sz="4" w:space="0" w:color="auto"/>
            </w:tcBorders>
            <w:shd w:val="clear" w:color="auto" w:fill="auto"/>
            <w:vAlign w:val="center"/>
            <w:hideMark/>
          </w:tcPr>
          <w:p w:rsidR="007207DF" w:rsidRPr="009C6832" w:rsidRDefault="007207DF" w:rsidP="007207DF">
            <w:pPr>
              <w:spacing w:after="0" w:line="240" w:lineRule="auto"/>
              <w:ind w:firstLineChars="300" w:firstLine="602"/>
              <w:jc w:val="left"/>
              <w:rPr>
                <w:rFonts w:eastAsia="Times New Roman" w:cs="Arial"/>
                <w:b/>
                <w:bCs/>
                <w:i/>
                <w:iCs/>
                <w:sz w:val="20"/>
                <w:szCs w:val="20"/>
                <w:lang w:val="en-US"/>
              </w:rPr>
            </w:pPr>
            <w:r w:rsidRPr="009C6832">
              <w:rPr>
                <w:rFonts w:eastAsia="Times New Roman" w:cs="Arial"/>
                <w:b/>
                <w:bCs/>
                <w:i/>
                <w:iCs/>
                <w:sz w:val="20"/>
                <w:szCs w:val="20"/>
                <w:lang w:val="en-US"/>
              </w:rPr>
              <w:t xml:space="preserve">i) </w:t>
            </w:r>
            <w:r w:rsidRPr="009C6832">
              <w:rPr>
                <w:rFonts w:eastAsia="Times New Roman" w:cs="Arial"/>
                <w:sz w:val="20"/>
                <w:szCs w:val="20"/>
                <w:lang w:val="en-US"/>
              </w:rPr>
              <w:t xml:space="preserve">Avansuri </w:t>
            </w:r>
          </w:p>
        </w:tc>
        <w:tc>
          <w:tcPr>
            <w:tcW w:w="1134"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color w:val="000000"/>
                <w:sz w:val="20"/>
                <w:szCs w:val="20"/>
                <w:lang w:val="en-US"/>
              </w:rPr>
            </w:pPr>
            <w:r w:rsidRPr="009C6832">
              <w:rPr>
                <w:rFonts w:eastAsia="Times New Roman" w:cs="Arial"/>
                <w:color w:val="000000"/>
                <w:sz w:val="20"/>
                <w:szCs w:val="20"/>
                <w:lang w:val="en-US"/>
              </w:rPr>
              <w:t>248,85</w:t>
            </w:r>
          </w:p>
        </w:tc>
        <w:tc>
          <w:tcPr>
            <w:tcW w:w="1134"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color w:val="000000"/>
                <w:sz w:val="20"/>
                <w:szCs w:val="20"/>
                <w:lang w:val="en-US"/>
              </w:rPr>
            </w:pPr>
            <w:r w:rsidRPr="009C6832">
              <w:rPr>
                <w:rFonts w:eastAsia="Times New Roman" w:cs="Arial"/>
                <w:color w:val="000000"/>
                <w:sz w:val="20"/>
                <w:szCs w:val="20"/>
                <w:lang w:val="en-US"/>
              </w:rPr>
              <w:t>8,70</w:t>
            </w:r>
          </w:p>
        </w:tc>
        <w:tc>
          <w:tcPr>
            <w:tcW w:w="1284" w:type="dxa"/>
            <w:tcBorders>
              <w:top w:val="nil"/>
              <w:left w:val="nil"/>
              <w:bottom w:val="single" w:sz="4" w:space="0" w:color="auto"/>
              <w:right w:val="single" w:sz="4" w:space="0" w:color="auto"/>
            </w:tcBorders>
            <w:shd w:val="clear" w:color="CCCCFF" w:fill="FFFFFF"/>
            <w:noWrap/>
            <w:vAlign w:val="center"/>
            <w:hideMark/>
          </w:tcPr>
          <w:p w:rsidR="007207DF" w:rsidRPr="009C6832" w:rsidRDefault="007207DF" w:rsidP="007207DF">
            <w:pPr>
              <w:spacing w:after="0" w:line="240" w:lineRule="auto"/>
              <w:ind w:firstLine="0"/>
              <w:jc w:val="right"/>
              <w:rPr>
                <w:rFonts w:eastAsia="Times New Roman" w:cs="Arial"/>
                <w:i/>
                <w:iCs/>
                <w:sz w:val="20"/>
                <w:szCs w:val="20"/>
                <w:lang w:val="en-US"/>
              </w:rPr>
            </w:pPr>
            <w:r w:rsidRPr="009C6832">
              <w:rPr>
                <w:rFonts w:eastAsia="Times New Roman" w:cs="Arial"/>
                <w:i/>
                <w:iCs/>
                <w:sz w:val="20"/>
                <w:szCs w:val="20"/>
                <w:lang w:val="en-US"/>
              </w:rPr>
              <w:t>3,50%</w:t>
            </w:r>
          </w:p>
        </w:tc>
        <w:tc>
          <w:tcPr>
            <w:tcW w:w="1500"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color w:val="000000"/>
                <w:sz w:val="20"/>
                <w:szCs w:val="20"/>
                <w:lang w:val="en-US"/>
              </w:rPr>
            </w:pPr>
            <w:r w:rsidRPr="009C6832">
              <w:rPr>
                <w:rFonts w:eastAsia="Times New Roman" w:cs="Arial"/>
                <w:color w:val="000000"/>
                <w:sz w:val="20"/>
                <w:szCs w:val="20"/>
                <w:lang w:val="en-US"/>
              </w:rPr>
              <w:t>1.733,48</w:t>
            </w:r>
          </w:p>
        </w:tc>
      </w:tr>
      <w:tr w:rsidR="007207DF" w:rsidRPr="009C6832" w:rsidTr="0050101A">
        <w:trPr>
          <w:trHeight w:val="359"/>
        </w:trPr>
        <w:tc>
          <w:tcPr>
            <w:tcW w:w="3861" w:type="dxa"/>
            <w:tcBorders>
              <w:top w:val="nil"/>
              <w:left w:val="single" w:sz="4" w:space="0" w:color="auto"/>
              <w:bottom w:val="single" w:sz="4" w:space="0" w:color="auto"/>
              <w:right w:val="single" w:sz="4" w:space="0" w:color="auto"/>
            </w:tcBorders>
            <w:shd w:val="clear" w:color="auto" w:fill="auto"/>
            <w:vAlign w:val="center"/>
            <w:hideMark/>
          </w:tcPr>
          <w:p w:rsidR="007207DF" w:rsidRPr="009C6832" w:rsidRDefault="007207DF" w:rsidP="007207DF">
            <w:pPr>
              <w:spacing w:after="0" w:line="240" w:lineRule="auto"/>
              <w:ind w:firstLineChars="300" w:firstLine="602"/>
              <w:jc w:val="left"/>
              <w:rPr>
                <w:rFonts w:eastAsia="Times New Roman" w:cs="Arial"/>
                <w:b/>
                <w:bCs/>
                <w:i/>
                <w:iCs/>
                <w:sz w:val="20"/>
                <w:szCs w:val="20"/>
                <w:lang w:val="en-US"/>
              </w:rPr>
            </w:pPr>
            <w:r w:rsidRPr="009C6832">
              <w:rPr>
                <w:rFonts w:eastAsia="Times New Roman" w:cs="Arial"/>
                <w:b/>
                <w:bCs/>
                <w:i/>
                <w:iCs/>
                <w:sz w:val="20"/>
                <w:szCs w:val="20"/>
                <w:lang w:val="en-US"/>
              </w:rPr>
              <w:t>ii)</w:t>
            </w:r>
            <w:r w:rsidRPr="009C6832">
              <w:rPr>
                <w:rFonts w:eastAsia="Times New Roman" w:cs="Arial"/>
                <w:sz w:val="20"/>
                <w:szCs w:val="20"/>
                <w:lang w:val="en-US"/>
              </w:rPr>
              <w:t>Rambursari (inclusiv FEGA)</w:t>
            </w:r>
          </w:p>
        </w:tc>
        <w:tc>
          <w:tcPr>
            <w:tcW w:w="1134"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color w:val="000000"/>
                <w:sz w:val="20"/>
                <w:szCs w:val="20"/>
                <w:lang w:val="en-US"/>
              </w:rPr>
            </w:pPr>
            <w:r w:rsidRPr="009C6832">
              <w:rPr>
                <w:rFonts w:eastAsia="Times New Roman" w:cs="Arial"/>
                <w:color w:val="000000"/>
                <w:sz w:val="20"/>
                <w:szCs w:val="20"/>
                <w:lang w:val="en-US"/>
              </w:rPr>
              <w:t>4.507,56</w:t>
            </w:r>
          </w:p>
        </w:tc>
        <w:tc>
          <w:tcPr>
            <w:tcW w:w="1134"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color w:val="000000"/>
                <w:sz w:val="20"/>
                <w:szCs w:val="20"/>
                <w:lang w:val="en-US"/>
              </w:rPr>
            </w:pPr>
            <w:r w:rsidRPr="009C6832">
              <w:rPr>
                <w:rFonts w:eastAsia="Times New Roman" w:cs="Arial"/>
                <w:color w:val="000000"/>
                <w:sz w:val="20"/>
                <w:szCs w:val="20"/>
                <w:lang w:val="en-US"/>
              </w:rPr>
              <w:t>2.100,25</w:t>
            </w:r>
          </w:p>
        </w:tc>
        <w:tc>
          <w:tcPr>
            <w:tcW w:w="1284" w:type="dxa"/>
            <w:tcBorders>
              <w:top w:val="nil"/>
              <w:left w:val="nil"/>
              <w:bottom w:val="single" w:sz="4" w:space="0" w:color="auto"/>
              <w:right w:val="single" w:sz="4" w:space="0" w:color="auto"/>
            </w:tcBorders>
            <w:shd w:val="clear" w:color="CCCCFF" w:fill="FFFFFF"/>
            <w:noWrap/>
            <w:vAlign w:val="center"/>
            <w:hideMark/>
          </w:tcPr>
          <w:p w:rsidR="007207DF" w:rsidRPr="009C6832" w:rsidRDefault="007207DF" w:rsidP="007207DF">
            <w:pPr>
              <w:spacing w:after="0" w:line="240" w:lineRule="auto"/>
              <w:ind w:firstLine="0"/>
              <w:jc w:val="right"/>
              <w:rPr>
                <w:rFonts w:eastAsia="Times New Roman" w:cs="Arial"/>
                <w:i/>
                <w:iCs/>
                <w:sz w:val="20"/>
                <w:szCs w:val="20"/>
                <w:lang w:val="en-US"/>
              </w:rPr>
            </w:pPr>
            <w:r w:rsidRPr="009C6832">
              <w:rPr>
                <w:rFonts w:eastAsia="Times New Roman" w:cs="Arial"/>
                <w:i/>
                <w:iCs/>
                <w:sz w:val="20"/>
                <w:szCs w:val="20"/>
                <w:lang w:val="en-US"/>
              </w:rPr>
              <w:t>46,59%</w:t>
            </w:r>
          </w:p>
        </w:tc>
        <w:tc>
          <w:tcPr>
            <w:tcW w:w="1500"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color w:val="000000"/>
                <w:sz w:val="20"/>
                <w:szCs w:val="20"/>
                <w:lang w:val="en-US"/>
              </w:rPr>
            </w:pPr>
            <w:r w:rsidRPr="009C6832">
              <w:rPr>
                <w:rFonts w:eastAsia="Times New Roman" w:cs="Arial"/>
                <w:color w:val="000000"/>
                <w:sz w:val="20"/>
                <w:szCs w:val="20"/>
                <w:lang w:val="en-US"/>
              </w:rPr>
              <w:t>4.189,85</w:t>
            </w:r>
          </w:p>
        </w:tc>
      </w:tr>
      <w:tr w:rsidR="007207DF" w:rsidRPr="009C6832" w:rsidTr="0050101A">
        <w:trPr>
          <w:trHeight w:val="599"/>
        </w:trPr>
        <w:tc>
          <w:tcPr>
            <w:tcW w:w="3861" w:type="dxa"/>
            <w:tcBorders>
              <w:top w:val="nil"/>
              <w:left w:val="single" w:sz="4" w:space="0" w:color="auto"/>
              <w:bottom w:val="single" w:sz="4" w:space="0" w:color="auto"/>
              <w:right w:val="single" w:sz="4" w:space="0" w:color="auto"/>
            </w:tcBorders>
            <w:shd w:val="clear" w:color="auto" w:fill="auto"/>
            <w:vAlign w:val="center"/>
            <w:hideMark/>
          </w:tcPr>
          <w:p w:rsidR="007207DF" w:rsidRPr="009C6832" w:rsidRDefault="007207DF" w:rsidP="007207DF">
            <w:pPr>
              <w:spacing w:after="0" w:line="240" w:lineRule="auto"/>
              <w:ind w:firstLineChars="100" w:firstLine="201"/>
              <w:jc w:val="left"/>
              <w:rPr>
                <w:rFonts w:eastAsia="Times New Roman" w:cs="Arial"/>
                <w:b/>
                <w:bCs/>
                <w:sz w:val="20"/>
                <w:szCs w:val="20"/>
                <w:lang w:val="en-US"/>
              </w:rPr>
            </w:pPr>
            <w:r w:rsidRPr="009C6832">
              <w:rPr>
                <w:rFonts w:eastAsia="Times New Roman" w:cs="Arial"/>
                <w:b/>
                <w:bCs/>
                <w:sz w:val="20"/>
                <w:szCs w:val="20"/>
                <w:lang w:val="en-US"/>
              </w:rPr>
              <w:t xml:space="preserve">A1. Fonduri structurale si de coeziune (FSC), </w:t>
            </w:r>
            <w:r w:rsidRPr="009C6832">
              <w:rPr>
                <w:rFonts w:eastAsia="Times New Roman" w:cs="Arial"/>
                <w:sz w:val="20"/>
                <w:szCs w:val="20"/>
                <w:lang w:val="en-US"/>
              </w:rPr>
              <w:t>din care:</w:t>
            </w:r>
          </w:p>
        </w:tc>
        <w:tc>
          <w:tcPr>
            <w:tcW w:w="1134"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b/>
                <w:bCs/>
                <w:color w:val="000000"/>
                <w:sz w:val="20"/>
                <w:szCs w:val="20"/>
                <w:lang w:val="en-US"/>
              </w:rPr>
            </w:pPr>
            <w:r w:rsidRPr="009C6832">
              <w:rPr>
                <w:rFonts w:eastAsia="Times New Roman" w:cs="Arial"/>
                <w:b/>
                <w:bCs/>
                <w:color w:val="000000"/>
                <w:sz w:val="20"/>
                <w:szCs w:val="20"/>
                <w:lang w:val="en-US"/>
              </w:rPr>
              <w:t>1.153,24</w:t>
            </w:r>
          </w:p>
        </w:tc>
        <w:tc>
          <w:tcPr>
            <w:tcW w:w="1134"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b/>
                <w:bCs/>
                <w:color w:val="000000"/>
                <w:sz w:val="20"/>
                <w:szCs w:val="20"/>
                <w:lang w:val="en-US"/>
              </w:rPr>
            </w:pPr>
            <w:r w:rsidRPr="009C6832">
              <w:rPr>
                <w:rFonts w:eastAsia="Times New Roman" w:cs="Arial"/>
                <w:b/>
                <w:bCs/>
                <w:color w:val="000000"/>
                <w:sz w:val="20"/>
                <w:szCs w:val="20"/>
                <w:lang w:val="en-US"/>
              </w:rPr>
              <w:t>3,58</w:t>
            </w:r>
          </w:p>
        </w:tc>
        <w:tc>
          <w:tcPr>
            <w:tcW w:w="1284" w:type="dxa"/>
            <w:tcBorders>
              <w:top w:val="nil"/>
              <w:left w:val="nil"/>
              <w:bottom w:val="single" w:sz="4" w:space="0" w:color="auto"/>
              <w:right w:val="single" w:sz="4" w:space="0" w:color="auto"/>
            </w:tcBorders>
            <w:shd w:val="clear" w:color="CCCCFF" w:fill="FFFFFF"/>
            <w:noWrap/>
            <w:vAlign w:val="center"/>
            <w:hideMark/>
          </w:tcPr>
          <w:p w:rsidR="007207DF" w:rsidRPr="009C6832" w:rsidRDefault="007207DF" w:rsidP="007207DF">
            <w:pPr>
              <w:spacing w:after="0" w:line="240" w:lineRule="auto"/>
              <w:ind w:firstLine="0"/>
              <w:jc w:val="right"/>
              <w:rPr>
                <w:rFonts w:eastAsia="Times New Roman" w:cs="Arial"/>
                <w:b/>
                <w:bCs/>
                <w:i/>
                <w:iCs/>
                <w:sz w:val="20"/>
                <w:szCs w:val="20"/>
                <w:lang w:val="en-US"/>
              </w:rPr>
            </w:pPr>
            <w:r w:rsidRPr="009C6832">
              <w:rPr>
                <w:rFonts w:eastAsia="Times New Roman" w:cs="Arial"/>
                <w:b/>
                <w:bCs/>
                <w:i/>
                <w:iCs/>
                <w:sz w:val="20"/>
                <w:szCs w:val="20"/>
                <w:lang w:val="en-US"/>
              </w:rPr>
              <w:t>0,31%</w:t>
            </w:r>
          </w:p>
        </w:tc>
        <w:tc>
          <w:tcPr>
            <w:tcW w:w="1500"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b/>
                <w:bCs/>
                <w:color w:val="000000"/>
                <w:sz w:val="20"/>
                <w:szCs w:val="20"/>
                <w:lang w:val="en-US"/>
              </w:rPr>
            </w:pPr>
            <w:r w:rsidRPr="009C6832">
              <w:rPr>
                <w:rFonts w:eastAsia="Times New Roman" w:cs="Arial"/>
                <w:b/>
                <w:bCs/>
                <w:color w:val="000000"/>
                <w:sz w:val="20"/>
                <w:szCs w:val="20"/>
                <w:lang w:val="en-US"/>
              </w:rPr>
              <w:t>1.378,49</w:t>
            </w:r>
          </w:p>
        </w:tc>
      </w:tr>
      <w:tr w:rsidR="007207DF" w:rsidRPr="009C6832" w:rsidTr="0050101A">
        <w:trPr>
          <w:trHeight w:val="359"/>
        </w:trPr>
        <w:tc>
          <w:tcPr>
            <w:tcW w:w="3861" w:type="dxa"/>
            <w:tcBorders>
              <w:top w:val="nil"/>
              <w:left w:val="single" w:sz="4" w:space="0" w:color="auto"/>
              <w:bottom w:val="single" w:sz="4" w:space="0" w:color="auto"/>
              <w:right w:val="single" w:sz="4" w:space="0" w:color="auto"/>
            </w:tcBorders>
            <w:shd w:val="clear" w:color="auto" w:fill="auto"/>
            <w:vAlign w:val="center"/>
            <w:hideMark/>
          </w:tcPr>
          <w:p w:rsidR="007207DF" w:rsidRPr="009C6832" w:rsidRDefault="007207DF" w:rsidP="007207DF">
            <w:pPr>
              <w:spacing w:after="0" w:line="240" w:lineRule="auto"/>
              <w:ind w:firstLineChars="300" w:firstLine="602"/>
              <w:jc w:val="left"/>
              <w:rPr>
                <w:rFonts w:eastAsia="Times New Roman" w:cs="Arial"/>
                <w:b/>
                <w:bCs/>
                <w:sz w:val="20"/>
                <w:szCs w:val="20"/>
                <w:lang w:val="en-US"/>
              </w:rPr>
            </w:pPr>
            <w:r w:rsidRPr="009C6832">
              <w:rPr>
                <w:rFonts w:eastAsia="Times New Roman" w:cs="Arial"/>
                <w:b/>
                <w:bCs/>
                <w:sz w:val="20"/>
                <w:szCs w:val="20"/>
                <w:lang w:val="en-US"/>
              </w:rPr>
              <w:t>a)</w:t>
            </w:r>
            <w:r w:rsidRPr="009C6832">
              <w:rPr>
                <w:rFonts w:eastAsia="Times New Roman" w:cs="Arial"/>
                <w:sz w:val="20"/>
                <w:szCs w:val="20"/>
                <w:lang w:val="en-US"/>
              </w:rPr>
              <w:t xml:space="preserve"> Avansuri din FSC</w:t>
            </w:r>
          </w:p>
        </w:tc>
        <w:tc>
          <w:tcPr>
            <w:tcW w:w="1134"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color w:val="000000"/>
                <w:sz w:val="20"/>
                <w:szCs w:val="20"/>
                <w:lang w:val="en-US"/>
              </w:rPr>
            </w:pPr>
            <w:r w:rsidRPr="009C6832">
              <w:rPr>
                <w:rFonts w:eastAsia="Times New Roman" w:cs="Arial"/>
                <w:color w:val="000000"/>
                <w:sz w:val="20"/>
                <w:szCs w:val="20"/>
                <w:lang w:val="en-US"/>
              </w:rPr>
              <w:t>243,38</w:t>
            </w:r>
          </w:p>
        </w:tc>
        <w:tc>
          <w:tcPr>
            <w:tcW w:w="1134"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color w:val="000000"/>
                <w:sz w:val="20"/>
                <w:szCs w:val="20"/>
                <w:lang w:val="en-US"/>
              </w:rPr>
            </w:pPr>
            <w:r w:rsidRPr="009C6832">
              <w:rPr>
                <w:rFonts w:eastAsia="Times New Roman" w:cs="Arial"/>
                <w:color w:val="000000"/>
                <w:sz w:val="20"/>
                <w:szCs w:val="20"/>
                <w:lang w:val="en-US"/>
              </w:rPr>
              <w:t>3,58</w:t>
            </w:r>
          </w:p>
        </w:tc>
        <w:tc>
          <w:tcPr>
            <w:tcW w:w="1284" w:type="dxa"/>
            <w:tcBorders>
              <w:top w:val="nil"/>
              <w:left w:val="nil"/>
              <w:bottom w:val="single" w:sz="4" w:space="0" w:color="auto"/>
              <w:right w:val="single" w:sz="4" w:space="0" w:color="auto"/>
            </w:tcBorders>
            <w:shd w:val="clear" w:color="CCCCFF" w:fill="FFFFFF"/>
            <w:noWrap/>
            <w:vAlign w:val="center"/>
            <w:hideMark/>
          </w:tcPr>
          <w:p w:rsidR="007207DF" w:rsidRPr="009C6832" w:rsidRDefault="007207DF" w:rsidP="007207DF">
            <w:pPr>
              <w:spacing w:after="0" w:line="240" w:lineRule="auto"/>
              <w:ind w:firstLine="0"/>
              <w:jc w:val="right"/>
              <w:rPr>
                <w:rFonts w:eastAsia="Times New Roman" w:cs="Arial"/>
                <w:i/>
                <w:iCs/>
                <w:sz w:val="20"/>
                <w:szCs w:val="20"/>
                <w:lang w:val="en-US"/>
              </w:rPr>
            </w:pPr>
            <w:r w:rsidRPr="009C6832">
              <w:rPr>
                <w:rFonts w:eastAsia="Times New Roman" w:cs="Arial"/>
                <w:i/>
                <w:iCs/>
                <w:sz w:val="20"/>
                <w:szCs w:val="20"/>
                <w:lang w:val="en-US"/>
              </w:rPr>
              <w:t>1,47%</w:t>
            </w:r>
          </w:p>
        </w:tc>
        <w:tc>
          <w:tcPr>
            <w:tcW w:w="1500"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color w:val="000000"/>
                <w:sz w:val="20"/>
                <w:szCs w:val="20"/>
                <w:lang w:val="en-US"/>
              </w:rPr>
            </w:pPr>
            <w:r w:rsidRPr="009C6832">
              <w:rPr>
                <w:rFonts w:eastAsia="Times New Roman" w:cs="Arial"/>
                <w:color w:val="000000"/>
                <w:sz w:val="20"/>
                <w:szCs w:val="20"/>
                <w:lang w:val="en-US"/>
              </w:rPr>
              <w:t>1.378,49</w:t>
            </w:r>
          </w:p>
        </w:tc>
      </w:tr>
      <w:tr w:rsidR="007207DF" w:rsidRPr="009C6832" w:rsidTr="0050101A">
        <w:trPr>
          <w:trHeight w:val="359"/>
        </w:trPr>
        <w:tc>
          <w:tcPr>
            <w:tcW w:w="3861" w:type="dxa"/>
            <w:tcBorders>
              <w:top w:val="nil"/>
              <w:left w:val="single" w:sz="4" w:space="0" w:color="auto"/>
              <w:bottom w:val="single" w:sz="4" w:space="0" w:color="auto"/>
              <w:right w:val="single" w:sz="4" w:space="0" w:color="auto"/>
            </w:tcBorders>
            <w:shd w:val="clear" w:color="auto" w:fill="auto"/>
            <w:vAlign w:val="center"/>
            <w:hideMark/>
          </w:tcPr>
          <w:p w:rsidR="007207DF" w:rsidRPr="009C6832" w:rsidRDefault="007207DF" w:rsidP="007207DF">
            <w:pPr>
              <w:spacing w:after="0" w:line="240" w:lineRule="auto"/>
              <w:ind w:firstLineChars="300" w:firstLine="602"/>
              <w:jc w:val="left"/>
              <w:rPr>
                <w:rFonts w:eastAsia="Times New Roman" w:cs="Arial"/>
                <w:b/>
                <w:bCs/>
                <w:sz w:val="20"/>
                <w:szCs w:val="20"/>
                <w:lang w:val="en-US"/>
              </w:rPr>
            </w:pPr>
            <w:r w:rsidRPr="009C6832">
              <w:rPr>
                <w:rFonts w:eastAsia="Times New Roman" w:cs="Arial"/>
                <w:b/>
                <w:bCs/>
                <w:sz w:val="20"/>
                <w:szCs w:val="20"/>
                <w:lang w:val="en-US"/>
              </w:rPr>
              <w:t>b)</w:t>
            </w:r>
            <w:r w:rsidRPr="009C6832">
              <w:rPr>
                <w:rFonts w:eastAsia="Times New Roman" w:cs="Arial"/>
                <w:sz w:val="20"/>
                <w:szCs w:val="20"/>
                <w:lang w:val="en-US"/>
              </w:rPr>
              <w:t xml:space="preserve"> Rambursari din FSC</w:t>
            </w:r>
          </w:p>
        </w:tc>
        <w:tc>
          <w:tcPr>
            <w:tcW w:w="1134"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color w:val="000000"/>
                <w:sz w:val="20"/>
                <w:szCs w:val="20"/>
                <w:lang w:val="en-US"/>
              </w:rPr>
            </w:pPr>
            <w:r w:rsidRPr="009C6832">
              <w:rPr>
                <w:rFonts w:eastAsia="Times New Roman" w:cs="Arial"/>
                <w:color w:val="000000"/>
                <w:sz w:val="20"/>
                <w:szCs w:val="20"/>
                <w:lang w:val="en-US"/>
              </w:rPr>
              <w:t>909,86</w:t>
            </w:r>
          </w:p>
        </w:tc>
        <w:tc>
          <w:tcPr>
            <w:tcW w:w="1134"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color w:val="000000"/>
                <w:sz w:val="20"/>
                <w:szCs w:val="20"/>
                <w:lang w:val="en-US"/>
              </w:rPr>
            </w:pPr>
            <w:r w:rsidRPr="009C6832">
              <w:rPr>
                <w:rFonts w:eastAsia="Times New Roman" w:cs="Arial"/>
                <w:color w:val="000000"/>
                <w:sz w:val="20"/>
                <w:szCs w:val="20"/>
                <w:lang w:val="en-US"/>
              </w:rPr>
              <w:t>0,00</w:t>
            </w:r>
          </w:p>
        </w:tc>
        <w:tc>
          <w:tcPr>
            <w:tcW w:w="1284" w:type="dxa"/>
            <w:tcBorders>
              <w:top w:val="nil"/>
              <w:left w:val="nil"/>
              <w:bottom w:val="single" w:sz="4" w:space="0" w:color="auto"/>
              <w:right w:val="single" w:sz="4" w:space="0" w:color="auto"/>
            </w:tcBorders>
            <w:shd w:val="clear" w:color="CCCCFF" w:fill="FFFFFF"/>
            <w:noWrap/>
            <w:vAlign w:val="center"/>
            <w:hideMark/>
          </w:tcPr>
          <w:p w:rsidR="007207DF" w:rsidRPr="009C6832" w:rsidRDefault="007207DF" w:rsidP="007207DF">
            <w:pPr>
              <w:spacing w:after="0" w:line="240" w:lineRule="auto"/>
              <w:ind w:firstLine="0"/>
              <w:jc w:val="right"/>
              <w:rPr>
                <w:rFonts w:eastAsia="Times New Roman" w:cs="Arial"/>
                <w:i/>
                <w:iCs/>
                <w:sz w:val="20"/>
                <w:szCs w:val="20"/>
                <w:lang w:val="en-US"/>
              </w:rPr>
            </w:pPr>
            <w:r w:rsidRPr="009C6832">
              <w:rPr>
                <w:rFonts w:eastAsia="Times New Roman" w:cs="Arial"/>
                <w:i/>
                <w:iCs/>
                <w:sz w:val="20"/>
                <w:szCs w:val="20"/>
                <w:lang w:val="en-US"/>
              </w:rPr>
              <w:t>0,00%</w:t>
            </w:r>
          </w:p>
        </w:tc>
        <w:tc>
          <w:tcPr>
            <w:tcW w:w="1500"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color w:val="000000"/>
                <w:sz w:val="20"/>
                <w:szCs w:val="20"/>
                <w:lang w:val="en-US"/>
              </w:rPr>
            </w:pPr>
            <w:r w:rsidRPr="009C6832">
              <w:rPr>
                <w:rFonts w:eastAsia="Times New Roman" w:cs="Arial"/>
                <w:color w:val="000000"/>
                <w:sz w:val="20"/>
                <w:szCs w:val="20"/>
                <w:lang w:val="en-US"/>
              </w:rPr>
              <w:t>0,00</w:t>
            </w:r>
          </w:p>
        </w:tc>
      </w:tr>
      <w:tr w:rsidR="007207DF" w:rsidRPr="009C6832" w:rsidTr="0050101A">
        <w:trPr>
          <w:trHeight w:val="599"/>
        </w:trPr>
        <w:tc>
          <w:tcPr>
            <w:tcW w:w="3861" w:type="dxa"/>
            <w:tcBorders>
              <w:top w:val="nil"/>
              <w:left w:val="single" w:sz="4" w:space="0" w:color="auto"/>
              <w:bottom w:val="single" w:sz="4" w:space="0" w:color="auto"/>
              <w:right w:val="single" w:sz="4" w:space="0" w:color="auto"/>
            </w:tcBorders>
            <w:shd w:val="clear" w:color="auto" w:fill="auto"/>
            <w:vAlign w:val="center"/>
            <w:hideMark/>
          </w:tcPr>
          <w:p w:rsidR="007207DF" w:rsidRPr="009C6832" w:rsidRDefault="007207DF" w:rsidP="007207DF">
            <w:pPr>
              <w:spacing w:after="0" w:line="240" w:lineRule="auto"/>
              <w:ind w:firstLineChars="100" w:firstLine="201"/>
              <w:jc w:val="left"/>
              <w:rPr>
                <w:rFonts w:eastAsia="Times New Roman" w:cs="Arial"/>
                <w:b/>
                <w:bCs/>
                <w:sz w:val="20"/>
                <w:szCs w:val="20"/>
                <w:lang w:val="en-US"/>
              </w:rPr>
            </w:pPr>
            <w:r w:rsidRPr="009C6832">
              <w:rPr>
                <w:rFonts w:eastAsia="Times New Roman" w:cs="Arial"/>
                <w:b/>
                <w:bCs/>
                <w:sz w:val="20"/>
                <w:szCs w:val="20"/>
                <w:lang w:val="en-US"/>
              </w:rPr>
              <w:t xml:space="preserve">A2. Fonduri pentru dezvoltare rurala si pescuit (FEADR+FEPAM), </w:t>
            </w:r>
            <w:r w:rsidRPr="009C6832">
              <w:rPr>
                <w:rFonts w:eastAsia="Times New Roman" w:cs="Arial"/>
                <w:sz w:val="20"/>
                <w:szCs w:val="20"/>
                <w:lang w:val="en-US"/>
              </w:rPr>
              <w:t>din care:</w:t>
            </w:r>
          </w:p>
        </w:tc>
        <w:tc>
          <w:tcPr>
            <w:tcW w:w="1134"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b/>
                <w:bCs/>
                <w:color w:val="000000"/>
                <w:sz w:val="20"/>
                <w:szCs w:val="20"/>
                <w:lang w:val="en-US"/>
              </w:rPr>
            </w:pPr>
            <w:r w:rsidRPr="009C6832">
              <w:rPr>
                <w:rFonts w:eastAsia="Times New Roman" w:cs="Arial"/>
                <w:b/>
                <w:bCs/>
                <w:color w:val="000000"/>
                <w:sz w:val="20"/>
                <w:szCs w:val="20"/>
                <w:lang w:val="en-US"/>
              </w:rPr>
              <w:t>1.641,87</w:t>
            </w:r>
          </w:p>
        </w:tc>
        <w:tc>
          <w:tcPr>
            <w:tcW w:w="1134"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b/>
                <w:bCs/>
                <w:color w:val="000000"/>
                <w:sz w:val="20"/>
                <w:szCs w:val="20"/>
                <w:lang w:val="en-US"/>
              </w:rPr>
            </w:pPr>
            <w:r w:rsidRPr="009C6832">
              <w:rPr>
                <w:rFonts w:eastAsia="Times New Roman" w:cs="Arial"/>
                <w:b/>
                <w:bCs/>
                <w:color w:val="000000"/>
                <w:sz w:val="20"/>
                <w:szCs w:val="20"/>
                <w:lang w:val="en-US"/>
              </w:rPr>
              <w:t>572,08</w:t>
            </w:r>
          </w:p>
        </w:tc>
        <w:tc>
          <w:tcPr>
            <w:tcW w:w="1284" w:type="dxa"/>
            <w:tcBorders>
              <w:top w:val="nil"/>
              <w:left w:val="nil"/>
              <w:bottom w:val="single" w:sz="4" w:space="0" w:color="auto"/>
              <w:right w:val="single" w:sz="4" w:space="0" w:color="auto"/>
            </w:tcBorders>
            <w:shd w:val="clear" w:color="CCCCFF" w:fill="FFFFFF"/>
            <w:noWrap/>
            <w:vAlign w:val="center"/>
            <w:hideMark/>
          </w:tcPr>
          <w:p w:rsidR="007207DF" w:rsidRPr="009C6832" w:rsidRDefault="007207DF" w:rsidP="007207DF">
            <w:pPr>
              <w:spacing w:after="0" w:line="240" w:lineRule="auto"/>
              <w:ind w:firstLine="0"/>
              <w:jc w:val="right"/>
              <w:rPr>
                <w:rFonts w:eastAsia="Times New Roman" w:cs="Arial"/>
                <w:b/>
                <w:bCs/>
                <w:i/>
                <w:iCs/>
                <w:sz w:val="20"/>
                <w:szCs w:val="20"/>
                <w:lang w:val="en-US"/>
              </w:rPr>
            </w:pPr>
            <w:r w:rsidRPr="009C6832">
              <w:rPr>
                <w:rFonts w:eastAsia="Times New Roman" w:cs="Arial"/>
                <w:b/>
                <w:bCs/>
                <w:i/>
                <w:iCs/>
                <w:sz w:val="20"/>
                <w:szCs w:val="20"/>
                <w:lang w:val="en-US"/>
              </w:rPr>
              <w:t>34,84%</w:t>
            </w:r>
          </w:p>
        </w:tc>
        <w:tc>
          <w:tcPr>
            <w:tcW w:w="1500"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b/>
                <w:bCs/>
                <w:color w:val="000000"/>
                <w:sz w:val="20"/>
                <w:szCs w:val="20"/>
                <w:lang w:val="en-US"/>
              </w:rPr>
            </w:pPr>
            <w:r w:rsidRPr="009C6832">
              <w:rPr>
                <w:rFonts w:eastAsia="Times New Roman" w:cs="Arial"/>
                <w:b/>
                <w:bCs/>
                <w:color w:val="000000"/>
                <w:sz w:val="20"/>
                <w:szCs w:val="20"/>
                <w:lang w:val="en-US"/>
              </w:rPr>
              <w:t>1.430,72</w:t>
            </w:r>
          </w:p>
        </w:tc>
      </w:tr>
      <w:tr w:rsidR="007207DF" w:rsidRPr="009C6832" w:rsidTr="0050101A">
        <w:trPr>
          <w:trHeight w:val="359"/>
        </w:trPr>
        <w:tc>
          <w:tcPr>
            <w:tcW w:w="3861" w:type="dxa"/>
            <w:tcBorders>
              <w:top w:val="nil"/>
              <w:left w:val="single" w:sz="4" w:space="0" w:color="auto"/>
              <w:bottom w:val="single" w:sz="4" w:space="0" w:color="auto"/>
              <w:right w:val="single" w:sz="4" w:space="0" w:color="auto"/>
            </w:tcBorders>
            <w:shd w:val="clear" w:color="auto" w:fill="auto"/>
            <w:vAlign w:val="center"/>
            <w:hideMark/>
          </w:tcPr>
          <w:p w:rsidR="007207DF" w:rsidRPr="009C6832" w:rsidRDefault="007207DF" w:rsidP="007207DF">
            <w:pPr>
              <w:spacing w:after="0" w:line="240" w:lineRule="auto"/>
              <w:ind w:firstLineChars="300" w:firstLine="602"/>
              <w:jc w:val="left"/>
              <w:rPr>
                <w:rFonts w:eastAsia="Times New Roman" w:cs="Arial"/>
                <w:b/>
                <w:bCs/>
                <w:sz w:val="20"/>
                <w:szCs w:val="20"/>
                <w:lang w:val="en-US"/>
              </w:rPr>
            </w:pPr>
            <w:r w:rsidRPr="009C6832">
              <w:rPr>
                <w:rFonts w:eastAsia="Times New Roman" w:cs="Arial"/>
                <w:b/>
                <w:bCs/>
                <w:sz w:val="20"/>
                <w:szCs w:val="20"/>
                <w:lang w:val="en-US"/>
              </w:rPr>
              <w:t>a)</w:t>
            </w:r>
            <w:r w:rsidRPr="009C6832">
              <w:rPr>
                <w:rFonts w:eastAsia="Times New Roman" w:cs="Arial"/>
                <w:sz w:val="20"/>
                <w:szCs w:val="20"/>
                <w:lang w:val="en-US"/>
              </w:rPr>
              <w:t xml:space="preserve"> Avansuri (FEADR+FEPAM)</w:t>
            </w:r>
          </w:p>
        </w:tc>
        <w:tc>
          <w:tcPr>
            <w:tcW w:w="1134"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color w:val="000000"/>
                <w:sz w:val="20"/>
                <w:szCs w:val="20"/>
                <w:lang w:val="en-US"/>
              </w:rPr>
            </w:pPr>
            <w:r w:rsidRPr="009C6832">
              <w:rPr>
                <w:rFonts w:eastAsia="Times New Roman" w:cs="Arial"/>
                <w:color w:val="000000"/>
                <w:sz w:val="20"/>
                <w:szCs w:val="20"/>
                <w:lang w:val="en-US"/>
              </w:rPr>
              <w:t>0,99</w:t>
            </w:r>
          </w:p>
        </w:tc>
        <w:tc>
          <w:tcPr>
            <w:tcW w:w="1134"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color w:val="000000"/>
                <w:sz w:val="20"/>
                <w:szCs w:val="20"/>
                <w:lang w:val="en-US"/>
              </w:rPr>
            </w:pPr>
            <w:r w:rsidRPr="009C6832">
              <w:rPr>
                <w:rFonts w:eastAsia="Times New Roman" w:cs="Arial"/>
                <w:color w:val="000000"/>
                <w:sz w:val="20"/>
                <w:szCs w:val="20"/>
                <w:lang w:val="en-US"/>
              </w:rPr>
              <w:t>0,99</w:t>
            </w:r>
          </w:p>
        </w:tc>
        <w:tc>
          <w:tcPr>
            <w:tcW w:w="1284" w:type="dxa"/>
            <w:tcBorders>
              <w:top w:val="nil"/>
              <w:left w:val="nil"/>
              <w:bottom w:val="single" w:sz="4" w:space="0" w:color="auto"/>
              <w:right w:val="single" w:sz="4" w:space="0" w:color="auto"/>
            </w:tcBorders>
            <w:shd w:val="clear" w:color="CCCCFF" w:fill="FFFFFF"/>
            <w:noWrap/>
            <w:vAlign w:val="center"/>
            <w:hideMark/>
          </w:tcPr>
          <w:p w:rsidR="007207DF" w:rsidRPr="009C6832" w:rsidRDefault="007207DF" w:rsidP="007207DF">
            <w:pPr>
              <w:spacing w:after="0" w:line="240" w:lineRule="auto"/>
              <w:ind w:firstLine="0"/>
              <w:jc w:val="right"/>
              <w:rPr>
                <w:rFonts w:eastAsia="Times New Roman" w:cs="Arial"/>
                <w:i/>
                <w:iCs/>
                <w:sz w:val="20"/>
                <w:szCs w:val="20"/>
                <w:lang w:val="en-US"/>
              </w:rPr>
            </w:pPr>
            <w:r w:rsidRPr="009C6832">
              <w:rPr>
                <w:rFonts w:eastAsia="Times New Roman" w:cs="Arial"/>
                <w:i/>
                <w:iCs/>
                <w:sz w:val="20"/>
                <w:szCs w:val="20"/>
                <w:lang w:val="en-US"/>
              </w:rPr>
              <w:t>100,00%</w:t>
            </w:r>
          </w:p>
        </w:tc>
        <w:tc>
          <w:tcPr>
            <w:tcW w:w="1500"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color w:val="000000"/>
                <w:sz w:val="20"/>
                <w:szCs w:val="20"/>
                <w:lang w:val="en-US"/>
              </w:rPr>
            </w:pPr>
            <w:r w:rsidRPr="009C6832">
              <w:rPr>
                <w:rFonts w:eastAsia="Times New Roman" w:cs="Arial"/>
                <w:color w:val="000000"/>
                <w:sz w:val="20"/>
                <w:szCs w:val="20"/>
                <w:lang w:val="en-US"/>
              </w:rPr>
              <w:t>335,61</w:t>
            </w:r>
          </w:p>
        </w:tc>
      </w:tr>
      <w:tr w:rsidR="007207DF" w:rsidRPr="009C6832" w:rsidTr="0050101A">
        <w:trPr>
          <w:trHeight w:val="359"/>
        </w:trPr>
        <w:tc>
          <w:tcPr>
            <w:tcW w:w="3861" w:type="dxa"/>
            <w:tcBorders>
              <w:top w:val="nil"/>
              <w:left w:val="single" w:sz="4" w:space="0" w:color="auto"/>
              <w:bottom w:val="single" w:sz="4" w:space="0" w:color="auto"/>
              <w:right w:val="single" w:sz="4" w:space="0" w:color="auto"/>
            </w:tcBorders>
            <w:shd w:val="clear" w:color="auto" w:fill="auto"/>
            <w:vAlign w:val="center"/>
            <w:hideMark/>
          </w:tcPr>
          <w:p w:rsidR="007207DF" w:rsidRPr="009C6832" w:rsidRDefault="007207DF" w:rsidP="007207DF">
            <w:pPr>
              <w:spacing w:after="0" w:line="240" w:lineRule="auto"/>
              <w:ind w:firstLineChars="300" w:firstLine="602"/>
              <w:jc w:val="left"/>
              <w:rPr>
                <w:rFonts w:eastAsia="Times New Roman" w:cs="Arial"/>
                <w:b/>
                <w:bCs/>
                <w:sz w:val="20"/>
                <w:szCs w:val="20"/>
                <w:lang w:val="en-US"/>
              </w:rPr>
            </w:pPr>
            <w:r w:rsidRPr="009C6832">
              <w:rPr>
                <w:rFonts w:eastAsia="Times New Roman" w:cs="Arial"/>
                <w:b/>
                <w:bCs/>
                <w:sz w:val="20"/>
                <w:szCs w:val="20"/>
                <w:lang w:val="en-US"/>
              </w:rPr>
              <w:t>b)</w:t>
            </w:r>
            <w:r w:rsidRPr="009C6832">
              <w:rPr>
                <w:rFonts w:eastAsia="Times New Roman" w:cs="Arial"/>
                <w:sz w:val="20"/>
                <w:szCs w:val="20"/>
                <w:lang w:val="en-US"/>
              </w:rPr>
              <w:t xml:space="preserve"> Rambursari  (FEADR+FEPAM)</w:t>
            </w:r>
          </w:p>
        </w:tc>
        <w:tc>
          <w:tcPr>
            <w:tcW w:w="1134"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color w:val="000000"/>
                <w:sz w:val="20"/>
                <w:szCs w:val="20"/>
                <w:lang w:val="en-US"/>
              </w:rPr>
            </w:pPr>
            <w:r w:rsidRPr="009C6832">
              <w:rPr>
                <w:rFonts w:eastAsia="Times New Roman" w:cs="Arial"/>
                <w:color w:val="000000"/>
                <w:sz w:val="20"/>
                <w:szCs w:val="20"/>
                <w:lang w:val="en-US"/>
              </w:rPr>
              <w:t>1.640,88</w:t>
            </w:r>
          </w:p>
        </w:tc>
        <w:tc>
          <w:tcPr>
            <w:tcW w:w="1134"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color w:val="000000"/>
                <w:sz w:val="20"/>
                <w:szCs w:val="20"/>
                <w:lang w:val="en-US"/>
              </w:rPr>
            </w:pPr>
            <w:r w:rsidRPr="009C6832">
              <w:rPr>
                <w:rFonts w:eastAsia="Times New Roman" w:cs="Arial"/>
                <w:color w:val="000000"/>
                <w:sz w:val="20"/>
                <w:szCs w:val="20"/>
                <w:lang w:val="en-US"/>
              </w:rPr>
              <w:t>571,09</w:t>
            </w:r>
          </w:p>
        </w:tc>
        <w:tc>
          <w:tcPr>
            <w:tcW w:w="1284" w:type="dxa"/>
            <w:tcBorders>
              <w:top w:val="nil"/>
              <w:left w:val="nil"/>
              <w:bottom w:val="single" w:sz="4" w:space="0" w:color="auto"/>
              <w:right w:val="single" w:sz="4" w:space="0" w:color="auto"/>
            </w:tcBorders>
            <w:shd w:val="clear" w:color="CCCCFF" w:fill="FFFFFF"/>
            <w:noWrap/>
            <w:vAlign w:val="center"/>
            <w:hideMark/>
          </w:tcPr>
          <w:p w:rsidR="007207DF" w:rsidRPr="009C6832" w:rsidRDefault="007207DF" w:rsidP="007207DF">
            <w:pPr>
              <w:spacing w:after="0" w:line="240" w:lineRule="auto"/>
              <w:ind w:firstLine="0"/>
              <w:jc w:val="right"/>
              <w:rPr>
                <w:rFonts w:eastAsia="Times New Roman" w:cs="Arial"/>
                <w:i/>
                <w:iCs/>
                <w:sz w:val="20"/>
                <w:szCs w:val="20"/>
                <w:lang w:val="en-US"/>
              </w:rPr>
            </w:pPr>
            <w:r w:rsidRPr="009C6832">
              <w:rPr>
                <w:rFonts w:eastAsia="Times New Roman" w:cs="Arial"/>
                <w:i/>
                <w:iCs/>
                <w:sz w:val="20"/>
                <w:szCs w:val="20"/>
                <w:lang w:val="en-US"/>
              </w:rPr>
              <w:t>34,80%</w:t>
            </w:r>
          </w:p>
        </w:tc>
        <w:tc>
          <w:tcPr>
            <w:tcW w:w="1500"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color w:val="000000"/>
                <w:sz w:val="20"/>
                <w:szCs w:val="20"/>
                <w:lang w:val="en-US"/>
              </w:rPr>
            </w:pPr>
            <w:r w:rsidRPr="009C6832">
              <w:rPr>
                <w:rFonts w:eastAsia="Times New Roman" w:cs="Arial"/>
                <w:color w:val="000000"/>
                <w:sz w:val="20"/>
                <w:szCs w:val="20"/>
                <w:lang w:val="en-US"/>
              </w:rPr>
              <w:t>1.095,11</w:t>
            </w:r>
          </w:p>
        </w:tc>
      </w:tr>
      <w:tr w:rsidR="007207DF" w:rsidRPr="009C6832" w:rsidTr="0050101A">
        <w:trPr>
          <w:trHeight w:val="599"/>
        </w:trPr>
        <w:tc>
          <w:tcPr>
            <w:tcW w:w="3861" w:type="dxa"/>
            <w:tcBorders>
              <w:top w:val="nil"/>
              <w:left w:val="single" w:sz="4" w:space="0" w:color="auto"/>
              <w:bottom w:val="single" w:sz="4" w:space="0" w:color="auto"/>
              <w:right w:val="single" w:sz="4" w:space="0" w:color="auto"/>
            </w:tcBorders>
            <w:shd w:val="clear" w:color="auto" w:fill="auto"/>
            <w:vAlign w:val="center"/>
            <w:hideMark/>
          </w:tcPr>
          <w:p w:rsidR="007207DF" w:rsidRPr="009C6832" w:rsidRDefault="007207DF" w:rsidP="007207DF">
            <w:pPr>
              <w:spacing w:after="0" w:line="240" w:lineRule="auto"/>
              <w:ind w:firstLineChars="100" w:firstLine="201"/>
              <w:jc w:val="left"/>
              <w:rPr>
                <w:rFonts w:eastAsia="Times New Roman" w:cs="Arial"/>
                <w:b/>
                <w:bCs/>
                <w:sz w:val="20"/>
                <w:szCs w:val="20"/>
                <w:lang w:val="en-US"/>
              </w:rPr>
            </w:pPr>
            <w:r w:rsidRPr="009C6832">
              <w:rPr>
                <w:rFonts w:eastAsia="Times New Roman" w:cs="Arial"/>
                <w:b/>
                <w:bCs/>
                <w:sz w:val="20"/>
                <w:szCs w:val="20"/>
                <w:lang w:val="en-US"/>
              </w:rPr>
              <w:t xml:space="preserve">A3. Fondul European pentru Garantare Agricola </w:t>
            </w:r>
            <w:r w:rsidRPr="009C6832">
              <w:rPr>
                <w:rFonts w:eastAsia="Times New Roman" w:cs="Arial"/>
                <w:sz w:val="20"/>
                <w:szCs w:val="20"/>
                <w:lang w:val="en-US"/>
              </w:rPr>
              <w:t>(FEGA)</w:t>
            </w:r>
          </w:p>
        </w:tc>
        <w:tc>
          <w:tcPr>
            <w:tcW w:w="1134"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b/>
                <w:bCs/>
                <w:color w:val="000000"/>
                <w:sz w:val="20"/>
                <w:szCs w:val="20"/>
                <w:lang w:val="en-US"/>
              </w:rPr>
            </w:pPr>
            <w:r w:rsidRPr="009C6832">
              <w:rPr>
                <w:rFonts w:eastAsia="Times New Roman" w:cs="Arial"/>
                <w:b/>
                <w:bCs/>
                <w:color w:val="000000"/>
                <w:sz w:val="20"/>
                <w:szCs w:val="20"/>
                <w:lang w:val="en-US"/>
              </w:rPr>
              <w:t>1.857,91</w:t>
            </w:r>
          </w:p>
        </w:tc>
        <w:tc>
          <w:tcPr>
            <w:tcW w:w="1134"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b/>
                <w:bCs/>
                <w:color w:val="000000"/>
                <w:sz w:val="20"/>
                <w:szCs w:val="20"/>
                <w:lang w:val="en-US"/>
              </w:rPr>
            </w:pPr>
            <w:r w:rsidRPr="009C6832">
              <w:rPr>
                <w:rFonts w:eastAsia="Times New Roman" w:cs="Arial"/>
                <w:b/>
                <w:bCs/>
                <w:color w:val="000000"/>
                <w:sz w:val="20"/>
                <w:szCs w:val="20"/>
                <w:lang w:val="en-US"/>
              </w:rPr>
              <w:t>1.450,46</w:t>
            </w:r>
          </w:p>
        </w:tc>
        <w:tc>
          <w:tcPr>
            <w:tcW w:w="1284" w:type="dxa"/>
            <w:tcBorders>
              <w:top w:val="nil"/>
              <w:left w:val="nil"/>
              <w:bottom w:val="single" w:sz="4" w:space="0" w:color="auto"/>
              <w:right w:val="single" w:sz="4" w:space="0" w:color="auto"/>
            </w:tcBorders>
            <w:shd w:val="clear" w:color="CCCCFF" w:fill="FFFFFF"/>
            <w:noWrap/>
            <w:vAlign w:val="center"/>
            <w:hideMark/>
          </w:tcPr>
          <w:p w:rsidR="007207DF" w:rsidRPr="009C6832" w:rsidRDefault="007207DF" w:rsidP="007207DF">
            <w:pPr>
              <w:spacing w:after="0" w:line="240" w:lineRule="auto"/>
              <w:ind w:firstLine="0"/>
              <w:jc w:val="right"/>
              <w:rPr>
                <w:rFonts w:eastAsia="Times New Roman" w:cs="Arial"/>
                <w:b/>
                <w:bCs/>
                <w:i/>
                <w:iCs/>
                <w:sz w:val="20"/>
                <w:szCs w:val="20"/>
                <w:lang w:val="en-US"/>
              </w:rPr>
            </w:pPr>
            <w:r w:rsidRPr="009C6832">
              <w:rPr>
                <w:rFonts w:eastAsia="Times New Roman" w:cs="Arial"/>
                <w:b/>
                <w:bCs/>
                <w:i/>
                <w:iCs/>
                <w:sz w:val="20"/>
                <w:szCs w:val="20"/>
                <w:lang w:val="en-US"/>
              </w:rPr>
              <w:t>78,07%</w:t>
            </w:r>
          </w:p>
        </w:tc>
        <w:tc>
          <w:tcPr>
            <w:tcW w:w="1500"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b/>
                <w:bCs/>
                <w:color w:val="000000"/>
                <w:sz w:val="20"/>
                <w:szCs w:val="20"/>
                <w:lang w:val="en-US"/>
              </w:rPr>
            </w:pPr>
            <w:r w:rsidRPr="009C6832">
              <w:rPr>
                <w:rFonts w:eastAsia="Times New Roman" w:cs="Arial"/>
                <w:b/>
                <w:bCs/>
                <w:color w:val="000000"/>
                <w:sz w:val="20"/>
                <w:szCs w:val="20"/>
                <w:lang w:val="en-US"/>
              </w:rPr>
              <w:t>2.691,05</w:t>
            </w:r>
          </w:p>
        </w:tc>
      </w:tr>
      <w:tr w:rsidR="007207DF" w:rsidRPr="009C6832" w:rsidTr="0050101A">
        <w:trPr>
          <w:trHeight w:val="359"/>
        </w:trPr>
        <w:tc>
          <w:tcPr>
            <w:tcW w:w="3861" w:type="dxa"/>
            <w:tcBorders>
              <w:top w:val="nil"/>
              <w:left w:val="single" w:sz="4" w:space="0" w:color="auto"/>
              <w:bottom w:val="single" w:sz="4" w:space="0" w:color="auto"/>
              <w:right w:val="single" w:sz="4" w:space="0" w:color="auto"/>
            </w:tcBorders>
            <w:shd w:val="clear" w:color="auto" w:fill="auto"/>
            <w:vAlign w:val="center"/>
            <w:hideMark/>
          </w:tcPr>
          <w:p w:rsidR="007207DF" w:rsidRPr="009C6832" w:rsidRDefault="007207DF" w:rsidP="007207DF">
            <w:pPr>
              <w:spacing w:after="0" w:line="240" w:lineRule="auto"/>
              <w:ind w:firstLineChars="100" w:firstLine="201"/>
              <w:jc w:val="left"/>
              <w:rPr>
                <w:rFonts w:eastAsia="Times New Roman" w:cs="Arial"/>
                <w:b/>
                <w:bCs/>
                <w:sz w:val="20"/>
                <w:szCs w:val="20"/>
                <w:lang w:val="en-US"/>
              </w:rPr>
            </w:pPr>
            <w:r w:rsidRPr="009C6832">
              <w:rPr>
                <w:rFonts w:eastAsia="Times New Roman" w:cs="Arial"/>
                <w:b/>
                <w:bCs/>
                <w:sz w:val="20"/>
                <w:szCs w:val="20"/>
                <w:lang w:val="en-US"/>
              </w:rPr>
              <w:t xml:space="preserve">A4. Altele (post-aderare), din care: </w:t>
            </w:r>
          </w:p>
        </w:tc>
        <w:tc>
          <w:tcPr>
            <w:tcW w:w="1134"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b/>
                <w:bCs/>
                <w:color w:val="000000"/>
                <w:sz w:val="20"/>
                <w:szCs w:val="20"/>
                <w:lang w:val="en-US"/>
              </w:rPr>
            </w:pPr>
            <w:r w:rsidRPr="009C6832">
              <w:rPr>
                <w:rFonts w:eastAsia="Times New Roman" w:cs="Arial"/>
                <w:b/>
                <w:bCs/>
                <w:color w:val="000000"/>
                <w:sz w:val="20"/>
                <w:szCs w:val="20"/>
                <w:lang w:val="en-US"/>
              </w:rPr>
              <w:t>103,38</w:t>
            </w:r>
          </w:p>
        </w:tc>
        <w:tc>
          <w:tcPr>
            <w:tcW w:w="1134"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b/>
                <w:bCs/>
                <w:color w:val="000000"/>
                <w:sz w:val="20"/>
                <w:szCs w:val="20"/>
                <w:lang w:val="en-US"/>
              </w:rPr>
            </w:pPr>
            <w:r w:rsidRPr="009C6832">
              <w:rPr>
                <w:rFonts w:eastAsia="Times New Roman" w:cs="Arial"/>
                <w:b/>
                <w:bCs/>
                <w:color w:val="000000"/>
                <w:sz w:val="20"/>
                <w:szCs w:val="20"/>
                <w:lang w:val="en-US"/>
              </w:rPr>
              <w:t>82,84</w:t>
            </w:r>
          </w:p>
        </w:tc>
        <w:tc>
          <w:tcPr>
            <w:tcW w:w="1284" w:type="dxa"/>
            <w:tcBorders>
              <w:top w:val="nil"/>
              <w:left w:val="nil"/>
              <w:bottom w:val="single" w:sz="4" w:space="0" w:color="auto"/>
              <w:right w:val="single" w:sz="4" w:space="0" w:color="auto"/>
            </w:tcBorders>
            <w:shd w:val="clear" w:color="CCCCFF" w:fill="FFFFFF"/>
            <w:noWrap/>
            <w:vAlign w:val="center"/>
            <w:hideMark/>
          </w:tcPr>
          <w:p w:rsidR="007207DF" w:rsidRPr="009C6832" w:rsidRDefault="007207DF" w:rsidP="007207DF">
            <w:pPr>
              <w:spacing w:after="0" w:line="240" w:lineRule="auto"/>
              <w:ind w:firstLine="0"/>
              <w:jc w:val="right"/>
              <w:rPr>
                <w:rFonts w:eastAsia="Times New Roman" w:cs="Arial"/>
                <w:b/>
                <w:bCs/>
                <w:i/>
                <w:iCs/>
                <w:sz w:val="20"/>
                <w:szCs w:val="20"/>
                <w:lang w:val="en-US"/>
              </w:rPr>
            </w:pPr>
            <w:r w:rsidRPr="009C6832">
              <w:rPr>
                <w:rFonts w:eastAsia="Times New Roman" w:cs="Arial"/>
                <w:b/>
                <w:bCs/>
                <w:i/>
                <w:iCs/>
                <w:sz w:val="20"/>
                <w:szCs w:val="20"/>
                <w:lang w:val="en-US"/>
              </w:rPr>
              <w:t>80,13%</w:t>
            </w:r>
          </w:p>
        </w:tc>
        <w:tc>
          <w:tcPr>
            <w:tcW w:w="1500"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b/>
                <w:bCs/>
                <w:color w:val="000000"/>
                <w:sz w:val="20"/>
                <w:szCs w:val="20"/>
                <w:lang w:val="en-US"/>
              </w:rPr>
            </w:pPr>
            <w:r w:rsidRPr="009C6832">
              <w:rPr>
                <w:rFonts w:eastAsia="Times New Roman" w:cs="Arial"/>
                <w:b/>
                <w:bCs/>
                <w:color w:val="000000"/>
                <w:sz w:val="20"/>
                <w:szCs w:val="20"/>
                <w:lang w:val="en-US"/>
              </w:rPr>
              <w:t>423,07</w:t>
            </w:r>
          </w:p>
        </w:tc>
      </w:tr>
      <w:tr w:rsidR="007207DF" w:rsidRPr="009C6832" w:rsidTr="0050101A">
        <w:trPr>
          <w:trHeight w:val="359"/>
        </w:trPr>
        <w:tc>
          <w:tcPr>
            <w:tcW w:w="3861" w:type="dxa"/>
            <w:tcBorders>
              <w:top w:val="nil"/>
              <w:left w:val="single" w:sz="4" w:space="0" w:color="auto"/>
              <w:bottom w:val="single" w:sz="4" w:space="0" w:color="auto"/>
              <w:right w:val="single" w:sz="4" w:space="0" w:color="auto"/>
            </w:tcBorders>
            <w:shd w:val="clear" w:color="auto" w:fill="auto"/>
            <w:vAlign w:val="center"/>
            <w:hideMark/>
          </w:tcPr>
          <w:p w:rsidR="007207DF" w:rsidRPr="009C6832" w:rsidRDefault="007207DF" w:rsidP="007207DF">
            <w:pPr>
              <w:spacing w:after="0" w:line="240" w:lineRule="auto"/>
              <w:ind w:firstLineChars="300" w:firstLine="602"/>
              <w:jc w:val="left"/>
              <w:rPr>
                <w:rFonts w:eastAsia="Times New Roman" w:cs="Arial"/>
                <w:b/>
                <w:bCs/>
                <w:i/>
                <w:iCs/>
                <w:sz w:val="20"/>
                <w:szCs w:val="20"/>
                <w:lang w:val="en-US"/>
              </w:rPr>
            </w:pPr>
            <w:r w:rsidRPr="009C6832">
              <w:rPr>
                <w:rFonts w:eastAsia="Times New Roman" w:cs="Arial"/>
                <w:b/>
                <w:bCs/>
                <w:i/>
                <w:iCs/>
                <w:sz w:val="20"/>
                <w:szCs w:val="20"/>
                <w:lang w:val="en-US"/>
              </w:rPr>
              <w:t xml:space="preserve">a) </w:t>
            </w:r>
            <w:r w:rsidRPr="009C6832">
              <w:rPr>
                <w:rFonts w:eastAsia="Times New Roman" w:cs="Arial"/>
                <w:sz w:val="20"/>
                <w:szCs w:val="20"/>
                <w:lang w:val="en-US"/>
              </w:rPr>
              <w:t xml:space="preserve">Avansuri </w:t>
            </w:r>
          </w:p>
        </w:tc>
        <w:tc>
          <w:tcPr>
            <w:tcW w:w="1134"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color w:val="000000"/>
                <w:sz w:val="20"/>
                <w:szCs w:val="20"/>
                <w:lang w:val="en-US"/>
              </w:rPr>
            </w:pPr>
            <w:r w:rsidRPr="009C6832">
              <w:rPr>
                <w:rFonts w:eastAsia="Times New Roman" w:cs="Arial"/>
                <w:color w:val="000000"/>
                <w:sz w:val="20"/>
                <w:szCs w:val="20"/>
                <w:lang w:val="en-US"/>
              </w:rPr>
              <w:t>4,48</w:t>
            </w:r>
          </w:p>
        </w:tc>
        <w:tc>
          <w:tcPr>
            <w:tcW w:w="1134"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color w:val="000000"/>
                <w:sz w:val="20"/>
                <w:szCs w:val="20"/>
                <w:lang w:val="en-US"/>
              </w:rPr>
            </w:pPr>
            <w:r w:rsidRPr="009C6832">
              <w:rPr>
                <w:rFonts w:eastAsia="Times New Roman" w:cs="Arial"/>
                <w:color w:val="000000"/>
                <w:sz w:val="20"/>
                <w:szCs w:val="20"/>
                <w:lang w:val="en-US"/>
              </w:rPr>
              <w:t>4,13</w:t>
            </w:r>
          </w:p>
        </w:tc>
        <w:tc>
          <w:tcPr>
            <w:tcW w:w="1284" w:type="dxa"/>
            <w:tcBorders>
              <w:top w:val="nil"/>
              <w:left w:val="nil"/>
              <w:bottom w:val="single" w:sz="4" w:space="0" w:color="auto"/>
              <w:right w:val="single" w:sz="4" w:space="0" w:color="auto"/>
            </w:tcBorders>
            <w:shd w:val="clear" w:color="CCCCFF" w:fill="FFFFFF"/>
            <w:noWrap/>
            <w:vAlign w:val="center"/>
            <w:hideMark/>
          </w:tcPr>
          <w:p w:rsidR="007207DF" w:rsidRPr="009C6832" w:rsidRDefault="007207DF" w:rsidP="007207DF">
            <w:pPr>
              <w:spacing w:after="0" w:line="240" w:lineRule="auto"/>
              <w:ind w:firstLine="0"/>
              <w:jc w:val="right"/>
              <w:rPr>
                <w:rFonts w:eastAsia="Times New Roman" w:cs="Arial"/>
                <w:i/>
                <w:iCs/>
                <w:sz w:val="20"/>
                <w:szCs w:val="20"/>
                <w:lang w:val="en-US"/>
              </w:rPr>
            </w:pPr>
            <w:r w:rsidRPr="009C6832">
              <w:rPr>
                <w:rFonts w:eastAsia="Times New Roman" w:cs="Arial"/>
                <w:i/>
                <w:iCs/>
                <w:sz w:val="20"/>
                <w:szCs w:val="20"/>
                <w:lang w:val="en-US"/>
              </w:rPr>
              <w:t>92,34%</w:t>
            </w:r>
          </w:p>
        </w:tc>
        <w:tc>
          <w:tcPr>
            <w:tcW w:w="1500"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color w:val="000000"/>
                <w:sz w:val="20"/>
                <w:szCs w:val="20"/>
                <w:lang w:val="en-US"/>
              </w:rPr>
            </w:pPr>
            <w:r w:rsidRPr="009C6832">
              <w:rPr>
                <w:rFonts w:eastAsia="Times New Roman" w:cs="Arial"/>
                <w:color w:val="000000"/>
                <w:sz w:val="20"/>
                <w:szCs w:val="20"/>
                <w:lang w:val="en-US"/>
              </w:rPr>
              <w:t>19,38</w:t>
            </w:r>
          </w:p>
        </w:tc>
      </w:tr>
      <w:tr w:rsidR="007207DF" w:rsidRPr="009C6832" w:rsidTr="0050101A">
        <w:trPr>
          <w:trHeight w:val="359"/>
        </w:trPr>
        <w:tc>
          <w:tcPr>
            <w:tcW w:w="3861" w:type="dxa"/>
            <w:tcBorders>
              <w:top w:val="nil"/>
              <w:left w:val="single" w:sz="4" w:space="0" w:color="auto"/>
              <w:bottom w:val="single" w:sz="4" w:space="0" w:color="auto"/>
              <w:right w:val="single" w:sz="4" w:space="0" w:color="auto"/>
            </w:tcBorders>
            <w:shd w:val="clear" w:color="auto" w:fill="auto"/>
            <w:vAlign w:val="center"/>
            <w:hideMark/>
          </w:tcPr>
          <w:p w:rsidR="007207DF" w:rsidRPr="009C6832" w:rsidRDefault="007207DF" w:rsidP="007207DF">
            <w:pPr>
              <w:spacing w:after="0" w:line="240" w:lineRule="auto"/>
              <w:ind w:firstLineChars="300" w:firstLine="602"/>
              <w:jc w:val="left"/>
              <w:rPr>
                <w:rFonts w:eastAsia="Times New Roman" w:cs="Arial"/>
                <w:b/>
                <w:bCs/>
                <w:i/>
                <w:iCs/>
                <w:sz w:val="20"/>
                <w:szCs w:val="20"/>
                <w:lang w:val="en-US"/>
              </w:rPr>
            </w:pPr>
            <w:r w:rsidRPr="009C6832">
              <w:rPr>
                <w:rFonts w:eastAsia="Times New Roman" w:cs="Arial"/>
                <w:b/>
                <w:bCs/>
                <w:i/>
                <w:iCs/>
                <w:sz w:val="20"/>
                <w:szCs w:val="20"/>
                <w:lang w:val="en-US"/>
              </w:rPr>
              <w:t>b)</w:t>
            </w:r>
            <w:r w:rsidRPr="009C6832">
              <w:rPr>
                <w:rFonts w:eastAsia="Times New Roman" w:cs="Arial"/>
                <w:sz w:val="20"/>
                <w:szCs w:val="20"/>
                <w:lang w:val="en-US"/>
              </w:rPr>
              <w:t>Rambursari</w:t>
            </w:r>
          </w:p>
        </w:tc>
        <w:tc>
          <w:tcPr>
            <w:tcW w:w="1134"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color w:val="000000"/>
                <w:sz w:val="20"/>
                <w:szCs w:val="20"/>
                <w:lang w:val="en-US"/>
              </w:rPr>
            </w:pPr>
            <w:r w:rsidRPr="009C6832">
              <w:rPr>
                <w:rFonts w:eastAsia="Times New Roman" w:cs="Arial"/>
                <w:color w:val="000000"/>
                <w:sz w:val="20"/>
                <w:szCs w:val="20"/>
                <w:lang w:val="en-US"/>
              </w:rPr>
              <w:t>98,90</w:t>
            </w:r>
          </w:p>
        </w:tc>
        <w:tc>
          <w:tcPr>
            <w:tcW w:w="1134"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color w:val="000000"/>
                <w:sz w:val="20"/>
                <w:szCs w:val="20"/>
                <w:lang w:val="en-US"/>
              </w:rPr>
            </w:pPr>
            <w:r w:rsidRPr="009C6832">
              <w:rPr>
                <w:rFonts w:eastAsia="Times New Roman" w:cs="Arial"/>
                <w:color w:val="000000"/>
                <w:sz w:val="20"/>
                <w:szCs w:val="20"/>
                <w:lang w:val="en-US"/>
              </w:rPr>
              <w:t>78,70</w:t>
            </w:r>
          </w:p>
        </w:tc>
        <w:tc>
          <w:tcPr>
            <w:tcW w:w="1284" w:type="dxa"/>
            <w:tcBorders>
              <w:top w:val="nil"/>
              <w:left w:val="nil"/>
              <w:bottom w:val="single" w:sz="4" w:space="0" w:color="auto"/>
              <w:right w:val="single" w:sz="4" w:space="0" w:color="auto"/>
            </w:tcBorders>
            <w:shd w:val="clear" w:color="CCCCFF" w:fill="FFFFFF"/>
            <w:noWrap/>
            <w:vAlign w:val="center"/>
            <w:hideMark/>
          </w:tcPr>
          <w:p w:rsidR="007207DF" w:rsidRPr="009C6832" w:rsidRDefault="007207DF" w:rsidP="007207DF">
            <w:pPr>
              <w:spacing w:after="0" w:line="240" w:lineRule="auto"/>
              <w:ind w:firstLine="0"/>
              <w:jc w:val="right"/>
              <w:rPr>
                <w:rFonts w:eastAsia="Times New Roman" w:cs="Arial"/>
                <w:i/>
                <w:iCs/>
                <w:sz w:val="20"/>
                <w:szCs w:val="20"/>
                <w:lang w:val="en-US"/>
              </w:rPr>
            </w:pPr>
            <w:r w:rsidRPr="009C6832">
              <w:rPr>
                <w:rFonts w:eastAsia="Times New Roman" w:cs="Arial"/>
                <w:i/>
                <w:iCs/>
                <w:sz w:val="20"/>
                <w:szCs w:val="20"/>
                <w:lang w:val="en-US"/>
              </w:rPr>
              <w:t>79,58%</w:t>
            </w:r>
          </w:p>
        </w:tc>
        <w:tc>
          <w:tcPr>
            <w:tcW w:w="1500"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color w:val="000000"/>
                <w:sz w:val="20"/>
                <w:szCs w:val="20"/>
                <w:lang w:val="en-US"/>
              </w:rPr>
            </w:pPr>
            <w:r w:rsidRPr="009C6832">
              <w:rPr>
                <w:rFonts w:eastAsia="Times New Roman" w:cs="Arial"/>
                <w:color w:val="000000"/>
                <w:sz w:val="20"/>
                <w:szCs w:val="20"/>
                <w:lang w:val="en-US"/>
              </w:rPr>
              <w:t>403,69</w:t>
            </w:r>
          </w:p>
        </w:tc>
      </w:tr>
    </w:tbl>
    <w:p w:rsidR="00A26E1A" w:rsidRDefault="00A26E1A">
      <w:r>
        <w:br w:type="page"/>
      </w:r>
    </w:p>
    <w:tbl>
      <w:tblPr>
        <w:tblW w:w="8913" w:type="dxa"/>
        <w:tblInd w:w="108" w:type="dxa"/>
        <w:tblLook w:val="04A0" w:firstRow="1" w:lastRow="0" w:firstColumn="1" w:lastColumn="0" w:noHBand="0" w:noVBand="1"/>
      </w:tblPr>
      <w:tblGrid>
        <w:gridCol w:w="3861"/>
        <w:gridCol w:w="1134"/>
        <w:gridCol w:w="1134"/>
        <w:gridCol w:w="1284"/>
        <w:gridCol w:w="1500"/>
      </w:tblGrid>
      <w:tr w:rsidR="007207DF" w:rsidRPr="009C6832" w:rsidTr="0050101A">
        <w:trPr>
          <w:trHeight w:val="254"/>
        </w:trPr>
        <w:tc>
          <w:tcPr>
            <w:tcW w:w="3861" w:type="dxa"/>
            <w:tcBorders>
              <w:top w:val="nil"/>
              <w:left w:val="nil"/>
              <w:bottom w:val="nil"/>
              <w:right w:val="nil"/>
            </w:tcBorders>
            <w:shd w:val="clear" w:color="auto" w:fill="auto"/>
            <w:noWrap/>
            <w:vAlign w:val="bottom"/>
            <w:hideMark/>
          </w:tcPr>
          <w:p w:rsidR="007207DF" w:rsidRPr="009C6832" w:rsidRDefault="007207DF" w:rsidP="007207DF">
            <w:pPr>
              <w:spacing w:after="0" w:line="240" w:lineRule="auto"/>
              <w:ind w:firstLine="0"/>
              <w:jc w:val="left"/>
              <w:rPr>
                <w:rFonts w:eastAsia="Times New Roman" w:cs="Arial"/>
                <w:color w:val="000000"/>
                <w:sz w:val="20"/>
                <w:szCs w:val="20"/>
                <w:lang w:val="en-US"/>
              </w:rPr>
            </w:pPr>
          </w:p>
        </w:tc>
        <w:tc>
          <w:tcPr>
            <w:tcW w:w="1134" w:type="dxa"/>
            <w:tcBorders>
              <w:top w:val="nil"/>
              <w:left w:val="nil"/>
              <w:bottom w:val="nil"/>
              <w:right w:val="nil"/>
            </w:tcBorders>
            <w:shd w:val="clear" w:color="auto" w:fill="auto"/>
            <w:noWrap/>
            <w:vAlign w:val="bottom"/>
            <w:hideMark/>
          </w:tcPr>
          <w:p w:rsidR="007207DF" w:rsidRPr="009C6832" w:rsidRDefault="007207DF" w:rsidP="007207DF">
            <w:pPr>
              <w:spacing w:after="0" w:line="240" w:lineRule="auto"/>
              <w:ind w:firstLine="0"/>
              <w:jc w:val="left"/>
              <w:rPr>
                <w:rFonts w:eastAsia="Times New Roman" w:cs="Times New Roman"/>
                <w:sz w:val="20"/>
                <w:szCs w:val="20"/>
                <w:lang w:val="en-US"/>
              </w:rPr>
            </w:pPr>
          </w:p>
        </w:tc>
        <w:tc>
          <w:tcPr>
            <w:tcW w:w="1134" w:type="dxa"/>
            <w:tcBorders>
              <w:top w:val="nil"/>
              <w:left w:val="nil"/>
              <w:bottom w:val="nil"/>
              <w:right w:val="nil"/>
            </w:tcBorders>
            <w:shd w:val="clear" w:color="auto" w:fill="auto"/>
            <w:noWrap/>
            <w:vAlign w:val="bottom"/>
            <w:hideMark/>
          </w:tcPr>
          <w:p w:rsidR="007207DF" w:rsidRPr="009C6832" w:rsidRDefault="007207DF" w:rsidP="007207DF">
            <w:pPr>
              <w:spacing w:after="0" w:line="240" w:lineRule="auto"/>
              <w:ind w:firstLine="0"/>
              <w:jc w:val="left"/>
              <w:rPr>
                <w:rFonts w:eastAsia="Times New Roman" w:cs="Times New Roman"/>
                <w:sz w:val="20"/>
                <w:szCs w:val="20"/>
                <w:lang w:val="en-US"/>
              </w:rPr>
            </w:pPr>
          </w:p>
        </w:tc>
        <w:tc>
          <w:tcPr>
            <w:tcW w:w="1284" w:type="dxa"/>
            <w:tcBorders>
              <w:top w:val="nil"/>
              <w:left w:val="nil"/>
              <w:bottom w:val="nil"/>
              <w:right w:val="nil"/>
            </w:tcBorders>
            <w:shd w:val="clear" w:color="auto" w:fill="auto"/>
            <w:noWrap/>
            <w:vAlign w:val="bottom"/>
            <w:hideMark/>
          </w:tcPr>
          <w:p w:rsidR="007207DF" w:rsidRPr="009C6832" w:rsidRDefault="007207DF" w:rsidP="007207DF">
            <w:pPr>
              <w:spacing w:after="0" w:line="240" w:lineRule="auto"/>
              <w:ind w:firstLine="0"/>
              <w:jc w:val="left"/>
              <w:rPr>
                <w:rFonts w:eastAsia="Times New Roman" w:cs="Times New Roman"/>
                <w:sz w:val="20"/>
                <w:szCs w:val="20"/>
                <w:lang w:val="en-US"/>
              </w:rPr>
            </w:pPr>
          </w:p>
        </w:tc>
        <w:tc>
          <w:tcPr>
            <w:tcW w:w="1500" w:type="dxa"/>
            <w:tcBorders>
              <w:top w:val="nil"/>
              <w:left w:val="nil"/>
              <w:bottom w:val="nil"/>
              <w:right w:val="nil"/>
            </w:tcBorders>
            <w:shd w:val="clear" w:color="auto" w:fill="auto"/>
            <w:noWrap/>
            <w:vAlign w:val="bottom"/>
            <w:hideMark/>
          </w:tcPr>
          <w:p w:rsidR="007207DF" w:rsidRPr="009C6832" w:rsidRDefault="007207DF" w:rsidP="007207DF">
            <w:pPr>
              <w:spacing w:after="0" w:line="240" w:lineRule="auto"/>
              <w:ind w:firstLine="0"/>
              <w:jc w:val="left"/>
              <w:rPr>
                <w:rFonts w:eastAsia="Times New Roman" w:cs="Times New Roman"/>
                <w:sz w:val="20"/>
                <w:szCs w:val="20"/>
                <w:lang w:val="en-US"/>
              </w:rPr>
            </w:pPr>
          </w:p>
        </w:tc>
      </w:tr>
      <w:tr w:rsidR="0050101A" w:rsidRPr="009C6832" w:rsidTr="00F93CAD">
        <w:trPr>
          <w:trHeight w:val="359"/>
        </w:trPr>
        <w:tc>
          <w:tcPr>
            <w:tcW w:w="3861" w:type="dxa"/>
            <w:tcBorders>
              <w:top w:val="nil"/>
              <w:left w:val="nil"/>
              <w:bottom w:val="nil"/>
              <w:right w:val="nil"/>
            </w:tcBorders>
            <w:shd w:val="clear" w:color="auto" w:fill="auto"/>
            <w:vAlign w:val="bottom"/>
            <w:hideMark/>
          </w:tcPr>
          <w:p w:rsidR="0050101A" w:rsidRPr="009C6832" w:rsidRDefault="0050101A" w:rsidP="007207DF">
            <w:pPr>
              <w:spacing w:after="0" w:line="240" w:lineRule="auto"/>
              <w:ind w:firstLine="0"/>
              <w:jc w:val="left"/>
              <w:rPr>
                <w:rFonts w:eastAsia="Times New Roman" w:cs="Arial"/>
                <w:b/>
                <w:bCs/>
                <w:sz w:val="20"/>
                <w:szCs w:val="20"/>
                <w:lang w:val="en-US"/>
              </w:rPr>
            </w:pPr>
            <w:r w:rsidRPr="009C6832">
              <w:rPr>
                <w:rFonts w:eastAsia="Times New Roman" w:cs="Arial"/>
                <w:b/>
                <w:bCs/>
                <w:sz w:val="20"/>
                <w:szCs w:val="20"/>
                <w:lang w:val="en-US"/>
              </w:rPr>
              <w:t>Sume plătite în perioada 2007-2017</w:t>
            </w:r>
          </w:p>
        </w:tc>
        <w:tc>
          <w:tcPr>
            <w:tcW w:w="1134" w:type="dxa"/>
            <w:tcBorders>
              <w:top w:val="nil"/>
              <w:left w:val="nil"/>
              <w:bottom w:val="nil"/>
              <w:right w:val="nil"/>
            </w:tcBorders>
            <w:shd w:val="clear" w:color="auto" w:fill="auto"/>
            <w:noWrap/>
            <w:vAlign w:val="bottom"/>
            <w:hideMark/>
          </w:tcPr>
          <w:p w:rsidR="0050101A" w:rsidRPr="009C6832" w:rsidRDefault="0050101A" w:rsidP="007207DF">
            <w:pPr>
              <w:spacing w:after="0" w:line="240" w:lineRule="auto"/>
              <w:ind w:firstLine="0"/>
              <w:jc w:val="left"/>
              <w:rPr>
                <w:rFonts w:eastAsia="Times New Roman" w:cs="Arial"/>
                <w:b/>
                <w:bCs/>
                <w:sz w:val="20"/>
                <w:szCs w:val="20"/>
                <w:lang w:val="en-US"/>
              </w:rPr>
            </w:pPr>
          </w:p>
        </w:tc>
        <w:tc>
          <w:tcPr>
            <w:tcW w:w="1134" w:type="dxa"/>
            <w:tcBorders>
              <w:top w:val="nil"/>
              <w:left w:val="nil"/>
              <w:bottom w:val="nil"/>
              <w:right w:val="nil"/>
            </w:tcBorders>
            <w:shd w:val="clear" w:color="auto" w:fill="auto"/>
            <w:noWrap/>
            <w:vAlign w:val="bottom"/>
            <w:hideMark/>
          </w:tcPr>
          <w:p w:rsidR="0050101A" w:rsidRPr="009C6832" w:rsidRDefault="0050101A" w:rsidP="007207DF">
            <w:pPr>
              <w:spacing w:after="0" w:line="240" w:lineRule="auto"/>
              <w:ind w:firstLine="0"/>
              <w:jc w:val="left"/>
              <w:rPr>
                <w:rFonts w:eastAsia="Times New Roman" w:cs="Times New Roman"/>
                <w:sz w:val="20"/>
                <w:szCs w:val="20"/>
                <w:lang w:val="en-US"/>
              </w:rPr>
            </w:pPr>
          </w:p>
        </w:tc>
        <w:tc>
          <w:tcPr>
            <w:tcW w:w="2784" w:type="dxa"/>
            <w:gridSpan w:val="2"/>
            <w:tcBorders>
              <w:top w:val="nil"/>
              <w:left w:val="nil"/>
              <w:bottom w:val="nil"/>
              <w:right w:val="nil"/>
            </w:tcBorders>
            <w:shd w:val="clear" w:color="auto" w:fill="auto"/>
            <w:noWrap/>
            <w:vAlign w:val="bottom"/>
            <w:hideMark/>
          </w:tcPr>
          <w:p w:rsidR="0050101A" w:rsidRPr="009C6832" w:rsidRDefault="0050101A" w:rsidP="0050101A">
            <w:pPr>
              <w:spacing w:after="0" w:line="240" w:lineRule="auto"/>
              <w:ind w:firstLine="0"/>
              <w:jc w:val="right"/>
              <w:rPr>
                <w:rFonts w:eastAsia="Times New Roman" w:cs="Arial"/>
                <w:b/>
                <w:bCs/>
                <w:sz w:val="20"/>
                <w:szCs w:val="20"/>
                <w:lang w:val="en-US"/>
              </w:rPr>
            </w:pPr>
            <w:r w:rsidRPr="009C6832">
              <w:rPr>
                <w:rFonts w:eastAsia="Times New Roman" w:cs="Arial"/>
                <w:b/>
                <w:bCs/>
                <w:sz w:val="20"/>
                <w:szCs w:val="20"/>
                <w:lang w:val="en-US"/>
              </w:rPr>
              <w:t>milioane euro</w:t>
            </w:r>
          </w:p>
        </w:tc>
      </w:tr>
      <w:tr w:rsidR="007207DF" w:rsidRPr="009C6832" w:rsidTr="0050101A">
        <w:trPr>
          <w:trHeight w:val="760"/>
        </w:trPr>
        <w:tc>
          <w:tcPr>
            <w:tcW w:w="38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07DF" w:rsidRPr="009C6832" w:rsidRDefault="007207DF" w:rsidP="007207DF">
            <w:pPr>
              <w:spacing w:after="0" w:line="240" w:lineRule="auto"/>
              <w:ind w:firstLine="0"/>
              <w:jc w:val="center"/>
              <w:rPr>
                <w:rFonts w:eastAsia="Times New Roman" w:cs="Arial"/>
                <w:sz w:val="20"/>
                <w:szCs w:val="20"/>
                <w:lang w:val="en-US"/>
              </w:rPr>
            </w:pPr>
            <w:r w:rsidRPr="009C6832">
              <w:rPr>
                <w:rFonts w:eastAsia="Times New Roman" w:cs="Arial"/>
                <w:sz w:val="20"/>
                <w:szCs w:val="20"/>
                <w:lang w:val="en-US"/>
              </w:rPr>
              <w:t>Denumire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07DF" w:rsidRPr="009C6832" w:rsidRDefault="003E5F89" w:rsidP="007207DF">
            <w:pPr>
              <w:spacing w:after="0" w:line="240" w:lineRule="auto"/>
              <w:ind w:firstLine="0"/>
              <w:jc w:val="center"/>
              <w:rPr>
                <w:rFonts w:eastAsia="Times New Roman" w:cs="Arial"/>
                <w:sz w:val="20"/>
                <w:szCs w:val="20"/>
                <w:lang w:val="en-US"/>
              </w:rPr>
            </w:pPr>
            <w:r w:rsidRPr="009C6832">
              <w:rPr>
                <w:rFonts w:eastAsia="Times New Roman" w:cs="Arial"/>
                <w:sz w:val="20"/>
                <w:szCs w:val="20"/>
                <w:lang w:val="en-US"/>
              </w:rPr>
              <w:t xml:space="preserve">Estimari </w:t>
            </w:r>
            <w:r w:rsidRPr="009C6832">
              <w:rPr>
                <w:rFonts w:eastAsia="Times New Roman" w:cs="Arial"/>
                <w:sz w:val="20"/>
                <w:szCs w:val="20"/>
                <w:lang w:val="en-US"/>
              </w:rPr>
              <w:br/>
              <w:t>2017</w:t>
            </w:r>
            <w:r>
              <w:rPr>
                <w:rFonts w:eastAsia="Times New Roman" w:cs="Arial"/>
                <w:sz w:val="20"/>
                <w:szCs w:val="20"/>
                <w:lang w:val="en-US"/>
              </w:rPr>
              <w:t>**)</w:t>
            </w:r>
          </w:p>
        </w:tc>
        <w:tc>
          <w:tcPr>
            <w:tcW w:w="2418" w:type="dxa"/>
            <w:gridSpan w:val="2"/>
            <w:tcBorders>
              <w:top w:val="single" w:sz="4" w:space="0" w:color="auto"/>
              <w:left w:val="nil"/>
              <w:bottom w:val="single" w:sz="4" w:space="0" w:color="auto"/>
              <w:right w:val="single" w:sz="4" w:space="0" w:color="auto"/>
            </w:tcBorders>
            <w:shd w:val="clear" w:color="auto" w:fill="auto"/>
            <w:vAlign w:val="center"/>
            <w:hideMark/>
          </w:tcPr>
          <w:p w:rsidR="007207DF" w:rsidRPr="009C6832" w:rsidRDefault="007207DF" w:rsidP="007207DF">
            <w:pPr>
              <w:spacing w:after="0" w:line="240" w:lineRule="auto"/>
              <w:ind w:firstLine="0"/>
              <w:jc w:val="center"/>
              <w:rPr>
                <w:rFonts w:eastAsia="Times New Roman" w:cs="Arial"/>
                <w:sz w:val="20"/>
                <w:szCs w:val="20"/>
                <w:lang w:val="en-US"/>
              </w:rPr>
            </w:pPr>
            <w:r w:rsidRPr="009C6832">
              <w:rPr>
                <w:rFonts w:eastAsia="Times New Roman" w:cs="Arial"/>
                <w:sz w:val="20"/>
                <w:szCs w:val="20"/>
                <w:lang w:val="en-US"/>
              </w:rPr>
              <w:t xml:space="preserve">Realizat 2017 </w:t>
            </w:r>
            <w:r w:rsidRPr="009C6832">
              <w:rPr>
                <w:rFonts w:eastAsia="Times New Roman" w:cs="Arial"/>
                <w:sz w:val="20"/>
                <w:szCs w:val="20"/>
                <w:lang w:val="en-US"/>
              </w:rPr>
              <w:br/>
              <w:t xml:space="preserve">(execuţia la </w:t>
            </w:r>
            <w:r w:rsidRPr="009C6832">
              <w:rPr>
                <w:rFonts w:eastAsia="Times New Roman" w:cs="Arial"/>
                <w:sz w:val="20"/>
                <w:szCs w:val="20"/>
                <w:lang w:val="en-US"/>
              </w:rPr>
              <w:br/>
              <w:t>30.06.2017)</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07DF" w:rsidRPr="009C6832" w:rsidRDefault="007207DF" w:rsidP="007207DF">
            <w:pPr>
              <w:spacing w:after="0" w:line="240" w:lineRule="auto"/>
              <w:ind w:firstLine="0"/>
              <w:jc w:val="center"/>
              <w:rPr>
                <w:rFonts w:eastAsia="Times New Roman" w:cs="Arial"/>
                <w:sz w:val="20"/>
                <w:szCs w:val="20"/>
                <w:lang w:val="en-US"/>
              </w:rPr>
            </w:pPr>
            <w:r w:rsidRPr="009C6832">
              <w:rPr>
                <w:rFonts w:eastAsia="Times New Roman" w:cs="Arial"/>
                <w:sz w:val="20"/>
                <w:szCs w:val="20"/>
                <w:lang w:val="en-US"/>
              </w:rPr>
              <w:t>Realizat</w:t>
            </w:r>
            <w:r w:rsidRPr="009C6832">
              <w:rPr>
                <w:rFonts w:eastAsia="Times New Roman" w:cs="Arial"/>
                <w:sz w:val="20"/>
                <w:szCs w:val="20"/>
                <w:lang w:val="en-US"/>
              </w:rPr>
              <w:br/>
              <w:t xml:space="preserve"> 2014-2017</w:t>
            </w:r>
            <w:r w:rsidRPr="009C6832">
              <w:rPr>
                <w:rFonts w:eastAsia="Times New Roman" w:cs="Arial"/>
                <w:sz w:val="20"/>
                <w:szCs w:val="20"/>
                <w:lang w:val="en-US"/>
              </w:rPr>
              <w:br/>
              <w:t xml:space="preserve">(execuţia la </w:t>
            </w:r>
            <w:r w:rsidRPr="009C6832">
              <w:rPr>
                <w:rFonts w:eastAsia="Times New Roman" w:cs="Arial"/>
                <w:sz w:val="20"/>
                <w:szCs w:val="20"/>
                <w:lang w:val="en-US"/>
              </w:rPr>
              <w:br/>
              <w:t>30.06.2017)</w:t>
            </w:r>
          </w:p>
        </w:tc>
      </w:tr>
      <w:tr w:rsidR="007207DF" w:rsidRPr="009C6832" w:rsidTr="0050101A">
        <w:trPr>
          <w:trHeight w:val="359"/>
        </w:trPr>
        <w:tc>
          <w:tcPr>
            <w:tcW w:w="3861" w:type="dxa"/>
            <w:vMerge/>
            <w:tcBorders>
              <w:top w:val="single" w:sz="4" w:space="0" w:color="auto"/>
              <w:left w:val="single" w:sz="4" w:space="0" w:color="auto"/>
              <w:bottom w:val="single" w:sz="4" w:space="0" w:color="auto"/>
              <w:right w:val="single" w:sz="4" w:space="0" w:color="auto"/>
            </w:tcBorders>
            <w:vAlign w:val="center"/>
            <w:hideMark/>
          </w:tcPr>
          <w:p w:rsidR="007207DF" w:rsidRPr="009C6832" w:rsidRDefault="007207DF" w:rsidP="007207DF">
            <w:pPr>
              <w:spacing w:after="0" w:line="240" w:lineRule="auto"/>
              <w:ind w:firstLine="0"/>
              <w:jc w:val="left"/>
              <w:rPr>
                <w:rFonts w:eastAsia="Times New Roman" w:cs="Arial"/>
                <w:sz w:val="20"/>
                <w:szCs w:val="20"/>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207DF" w:rsidRPr="009C6832" w:rsidRDefault="007207DF" w:rsidP="007207DF">
            <w:pPr>
              <w:spacing w:after="0" w:line="240" w:lineRule="auto"/>
              <w:ind w:firstLine="0"/>
              <w:jc w:val="left"/>
              <w:rPr>
                <w:rFonts w:eastAsia="Times New Roman" w:cs="Arial"/>
                <w:sz w:val="20"/>
                <w:szCs w:val="20"/>
                <w:lang w:val="en-US"/>
              </w:rPr>
            </w:pPr>
          </w:p>
        </w:tc>
        <w:tc>
          <w:tcPr>
            <w:tcW w:w="1134" w:type="dxa"/>
            <w:tcBorders>
              <w:top w:val="nil"/>
              <w:left w:val="nil"/>
              <w:bottom w:val="nil"/>
              <w:right w:val="single" w:sz="4" w:space="0" w:color="auto"/>
            </w:tcBorders>
            <w:shd w:val="clear" w:color="auto" w:fill="auto"/>
            <w:vAlign w:val="center"/>
            <w:hideMark/>
          </w:tcPr>
          <w:p w:rsidR="007207DF" w:rsidRPr="009C6832" w:rsidRDefault="007207DF" w:rsidP="007207DF">
            <w:pPr>
              <w:spacing w:after="0" w:line="240" w:lineRule="auto"/>
              <w:ind w:firstLine="0"/>
              <w:jc w:val="center"/>
              <w:rPr>
                <w:rFonts w:eastAsia="Times New Roman" w:cs="Arial"/>
                <w:sz w:val="20"/>
                <w:szCs w:val="20"/>
                <w:lang w:val="en-US"/>
              </w:rPr>
            </w:pPr>
            <w:r w:rsidRPr="009C6832">
              <w:rPr>
                <w:rFonts w:eastAsia="Times New Roman" w:cs="Arial"/>
                <w:sz w:val="20"/>
                <w:szCs w:val="20"/>
                <w:lang w:val="en-US"/>
              </w:rPr>
              <w:t>mil. euro</w:t>
            </w:r>
          </w:p>
        </w:tc>
        <w:tc>
          <w:tcPr>
            <w:tcW w:w="1284" w:type="dxa"/>
            <w:tcBorders>
              <w:top w:val="nil"/>
              <w:left w:val="nil"/>
              <w:bottom w:val="nil"/>
              <w:right w:val="single" w:sz="4" w:space="0" w:color="auto"/>
            </w:tcBorders>
            <w:shd w:val="clear" w:color="auto" w:fill="auto"/>
            <w:vAlign w:val="center"/>
            <w:hideMark/>
          </w:tcPr>
          <w:p w:rsidR="007207DF" w:rsidRPr="009C6832" w:rsidRDefault="007207DF" w:rsidP="007207DF">
            <w:pPr>
              <w:spacing w:after="0" w:line="240" w:lineRule="auto"/>
              <w:ind w:firstLine="0"/>
              <w:jc w:val="center"/>
              <w:rPr>
                <w:rFonts w:eastAsia="Times New Roman" w:cs="Arial"/>
                <w:sz w:val="20"/>
                <w:szCs w:val="20"/>
                <w:lang w:val="en-US"/>
              </w:rPr>
            </w:pPr>
            <w:r w:rsidRPr="009C6832">
              <w:rPr>
                <w:rFonts w:eastAsia="Times New Roman" w:cs="Arial"/>
                <w:sz w:val="20"/>
                <w:szCs w:val="20"/>
                <w:lang w:val="en-US"/>
              </w:rPr>
              <w:t>%</w:t>
            </w: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7207DF" w:rsidRPr="009C6832" w:rsidRDefault="007207DF" w:rsidP="007207DF">
            <w:pPr>
              <w:spacing w:after="0" w:line="240" w:lineRule="auto"/>
              <w:ind w:firstLine="0"/>
              <w:jc w:val="left"/>
              <w:rPr>
                <w:rFonts w:eastAsia="Times New Roman" w:cs="Arial"/>
                <w:sz w:val="20"/>
                <w:szCs w:val="20"/>
                <w:lang w:val="en-US"/>
              </w:rPr>
            </w:pPr>
          </w:p>
        </w:tc>
      </w:tr>
      <w:tr w:rsidR="007207DF" w:rsidRPr="009C6832" w:rsidTr="0050101A">
        <w:trPr>
          <w:trHeight w:val="446"/>
        </w:trPr>
        <w:tc>
          <w:tcPr>
            <w:tcW w:w="3861" w:type="dxa"/>
            <w:tcBorders>
              <w:top w:val="single" w:sz="8" w:space="0" w:color="auto"/>
              <w:left w:val="single" w:sz="8" w:space="0" w:color="auto"/>
              <w:bottom w:val="single" w:sz="8" w:space="0" w:color="auto"/>
              <w:right w:val="single" w:sz="4" w:space="0" w:color="auto"/>
            </w:tcBorders>
            <w:shd w:val="clear" w:color="auto" w:fill="DEEAF6" w:themeFill="accent1" w:themeFillTint="33"/>
            <w:vAlign w:val="center"/>
            <w:hideMark/>
          </w:tcPr>
          <w:p w:rsidR="007207DF" w:rsidRPr="009C6832" w:rsidRDefault="007207DF" w:rsidP="007207DF">
            <w:pPr>
              <w:spacing w:after="0" w:line="240" w:lineRule="auto"/>
              <w:ind w:firstLine="0"/>
              <w:jc w:val="left"/>
              <w:rPr>
                <w:rFonts w:eastAsia="Times New Roman" w:cs="Arial"/>
                <w:b/>
                <w:bCs/>
                <w:sz w:val="20"/>
                <w:szCs w:val="20"/>
                <w:lang w:val="en-US"/>
              </w:rPr>
            </w:pPr>
            <w:r w:rsidRPr="009C6832">
              <w:rPr>
                <w:rFonts w:eastAsia="Times New Roman" w:cs="Arial"/>
                <w:b/>
                <w:bCs/>
                <w:sz w:val="20"/>
                <w:szCs w:val="20"/>
                <w:lang w:val="en-US"/>
              </w:rPr>
              <w:t>II. SUME PLATITE CATRE BUGETUL UE</w:t>
            </w:r>
          </w:p>
        </w:tc>
        <w:tc>
          <w:tcPr>
            <w:tcW w:w="1134" w:type="dxa"/>
            <w:tcBorders>
              <w:top w:val="single" w:sz="8" w:space="0" w:color="auto"/>
              <w:left w:val="nil"/>
              <w:bottom w:val="single" w:sz="8" w:space="0" w:color="auto"/>
              <w:right w:val="single" w:sz="8" w:space="0" w:color="auto"/>
            </w:tcBorders>
            <w:shd w:val="clear" w:color="auto" w:fill="DEEAF6" w:themeFill="accent1" w:themeFillTint="33"/>
            <w:noWrap/>
            <w:vAlign w:val="center"/>
            <w:hideMark/>
          </w:tcPr>
          <w:p w:rsidR="007207DF" w:rsidRPr="009C6832" w:rsidRDefault="007207DF" w:rsidP="007207DF">
            <w:pPr>
              <w:spacing w:after="0" w:line="240" w:lineRule="auto"/>
              <w:ind w:firstLine="0"/>
              <w:jc w:val="right"/>
              <w:rPr>
                <w:rFonts w:eastAsia="Times New Roman" w:cs="Arial"/>
                <w:b/>
                <w:bCs/>
                <w:sz w:val="20"/>
                <w:szCs w:val="20"/>
                <w:lang w:val="en-US"/>
              </w:rPr>
            </w:pPr>
            <w:r w:rsidRPr="009C6832">
              <w:rPr>
                <w:rFonts w:eastAsia="Times New Roman" w:cs="Arial"/>
                <w:b/>
                <w:bCs/>
                <w:sz w:val="20"/>
                <w:szCs w:val="20"/>
                <w:lang w:val="en-US"/>
              </w:rPr>
              <w:t>1.512,06</w:t>
            </w:r>
          </w:p>
        </w:tc>
        <w:tc>
          <w:tcPr>
            <w:tcW w:w="1134"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hideMark/>
          </w:tcPr>
          <w:p w:rsidR="007207DF" w:rsidRPr="009C6832" w:rsidRDefault="007207DF" w:rsidP="007207DF">
            <w:pPr>
              <w:spacing w:after="0" w:line="240" w:lineRule="auto"/>
              <w:ind w:firstLine="0"/>
              <w:jc w:val="right"/>
              <w:rPr>
                <w:rFonts w:eastAsia="Times New Roman" w:cs="Arial"/>
                <w:b/>
                <w:bCs/>
                <w:sz w:val="20"/>
                <w:szCs w:val="20"/>
                <w:lang w:val="en-US"/>
              </w:rPr>
            </w:pPr>
            <w:r w:rsidRPr="009C6832">
              <w:rPr>
                <w:rFonts w:eastAsia="Times New Roman" w:cs="Arial"/>
                <w:b/>
                <w:bCs/>
                <w:sz w:val="20"/>
                <w:szCs w:val="20"/>
                <w:lang w:val="en-US"/>
              </w:rPr>
              <w:t>789,67</w:t>
            </w:r>
          </w:p>
        </w:tc>
        <w:tc>
          <w:tcPr>
            <w:tcW w:w="1284" w:type="dxa"/>
            <w:tcBorders>
              <w:top w:val="single" w:sz="8" w:space="0" w:color="auto"/>
              <w:left w:val="nil"/>
              <w:bottom w:val="single" w:sz="8" w:space="0" w:color="auto"/>
              <w:right w:val="single" w:sz="8" w:space="0" w:color="auto"/>
            </w:tcBorders>
            <w:shd w:val="clear" w:color="auto" w:fill="DEEAF6" w:themeFill="accent1" w:themeFillTint="33"/>
            <w:noWrap/>
            <w:vAlign w:val="center"/>
            <w:hideMark/>
          </w:tcPr>
          <w:p w:rsidR="007207DF" w:rsidRPr="009C6832" w:rsidRDefault="007207DF" w:rsidP="007207DF">
            <w:pPr>
              <w:spacing w:after="0" w:line="240" w:lineRule="auto"/>
              <w:ind w:firstLine="0"/>
              <w:jc w:val="right"/>
              <w:rPr>
                <w:rFonts w:eastAsia="Times New Roman" w:cs="Arial"/>
                <w:b/>
                <w:bCs/>
                <w:i/>
                <w:iCs/>
                <w:sz w:val="20"/>
                <w:szCs w:val="20"/>
                <w:lang w:val="en-US"/>
              </w:rPr>
            </w:pPr>
            <w:r w:rsidRPr="009C6832">
              <w:rPr>
                <w:rFonts w:eastAsia="Times New Roman" w:cs="Arial"/>
                <w:b/>
                <w:bCs/>
                <w:i/>
                <w:iCs/>
                <w:sz w:val="20"/>
                <w:szCs w:val="20"/>
                <w:lang w:val="en-US"/>
              </w:rPr>
              <w:t>52,23%</w:t>
            </w:r>
          </w:p>
        </w:tc>
        <w:tc>
          <w:tcPr>
            <w:tcW w:w="1500" w:type="dxa"/>
            <w:tcBorders>
              <w:top w:val="single" w:sz="8" w:space="0" w:color="auto"/>
              <w:left w:val="nil"/>
              <w:bottom w:val="single" w:sz="8" w:space="0" w:color="auto"/>
              <w:right w:val="single" w:sz="8" w:space="0" w:color="auto"/>
            </w:tcBorders>
            <w:shd w:val="clear" w:color="auto" w:fill="DEEAF6" w:themeFill="accent1" w:themeFillTint="33"/>
            <w:vAlign w:val="center"/>
            <w:hideMark/>
          </w:tcPr>
          <w:p w:rsidR="007207DF" w:rsidRPr="009C6832" w:rsidRDefault="007207DF" w:rsidP="007207DF">
            <w:pPr>
              <w:spacing w:after="0" w:line="240" w:lineRule="auto"/>
              <w:ind w:firstLine="0"/>
              <w:jc w:val="right"/>
              <w:rPr>
                <w:rFonts w:eastAsia="Times New Roman" w:cs="Arial"/>
                <w:b/>
                <w:bCs/>
                <w:sz w:val="20"/>
                <w:szCs w:val="20"/>
                <w:lang w:val="en-US"/>
              </w:rPr>
            </w:pPr>
            <w:r w:rsidRPr="009C6832">
              <w:rPr>
                <w:rFonts w:eastAsia="Times New Roman" w:cs="Arial"/>
                <w:b/>
                <w:bCs/>
                <w:sz w:val="20"/>
                <w:szCs w:val="20"/>
                <w:lang w:val="en-US"/>
              </w:rPr>
              <w:t>14.572,46</w:t>
            </w:r>
          </w:p>
        </w:tc>
      </w:tr>
      <w:tr w:rsidR="007207DF" w:rsidRPr="009C6832" w:rsidTr="0050101A">
        <w:trPr>
          <w:trHeight w:val="359"/>
        </w:trPr>
        <w:tc>
          <w:tcPr>
            <w:tcW w:w="3861" w:type="dxa"/>
            <w:tcBorders>
              <w:top w:val="nil"/>
              <w:left w:val="single" w:sz="4" w:space="0" w:color="auto"/>
              <w:bottom w:val="single" w:sz="4" w:space="0" w:color="auto"/>
              <w:right w:val="single" w:sz="4" w:space="0" w:color="auto"/>
            </w:tcBorders>
            <w:shd w:val="clear" w:color="auto" w:fill="auto"/>
            <w:vAlign w:val="bottom"/>
            <w:hideMark/>
          </w:tcPr>
          <w:p w:rsidR="007207DF" w:rsidRPr="009C6832" w:rsidRDefault="007207DF" w:rsidP="007207DF">
            <w:pPr>
              <w:spacing w:after="0" w:line="240" w:lineRule="auto"/>
              <w:ind w:firstLine="0"/>
              <w:jc w:val="left"/>
              <w:rPr>
                <w:rFonts w:eastAsia="Times New Roman" w:cs="Arial"/>
                <w:b/>
                <w:bCs/>
                <w:sz w:val="20"/>
                <w:szCs w:val="20"/>
                <w:lang w:val="en-US"/>
              </w:rPr>
            </w:pPr>
            <w:r w:rsidRPr="009C6832">
              <w:rPr>
                <w:rFonts w:eastAsia="Times New Roman" w:cs="Arial"/>
                <w:b/>
                <w:bCs/>
                <w:sz w:val="20"/>
                <w:szCs w:val="20"/>
                <w:lang w:val="en-US"/>
              </w:rPr>
              <w:t>C. Contributia României la bugetul UE</w:t>
            </w:r>
          </w:p>
        </w:tc>
        <w:tc>
          <w:tcPr>
            <w:tcW w:w="1134"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b/>
                <w:bCs/>
                <w:color w:val="000000"/>
                <w:sz w:val="20"/>
                <w:szCs w:val="20"/>
                <w:lang w:val="en-US"/>
              </w:rPr>
            </w:pPr>
            <w:r w:rsidRPr="009C6832">
              <w:rPr>
                <w:rFonts w:eastAsia="Times New Roman" w:cs="Arial"/>
                <w:b/>
                <w:bCs/>
                <w:color w:val="000000"/>
                <w:sz w:val="20"/>
                <w:szCs w:val="20"/>
                <w:lang w:val="en-US"/>
              </w:rPr>
              <w:t>1.481,87</w:t>
            </w:r>
          </w:p>
        </w:tc>
        <w:tc>
          <w:tcPr>
            <w:tcW w:w="1134" w:type="dxa"/>
            <w:tcBorders>
              <w:top w:val="nil"/>
              <w:left w:val="nil"/>
              <w:bottom w:val="single" w:sz="4" w:space="0" w:color="auto"/>
              <w:right w:val="single" w:sz="4" w:space="0" w:color="auto"/>
            </w:tcBorders>
            <w:shd w:val="clear" w:color="auto" w:fill="auto"/>
            <w:noWrap/>
            <w:vAlign w:val="bottom"/>
            <w:hideMark/>
          </w:tcPr>
          <w:p w:rsidR="007207DF" w:rsidRPr="009C6832" w:rsidRDefault="007207DF" w:rsidP="007207DF">
            <w:pPr>
              <w:spacing w:after="0" w:line="240" w:lineRule="auto"/>
              <w:ind w:firstLine="0"/>
              <w:jc w:val="right"/>
              <w:rPr>
                <w:rFonts w:eastAsia="Times New Roman" w:cs="Arial"/>
                <w:b/>
                <w:bCs/>
                <w:sz w:val="20"/>
                <w:szCs w:val="20"/>
                <w:lang w:val="en-US"/>
              </w:rPr>
            </w:pPr>
            <w:r w:rsidRPr="009C6832">
              <w:rPr>
                <w:rFonts w:eastAsia="Times New Roman" w:cs="Arial"/>
                <w:b/>
                <w:bCs/>
                <w:sz w:val="20"/>
                <w:szCs w:val="20"/>
                <w:lang w:val="en-US"/>
              </w:rPr>
              <w:t>778,47</w:t>
            </w:r>
          </w:p>
        </w:tc>
        <w:tc>
          <w:tcPr>
            <w:tcW w:w="1284" w:type="dxa"/>
            <w:tcBorders>
              <w:top w:val="nil"/>
              <w:left w:val="nil"/>
              <w:bottom w:val="single" w:sz="4" w:space="0" w:color="auto"/>
              <w:right w:val="single" w:sz="4" w:space="0" w:color="auto"/>
            </w:tcBorders>
            <w:shd w:val="clear" w:color="CCCCFF" w:fill="FFFFFF"/>
            <w:noWrap/>
            <w:vAlign w:val="center"/>
            <w:hideMark/>
          </w:tcPr>
          <w:p w:rsidR="007207DF" w:rsidRPr="009C6832" w:rsidRDefault="007207DF" w:rsidP="007207DF">
            <w:pPr>
              <w:spacing w:after="0" w:line="240" w:lineRule="auto"/>
              <w:ind w:firstLine="0"/>
              <w:jc w:val="right"/>
              <w:rPr>
                <w:rFonts w:eastAsia="Times New Roman" w:cs="Arial"/>
                <w:b/>
                <w:bCs/>
                <w:i/>
                <w:iCs/>
                <w:sz w:val="20"/>
                <w:szCs w:val="20"/>
                <w:lang w:val="en-US"/>
              </w:rPr>
            </w:pPr>
            <w:r w:rsidRPr="009C6832">
              <w:rPr>
                <w:rFonts w:eastAsia="Times New Roman" w:cs="Arial"/>
                <w:b/>
                <w:bCs/>
                <w:i/>
                <w:iCs/>
                <w:sz w:val="20"/>
                <w:szCs w:val="20"/>
                <w:lang w:val="en-US"/>
              </w:rPr>
              <w:t>52,53%</w:t>
            </w:r>
          </w:p>
        </w:tc>
        <w:tc>
          <w:tcPr>
            <w:tcW w:w="1500" w:type="dxa"/>
            <w:tcBorders>
              <w:top w:val="nil"/>
              <w:left w:val="nil"/>
              <w:bottom w:val="single" w:sz="4" w:space="0" w:color="auto"/>
              <w:right w:val="single" w:sz="4" w:space="0" w:color="auto"/>
            </w:tcBorders>
            <w:shd w:val="clear" w:color="auto" w:fill="auto"/>
            <w:noWrap/>
            <w:vAlign w:val="bottom"/>
            <w:hideMark/>
          </w:tcPr>
          <w:p w:rsidR="007207DF" w:rsidRPr="009C6832" w:rsidRDefault="007207DF" w:rsidP="007207DF">
            <w:pPr>
              <w:spacing w:after="0" w:line="240" w:lineRule="auto"/>
              <w:ind w:firstLine="0"/>
              <w:jc w:val="right"/>
              <w:rPr>
                <w:rFonts w:eastAsia="Times New Roman" w:cs="Arial"/>
                <w:b/>
                <w:bCs/>
                <w:sz w:val="20"/>
                <w:szCs w:val="20"/>
                <w:lang w:val="en-US"/>
              </w:rPr>
            </w:pPr>
            <w:r w:rsidRPr="009C6832">
              <w:rPr>
                <w:rFonts w:eastAsia="Times New Roman" w:cs="Arial"/>
                <w:b/>
                <w:bCs/>
                <w:sz w:val="20"/>
                <w:szCs w:val="20"/>
                <w:lang w:val="en-US"/>
              </w:rPr>
              <w:t>14.215,33</w:t>
            </w:r>
          </w:p>
        </w:tc>
      </w:tr>
      <w:tr w:rsidR="007207DF" w:rsidRPr="009C6832" w:rsidTr="0050101A">
        <w:trPr>
          <w:trHeight w:val="359"/>
        </w:trPr>
        <w:tc>
          <w:tcPr>
            <w:tcW w:w="3861" w:type="dxa"/>
            <w:tcBorders>
              <w:top w:val="nil"/>
              <w:left w:val="single" w:sz="4" w:space="0" w:color="auto"/>
              <w:bottom w:val="single" w:sz="4" w:space="0" w:color="auto"/>
              <w:right w:val="single" w:sz="4" w:space="0" w:color="auto"/>
            </w:tcBorders>
            <w:shd w:val="clear" w:color="auto" w:fill="auto"/>
            <w:vAlign w:val="bottom"/>
            <w:hideMark/>
          </w:tcPr>
          <w:p w:rsidR="007207DF" w:rsidRPr="009C6832" w:rsidRDefault="007207DF" w:rsidP="007207DF">
            <w:pPr>
              <w:spacing w:after="0" w:line="240" w:lineRule="auto"/>
              <w:ind w:firstLine="0"/>
              <w:jc w:val="left"/>
              <w:rPr>
                <w:rFonts w:eastAsia="Times New Roman" w:cs="Arial"/>
                <w:b/>
                <w:bCs/>
                <w:sz w:val="20"/>
                <w:szCs w:val="20"/>
                <w:lang w:val="en-US"/>
              </w:rPr>
            </w:pPr>
            <w:r w:rsidRPr="009C6832">
              <w:rPr>
                <w:rFonts w:eastAsia="Times New Roman" w:cs="Arial"/>
                <w:b/>
                <w:bCs/>
                <w:sz w:val="20"/>
                <w:szCs w:val="20"/>
                <w:lang w:val="en-US"/>
              </w:rPr>
              <w:t>D. Alte contribuții</w:t>
            </w:r>
          </w:p>
        </w:tc>
        <w:tc>
          <w:tcPr>
            <w:tcW w:w="1134"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b/>
                <w:bCs/>
                <w:color w:val="000000"/>
                <w:sz w:val="20"/>
                <w:szCs w:val="20"/>
                <w:lang w:val="en-US"/>
              </w:rPr>
            </w:pPr>
            <w:r w:rsidRPr="009C6832">
              <w:rPr>
                <w:rFonts w:eastAsia="Times New Roman" w:cs="Arial"/>
                <w:b/>
                <w:bCs/>
                <w:color w:val="000000"/>
                <w:sz w:val="20"/>
                <w:szCs w:val="20"/>
                <w:lang w:val="en-US"/>
              </w:rPr>
              <w:t>30,19</w:t>
            </w:r>
          </w:p>
        </w:tc>
        <w:tc>
          <w:tcPr>
            <w:tcW w:w="1134" w:type="dxa"/>
            <w:tcBorders>
              <w:top w:val="nil"/>
              <w:left w:val="nil"/>
              <w:bottom w:val="single" w:sz="4" w:space="0" w:color="auto"/>
              <w:right w:val="single" w:sz="4" w:space="0" w:color="auto"/>
            </w:tcBorders>
            <w:shd w:val="clear" w:color="auto" w:fill="auto"/>
            <w:noWrap/>
            <w:vAlign w:val="bottom"/>
            <w:hideMark/>
          </w:tcPr>
          <w:p w:rsidR="007207DF" w:rsidRPr="009C6832" w:rsidRDefault="007207DF" w:rsidP="007207DF">
            <w:pPr>
              <w:spacing w:after="0" w:line="240" w:lineRule="auto"/>
              <w:ind w:firstLine="0"/>
              <w:jc w:val="right"/>
              <w:rPr>
                <w:rFonts w:eastAsia="Times New Roman" w:cs="Arial"/>
                <w:b/>
                <w:bCs/>
                <w:sz w:val="20"/>
                <w:szCs w:val="20"/>
                <w:lang w:val="en-US"/>
              </w:rPr>
            </w:pPr>
            <w:r w:rsidRPr="009C6832">
              <w:rPr>
                <w:rFonts w:eastAsia="Times New Roman" w:cs="Arial"/>
                <w:b/>
                <w:bCs/>
                <w:sz w:val="20"/>
                <w:szCs w:val="20"/>
                <w:lang w:val="en-US"/>
              </w:rPr>
              <w:t>11,20</w:t>
            </w:r>
          </w:p>
        </w:tc>
        <w:tc>
          <w:tcPr>
            <w:tcW w:w="1284" w:type="dxa"/>
            <w:tcBorders>
              <w:top w:val="nil"/>
              <w:left w:val="nil"/>
              <w:bottom w:val="single" w:sz="4" w:space="0" w:color="auto"/>
              <w:right w:val="single" w:sz="4" w:space="0" w:color="auto"/>
            </w:tcBorders>
            <w:shd w:val="clear" w:color="CCCCFF" w:fill="FFFFFF"/>
            <w:noWrap/>
            <w:vAlign w:val="center"/>
            <w:hideMark/>
          </w:tcPr>
          <w:p w:rsidR="007207DF" w:rsidRPr="009C6832" w:rsidRDefault="007207DF" w:rsidP="007207DF">
            <w:pPr>
              <w:spacing w:after="0" w:line="240" w:lineRule="auto"/>
              <w:ind w:firstLine="0"/>
              <w:jc w:val="right"/>
              <w:rPr>
                <w:rFonts w:eastAsia="Times New Roman" w:cs="Arial"/>
                <w:b/>
                <w:bCs/>
                <w:i/>
                <w:iCs/>
                <w:sz w:val="20"/>
                <w:szCs w:val="20"/>
                <w:lang w:val="en-US"/>
              </w:rPr>
            </w:pPr>
            <w:r w:rsidRPr="009C6832">
              <w:rPr>
                <w:rFonts w:eastAsia="Times New Roman" w:cs="Arial"/>
                <w:b/>
                <w:bCs/>
                <w:i/>
                <w:iCs/>
                <w:sz w:val="20"/>
                <w:szCs w:val="20"/>
                <w:lang w:val="en-US"/>
              </w:rPr>
              <w:t>37,12%</w:t>
            </w:r>
          </w:p>
        </w:tc>
        <w:tc>
          <w:tcPr>
            <w:tcW w:w="1500" w:type="dxa"/>
            <w:tcBorders>
              <w:top w:val="nil"/>
              <w:left w:val="nil"/>
              <w:bottom w:val="single" w:sz="4" w:space="0" w:color="auto"/>
              <w:right w:val="single" w:sz="4" w:space="0" w:color="auto"/>
            </w:tcBorders>
            <w:shd w:val="clear" w:color="auto" w:fill="auto"/>
            <w:noWrap/>
            <w:vAlign w:val="bottom"/>
            <w:hideMark/>
          </w:tcPr>
          <w:p w:rsidR="007207DF" w:rsidRPr="009C6832" w:rsidRDefault="007207DF" w:rsidP="007207DF">
            <w:pPr>
              <w:spacing w:after="0" w:line="240" w:lineRule="auto"/>
              <w:ind w:firstLine="0"/>
              <w:jc w:val="right"/>
              <w:rPr>
                <w:rFonts w:eastAsia="Times New Roman" w:cs="Arial"/>
                <w:b/>
                <w:bCs/>
                <w:sz w:val="20"/>
                <w:szCs w:val="20"/>
                <w:lang w:val="en-US"/>
              </w:rPr>
            </w:pPr>
            <w:r w:rsidRPr="009C6832">
              <w:rPr>
                <w:rFonts w:eastAsia="Times New Roman" w:cs="Arial"/>
                <w:b/>
                <w:bCs/>
                <w:sz w:val="20"/>
                <w:szCs w:val="20"/>
                <w:lang w:val="en-US"/>
              </w:rPr>
              <w:t>357,13</w:t>
            </w:r>
          </w:p>
        </w:tc>
      </w:tr>
      <w:tr w:rsidR="007207DF" w:rsidRPr="009C6832" w:rsidTr="0050101A">
        <w:trPr>
          <w:trHeight w:val="254"/>
        </w:trPr>
        <w:tc>
          <w:tcPr>
            <w:tcW w:w="3861" w:type="dxa"/>
            <w:tcBorders>
              <w:top w:val="nil"/>
              <w:left w:val="nil"/>
              <w:bottom w:val="nil"/>
              <w:right w:val="nil"/>
            </w:tcBorders>
            <w:shd w:val="clear" w:color="auto" w:fill="auto"/>
            <w:noWrap/>
            <w:vAlign w:val="bottom"/>
            <w:hideMark/>
          </w:tcPr>
          <w:p w:rsidR="007207DF" w:rsidRPr="009C6832" w:rsidRDefault="007207DF" w:rsidP="007207DF">
            <w:pPr>
              <w:spacing w:after="0" w:line="240" w:lineRule="auto"/>
              <w:ind w:firstLine="0"/>
              <w:jc w:val="right"/>
              <w:rPr>
                <w:rFonts w:eastAsia="Times New Roman" w:cs="Arial"/>
                <w:b/>
                <w:bCs/>
                <w:color w:val="000080"/>
                <w:sz w:val="20"/>
                <w:szCs w:val="20"/>
                <w:lang w:val="en-US"/>
              </w:rPr>
            </w:pPr>
          </w:p>
        </w:tc>
        <w:tc>
          <w:tcPr>
            <w:tcW w:w="1134" w:type="dxa"/>
            <w:tcBorders>
              <w:top w:val="nil"/>
              <w:left w:val="nil"/>
              <w:bottom w:val="nil"/>
              <w:right w:val="nil"/>
            </w:tcBorders>
            <w:shd w:val="clear" w:color="auto" w:fill="auto"/>
            <w:noWrap/>
            <w:vAlign w:val="bottom"/>
            <w:hideMark/>
          </w:tcPr>
          <w:p w:rsidR="007207DF" w:rsidRPr="009C6832" w:rsidRDefault="007207DF" w:rsidP="007207DF">
            <w:pPr>
              <w:spacing w:after="0" w:line="240" w:lineRule="auto"/>
              <w:ind w:firstLine="0"/>
              <w:jc w:val="left"/>
              <w:rPr>
                <w:rFonts w:eastAsia="Times New Roman" w:cs="Times New Roman"/>
                <w:sz w:val="20"/>
                <w:szCs w:val="20"/>
                <w:lang w:val="en-US"/>
              </w:rPr>
            </w:pPr>
          </w:p>
        </w:tc>
        <w:tc>
          <w:tcPr>
            <w:tcW w:w="1134" w:type="dxa"/>
            <w:tcBorders>
              <w:top w:val="nil"/>
              <w:left w:val="nil"/>
              <w:bottom w:val="nil"/>
              <w:right w:val="nil"/>
            </w:tcBorders>
            <w:shd w:val="clear" w:color="auto" w:fill="auto"/>
            <w:noWrap/>
            <w:vAlign w:val="bottom"/>
            <w:hideMark/>
          </w:tcPr>
          <w:p w:rsidR="007207DF" w:rsidRPr="009C6832" w:rsidRDefault="007207DF" w:rsidP="007207DF">
            <w:pPr>
              <w:spacing w:after="0" w:line="240" w:lineRule="auto"/>
              <w:ind w:firstLine="0"/>
              <w:jc w:val="left"/>
              <w:rPr>
                <w:rFonts w:eastAsia="Times New Roman" w:cs="Times New Roman"/>
                <w:sz w:val="20"/>
                <w:szCs w:val="20"/>
                <w:lang w:val="en-US"/>
              </w:rPr>
            </w:pPr>
          </w:p>
        </w:tc>
        <w:tc>
          <w:tcPr>
            <w:tcW w:w="1284" w:type="dxa"/>
            <w:tcBorders>
              <w:top w:val="nil"/>
              <w:left w:val="nil"/>
              <w:bottom w:val="nil"/>
              <w:right w:val="nil"/>
            </w:tcBorders>
            <w:shd w:val="clear" w:color="auto" w:fill="auto"/>
            <w:noWrap/>
            <w:vAlign w:val="bottom"/>
            <w:hideMark/>
          </w:tcPr>
          <w:p w:rsidR="007207DF" w:rsidRPr="009C6832" w:rsidRDefault="007207DF" w:rsidP="007207DF">
            <w:pPr>
              <w:spacing w:after="0" w:line="240" w:lineRule="auto"/>
              <w:ind w:firstLine="0"/>
              <w:jc w:val="left"/>
              <w:rPr>
                <w:rFonts w:eastAsia="Times New Roman" w:cs="Times New Roman"/>
                <w:sz w:val="20"/>
                <w:szCs w:val="20"/>
                <w:lang w:val="en-US"/>
              </w:rPr>
            </w:pPr>
          </w:p>
        </w:tc>
        <w:tc>
          <w:tcPr>
            <w:tcW w:w="1500" w:type="dxa"/>
            <w:tcBorders>
              <w:top w:val="nil"/>
              <w:left w:val="nil"/>
              <w:bottom w:val="nil"/>
              <w:right w:val="nil"/>
            </w:tcBorders>
            <w:shd w:val="clear" w:color="auto" w:fill="auto"/>
            <w:noWrap/>
            <w:vAlign w:val="bottom"/>
            <w:hideMark/>
          </w:tcPr>
          <w:p w:rsidR="007207DF" w:rsidRPr="009C6832" w:rsidRDefault="007207DF" w:rsidP="007207DF">
            <w:pPr>
              <w:spacing w:after="0" w:line="240" w:lineRule="auto"/>
              <w:ind w:firstLine="0"/>
              <w:jc w:val="left"/>
              <w:rPr>
                <w:rFonts w:eastAsia="Times New Roman" w:cs="Times New Roman"/>
                <w:sz w:val="20"/>
                <w:szCs w:val="20"/>
                <w:lang w:val="en-US"/>
              </w:rPr>
            </w:pPr>
          </w:p>
        </w:tc>
      </w:tr>
      <w:tr w:rsidR="0050101A" w:rsidRPr="009C6832" w:rsidTr="00F93CAD">
        <w:trPr>
          <w:trHeight w:val="359"/>
        </w:trPr>
        <w:tc>
          <w:tcPr>
            <w:tcW w:w="4995" w:type="dxa"/>
            <w:gridSpan w:val="2"/>
            <w:tcBorders>
              <w:top w:val="nil"/>
              <w:left w:val="nil"/>
              <w:bottom w:val="single" w:sz="4" w:space="0" w:color="auto"/>
              <w:right w:val="nil"/>
            </w:tcBorders>
            <w:shd w:val="clear" w:color="auto" w:fill="auto"/>
            <w:vAlign w:val="bottom"/>
            <w:hideMark/>
          </w:tcPr>
          <w:p w:rsidR="0050101A" w:rsidRPr="009C6832" w:rsidRDefault="0050101A" w:rsidP="007207DF">
            <w:pPr>
              <w:spacing w:after="0" w:line="240" w:lineRule="auto"/>
              <w:ind w:firstLine="0"/>
              <w:jc w:val="left"/>
              <w:rPr>
                <w:rFonts w:eastAsia="Times New Roman" w:cs="Arial"/>
                <w:b/>
                <w:bCs/>
                <w:sz w:val="20"/>
                <w:szCs w:val="20"/>
                <w:lang w:val="en-US"/>
              </w:rPr>
            </w:pPr>
            <w:r w:rsidRPr="009C6832">
              <w:rPr>
                <w:rFonts w:eastAsia="Times New Roman" w:cs="Arial"/>
                <w:b/>
                <w:bCs/>
                <w:sz w:val="20"/>
                <w:szCs w:val="20"/>
                <w:lang w:val="en-US"/>
              </w:rPr>
              <w:t>SOLD - CFM 2007-2013 + CFM 2014-2020</w:t>
            </w:r>
          </w:p>
        </w:tc>
        <w:tc>
          <w:tcPr>
            <w:tcW w:w="1134" w:type="dxa"/>
            <w:tcBorders>
              <w:top w:val="nil"/>
              <w:left w:val="nil"/>
              <w:bottom w:val="nil"/>
              <w:right w:val="nil"/>
            </w:tcBorders>
            <w:shd w:val="clear" w:color="auto" w:fill="auto"/>
            <w:vAlign w:val="bottom"/>
            <w:hideMark/>
          </w:tcPr>
          <w:p w:rsidR="0050101A" w:rsidRPr="009C6832" w:rsidRDefault="0050101A" w:rsidP="007207DF">
            <w:pPr>
              <w:spacing w:after="0" w:line="240" w:lineRule="auto"/>
              <w:ind w:firstLine="0"/>
              <w:jc w:val="left"/>
              <w:rPr>
                <w:rFonts w:eastAsia="Times New Roman" w:cs="Arial"/>
                <w:b/>
                <w:bCs/>
                <w:sz w:val="20"/>
                <w:szCs w:val="20"/>
                <w:lang w:val="en-US"/>
              </w:rPr>
            </w:pPr>
          </w:p>
        </w:tc>
        <w:tc>
          <w:tcPr>
            <w:tcW w:w="2784" w:type="dxa"/>
            <w:gridSpan w:val="2"/>
            <w:tcBorders>
              <w:top w:val="nil"/>
              <w:left w:val="nil"/>
              <w:bottom w:val="nil"/>
              <w:right w:val="nil"/>
            </w:tcBorders>
            <w:shd w:val="clear" w:color="auto" w:fill="auto"/>
            <w:noWrap/>
            <w:vAlign w:val="bottom"/>
            <w:hideMark/>
          </w:tcPr>
          <w:p w:rsidR="0050101A" w:rsidRPr="009C6832" w:rsidRDefault="0050101A" w:rsidP="0050101A">
            <w:pPr>
              <w:spacing w:after="0" w:line="240" w:lineRule="auto"/>
              <w:ind w:firstLine="0"/>
              <w:jc w:val="right"/>
              <w:rPr>
                <w:rFonts w:eastAsia="Times New Roman" w:cs="Arial"/>
                <w:b/>
                <w:bCs/>
                <w:sz w:val="20"/>
                <w:szCs w:val="20"/>
                <w:lang w:val="en-US"/>
              </w:rPr>
            </w:pPr>
            <w:r w:rsidRPr="009C6832">
              <w:rPr>
                <w:rFonts w:eastAsia="Times New Roman" w:cs="Arial"/>
                <w:b/>
                <w:bCs/>
                <w:sz w:val="20"/>
                <w:szCs w:val="20"/>
                <w:lang w:val="en-US"/>
              </w:rPr>
              <w:t>milioane euro</w:t>
            </w:r>
          </w:p>
        </w:tc>
      </w:tr>
      <w:tr w:rsidR="007207DF" w:rsidRPr="009C6832" w:rsidTr="0050101A">
        <w:trPr>
          <w:trHeight w:val="760"/>
        </w:trPr>
        <w:tc>
          <w:tcPr>
            <w:tcW w:w="3861" w:type="dxa"/>
            <w:vMerge w:val="restart"/>
            <w:tcBorders>
              <w:top w:val="nil"/>
              <w:left w:val="single" w:sz="4" w:space="0" w:color="auto"/>
              <w:bottom w:val="single" w:sz="4" w:space="0" w:color="auto"/>
              <w:right w:val="single" w:sz="4" w:space="0" w:color="auto"/>
            </w:tcBorders>
            <w:shd w:val="clear" w:color="auto" w:fill="auto"/>
            <w:vAlign w:val="center"/>
            <w:hideMark/>
          </w:tcPr>
          <w:p w:rsidR="007207DF" w:rsidRPr="009C6832" w:rsidRDefault="007207DF" w:rsidP="007207DF">
            <w:pPr>
              <w:spacing w:after="0" w:line="240" w:lineRule="auto"/>
              <w:ind w:firstLine="0"/>
              <w:jc w:val="center"/>
              <w:rPr>
                <w:rFonts w:eastAsia="Times New Roman" w:cs="Arial"/>
                <w:sz w:val="20"/>
                <w:szCs w:val="20"/>
                <w:lang w:val="en-US"/>
              </w:rPr>
            </w:pPr>
            <w:r w:rsidRPr="009C6832">
              <w:rPr>
                <w:rFonts w:eastAsia="Times New Roman" w:cs="Arial"/>
                <w:sz w:val="20"/>
                <w:szCs w:val="20"/>
                <w:lang w:val="en-US"/>
              </w:rPr>
              <w:t>Denumire</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7207DF" w:rsidRPr="009C6832" w:rsidRDefault="007207DF" w:rsidP="007207DF">
            <w:pPr>
              <w:spacing w:after="0" w:line="240" w:lineRule="auto"/>
              <w:ind w:firstLine="0"/>
              <w:jc w:val="center"/>
              <w:rPr>
                <w:rFonts w:eastAsia="Times New Roman" w:cs="Arial"/>
                <w:sz w:val="20"/>
                <w:szCs w:val="20"/>
                <w:lang w:val="en-US"/>
              </w:rPr>
            </w:pPr>
            <w:r w:rsidRPr="009C6832">
              <w:rPr>
                <w:rFonts w:eastAsia="Times New Roman" w:cs="Arial"/>
                <w:sz w:val="20"/>
                <w:szCs w:val="20"/>
                <w:lang w:val="en-US"/>
              </w:rPr>
              <w:t xml:space="preserve">Estimari </w:t>
            </w:r>
            <w:r w:rsidRPr="009C6832">
              <w:rPr>
                <w:rFonts w:eastAsia="Times New Roman" w:cs="Arial"/>
                <w:sz w:val="20"/>
                <w:szCs w:val="20"/>
                <w:lang w:val="en-US"/>
              </w:rPr>
              <w:br/>
              <w:t>2017</w:t>
            </w:r>
            <w:r w:rsidR="003E5F89">
              <w:rPr>
                <w:rFonts w:eastAsia="Times New Roman" w:cs="Arial"/>
                <w:sz w:val="20"/>
                <w:szCs w:val="20"/>
                <w:lang w:val="en-US"/>
              </w:rPr>
              <w:t>**)</w:t>
            </w:r>
          </w:p>
        </w:tc>
        <w:tc>
          <w:tcPr>
            <w:tcW w:w="2418" w:type="dxa"/>
            <w:gridSpan w:val="2"/>
            <w:tcBorders>
              <w:top w:val="single" w:sz="4" w:space="0" w:color="auto"/>
              <w:left w:val="nil"/>
              <w:bottom w:val="single" w:sz="4" w:space="0" w:color="auto"/>
              <w:right w:val="single" w:sz="4" w:space="0" w:color="auto"/>
            </w:tcBorders>
            <w:shd w:val="clear" w:color="auto" w:fill="auto"/>
            <w:vAlign w:val="center"/>
            <w:hideMark/>
          </w:tcPr>
          <w:p w:rsidR="007207DF" w:rsidRPr="009C6832" w:rsidRDefault="007207DF" w:rsidP="007207DF">
            <w:pPr>
              <w:spacing w:after="0" w:line="240" w:lineRule="auto"/>
              <w:ind w:firstLine="0"/>
              <w:jc w:val="center"/>
              <w:rPr>
                <w:rFonts w:eastAsia="Times New Roman" w:cs="Arial"/>
                <w:sz w:val="20"/>
                <w:szCs w:val="20"/>
                <w:lang w:val="en-US"/>
              </w:rPr>
            </w:pPr>
            <w:r w:rsidRPr="009C6832">
              <w:rPr>
                <w:rFonts w:eastAsia="Times New Roman" w:cs="Arial"/>
                <w:sz w:val="20"/>
                <w:szCs w:val="20"/>
                <w:lang w:val="en-US"/>
              </w:rPr>
              <w:t xml:space="preserve">Realizat 2017 </w:t>
            </w:r>
            <w:r w:rsidRPr="009C6832">
              <w:rPr>
                <w:rFonts w:eastAsia="Times New Roman" w:cs="Arial"/>
                <w:sz w:val="20"/>
                <w:szCs w:val="20"/>
                <w:lang w:val="en-US"/>
              </w:rPr>
              <w:br/>
              <w:t xml:space="preserve">(execuţia la </w:t>
            </w:r>
            <w:r w:rsidRPr="009C6832">
              <w:rPr>
                <w:rFonts w:eastAsia="Times New Roman" w:cs="Arial"/>
                <w:sz w:val="20"/>
                <w:szCs w:val="20"/>
                <w:lang w:val="en-US"/>
              </w:rPr>
              <w:br/>
              <w:t>30.06.2017)</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07DF" w:rsidRPr="009C6832" w:rsidRDefault="007207DF" w:rsidP="007207DF">
            <w:pPr>
              <w:spacing w:after="0" w:line="240" w:lineRule="auto"/>
              <w:ind w:firstLine="0"/>
              <w:jc w:val="center"/>
              <w:rPr>
                <w:rFonts w:eastAsia="Times New Roman" w:cs="Arial"/>
                <w:sz w:val="20"/>
                <w:szCs w:val="20"/>
                <w:lang w:val="en-US"/>
              </w:rPr>
            </w:pPr>
            <w:r w:rsidRPr="009C6832">
              <w:rPr>
                <w:rFonts w:eastAsia="Times New Roman" w:cs="Arial"/>
                <w:sz w:val="20"/>
                <w:szCs w:val="20"/>
                <w:lang w:val="en-US"/>
              </w:rPr>
              <w:t>Realizat</w:t>
            </w:r>
            <w:r w:rsidRPr="009C6832">
              <w:rPr>
                <w:rFonts w:eastAsia="Times New Roman" w:cs="Arial"/>
                <w:sz w:val="20"/>
                <w:szCs w:val="20"/>
                <w:lang w:val="en-US"/>
              </w:rPr>
              <w:br/>
              <w:t xml:space="preserve"> 2007-2017</w:t>
            </w:r>
            <w:r w:rsidRPr="009C6832">
              <w:rPr>
                <w:rFonts w:eastAsia="Times New Roman" w:cs="Arial"/>
                <w:sz w:val="20"/>
                <w:szCs w:val="20"/>
                <w:lang w:val="en-US"/>
              </w:rPr>
              <w:br/>
              <w:t xml:space="preserve">(execuţia la </w:t>
            </w:r>
            <w:r w:rsidRPr="009C6832">
              <w:rPr>
                <w:rFonts w:eastAsia="Times New Roman" w:cs="Arial"/>
                <w:sz w:val="20"/>
                <w:szCs w:val="20"/>
                <w:lang w:val="en-US"/>
              </w:rPr>
              <w:br/>
              <w:t>30.06.2017)</w:t>
            </w:r>
          </w:p>
        </w:tc>
      </w:tr>
      <w:tr w:rsidR="007207DF" w:rsidRPr="009C6832" w:rsidTr="0050101A">
        <w:trPr>
          <w:trHeight w:val="359"/>
        </w:trPr>
        <w:tc>
          <w:tcPr>
            <w:tcW w:w="3861" w:type="dxa"/>
            <w:vMerge/>
            <w:tcBorders>
              <w:top w:val="nil"/>
              <w:left w:val="single" w:sz="4" w:space="0" w:color="auto"/>
              <w:bottom w:val="single" w:sz="4" w:space="0" w:color="auto"/>
              <w:right w:val="single" w:sz="4" w:space="0" w:color="auto"/>
            </w:tcBorders>
            <w:vAlign w:val="center"/>
            <w:hideMark/>
          </w:tcPr>
          <w:p w:rsidR="007207DF" w:rsidRPr="009C6832" w:rsidRDefault="007207DF" w:rsidP="007207DF">
            <w:pPr>
              <w:spacing w:after="0" w:line="240" w:lineRule="auto"/>
              <w:ind w:firstLine="0"/>
              <w:jc w:val="left"/>
              <w:rPr>
                <w:rFonts w:eastAsia="Times New Roman" w:cs="Arial"/>
                <w:sz w:val="20"/>
                <w:szCs w:val="20"/>
                <w:lang w:val="en-US"/>
              </w:rPr>
            </w:pPr>
          </w:p>
        </w:tc>
        <w:tc>
          <w:tcPr>
            <w:tcW w:w="1134" w:type="dxa"/>
            <w:vMerge/>
            <w:tcBorders>
              <w:top w:val="nil"/>
              <w:left w:val="single" w:sz="4" w:space="0" w:color="auto"/>
              <w:bottom w:val="single" w:sz="4" w:space="0" w:color="auto"/>
              <w:right w:val="single" w:sz="4" w:space="0" w:color="auto"/>
            </w:tcBorders>
            <w:vAlign w:val="center"/>
            <w:hideMark/>
          </w:tcPr>
          <w:p w:rsidR="007207DF" w:rsidRPr="009C6832" w:rsidRDefault="007207DF" w:rsidP="007207DF">
            <w:pPr>
              <w:spacing w:after="0" w:line="240" w:lineRule="auto"/>
              <w:ind w:firstLine="0"/>
              <w:jc w:val="left"/>
              <w:rPr>
                <w:rFonts w:eastAsia="Times New Roman" w:cs="Arial"/>
                <w:sz w:val="20"/>
                <w:szCs w:val="20"/>
                <w:lang w:val="en-US"/>
              </w:rPr>
            </w:pPr>
          </w:p>
        </w:tc>
        <w:tc>
          <w:tcPr>
            <w:tcW w:w="1134" w:type="dxa"/>
            <w:tcBorders>
              <w:top w:val="nil"/>
              <w:left w:val="nil"/>
              <w:bottom w:val="nil"/>
              <w:right w:val="single" w:sz="4" w:space="0" w:color="auto"/>
            </w:tcBorders>
            <w:shd w:val="clear" w:color="auto" w:fill="auto"/>
            <w:vAlign w:val="center"/>
            <w:hideMark/>
          </w:tcPr>
          <w:p w:rsidR="007207DF" w:rsidRPr="009C6832" w:rsidRDefault="007207DF" w:rsidP="007207DF">
            <w:pPr>
              <w:spacing w:after="0" w:line="240" w:lineRule="auto"/>
              <w:ind w:firstLine="0"/>
              <w:jc w:val="center"/>
              <w:rPr>
                <w:rFonts w:eastAsia="Times New Roman" w:cs="Arial"/>
                <w:sz w:val="20"/>
                <w:szCs w:val="20"/>
                <w:lang w:val="en-US"/>
              </w:rPr>
            </w:pPr>
            <w:r w:rsidRPr="009C6832">
              <w:rPr>
                <w:rFonts w:eastAsia="Times New Roman" w:cs="Arial"/>
                <w:sz w:val="20"/>
                <w:szCs w:val="20"/>
                <w:lang w:val="en-US"/>
              </w:rPr>
              <w:t>mil. euro</w:t>
            </w:r>
          </w:p>
        </w:tc>
        <w:tc>
          <w:tcPr>
            <w:tcW w:w="1284" w:type="dxa"/>
            <w:tcBorders>
              <w:top w:val="nil"/>
              <w:left w:val="nil"/>
              <w:bottom w:val="nil"/>
              <w:right w:val="single" w:sz="4" w:space="0" w:color="auto"/>
            </w:tcBorders>
            <w:shd w:val="clear" w:color="auto" w:fill="auto"/>
            <w:vAlign w:val="center"/>
            <w:hideMark/>
          </w:tcPr>
          <w:p w:rsidR="007207DF" w:rsidRPr="009C6832" w:rsidRDefault="007207DF" w:rsidP="007207DF">
            <w:pPr>
              <w:spacing w:after="0" w:line="240" w:lineRule="auto"/>
              <w:ind w:firstLine="0"/>
              <w:jc w:val="center"/>
              <w:rPr>
                <w:rFonts w:eastAsia="Times New Roman" w:cs="Arial"/>
                <w:sz w:val="20"/>
                <w:szCs w:val="20"/>
                <w:lang w:val="en-US"/>
              </w:rPr>
            </w:pPr>
            <w:r w:rsidRPr="009C6832">
              <w:rPr>
                <w:rFonts w:eastAsia="Times New Roman" w:cs="Arial"/>
                <w:sz w:val="20"/>
                <w:szCs w:val="20"/>
                <w:lang w:val="en-US"/>
              </w:rPr>
              <w:t>%</w:t>
            </w: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7207DF" w:rsidRPr="009C6832" w:rsidRDefault="007207DF" w:rsidP="007207DF">
            <w:pPr>
              <w:spacing w:after="0" w:line="240" w:lineRule="auto"/>
              <w:ind w:firstLine="0"/>
              <w:jc w:val="left"/>
              <w:rPr>
                <w:rFonts w:eastAsia="Times New Roman" w:cs="Arial"/>
                <w:sz w:val="20"/>
                <w:szCs w:val="20"/>
                <w:lang w:val="en-US"/>
              </w:rPr>
            </w:pPr>
          </w:p>
        </w:tc>
      </w:tr>
      <w:tr w:rsidR="007207DF" w:rsidRPr="009C6832" w:rsidTr="0050101A">
        <w:trPr>
          <w:trHeight w:val="599"/>
        </w:trPr>
        <w:tc>
          <w:tcPr>
            <w:tcW w:w="3861"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hideMark/>
          </w:tcPr>
          <w:p w:rsidR="007207DF" w:rsidRPr="009C6832" w:rsidRDefault="007207DF" w:rsidP="007207DF">
            <w:pPr>
              <w:spacing w:after="0" w:line="240" w:lineRule="auto"/>
              <w:ind w:firstLine="0"/>
              <w:jc w:val="left"/>
              <w:rPr>
                <w:rFonts w:eastAsia="Times New Roman" w:cs="Arial"/>
                <w:b/>
                <w:bCs/>
                <w:sz w:val="20"/>
                <w:szCs w:val="20"/>
                <w:lang w:val="en-US"/>
              </w:rPr>
            </w:pPr>
            <w:r w:rsidRPr="009C6832">
              <w:rPr>
                <w:rFonts w:eastAsia="Times New Roman" w:cs="Arial"/>
                <w:b/>
                <w:bCs/>
                <w:sz w:val="20"/>
                <w:szCs w:val="20"/>
                <w:lang w:val="en-US"/>
              </w:rPr>
              <w:t xml:space="preserve">I. SUME PRIMITE DE LA BUGETUL UE </w:t>
            </w:r>
            <w:r w:rsidRPr="009C6832">
              <w:rPr>
                <w:rFonts w:eastAsia="Times New Roman" w:cs="Arial"/>
                <w:sz w:val="20"/>
                <w:szCs w:val="20"/>
                <w:lang w:val="en-US"/>
              </w:rPr>
              <w:t>(A+B)</w:t>
            </w:r>
          </w:p>
        </w:tc>
        <w:tc>
          <w:tcPr>
            <w:tcW w:w="1134"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hideMark/>
          </w:tcPr>
          <w:p w:rsidR="007207DF" w:rsidRPr="009C6832" w:rsidRDefault="007207DF" w:rsidP="007207DF">
            <w:pPr>
              <w:spacing w:after="0" w:line="240" w:lineRule="auto"/>
              <w:ind w:firstLine="0"/>
              <w:jc w:val="right"/>
              <w:rPr>
                <w:rFonts w:eastAsia="Times New Roman" w:cs="Arial"/>
                <w:b/>
                <w:bCs/>
                <w:sz w:val="20"/>
                <w:szCs w:val="20"/>
                <w:lang w:val="en-US"/>
              </w:rPr>
            </w:pPr>
            <w:r w:rsidRPr="009C6832">
              <w:rPr>
                <w:rFonts w:eastAsia="Times New Roman" w:cs="Arial"/>
                <w:b/>
                <w:bCs/>
                <w:sz w:val="20"/>
                <w:szCs w:val="20"/>
                <w:lang w:val="en-US"/>
              </w:rPr>
              <w:t>5.678,88</w:t>
            </w:r>
          </w:p>
        </w:tc>
        <w:tc>
          <w:tcPr>
            <w:tcW w:w="1134" w:type="dxa"/>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hideMark/>
          </w:tcPr>
          <w:p w:rsidR="007207DF" w:rsidRPr="009C6832" w:rsidRDefault="007207DF" w:rsidP="007207DF">
            <w:pPr>
              <w:spacing w:after="0" w:line="240" w:lineRule="auto"/>
              <w:ind w:firstLine="0"/>
              <w:jc w:val="right"/>
              <w:rPr>
                <w:rFonts w:eastAsia="Times New Roman" w:cs="Arial"/>
                <w:b/>
                <w:bCs/>
                <w:sz w:val="20"/>
                <w:szCs w:val="20"/>
                <w:lang w:val="en-US"/>
              </w:rPr>
            </w:pPr>
            <w:r w:rsidRPr="009C6832">
              <w:rPr>
                <w:rFonts w:eastAsia="Times New Roman" w:cs="Arial"/>
                <w:b/>
                <w:bCs/>
                <w:sz w:val="20"/>
                <w:szCs w:val="20"/>
                <w:lang w:val="en-US"/>
              </w:rPr>
              <w:t>2.118,26</w:t>
            </w:r>
          </w:p>
        </w:tc>
        <w:tc>
          <w:tcPr>
            <w:tcW w:w="1284" w:type="dxa"/>
            <w:tcBorders>
              <w:top w:val="single" w:sz="8" w:space="0" w:color="auto"/>
              <w:left w:val="nil"/>
              <w:bottom w:val="single" w:sz="8" w:space="0" w:color="auto"/>
              <w:right w:val="single" w:sz="8" w:space="0" w:color="auto"/>
            </w:tcBorders>
            <w:shd w:val="clear" w:color="auto" w:fill="DEEAF6" w:themeFill="accent1" w:themeFillTint="33"/>
            <w:noWrap/>
            <w:vAlign w:val="center"/>
            <w:hideMark/>
          </w:tcPr>
          <w:p w:rsidR="007207DF" w:rsidRPr="009C6832" w:rsidRDefault="007207DF" w:rsidP="007207DF">
            <w:pPr>
              <w:spacing w:after="0" w:line="240" w:lineRule="auto"/>
              <w:ind w:firstLine="0"/>
              <w:jc w:val="right"/>
              <w:rPr>
                <w:rFonts w:eastAsia="Times New Roman" w:cs="Arial"/>
                <w:b/>
                <w:bCs/>
                <w:i/>
                <w:iCs/>
                <w:sz w:val="20"/>
                <w:szCs w:val="20"/>
                <w:lang w:val="en-US"/>
              </w:rPr>
            </w:pPr>
            <w:r w:rsidRPr="009C6832">
              <w:rPr>
                <w:rFonts w:eastAsia="Times New Roman" w:cs="Arial"/>
                <w:b/>
                <w:bCs/>
                <w:i/>
                <w:iCs/>
                <w:sz w:val="20"/>
                <w:szCs w:val="20"/>
                <w:lang w:val="en-US"/>
              </w:rPr>
              <w:t>37,30%</w:t>
            </w:r>
          </w:p>
        </w:tc>
        <w:tc>
          <w:tcPr>
            <w:tcW w:w="1500" w:type="dxa"/>
            <w:tcBorders>
              <w:top w:val="single" w:sz="8" w:space="0" w:color="auto"/>
              <w:left w:val="nil"/>
              <w:bottom w:val="single" w:sz="8" w:space="0" w:color="auto"/>
              <w:right w:val="single" w:sz="8" w:space="0" w:color="auto"/>
            </w:tcBorders>
            <w:shd w:val="clear" w:color="auto" w:fill="DEEAF6" w:themeFill="accent1" w:themeFillTint="33"/>
            <w:noWrap/>
            <w:vAlign w:val="center"/>
            <w:hideMark/>
          </w:tcPr>
          <w:p w:rsidR="007207DF" w:rsidRPr="009C6832" w:rsidRDefault="007207DF" w:rsidP="007207DF">
            <w:pPr>
              <w:spacing w:after="0" w:line="240" w:lineRule="auto"/>
              <w:ind w:firstLine="0"/>
              <w:jc w:val="right"/>
              <w:rPr>
                <w:rFonts w:eastAsia="Times New Roman" w:cs="Arial"/>
                <w:b/>
                <w:bCs/>
                <w:sz w:val="20"/>
                <w:szCs w:val="20"/>
                <w:lang w:val="en-US"/>
              </w:rPr>
            </w:pPr>
            <w:r w:rsidRPr="009C6832">
              <w:rPr>
                <w:rFonts w:eastAsia="Times New Roman" w:cs="Arial"/>
                <w:b/>
                <w:bCs/>
                <w:sz w:val="20"/>
                <w:szCs w:val="20"/>
                <w:lang w:val="en-US"/>
              </w:rPr>
              <w:t>42.985,44</w:t>
            </w:r>
          </w:p>
        </w:tc>
      </w:tr>
      <w:tr w:rsidR="007207DF" w:rsidRPr="009C6832" w:rsidTr="0050101A">
        <w:trPr>
          <w:trHeight w:val="599"/>
        </w:trPr>
        <w:tc>
          <w:tcPr>
            <w:tcW w:w="3861" w:type="dxa"/>
            <w:tcBorders>
              <w:top w:val="nil"/>
              <w:left w:val="single" w:sz="4" w:space="0" w:color="auto"/>
              <w:bottom w:val="single" w:sz="4" w:space="0" w:color="auto"/>
              <w:right w:val="single" w:sz="4" w:space="0" w:color="auto"/>
            </w:tcBorders>
            <w:shd w:val="clear" w:color="auto" w:fill="auto"/>
            <w:vAlign w:val="center"/>
            <w:hideMark/>
          </w:tcPr>
          <w:p w:rsidR="007207DF" w:rsidRPr="009C6832" w:rsidRDefault="007207DF" w:rsidP="007207DF">
            <w:pPr>
              <w:spacing w:after="0" w:line="240" w:lineRule="auto"/>
              <w:ind w:firstLine="0"/>
              <w:jc w:val="left"/>
              <w:rPr>
                <w:rFonts w:eastAsia="Times New Roman" w:cs="Arial"/>
                <w:sz w:val="20"/>
                <w:szCs w:val="20"/>
                <w:lang w:val="en-US"/>
              </w:rPr>
            </w:pPr>
            <w:r w:rsidRPr="009C6832">
              <w:rPr>
                <w:rFonts w:eastAsia="Times New Roman" w:cs="Arial"/>
                <w:sz w:val="20"/>
                <w:szCs w:val="20"/>
                <w:lang w:val="en-US"/>
              </w:rPr>
              <w:t>A. SUME PRIMITE DE LA BUGETUL UE din CFM 2007-2013</w:t>
            </w:r>
          </w:p>
        </w:tc>
        <w:tc>
          <w:tcPr>
            <w:tcW w:w="1134" w:type="dxa"/>
            <w:tcBorders>
              <w:top w:val="nil"/>
              <w:left w:val="nil"/>
              <w:bottom w:val="single" w:sz="4" w:space="0" w:color="auto"/>
              <w:right w:val="single" w:sz="4" w:space="0" w:color="auto"/>
            </w:tcBorders>
            <w:shd w:val="clear" w:color="auto" w:fill="auto"/>
            <w:vAlign w:val="center"/>
            <w:hideMark/>
          </w:tcPr>
          <w:p w:rsidR="007207DF" w:rsidRPr="009C6832" w:rsidRDefault="007207DF" w:rsidP="007207DF">
            <w:pPr>
              <w:spacing w:after="0" w:line="240" w:lineRule="auto"/>
              <w:ind w:firstLine="0"/>
              <w:jc w:val="right"/>
              <w:rPr>
                <w:rFonts w:eastAsia="Times New Roman" w:cs="Arial"/>
                <w:sz w:val="20"/>
                <w:szCs w:val="20"/>
                <w:lang w:val="en-US"/>
              </w:rPr>
            </w:pPr>
            <w:r w:rsidRPr="009C6832">
              <w:rPr>
                <w:rFonts w:eastAsia="Times New Roman" w:cs="Arial"/>
                <w:sz w:val="20"/>
                <w:szCs w:val="20"/>
                <w:lang w:val="en-US"/>
              </w:rPr>
              <w:t>922,48</w:t>
            </w:r>
          </w:p>
        </w:tc>
        <w:tc>
          <w:tcPr>
            <w:tcW w:w="1134"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sz w:val="20"/>
                <w:szCs w:val="20"/>
                <w:lang w:val="en-US"/>
              </w:rPr>
            </w:pPr>
            <w:r w:rsidRPr="009C6832">
              <w:rPr>
                <w:rFonts w:eastAsia="Times New Roman" w:cs="Arial"/>
                <w:sz w:val="20"/>
                <w:szCs w:val="20"/>
                <w:lang w:val="en-US"/>
              </w:rPr>
              <w:t>9,31</w:t>
            </w:r>
          </w:p>
        </w:tc>
        <w:tc>
          <w:tcPr>
            <w:tcW w:w="1284" w:type="dxa"/>
            <w:tcBorders>
              <w:top w:val="nil"/>
              <w:left w:val="nil"/>
              <w:bottom w:val="single" w:sz="4" w:space="0" w:color="auto"/>
              <w:right w:val="single" w:sz="4" w:space="0" w:color="auto"/>
            </w:tcBorders>
            <w:shd w:val="clear" w:color="CCCCFF" w:fill="FFFFFF"/>
            <w:noWrap/>
            <w:vAlign w:val="center"/>
            <w:hideMark/>
          </w:tcPr>
          <w:p w:rsidR="007207DF" w:rsidRPr="009C6832" w:rsidRDefault="007207DF" w:rsidP="007207DF">
            <w:pPr>
              <w:spacing w:after="0" w:line="240" w:lineRule="auto"/>
              <w:ind w:firstLine="0"/>
              <w:jc w:val="right"/>
              <w:rPr>
                <w:rFonts w:eastAsia="Times New Roman" w:cs="Arial"/>
                <w:i/>
                <w:iCs/>
                <w:sz w:val="20"/>
                <w:szCs w:val="20"/>
                <w:lang w:val="en-US"/>
              </w:rPr>
            </w:pPr>
            <w:r w:rsidRPr="009C6832">
              <w:rPr>
                <w:rFonts w:eastAsia="Times New Roman" w:cs="Arial"/>
                <w:i/>
                <w:iCs/>
                <w:sz w:val="20"/>
                <w:szCs w:val="20"/>
                <w:lang w:val="en-US"/>
              </w:rPr>
              <w:t>1,01%</w:t>
            </w:r>
          </w:p>
        </w:tc>
        <w:tc>
          <w:tcPr>
            <w:tcW w:w="1500" w:type="dxa"/>
            <w:tcBorders>
              <w:top w:val="nil"/>
              <w:left w:val="nil"/>
              <w:bottom w:val="single" w:sz="4" w:space="0" w:color="auto"/>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sz w:val="20"/>
                <w:szCs w:val="20"/>
                <w:lang w:val="en-US"/>
              </w:rPr>
            </w:pPr>
            <w:r w:rsidRPr="009C6832">
              <w:rPr>
                <w:rFonts w:eastAsia="Times New Roman" w:cs="Arial"/>
                <w:sz w:val="20"/>
                <w:szCs w:val="20"/>
                <w:lang w:val="en-US"/>
              </w:rPr>
              <w:t>37.062,12</w:t>
            </w:r>
          </w:p>
        </w:tc>
      </w:tr>
      <w:tr w:rsidR="007207DF" w:rsidRPr="009C6832" w:rsidTr="0050101A">
        <w:trPr>
          <w:trHeight w:val="599"/>
        </w:trPr>
        <w:tc>
          <w:tcPr>
            <w:tcW w:w="3861" w:type="dxa"/>
            <w:tcBorders>
              <w:top w:val="nil"/>
              <w:left w:val="single" w:sz="4" w:space="0" w:color="auto"/>
              <w:bottom w:val="nil"/>
              <w:right w:val="single" w:sz="4" w:space="0" w:color="auto"/>
            </w:tcBorders>
            <w:shd w:val="clear" w:color="auto" w:fill="auto"/>
            <w:vAlign w:val="center"/>
            <w:hideMark/>
          </w:tcPr>
          <w:p w:rsidR="007207DF" w:rsidRPr="009C6832" w:rsidRDefault="007207DF" w:rsidP="007207DF">
            <w:pPr>
              <w:spacing w:after="0" w:line="240" w:lineRule="auto"/>
              <w:ind w:firstLine="0"/>
              <w:jc w:val="left"/>
              <w:rPr>
                <w:rFonts w:eastAsia="Times New Roman" w:cs="Arial"/>
                <w:sz w:val="20"/>
                <w:szCs w:val="20"/>
                <w:lang w:val="en-US"/>
              </w:rPr>
            </w:pPr>
            <w:r w:rsidRPr="009C6832">
              <w:rPr>
                <w:rFonts w:eastAsia="Times New Roman" w:cs="Arial"/>
                <w:sz w:val="20"/>
                <w:szCs w:val="20"/>
                <w:lang w:val="en-US"/>
              </w:rPr>
              <w:t>B. SUME PRIMITE DE LA BUGETUL UE din CFM 2014-2020</w:t>
            </w:r>
          </w:p>
        </w:tc>
        <w:tc>
          <w:tcPr>
            <w:tcW w:w="1134" w:type="dxa"/>
            <w:tcBorders>
              <w:top w:val="nil"/>
              <w:left w:val="nil"/>
              <w:bottom w:val="nil"/>
              <w:right w:val="single" w:sz="4" w:space="0" w:color="auto"/>
            </w:tcBorders>
            <w:shd w:val="clear" w:color="auto" w:fill="auto"/>
            <w:vAlign w:val="center"/>
            <w:hideMark/>
          </w:tcPr>
          <w:p w:rsidR="007207DF" w:rsidRPr="009C6832" w:rsidRDefault="007207DF" w:rsidP="007207DF">
            <w:pPr>
              <w:spacing w:after="0" w:line="240" w:lineRule="auto"/>
              <w:ind w:firstLine="0"/>
              <w:jc w:val="right"/>
              <w:rPr>
                <w:rFonts w:eastAsia="Times New Roman" w:cs="Arial"/>
                <w:sz w:val="20"/>
                <w:szCs w:val="20"/>
                <w:lang w:val="en-US"/>
              </w:rPr>
            </w:pPr>
            <w:r w:rsidRPr="009C6832">
              <w:rPr>
                <w:rFonts w:eastAsia="Times New Roman" w:cs="Arial"/>
                <w:sz w:val="20"/>
                <w:szCs w:val="20"/>
                <w:lang w:val="en-US"/>
              </w:rPr>
              <w:t>4.756,41</w:t>
            </w:r>
          </w:p>
        </w:tc>
        <w:tc>
          <w:tcPr>
            <w:tcW w:w="1134" w:type="dxa"/>
            <w:tcBorders>
              <w:top w:val="nil"/>
              <w:left w:val="nil"/>
              <w:bottom w:val="nil"/>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sz w:val="20"/>
                <w:szCs w:val="20"/>
                <w:lang w:val="en-US"/>
              </w:rPr>
            </w:pPr>
            <w:r w:rsidRPr="009C6832">
              <w:rPr>
                <w:rFonts w:eastAsia="Times New Roman" w:cs="Arial"/>
                <w:sz w:val="20"/>
                <w:szCs w:val="20"/>
                <w:lang w:val="en-US"/>
              </w:rPr>
              <w:t>2.108,95</w:t>
            </w:r>
          </w:p>
        </w:tc>
        <w:tc>
          <w:tcPr>
            <w:tcW w:w="1284" w:type="dxa"/>
            <w:tcBorders>
              <w:top w:val="nil"/>
              <w:left w:val="nil"/>
              <w:bottom w:val="nil"/>
              <w:right w:val="single" w:sz="4" w:space="0" w:color="auto"/>
            </w:tcBorders>
            <w:shd w:val="clear" w:color="CCCCFF" w:fill="FFFFFF"/>
            <w:noWrap/>
            <w:vAlign w:val="center"/>
            <w:hideMark/>
          </w:tcPr>
          <w:p w:rsidR="007207DF" w:rsidRPr="009C6832" w:rsidRDefault="007207DF" w:rsidP="007207DF">
            <w:pPr>
              <w:spacing w:after="0" w:line="240" w:lineRule="auto"/>
              <w:ind w:firstLine="0"/>
              <w:jc w:val="right"/>
              <w:rPr>
                <w:rFonts w:eastAsia="Times New Roman" w:cs="Arial"/>
                <w:i/>
                <w:iCs/>
                <w:sz w:val="20"/>
                <w:szCs w:val="20"/>
                <w:lang w:val="en-US"/>
              </w:rPr>
            </w:pPr>
            <w:r w:rsidRPr="009C6832">
              <w:rPr>
                <w:rFonts w:eastAsia="Times New Roman" w:cs="Arial"/>
                <w:i/>
                <w:iCs/>
                <w:sz w:val="20"/>
                <w:szCs w:val="20"/>
                <w:lang w:val="en-US"/>
              </w:rPr>
              <w:t>44,34%</w:t>
            </w:r>
          </w:p>
        </w:tc>
        <w:tc>
          <w:tcPr>
            <w:tcW w:w="1500" w:type="dxa"/>
            <w:tcBorders>
              <w:top w:val="nil"/>
              <w:left w:val="nil"/>
              <w:bottom w:val="nil"/>
              <w:right w:val="single" w:sz="4" w:space="0" w:color="auto"/>
            </w:tcBorders>
            <w:shd w:val="clear" w:color="auto" w:fill="auto"/>
            <w:noWrap/>
            <w:vAlign w:val="center"/>
            <w:hideMark/>
          </w:tcPr>
          <w:p w:rsidR="007207DF" w:rsidRPr="009C6832" w:rsidRDefault="007207DF" w:rsidP="007207DF">
            <w:pPr>
              <w:spacing w:after="0" w:line="240" w:lineRule="auto"/>
              <w:ind w:firstLine="0"/>
              <w:jc w:val="right"/>
              <w:rPr>
                <w:rFonts w:eastAsia="Times New Roman" w:cs="Arial"/>
                <w:sz w:val="20"/>
                <w:szCs w:val="20"/>
                <w:lang w:val="en-US"/>
              </w:rPr>
            </w:pPr>
            <w:r w:rsidRPr="009C6832">
              <w:rPr>
                <w:rFonts w:eastAsia="Times New Roman" w:cs="Arial"/>
                <w:sz w:val="20"/>
                <w:szCs w:val="20"/>
                <w:lang w:val="en-US"/>
              </w:rPr>
              <w:t>5.923,32</w:t>
            </w:r>
          </w:p>
        </w:tc>
      </w:tr>
      <w:tr w:rsidR="007207DF" w:rsidRPr="009C6832" w:rsidTr="0050101A">
        <w:trPr>
          <w:trHeight w:val="446"/>
        </w:trPr>
        <w:tc>
          <w:tcPr>
            <w:tcW w:w="3861"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hideMark/>
          </w:tcPr>
          <w:p w:rsidR="007207DF" w:rsidRPr="009C6832" w:rsidRDefault="007207DF" w:rsidP="007207DF">
            <w:pPr>
              <w:spacing w:after="0" w:line="240" w:lineRule="auto"/>
              <w:ind w:firstLine="0"/>
              <w:jc w:val="left"/>
              <w:rPr>
                <w:rFonts w:eastAsia="Times New Roman" w:cs="Arial"/>
                <w:b/>
                <w:bCs/>
                <w:sz w:val="20"/>
                <w:szCs w:val="20"/>
                <w:lang w:val="en-US"/>
              </w:rPr>
            </w:pPr>
            <w:r w:rsidRPr="009C6832">
              <w:rPr>
                <w:rFonts w:eastAsia="Times New Roman" w:cs="Arial"/>
                <w:b/>
                <w:bCs/>
                <w:sz w:val="20"/>
                <w:szCs w:val="20"/>
                <w:lang w:val="en-US"/>
              </w:rPr>
              <w:t>II. SUME PLATITE CATRE BUGETUL UE</w:t>
            </w:r>
          </w:p>
        </w:tc>
        <w:tc>
          <w:tcPr>
            <w:tcW w:w="1134"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hideMark/>
          </w:tcPr>
          <w:p w:rsidR="007207DF" w:rsidRPr="009C6832" w:rsidRDefault="007207DF" w:rsidP="007207DF">
            <w:pPr>
              <w:spacing w:after="0" w:line="240" w:lineRule="auto"/>
              <w:ind w:firstLine="0"/>
              <w:jc w:val="right"/>
              <w:rPr>
                <w:rFonts w:eastAsia="Times New Roman" w:cs="Arial"/>
                <w:b/>
                <w:bCs/>
                <w:sz w:val="20"/>
                <w:szCs w:val="20"/>
                <w:lang w:val="en-US"/>
              </w:rPr>
            </w:pPr>
            <w:r w:rsidRPr="009C6832">
              <w:rPr>
                <w:rFonts w:eastAsia="Times New Roman" w:cs="Arial"/>
                <w:b/>
                <w:bCs/>
                <w:sz w:val="20"/>
                <w:szCs w:val="20"/>
                <w:lang w:val="en-US"/>
              </w:rPr>
              <w:t>1.512,06</w:t>
            </w:r>
          </w:p>
        </w:tc>
        <w:tc>
          <w:tcPr>
            <w:tcW w:w="1134" w:type="dxa"/>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hideMark/>
          </w:tcPr>
          <w:p w:rsidR="007207DF" w:rsidRPr="009C6832" w:rsidRDefault="007207DF" w:rsidP="007207DF">
            <w:pPr>
              <w:spacing w:after="0" w:line="240" w:lineRule="auto"/>
              <w:ind w:firstLine="0"/>
              <w:jc w:val="right"/>
              <w:rPr>
                <w:rFonts w:eastAsia="Times New Roman" w:cs="Arial"/>
                <w:b/>
                <w:bCs/>
                <w:sz w:val="20"/>
                <w:szCs w:val="20"/>
                <w:lang w:val="en-US"/>
              </w:rPr>
            </w:pPr>
            <w:r w:rsidRPr="009C6832">
              <w:rPr>
                <w:rFonts w:eastAsia="Times New Roman" w:cs="Arial"/>
                <w:b/>
                <w:bCs/>
                <w:sz w:val="20"/>
                <w:szCs w:val="20"/>
                <w:lang w:val="en-US"/>
              </w:rPr>
              <w:t>789,67</w:t>
            </w:r>
          </w:p>
        </w:tc>
        <w:tc>
          <w:tcPr>
            <w:tcW w:w="1284" w:type="dxa"/>
            <w:tcBorders>
              <w:top w:val="single" w:sz="8" w:space="0" w:color="auto"/>
              <w:left w:val="nil"/>
              <w:bottom w:val="single" w:sz="8" w:space="0" w:color="auto"/>
              <w:right w:val="single" w:sz="8" w:space="0" w:color="auto"/>
            </w:tcBorders>
            <w:shd w:val="clear" w:color="auto" w:fill="DEEAF6" w:themeFill="accent1" w:themeFillTint="33"/>
            <w:noWrap/>
            <w:vAlign w:val="center"/>
            <w:hideMark/>
          </w:tcPr>
          <w:p w:rsidR="007207DF" w:rsidRPr="009C6832" w:rsidRDefault="007207DF" w:rsidP="007207DF">
            <w:pPr>
              <w:spacing w:after="0" w:line="240" w:lineRule="auto"/>
              <w:ind w:firstLine="0"/>
              <w:jc w:val="right"/>
              <w:rPr>
                <w:rFonts w:eastAsia="Times New Roman" w:cs="Arial"/>
                <w:b/>
                <w:bCs/>
                <w:i/>
                <w:iCs/>
                <w:sz w:val="20"/>
                <w:szCs w:val="20"/>
                <w:lang w:val="en-US"/>
              </w:rPr>
            </w:pPr>
            <w:r w:rsidRPr="009C6832">
              <w:rPr>
                <w:rFonts w:eastAsia="Times New Roman" w:cs="Arial"/>
                <w:b/>
                <w:bCs/>
                <w:i/>
                <w:iCs/>
                <w:sz w:val="20"/>
                <w:szCs w:val="20"/>
                <w:lang w:val="en-US"/>
              </w:rPr>
              <w:t>52,23%</w:t>
            </w:r>
          </w:p>
        </w:tc>
        <w:tc>
          <w:tcPr>
            <w:tcW w:w="1500" w:type="dxa"/>
            <w:tcBorders>
              <w:top w:val="single" w:sz="8" w:space="0" w:color="auto"/>
              <w:left w:val="nil"/>
              <w:bottom w:val="single" w:sz="8" w:space="0" w:color="auto"/>
              <w:right w:val="single" w:sz="8" w:space="0" w:color="auto"/>
            </w:tcBorders>
            <w:shd w:val="clear" w:color="auto" w:fill="DEEAF6" w:themeFill="accent1" w:themeFillTint="33"/>
            <w:noWrap/>
            <w:vAlign w:val="center"/>
            <w:hideMark/>
          </w:tcPr>
          <w:p w:rsidR="007207DF" w:rsidRPr="009C6832" w:rsidRDefault="007207DF" w:rsidP="007207DF">
            <w:pPr>
              <w:spacing w:after="0" w:line="240" w:lineRule="auto"/>
              <w:ind w:firstLine="0"/>
              <w:jc w:val="right"/>
              <w:rPr>
                <w:rFonts w:eastAsia="Times New Roman" w:cs="Arial"/>
                <w:b/>
                <w:bCs/>
                <w:sz w:val="20"/>
                <w:szCs w:val="20"/>
                <w:lang w:val="en-US"/>
              </w:rPr>
            </w:pPr>
            <w:r w:rsidRPr="009C6832">
              <w:rPr>
                <w:rFonts w:eastAsia="Times New Roman" w:cs="Arial"/>
                <w:b/>
                <w:bCs/>
                <w:sz w:val="20"/>
                <w:szCs w:val="20"/>
                <w:lang w:val="en-US"/>
              </w:rPr>
              <w:t>14.572,46</w:t>
            </w:r>
          </w:p>
        </w:tc>
      </w:tr>
      <w:tr w:rsidR="007207DF" w:rsidRPr="009C6832" w:rsidTr="0050101A">
        <w:trPr>
          <w:trHeight w:val="446"/>
        </w:trPr>
        <w:tc>
          <w:tcPr>
            <w:tcW w:w="3861" w:type="dxa"/>
            <w:tcBorders>
              <w:top w:val="nil"/>
              <w:left w:val="single" w:sz="8" w:space="0" w:color="auto"/>
              <w:bottom w:val="single" w:sz="8" w:space="0" w:color="auto"/>
              <w:right w:val="single" w:sz="8" w:space="0" w:color="auto"/>
            </w:tcBorders>
            <w:shd w:val="clear" w:color="auto" w:fill="DEEAF6" w:themeFill="accent1" w:themeFillTint="33"/>
            <w:vAlign w:val="center"/>
            <w:hideMark/>
          </w:tcPr>
          <w:p w:rsidR="007207DF" w:rsidRPr="009C6832" w:rsidRDefault="007207DF" w:rsidP="007207DF">
            <w:pPr>
              <w:spacing w:after="0" w:line="240" w:lineRule="auto"/>
              <w:ind w:firstLine="0"/>
              <w:jc w:val="left"/>
              <w:rPr>
                <w:rFonts w:eastAsia="Times New Roman" w:cs="Arial"/>
                <w:b/>
                <w:bCs/>
                <w:sz w:val="20"/>
                <w:szCs w:val="20"/>
                <w:lang w:val="en-US"/>
              </w:rPr>
            </w:pPr>
            <w:r w:rsidRPr="009C6832">
              <w:rPr>
                <w:rFonts w:eastAsia="Times New Roman" w:cs="Arial"/>
                <w:b/>
                <w:bCs/>
                <w:sz w:val="20"/>
                <w:szCs w:val="20"/>
                <w:lang w:val="en-US"/>
              </w:rPr>
              <w:t>III. SOLDUL FLUXURILOR = I - II</w:t>
            </w:r>
          </w:p>
        </w:tc>
        <w:tc>
          <w:tcPr>
            <w:tcW w:w="1134" w:type="dxa"/>
            <w:tcBorders>
              <w:top w:val="nil"/>
              <w:left w:val="single" w:sz="8" w:space="0" w:color="auto"/>
              <w:bottom w:val="single" w:sz="8" w:space="0" w:color="auto"/>
              <w:right w:val="single" w:sz="8" w:space="0" w:color="auto"/>
            </w:tcBorders>
            <w:shd w:val="clear" w:color="auto" w:fill="DEEAF6" w:themeFill="accent1" w:themeFillTint="33"/>
            <w:vAlign w:val="center"/>
            <w:hideMark/>
          </w:tcPr>
          <w:p w:rsidR="007207DF" w:rsidRPr="009C6832" w:rsidRDefault="007207DF" w:rsidP="007207DF">
            <w:pPr>
              <w:spacing w:after="0" w:line="240" w:lineRule="auto"/>
              <w:ind w:firstLine="0"/>
              <w:jc w:val="right"/>
              <w:rPr>
                <w:rFonts w:eastAsia="Times New Roman" w:cs="Arial"/>
                <w:b/>
                <w:bCs/>
                <w:sz w:val="20"/>
                <w:szCs w:val="20"/>
                <w:lang w:val="en-US"/>
              </w:rPr>
            </w:pPr>
            <w:r w:rsidRPr="009C6832">
              <w:rPr>
                <w:rFonts w:eastAsia="Times New Roman" w:cs="Arial"/>
                <w:b/>
                <w:bCs/>
                <w:sz w:val="20"/>
                <w:szCs w:val="20"/>
                <w:lang w:val="en-US"/>
              </w:rPr>
              <w:t>4.166,83</w:t>
            </w:r>
          </w:p>
        </w:tc>
        <w:tc>
          <w:tcPr>
            <w:tcW w:w="1134" w:type="dxa"/>
            <w:tcBorders>
              <w:top w:val="nil"/>
              <w:left w:val="single" w:sz="8" w:space="0" w:color="auto"/>
              <w:bottom w:val="single" w:sz="8" w:space="0" w:color="auto"/>
              <w:right w:val="single" w:sz="8" w:space="0" w:color="auto"/>
            </w:tcBorders>
            <w:shd w:val="clear" w:color="auto" w:fill="DEEAF6" w:themeFill="accent1" w:themeFillTint="33"/>
            <w:noWrap/>
            <w:vAlign w:val="center"/>
            <w:hideMark/>
          </w:tcPr>
          <w:p w:rsidR="007207DF" w:rsidRPr="009C6832" w:rsidRDefault="007207DF" w:rsidP="007207DF">
            <w:pPr>
              <w:spacing w:after="0" w:line="240" w:lineRule="auto"/>
              <w:ind w:firstLine="0"/>
              <w:jc w:val="right"/>
              <w:rPr>
                <w:rFonts w:eastAsia="Times New Roman" w:cs="Arial"/>
                <w:b/>
                <w:bCs/>
                <w:sz w:val="20"/>
                <w:szCs w:val="20"/>
                <w:lang w:val="en-US"/>
              </w:rPr>
            </w:pPr>
            <w:r w:rsidRPr="009C6832">
              <w:rPr>
                <w:rFonts w:eastAsia="Times New Roman" w:cs="Arial"/>
                <w:b/>
                <w:bCs/>
                <w:sz w:val="20"/>
                <w:szCs w:val="20"/>
                <w:lang w:val="en-US"/>
              </w:rPr>
              <w:t>1.328,59</w:t>
            </w:r>
          </w:p>
        </w:tc>
        <w:tc>
          <w:tcPr>
            <w:tcW w:w="1284" w:type="dxa"/>
            <w:tcBorders>
              <w:top w:val="nil"/>
              <w:left w:val="nil"/>
              <w:bottom w:val="single" w:sz="8" w:space="0" w:color="auto"/>
              <w:right w:val="single" w:sz="8" w:space="0" w:color="auto"/>
            </w:tcBorders>
            <w:shd w:val="clear" w:color="auto" w:fill="DEEAF6" w:themeFill="accent1" w:themeFillTint="33"/>
            <w:noWrap/>
            <w:vAlign w:val="center"/>
            <w:hideMark/>
          </w:tcPr>
          <w:p w:rsidR="007207DF" w:rsidRPr="009C6832" w:rsidRDefault="007207DF" w:rsidP="007207DF">
            <w:pPr>
              <w:spacing w:after="0" w:line="240" w:lineRule="auto"/>
              <w:ind w:firstLine="0"/>
              <w:jc w:val="right"/>
              <w:rPr>
                <w:rFonts w:eastAsia="Times New Roman" w:cs="Arial"/>
                <w:b/>
                <w:bCs/>
                <w:i/>
                <w:iCs/>
                <w:sz w:val="20"/>
                <w:szCs w:val="20"/>
                <w:lang w:val="en-US"/>
              </w:rPr>
            </w:pPr>
            <w:r w:rsidRPr="009C6832">
              <w:rPr>
                <w:rFonts w:eastAsia="Times New Roman" w:cs="Arial"/>
                <w:b/>
                <w:bCs/>
                <w:i/>
                <w:iCs/>
                <w:sz w:val="20"/>
                <w:szCs w:val="20"/>
                <w:lang w:val="en-US"/>
              </w:rPr>
              <w:t>31,88%</w:t>
            </w:r>
          </w:p>
        </w:tc>
        <w:tc>
          <w:tcPr>
            <w:tcW w:w="1500" w:type="dxa"/>
            <w:tcBorders>
              <w:top w:val="nil"/>
              <w:left w:val="nil"/>
              <w:bottom w:val="single" w:sz="8" w:space="0" w:color="auto"/>
              <w:right w:val="single" w:sz="8" w:space="0" w:color="auto"/>
            </w:tcBorders>
            <w:shd w:val="clear" w:color="auto" w:fill="DEEAF6" w:themeFill="accent1" w:themeFillTint="33"/>
            <w:noWrap/>
            <w:vAlign w:val="center"/>
            <w:hideMark/>
          </w:tcPr>
          <w:p w:rsidR="007207DF" w:rsidRPr="009C6832" w:rsidRDefault="007207DF" w:rsidP="007207DF">
            <w:pPr>
              <w:spacing w:after="0" w:line="240" w:lineRule="auto"/>
              <w:ind w:firstLine="0"/>
              <w:jc w:val="right"/>
              <w:rPr>
                <w:rFonts w:eastAsia="Times New Roman" w:cs="Arial"/>
                <w:b/>
                <w:bCs/>
                <w:sz w:val="20"/>
                <w:szCs w:val="20"/>
                <w:lang w:val="en-US"/>
              </w:rPr>
            </w:pPr>
            <w:r w:rsidRPr="009C6832">
              <w:rPr>
                <w:rFonts w:eastAsia="Times New Roman" w:cs="Arial"/>
                <w:b/>
                <w:bCs/>
                <w:sz w:val="20"/>
                <w:szCs w:val="20"/>
                <w:lang w:val="en-US"/>
              </w:rPr>
              <w:t>28.412,98</w:t>
            </w:r>
          </w:p>
        </w:tc>
      </w:tr>
      <w:tr w:rsidR="007207DF" w:rsidRPr="009C6832" w:rsidTr="0050101A">
        <w:trPr>
          <w:trHeight w:val="348"/>
        </w:trPr>
        <w:tc>
          <w:tcPr>
            <w:tcW w:w="3861" w:type="dxa"/>
            <w:tcBorders>
              <w:top w:val="nil"/>
              <w:left w:val="nil"/>
              <w:bottom w:val="nil"/>
              <w:right w:val="nil"/>
            </w:tcBorders>
            <w:shd w:val="clear" w:color="auto" w:fill="auto"/>
            <w:noWrap/>
            <w:vAlign w:val="bottom"/>
            <w:hideMark/>
          </w:tcPr>
          <w:p w:rsidR="007207DF" w:rsidRPr="009C6832" w:rsidRDefault="007207DF" w:rsidP="007207DF">
            <w:pPr>
              <w:spacing w:after="0" w:line="240" w:lineRule="auto"/>
              <w:ind w:firstLine="0"/>
              <w:jc w:val="left"/>
              <w:rPr>
                <w:rFonts w:eastAsia="Times New Roman" w:cs="Arial"/>
                <w:sz w:val="20"/>
                <w:szCs w:val="20"/>
                <w:lang w:val="en-US"/>
              </w:rPr>
            </w:pPr>
            <w:r w:rsidRPr="009C6832">
              <w:rPr>
                <w:rFonts w:eastAsia="Times New Roman" w:cs="Arial"/>
                <w:sz w:val="20"/>
                <w:szCs w:val="20"/>
                <w:lang w:val="en-US"/>
              </w:rPr>
              <w:t xml:space="preserve">*) </w:t>
            </w:r>
            <w:r w:rsidRPr="009C6832">
              <w:rPr>
                <w:rFonts w:eastAsia="Times New Roman" w:cs="Arial"/>
                <w:sz w:val="20"/>
                <w:szCs w:val="20"/>
              </w:rPr>
              <w:t>Cadrul financiar multianual</w:t>
            </w:r>
          </w:p>
        </w:tc>
        <w:tc>
          <w:tcPr>
            <w:tcW w:w="1134" w:type="dxa"/>
            <w:tcBorders>
              <w:top w:val="nil"/>
              <w:left w:val="nil"/>
              <w:bottom w:val="nil"/>
              <w:right w:val="nil"/>
            </w:tcBorders>
            <w:shd w:val="clear" w:color="auto" w:fill="auto"/>
            <w:noWrap/>
            <w:vAlign w:val="bottom"/>
            <w:hideMark/>
          </w:tcPr>
          <w:p w:rsidR="007207DF" w:rsidRPr="009C6832" w:rsidRDefault="007207DF" w:rsidP="007207DF">
            <w:pPr>
              <w:spacing w:after="0" w:line="240" w:lineRule="auto"/>
              <w:ind w:firstLine="0"/>
              <w:jc w:val="left"/>
              <w:rPr>
                <w:rFonts w:eastAsia="Times New Roman" w:cs="Arial"/>
                <w:sz w:val="20"/>
                <w:szCs w:val="20"/>
                <w:lang w:val="en-US"/>
              </w:rPr>
            </w:pPr>
          </w:p>
        </w:tc>
        <w:tc>
          <w:tcPr>
            <w:tcW w:w="1134" w:type="dxa"/>
            <w:tcBorders>
              <w:top w:val="nil"/>
              <w:left w:val="nil"/>
              <w:bottom w:val="nil"/>
              <w:right w:val="nil"/>
            </w:tcBorders>
            <w:shd w:val="clear" w:color="auto" w:fill="auto"/>
            <w:noWrap/>
            <w:vAlign w:val="bottom"/>
            <w:hideMark/>
          </w:tcPr>
          <w:p w:rsidR="007207DF" w:rsidRPr="009C6832" w:rsidRDefault="007207DF" w:rsidP="007207DF">
            <w:pPr>
              <w:spacing w:after="0" w:line="240" w:lineRule="auto"/>
              <w:ind w:firstLine="0"/>
              <w:jc w:val="left"/>
              <w:rPr>
                <w:rFonts w:eastAsia="Times New Roman" w:cs="Times New Roman"/>
                <w:sz w:val="20"/>
                <w:szCs w:val="20"/>
                <w:lang w:val="en-US"/>
              </w:rPr>
            </w:pPr>
          </w:p>
        </w:tc>
        <w:tc>
          <w:tcPr>
            <w:tcW w:w="1284" w:type="dxa"/>
            <w:tcBorders>
              <w:top w:val="nil"/>
              <w:left w:val="nil"/>
              <w:bottom w:val="nil"/>
              <w:right w:val="nil"/>
            </w:tcBorders>
            <w:shd w:val="clear" w:color="auto" w:fill="auto"/>
            <w:noWrap/>
            <w:vAlign w:val="bottom"/>
            <w:hideMark/>
          </w:tcPr>
          <w:p w:rsidR="007207DF" w:rsidRPr="009C6832" w:rsidRDefault="007207DF" w:rsidP="007207DF">
            <w:pPr>
              <w:spacing w:after="0" w:line="240" w:lineRule="auto"/>
              <w:ind w:firstLine="0"/>
              <w:jc w:val="left"/>
              <w:rPr>
                <w:rFonts w:eastAsia="Times New Roman" w:cs="Times New Roman"/>
                <w:sz w:val="20"/>
                <w:szCs w:val="20"/>
                <w:lang w:val="en-US"/>
              </w:rPr>
            </w:pPr>
          </w:p>
        </w:tc>
        <w:tc>
          <w:tcPr>
            <w:tcW w:w="1500" w:type="dxa"/>
            <w:tcBorders>
              <w:top w:val="nil"/>
              <w:left w:val="nil"/>
              <w:bottom w:val="nil"/>
              <w:right w:val="nil"/>
            </w:tcBorders>
            <w:shd w:val="clear" w:color="auto" w:fill="auto"/>
            <w:noWrap/>
            <w:vAlign w:val="bottom"/>
            <w:hideMark/>
          </w:tcPr>
          <w:p w:rsidR="007207DF" w:rsidRPr="009C6832" w:rsidRDefault="007207DF" w:rsidP="007207DF">
            <w:pPr>
              <w:spacing w:after="0" w:line="240" w:lineRule="auto"/>
              <w:ind w:firstLine="0"/>
              <w:jc w:val="left"/>
              <w:rPr>
                <w:rFonts w:eastAsia="Times New Roman" w:cs="Times New Roman"/>
                <w:sz w:val="20"/>
                <w:szCs w:val="20"/>
                <w:lang w:val="en-US"/>
              </w:rPr>
            </w:pPr>
          </w:p>
        </w:tc>
      </w:tr>
    </w:tbl>
    <w:p w:rsidR="007207DF" w:rsidRPr="003E5F89" w:rsidRDefault="003E5F89" w:rsidP="003E5F89">
      <w:pPr>
        <w:spacing w:after="0" w:line="240" w:lineRule="auto"/>
        <w:ind w:firstLine="142"/>
        <w:jc w:val="left"/>
        <w:rPr>
          <w:rFonts w:eastAsia="Times New Roman" w:cs="Arial"/>
          <w:sz w:val="20"/>
          <w:szCs w:val="20"/>
          <w:lang w:val="en-US"/>
        </w:rPr>
      </w:pPr>
      <w:r w:rsidRPr="003E5F89">
        <w:rPr>
          <w:rFonts w:eastAsia="Times New Roman" w:cs="Arial"/>
          <w:sz w:val="20"/>
          <w:szCs w:val="20"/>
          <w:lang w:val="en-US"/>
        </w:rPr>
        <w:t>**) la 30.06.2017</w:t>
      </w:r>
    </w:p>
    <w:bookmarkEnd w:id="37"/>
    <w:bookmarkEnd w:id="38"/>
    <w:bookmarkEnd w:id="39"/>
    <w:bookmarkEnd w:id="40"/>
    <w:bookmarkEnd w:id="41"/>
    <w:bookmarkEnd w:id="42"/>
    <w:bookmarkEnd w:id="43"/>
    <w:bookmarkEnd w:id="44"/>
    <w:bookmarkEnd w:id="45"/>
    <w:p w:rsidR="007C4F03" w:rsidRPr="009C6832" w:rsidRDefault="007C4F03" w:rsidP="003E5F89">
      <w:pPr>
        <w:ind w:firstLine="284"/>
      </w:pPr>
    </w:p>
    <w:p w:rsidR="007C4F03" w:rsidRPr="009C6832" w:rsidRDefault="007C4F03" w:rsidP="0047638C"/>
    <w:p w:rsidR="007C4F03" w:rsidRPr="009C6832" w:rsidRDefault="007C4F03" w:rsidP="0047638C"/>
    <w:p w:rsidR="007C4F03" w:rsidRPr="009C6832" w:rsidRDefault="007C4F03" w:rsidP="0047638C"/>
    <w:p w:rsidR="007C4F03" w:rsidRPr="009C6832" w:rsidRDefault="007C4F03" w:rsidP="0047638C"/>
    <w:p w:rsidR="007C4F03" w:rsidRPr="009C6832" w:rsidRDefault="007C4F03" w:rsidP="0047638C"/>
    <w:p w:rsidR="007C4F03" w:rsidRPr="009C6832" w:rsidRDefault="007C4F03" w:rsidP="0047638C"/>
    <w:p w:rsidR="009563D4" w:rsidRDefault="009563D4" w:rsidP="0047638C"/>
    <w:p w:rsidR="00BC3785" w:rsidRDefault="00BC3785" w:rsidP="0047638C"/>
    <w:p w:rsidR="00BC3785" w:rsidRDefault="00BC3785" w:rsidP="0047638C"/>
    <w:p w:rsidR="00BC3785" w:rsidRDefault="00BC3785" w:rsidP="0047638C"/>
    <w:p w:rsidR="00BC3785" w:rsidRDefault="00BC3785" w:rsidP="0047638C"/>
    <w:p w:rsidR="007C4F03" w:rsidRDefault="007C4F03" w:rsidP="00BC3785">
      <w:pPr>
        <w:pStyle w:val="Heading1"/>
        <w:ind w:firstLine="1134"/>
        <w:rPr>
          <w:rFonts w:asciiTheme="minorHAnsi" w:hAnsiTheme="minorHAnsi" w:cs="Arial"/>
          <w:b/>
          <w:color w:val="auto"/>
          <w:sz w:val="28"/>
          <w:szCs w:val="28"/>
        </w:rPr>
      </w:pPr>
      <w:bookmarkStart w:id="46" w:name="_Toc456259616"/>
      <w:r w:rsidRPr="00A26E1A">
        <w:rPr>
          <w:rFonts w:asciiTheme="minorHAnsi" w:hAnsiTheme="minorHAnsi" w:cs="Arial"/>
          <w:b/>
          <w:color w:val="auto"/>
          <w:sz w:val="28"/>
          <w:szCs w:val="28"/>
        </w:rPr>
        <w:t>Concluzii</w:t>
      </w:r>
      <w:bookmarkEnd w:id="46"/>
    </w:p>
    <w:p w:rsidR="001F3C47" w:rsidRPr="001F3C47" w:rsidRDefault="001F3C47" w:rsidP="001F3C47"/>
    <w:p w:rsidR="001F3C47" w:rsidRPr="001F3C47" w:rsidRDefault="001F3C47" w:rsidP="001F3C47">
      <w:pPr>
        <w:pStyle w:val="ListParagraph"/>
        <w:numPr>
          <w:ilvl w:val="1"/>
          <w:numId w:val="3"/>
        </w:numPr>
        <w:spacing w:after="120"/>
        <w:ind w:left="1434" w:hanging="357"/>
        <w:contextualSpacing w:val="0"/>
        <w:rPr>
          <w:rFonts w:eastAsia="Times New Roman" w:cs="Arial"/>
          <w:sz w:val="24"/>
          <w:szCs w:val="24"/>
        </w:rPr>
      </w:pPr>
      <w:r w:rsidRPr="001F3C47">
        <w:rPr>
          <w:rFonts w:eastAsia="Times New Roman" w:cs="Arial"/>
          <w:sz w:val="24"/>
          <w:szCs w:val="24"/>
        </w:rPr>
        <w:t xml:space="preserve">În primul semestru din anul 2017, economia românească a continuat ritmul susținut de creștere început în anul 2013, majorându-se cu 5,8% comparativ cu semestrul I din 2016, situând România pe primul loc din UE din punct de vedere al performanțelor economice, creștere economică fiind mai mult decât dublul celei înregistrate de UE (2,2%). </w:t>
      </w:r>
    </w:p>
    <w:p w:rsidR="00A26E1A" w:rsidRPr="00D10850" w:rsidRDefault="00A26E1A" w:rsidP="00A26E1A">
      <w:pPr>
        <w:pStyle w:val="ListParagraph"/>
        <w:numPr>
          <w:ilvl w:val="1"/>
          <w:numId w:val="3"/>
        </w:numPr>
        <w:spacing w:after="120"/>
        <w:ind w:left="1434" w:hanging="357"/>
        <w:contextualSpacing w:val="0"/>
        <w:rPr>
          <w:rFonts w:eastAsia="Times New Roman" w:cs="Arial"/>
          <w:sz w:val="24"/>
          <w:szCs w:val="24"/>
        </w:rPr>
      </w:pPr>
      <w:r w:rsidRPr="00D10850">
        <w:rPr>
          <w:rFonts w:eastAsia="Times New Roman" w:cs="Arial"/>
          <w:sz w:val="24"/>
          <w:szCs w:val="24"/>
        </w:rPr>
        <w:t>Soldul bugetului general consolidat la semestrul I 2017 s-a încadrat în ținta stabilită.</w:t>
      </w:r>
    </w:p>
    <w:p w:rsidR="00A26E1A" w:rsidRPr="00D10850" w:rsidRDefault="00A26E1A" w:rsidP="00A26E1A">
      <w:pPr>
        <w:pStyle w:val="ListParagraph"/>
        <w:numPr>
          <w:ilvl w:val="1"/>
          <w:numId w:val="3"/>
        </w:numPr>
        <w:spacing w:after="120"/>
        <w:contextualSpacing w:val="0"/>
        <w:rPr>
          <w:rFonts w:eastAsia="Times New Roman" w:cs="Arial"/>
          <w:sz w:val="24"/>
          <w:szCs w:val="24"/>
        </w:rPr>
      </w:pPr>
      <w:r w:rsidRPr="00D10850">
        <w:rPr>
          <w:rFonts w:eastAsia="Times New Roman" w:cs="Arial"/>
          <w:sz w:val="24"/>
          <w:szCs w:val="24"/>
        </w:rPr>
        <w:t>Datoria guvernamentală conform metodologiei UE s-a situat la data de 3</w:t>
      </w:r>
      <w:r w:rsidR="00C410EC" w:rsidRPr="00D10850">
        <w:rPr>
          <w:rFonts w:eastAsia="Times New Roman" w:cs="Arial"/>
          <w:sz w:val="24"/>
          <w:szCs w:val="24"/>
        </w:rPr>
        <w:t>0 iunie</w:t>
      </w:r>
      <w:r w:rsidRPr="00D10850">
        <w:rPr>
          <w:rFonts w:eastAsia="Times New Roman" w:cs="Arial"/>
          <w:sz w:val="24"/>
          <w:szCs w:val="24"/>
        </w:rPr>
        <w:t xml:space="preserve"> 2017 la un nivel de 38,</w:t>
      </w:r>
      <w:r w:rsidR="00F204DD" w:rsidRPr="00D10850">
        <w:rPr>
          <w:rFonts w:eastAsia="Times New Roman" w:cs="Arial"/>
          <w:sz w:val="24"/>
          <w:szCs w:val="24"/>
        </w:rPr>
        <w:t>1</w:t>
      </w:r>
      <w:r w:rsidRPr="00D10850">
        <w:rPr>
          <w:rFonts w:eastAsia="Times New Roman" w:cs="Arial"/>
          <w:sz w:val="24"/>
          <w:szCs w:val="24"/>
        </w:rPr>
        <w:t>% din PIB net inferior plafonului de 60% stabilit prin Tratatul de la Maastricht.</w:t>
      </w:r>
    </w:p>
    <w:p w:rsidR="00A26E1A" w:rsidRPr="009C6832" w:rsidRDefault="00A26E1A" w:rsidP="00A26E1A">
      <w:pPr>
        <w:pStyle w:val="ListParagraph"/>
        <w:numPr>
          <w:ilvl w:val="1"/>
          <w:numId w:val="3"/>
        </w:numPr>
        <w:spacing w:after="120"/>
        <w:contextualSpacing w:val="0"/>
        <w:rPr>
          <w:rFonts w:cs="Arial"/>
          <w:sz w:val="24"/>
          <w:szCs w:val="24"/>
        </w:rPr>
      </w:pPr>
      <w:r w:rsidRPr="009C6832">
        <w:rPr>
          <w:rFonts w:cs="Arial"/>
          <w:sz w:val="24"/>
          <w:szCs w:val="24"/>
        </w:rPr>
        <w:t>Veniturile bugetului general consolidat au fost superioare încasărilor din perioada similară a anului anterior, atât în termeni nominali cât și ca raport în PIB, dar nu au reușit să atingă valoarea programată a se încasa pentru perioada analizată</w:t>
      </w:r>
      <w:r>
        <w:rPr>
          <w:rFonts w:cs="Arial"/>
          <w:sz w:val="24"/>
          <w:szCs w:val="24"/>
        </w:rPr>
        <w:t>.</w:t>
      </w:r>
      <w:r w:rsidRPr="009C6832">
        <w:rPr>
          <w:rFonts w:cs="Arial"/>
          <w:sz w:val="24"/>
          <w:szCs w:val="24"/>
        </w:rPr>
        <w:t xml:space="preserve"> </w:t>
      </w:r>
    </w:p>
    <w:p w:rsidR="00A26E1A" w:rsidRDefault="00A26E1A" w:rsidP="00A26E1A">
      <w:pPr>
        <w:pStyle w:val="ListParagraph"/>
        <w:numPr>
          <w:ilvl w:val="0"/>
          <w:numId w:val="3"/>
        </w:numPr>
        <w:spacing w:after="120"/>
        <w:ind w:left="1418" w:hanging="284"/>
        <w:contextualSpacing w:val="0"/>
        <w:rPr>
          <w:rFonts w:cs="Arial"/>
          <w:sz w:val="24"/>
          <w:szCs w:val="24"/>
        </w:rPr>
      </w:pPr>
      <w:r>
        <w:rPr>
          <w:rFonts w:cs="Arial"/>
          <w:sz w:val="24"/>
          <w:szCs w:val="24"/>
        </w:rPr>
        <w:t>V</w:t>
      </w:r>
      <w:r w:rsidRPr="009C6832">
        <w:rPr>
          <w:rFonts w:cs="Arial"/>
          <w:sz w:val="24"/>
          <w:szCs w:val="24"/>
        </w:rPr>
        <w:t xml:space="preserve">eniturile bugetului general consolidat s-au situat sub programul de încasări </w:t>
      </w:r>
      <w:r>
        <w:rPr>
          <w:rFonts w:cs="Arial"/>
          <w:sz w:val="24"/>
          <w:szCs w:val="24"/>
        </w:rPr>
        <w:t xml:space="preserve">în primul semestru al anului 2017 </w:t>
      </w:r>
      <w:r w:rsidRPr="009C6832">
        <w:rPr>
          <w:rFonts w:cs="Arial"/>
          <w:sz w:val="24"/>
          <w:szCs w:val="24"/>
        </w:rPr>
        <w:t>datorită evoluției mai puțin favorabile</w:t>
      </w:r>
      <w:r>
        <w:rPr>
          <w:rFonts w:cs="Arial"/>
          <w:sz w:val="24"/>
          <w:szCs w:val="24"/>
        </w:rPr>
        <w:t>,</w:t>
      </w:r>
      <w:r w:rsidRPr="009C6832">
        <w:rPr>
          <w:rFonts w:cs="Arial"/>
          <w:sz w:val="24"/>
          <w:szCs w:val="24"/>
        </w:rPr>
        <w:t xml:space="preserve"> în principal</w:t>
      </w:r>
      <w:r>
        <w:rPr>
          <w:rFonts w:cs="Arial"/>
          <w:sz w:val="24"/>
          <w:szCs w:val="24"/>
        </w:rPr>
        <w:t>,</w:t>
      </w:r>
      <w:r w:rsidRPr="009C6832">
        <w:rPr>
          <w:rFonts w:cs="Arial"/>
          <w:sz w:val="24"/>
          <w:szCs w:val="24"/>
        </w:rPr>
        <w:t xml:space="preserve"> a încasărilor din impozitul pe profit, taxa pe valoarea adăugată și accize</w:t>
      </w:r>
      <w:r>
        <w:rPr>
          <w:rFonts w:cs="Arial"/>
          <w:sz w:val="24"/>
          <w:szCs w:val="24"/>
        </w:rPr>
        <w:t>.</w:t>
      </w:r>
    </w:p>
    <w:p w:rsidR="00A26E1A" w:rsidRPr="009C6832" w:rsidRDefault="00A26E1A" w:rsidP="00A26E1A">
      <w:pPr>
        <w:pStyle w:val="ListParagraph"/>
        <w:numPr>
          <w:ilvl w:val="0"/>
          <w:numId w:val="3"/>
        </w:numPr>
        <w:spacing w:after="120"/>
        <w:ind w:left="1418" w:hanging="284"/>
        <w:contextualSpacing w:val="0"/>
        <w:rPr>
          <w:rFonts w:cs="Arial"/>
          <w:sz w:val="24"/>
          <w:szCs w:val="24"/>
        </w:rPr>
      </w:pPr>
      <w:r w:rsidRPr="009C6832">
        <w:rPr>
          <w:rFonts w:cs="Arial"/>
          <w:sz w:val="24"/>
          <w:szCs w:val="24"/>
        </w:rPr>
        <w:t>Cheltuielile bugetului general consolidat au fost cu 10% mai mari comparativ cu aceeași perioadă a anului anterior situându-se sub nivelul programat în cazul marii majorități a titlurilor de cheltuieli.</w:t>
      </w:r>
    </w:p>
    <w:p w:rsidR="00A26E1A" w:rsidRPr="009C6832" w:rsidRDefault="00A26E1A" w:rsidP="00A26E1A">
      <w:pPr>
        <w:pStyle w:val="ListParagraph"/>
        <w:numPr>
          <w:ilvl w:val="0"/>
          <w:numId w:val="3"/>
        </w:numPr>
        <w:spacing w:after="120"/>
        <w:ind w:left="1418" w:hanging="284"/>
        <w:contextualSpacing w:val="0"/>
        <w:rPr>
          <w:rFonts w:cs="Arial"/>
          <w:sz w:val="24"/>
          <w:szCs w:val="24"/>
        </w:rPr>
      </w:pPr>
      <w:r w:rsidRPr="009C6832">
        <w:rPr>
          <w:rFonts w:cs="Arial"/>
          <w:sz w:val="24"/>
          <w:szCs w:val="24"/>
        </w:rPr>
        <w:t>Cheltuielile efectuate pentru investiții au fost de 52,9% din programul estimat pe semestrul I 2017</w:t>
      </w:r>
      <w:r>
        <w:rPr>
          <w:rFonts w:cs="Arial"/>
          <w:sz w:val="24"/>
          <w:szCs w:val="24"/>
        </w:rPr>
        <w:t>.</w:t>
      </w:r>
    </w:p>
    <w:p w:rsidR="00A26E1A" w:rsidRPr="000A2ADB" w:rsidRDefault="00A26E1A" w:rsidP="00A26E1A">
      <w:pPr>
        <w:pStyle w:val="ListParagraph"/>
        <w:numPr>
          <w:ilvl w:val="0"/>
          <w:numId w:val="3"/>
        </w:numPr>
        <w:spacing w:after="120"/>
        <w:ind w:left="1418" w:hanging="284"/>
        <w:contextualSpacing w:val="0"/>
        <w:rPr>
          <w:rFonts w:cs="Arial"/>
          <w:sz w:val="24"/>
          <w:szCs w:val="24"/>
        </w:rPr>
      </w:pPr>
      <w:r w:rsidRPr="000A2ADB">
        <w:rPr>
          <w:rFonts w:cs="Arial"/>
          <w:bCs/>
          <w:sz w:val="24"/>
          <w:szCs w:val="24"/>
        </w:rPr>
        <w:t>Extrapolând trendul veniturilor și al cheltuielilor potrivit datelor operative și luând în calcul măsurile suplimentare care au fost aprobate după adoptarea legilor bugetare anuale, estimăm că deficitul bugetar anual se va menține în țintă inițială de 2,96% din PIB.</w:t>
      </w:r>
      <w:bookmarkStart w:id="47" w:name="_GoBack"/>
      <w:bookmarkEnd w:id="47"/>
    </w:p>
    <w:sectPr w:rsidR="00A26E1A" w:rsidRPr="000A2ADB" w:rsidSect="00197AF4">
      <w:headerReference w:type="default" r:id="rId16"/>
      <w:footerReference w:type="default" r:id="rId1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0EC" w:rsidRDefault="00C410EC" w:rsidP="007C4F03">
      <w:pPr>
        <w:spacing w:after="0" w:line="240" w:lineRule="auto"/>
      </w:pPr>
      <w:r>
        <w:separator/>
      </w:r>
    </w:p>
  </w:endnote>
  <w:endnote w:type="continuationSeparator" w:id="0">
    <w:p w:rsidR="00C410EC" w:rsidRDefault="00C410EC" w:rsidP="007C4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1"/>
    <w:family w:val="roman"/>
    <w:notTrueType/>
    <w:pitch w:val="variable"/>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018929"/>
      <w:docPartObj>
        <w:docPartGallery w:val="Page Numbers (Bottom of Page)"/>
        <w:docPartUnique/>
      </w:docPartObj>
    </w:sdtPr>
    <w:sdtEndPr>
      <w:rPr>
        <w:noProof/>
      </w:rPr>
    </w:sdtEndPr>
    <w:sdtContent>
      <w:p w:rsidR="00C410EC" w:rsidRDefault="00C410EC">
        <w:pPr>
          <w:pStyle w:val="Footer"/>
          <w:jc w:val="center"/>
        </w:pPr>
        <w:r>
          <w:fldChar w:fldCharType="begin"/>
        </w:r>
        <w:r>
          <w:instrText xml:space="preserve"> PAGE   \* MERGEFORMAT </w:instrText>
        </w:r>
        <w:r>
          <w:fldChar w:fldCharType="separate"/>
        </w:r>
        <w:r w:rsidR="00974E1A">
          <w:rPr>
            <w:noProof/>
          </w:rPr>
          <w:t>27</w:t>
        </w:r>
        <w:r>
          <w:rPr>
            <w:noProof/>
          </w:rPr>
          <w:fldChar w:fldCharType="end"/>
        </w:r>
      </w:p>
    </w:sdtContent>
  </w:sdt>
  <w:p w:rsidR="00C410EC" w:rsidRDefault="00C410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0EC" w:rsidRDefault="00C410EC" w:rsidP="007C4F03">
      <w:pPr>
        <w:spacing w:after="0" w:line="240" w:lineRule="auto"/>
      </w:pPr>
      <w:r>
        <w:separator/>
      </w:r>
    </w:p>
  </w:footnote>
  <w:footnote w:type="continuationSeparator" w:id="0">
    <w:p w:rsidR="00C410EC" w:rsidRDefault="00C410EC" w:rsidP="007C4F03">
      <w:pPr>
        <w:spacing w:after="0" w:line="240" w:lineRule="auto"/>
      </w:pPr>
      <w:r>
        <w:continuationSeparator/>
      </w:r>
    </w:p>
  </w:footnote>
  <w:footnote w:id="1">
    <w:p w:rsidR="00C410EC" w:rsidRPr="009C6832" w:rsidRDefault="00C410EC" w:rsidP="00DD201B">
      <w:pPr>
        <w:autoSpaceDE w:val="0"/>
        <w:autoSpaceDN w:val="0"/>
        <w:adjustRightInd w:val="0"/>
        <w:spacing w:after="0" w:line="240" w:lineRule="auto"/>
      </w:pPr>
      <w:r w:rsidRPr="00DD201B">
        <w:rPr>
          <w:rFonts w:ascii="Times New Roman" w:eastAsia="Calibri" w:hAnsi="Times New Roman" w:cs="Times New Roman"/>
          <w:sz w:val="16"/>
          <w:szCs w:val="16"/>
          <w:lang w:val="en-GB"/>
        </w:rPr>
        <w:footnoteRef/>
      </w:r>
      <w:r>
        <w:rPr>
          <w:rFonts w:ascii="Times New Roman" w:eastAsia="Calibri" w:hAnsi="Times New Roman" w:cs="Times New Roman"/>
          <w:sz w:val="16"/>
          <w:szCs w:val="16"/>
        </w:rPr>
        <w:t>Legea 2/2</w:t>
      </w:r>
      <w:r w:rsidRPr="009C6832">
        <w:rPr>
          <w:rFonts w:ascii="Times New Roman" w:eastAsia="Calibri" w:hAnsi="Times New Roman" w:cs="Times New Roman"/>
          <w:sz w:val="16"/>
          <w:szCs w:val="16"/>
        </w:rPr>
        <w:t>017 pentru modificarea şi completarea Legii nr. 227/2015 privind Codul fiscal şi pentru modificarea Legii nr. 95/2006 privind reforma în domeniul sănătății</w:t>
      </w:r>
    </w:p>
  </w:footnote>
  <w:footnote w:id="2">
    <w:p w:rsidR="00C410EC" w:rsidRPr="00DD201B" w:rsidRDefault="00C410EC">
      <w:pPr>
        <w:pStyle w:val="FootnoteText"/>
        <w:rPr>
          <w:sz w:val="16"/>
          <w:szCs w:val="16"/>
        </w:rPr>
      </w:pPr>
      <w:r>
        <w:rPr>
          <w:rStyle w:val="FootnoteReference"/>
        </w:rPr>
        <w:footnoteRef/>
      </w:r>
      <w:r w:rsidRPr="00DD201B">
        <w:rPr>
          <w:sz w:val="16"/>
          <w:szCs w:val="16"/>
        </w:rPr>
        <w:t>perioada decembrie 2016-mai 2017 comparativ cu perioada decembrie 2015-mai 2016</w:t>
      </w:r>
    </w:p>
  </w:footnote>
  <w:footnote w:id="3">
    <w:p w:rsidR="00C410EC" w:rsidRPr="00DD201B" w:rsidRDefault="00C410EC">
      <w:pPr>
        <w:pStyle w:val="FootnoteText"/>
        <w:rPr>
          <w:sz w:val="16"/>
          <w:szCs w:val="16"/>
        </w:rPr>
      </w:pPr>
      <w:r w:rsidRPr="00DD201B">
        <w:rPr>
          <w:rStyle w:val="FootnoteReference"/>
          <w:sz w:val="16"/>
          <w:szCs w:val="16"/>
        </w:rPr>
        <w:footnoteRef/>
      </w:r>
      <w:r w:rsidRPr="00DD201B">
        <w:rPr>
          <w:sz w:val="16"/>
          <w:szCs w:val="16"/>
        </w:rPr>
        <w:t xml:space="preserve"> perioada decembrie 2016-mai 2017 comparativ cu perioada decembrie 2015-mai 2016</w:t>
      </w:r>
    </w:p>
  </w:footnote>
  <w:footnote w:id="4">
    <w:p w:rsidR="00C410EC" w:rsidRPr="00741CC2" w:rsidRDefault="00C410EC" w:rsidP="000875A8">
      <w:pPr>
        <w:pStyle w:val="FootnoteText"/>
        <w:rPr>
          <w:rFonts w:asciiTheme="minorHAnsi" w:hAnsiTheme="minorHAnsi"/>
        </w:rPr>
      </w:pPr>
      <w:r>
        <w:rPr>
          <w:rStyle w:val="FootnoteReference"/>
        </w:rPr>
        <w:footnoteRef/>
      </w:r>
      <w:r w:rsidRPr="00741CC2">
        <w:rPr>
          <w:rFonts w:asciiTheme="minorHAnsi" w:hAnsiTheme="minorHAnsi"/>
        </w:rPr>
        <w:t>INS- Comunicat de presă nr.167/2017 privind comerțul și serviciile</w:t>
      </w:r>
    </w:p>
  </w:footnote>
  <w:footnote w:id="5">
    <w:p w:rsidR="00C410EC" w:rsidRPr="00741CC2" w:rsidRDefault="00C410EC" w:rsidP="00532478">
      <w:pPr>
        <w:pStyle w:val="FootnoteText"/>
        <w:rPr>
          <w:rFonts w:asciiTheme="minorHAnsi" w:hAnsiTheme="minorHAnsi"/>
        </w:rPr>
      </w:pPr>
      <w:r w:rsidRPr="00741CC2">
        <w:rPr>
          <w:rStyle w:val="FootnoteReference"/>
          <w:rFonts w:asciiTheme="minorHAnsi" w:hAnsiTheme="minorHAnsi"/>
        </w:rPr>
        <w:footnoteRef/>
      </w:r>
      <w:r w:rsidRPr="00741CC2">
        <w:rPr>
          <w:rFonts w:asciiTheme="minorHAnsi" w:hAnsiTheme="minorHAnsi"/>
        </w:rPr>
        <w:t xml:space="preserve"> INS- Comunicat de presă nr.174/2017 privind comerțul internațional de bunuri</w:t>
      </w:r>
    </w:p>
  </w:footnote>
  <w:footnote w:id="6">
    <w:p w:rsidR="00C410EC" w:rsidRPr="00741CC2" w:rsidRDefault="00C410EC" w:rsidP="00441939">
      <w:pPr>
        <w:pStyle w:val="FootnoteText"/>
        <w:rPr>
          <w:rFonts w:asciiTheme="minorHAnsi" w:hAnsiTheme="minorHAnsi"/>
        </w:rPr>
      </w:pPr>
      <w:r w:rsidRPr="00741CC2">
        <w:rPr>
          <w:rStyle w:val="FootnoteReference"/>
          <w:rFonts w:asciiTheme="minorHAnsi" w:hAnsiTheme="minorHAnsi" w:cs="Calibri"/>
        </w:rPr>
        <w:footnoteRef/>
      </w:r>
      <w:r w:rsidRPr="00741CC2">
        <w:rPr>
          <w:rFonts w:asciiTheme="minorHAnsi" w:hAnsiTheme="minorHAnsi" w:cs="Arial"/>
          <w:sz w:val="16"/>
          <w:szCs w:val="16"/>
        </w:rPr>
        <w:t xml:space="preserve"> Comunicat de presă INS nr.167/5 iulie 2017 evoluție în perioada 1.I-31.V.2017 față de aceeași perioada 2016</w:t>
      </w:r>
    </w:p>
  </w:footnote>
  <w:footnote w:id="7">
    <w:p w:rsidR="00C410EC" w:rsidRPr="00C961A0" w:rsidRDefault="00C410EC" w:rsidP="009D6D45">
      <w:pPr>
        <w:pStyle w:val="FootnoteText"/>
        <w:rPr>
          <w:rFonts w:ascii="Arial" w:hAnsi="Arial" w:cs="Arial"/>
          <w:sz w:val="16"/>
          <w:szCs w:val="16"/>
        </w:rPr>
      </w:pPr>
      <w:r>
        <w:rPr>
          <w:rStyle w:val="FootnoteReference"/>
        </w:rPr>
        <w:footnoteRef/>
      </w:r>
      <w:r w:rsidRPr="00C961A0">
        <w:rPr>
          <w:rFonts w:ascii="Arial" w:hAnsi="Arial" w:cs="Arial"/>
          <w:sz w:val="16"/>
          <w:szCs w:val="16"/>
        </w:rPr>
        <w:t>Comunicat de presă INS nr.</w:t>
      </w:r>
      <w:r>
        <w:rPr>
          <w:rFonts w:ascii="Arial" w:hAnsi="Arial" w:cs="Arial"/>
          <w:sz w:val="16"/>
          <w:szCs w:val="16"/>
        </w:rPr>
        <w:t>174</w:t>
      </w:r>
      <w:r w:rsidRPr="00C961A0">
        <w:rPr>
          <w:rFonts w:ascii="Arial" w:hAnsi="Arial" w:cs="Arial"/>
          <w:sz w:val="16"/>
          <w:szCs w:val="16"/>
        </w:rPr>
        <w:t>/201</w:t>
      </w:r>
      <w:r>
        <w:rPr>
          <w:rFonts w:ascii="Arial" w:hAnsi="Arial" w:cs="Arial"/>
          <w:sz w:val="16"/>
          <w:szCs w:val="16"/>
        </w:rPr>
        <w:t>7</w:t>
      </w:r>
      <w:r w:rsidRPr="00C961A0">
        <w:rPr>
          <w:rFonts w:ascii="Arial" w:hAnsi="Arial" w:cs="Arial"/>
          <w:sz w:val="16"/>
          <w:szCs w:val="16"/>
        </w:rPr>
        <w:t>, evoluție în perioada 1.I-31.V.201</w:t>
      </w:r>
      <w:r>
        <w:rPr>
          <w:rFonts w:ascii="Arial" w:hAnsi="Arial" w:cs="Arial"/>
          <w:sz w:val="16"/>
          <w:szCs w:val="16"/>
        </w:rPr>
        <w:t>7</w:t>
      </w:r>
      <w:r w:rsidRPr="00C961A0">
        <w:rPr>
          <w:rFonts w:ascii="Arial" w:hAnsi="Arial" w:cs="Arial"/>
          <w:sz w:val="16"/>
          <w:szCs w:val="16"/>
        </w:rPr>
        <w:t xml:space="preserve"> față de aceeași perioada 201</w:t>
      </w:r>
      <w:r>
        <w:rPr>
          <w:rFonts w:ascii="Arial" w:hAnsi="Arial" w:cs="Arial"/>
          <w:sz w:val="16"/>
          <w:szCs w:val="16"/>
        </w:rPr>
        <w:t>6</w:t>
      </w:r>
    </w:p>
  </w:footnote>
  <w:footnote w:id="8">
    <w:p w:rsidR="00C410EC" w:rsidRDefault="00C410EC">
      <w:pPr>
        <w:pStyle w:val="FootnoteText"/>
      </w:pPr>
      <w:r>
        <w:rPr>
          <w:rStyle w:val="FootnoteReference"/>
        </w:rPr>
        <w:footnoteRef/>
      </w:r>
      <w:r>
        <w:t xml:space="preserve"> Conform prevederilor art. XII din Legea nr.1/2017</w:t>
      </w:r>
    </w:p>
  </w:footnote>
  <w:footnote w:id="9">
    <w:p w:rsidR="00C410EC" w:rsidRPr="00845E18" w:rsidRDefault="00C410EC" w:rsidP="007B4E33">
      <w:pPr>
        <w:pStyle w:val="FootnoteText"/>
      </w:pPr>
      <w:r>
        <w:rPr>
          <w:rStyle w:val="FootnoteReference"/>
        </w:rPr>
        <w:footnoteRef/>
      </w:r>
      <w:r w:rsidRPr="000B0D84">
        <w:t>Potrivit prevederilor Ordonanței</w:t>
      </w:r>
      <w:r>
        <w:t xml:space="preserve"> de urgență a Guvernului nr.99/2016, cu modificările și completările ulterioare</w:t>
      </w:r>
    </w:p>
  </w:footnote>
  <w:footnote w:id="10">
    <w:p w:rsidR="00C410EC" w:rsidRPr="00DE151D" w:rsidRDefault="00C410EC" w:rsidP="00FA0452">
      <w:pPr>
        <w:pStyle w:val="FootnoteText"/>
      </w:pPr>
      <w:r w:rsidRPr="00DE151D">
        <w:rPr>
          <w:rStyle w:val="FootnoteReference"/>
        </w:rPr>
        <w:footnoteRef/>
      </w:r>
      <w:r w:rsidRPr="00DE151D">
        <w:t xml:space="preserve"> Fondul European Agricol pentru Dezvoltare Rurală</w:t>
      </w:r>
    </w:p>
  </w:footnote>
  <w:footnote w:id="11">
    <w:p w:rsidR="00C410EC" w:rsidRPr="0095703A" w:rsidRDefault="00C410EC" w:rsidP="00FA0452">
      <w:pPr>
        <w:pStyle w:val="FootnoteText"/>
        <w:rPr>
          <w:color w:val="4472C4"/>
        </w:rPr>
      </w:pPr>
      <w:r w:rsidRPr="00DE151D">
        <w:rPr>
          <w:rStyle w:val="FootnoteReference"/>
        </w:rPr>
        <w:footnoteRef/>
      </w:r>
      <w:r w:rsidRPr="00DE151D">
        <w:t xml:space="preserve"> Fondul European pentru Pescuit şi Afaceri Maritime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0EC" w:rsidRDefault="00C410EC">
    <w:pPr>
      <w:pStyle w:val="Header"/>
    </w:pPr>
    <w:r>
      <w:rPr>
        <w:noProof/>
        <w:lang w:eastAsia="ro-RO"/>
      </w:rPr>
      <mc:AlternateContent>
        <mc:Choice Requires="wps">
          <w:drawing>
            <wp:anchor distT="0" distB="0" distL="118745" distR="118745" simplePos="0" relativeHeight="251657728"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757545" cy="262255"/>
              <wp:effectExtent l="0" t="0" r="0" b="0"/>
              <wp:wrapSquare wrapText="bothSides"/>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7545" cy="26225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410EC" w:rsidRPr="00072D0B" w:rsidRDefault="00974E1A" w:rsidP="00395F32">
                          <w:pPr>
                            <w:pStyle w:val="Header"/>
                            <w:jc w:val="center"/>
                            <w:rPr>
                              <w:rStyle w:val="Emphasis"/>
                            </w:rPr>
                          </w:pPr>
                          <w:sdt>
                            <w:sdtPr>
                              <w:rPr>
                                <w:rStyle w:val="Emphasis"/>
                              </w:rPr>
                              <w:alias w:val="Title"/>
                              <w:tag w:val=""/>
                              <w:id w:val="-779794582"/>
                              <w:dataBinding w:prefixMappings="xmlns:ns0='http://purl.org/dc/elements/1.1/' xmlns:ns1='http://schemas.openxmlformats.org/package/2006/metadata/core-properties' " w:xpath="/ns1:coreProperties[1]/ns0:title[1]" w:storeItemID="{6C3C8BC8-F283-45AE-878A-BAB7291924A1}"/>
                              <w:text/>
                            </w:sdtPr>
                            <w:sdtEndPr>
                              <w:rPr>
                                <w:rStyle w:val="Emphasis"/>
                              </w:rPr>
                            </w:sdtEndPr>
                            <w:sdtContent>
                              <w:r w:rsidR="00C410EC">
                                <w:rPr>
                                  <w:rStyle w:val="Emphasis"/>
                                </w:rPr>
                                <w:t>Raport privind situația economică și bugetară</w:t>
                              </w:r>
                            </w:sdtContent>
                          </w:sdt>
                          <w:r w:rsidR="00C410EC">
                            <w:rPr>
                              <w:rStyle w:val="Emphasis"/>
                            </w:rPr>
                            <w:t xml:space="preserve"> pe </w:t>
                          </w:r>
                          <w:r w:rsidR="00C410EC" w:rsidRPr="00072D0B">
                            <w:rPr>
                              <w:rStyle w:val="Emphasis"/>
                            </w:rPr>
                            <w:t xml:space="preserve"> primele șase luni ale anului 2017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left:0;text-align:left;margin-left:0;margin-top:0;width:453.35pt;height:20.65pt;z-index:-251658752;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" o:allowoverlap="f" fillcolor="#5b9bd5 [3204]" stroked="f" strokeweight="1pt">
              <v:path arrowok="t"/>
              <v:textbox style="mso-fit-shape-to-text:t">
                <w:txbxContent>
                  <w:p w:rsidR="00232B3C" w:rsidRPr="00072D0B" w:rsidRDefault="00232B3C" w:rsidP="00395F32">
                    <w:pPr>
                      <w:pStyle w:val="Header"/>
                      <w:jc w:val="center"/>
                      <w:rPr>
                        <w:rStyle w:val="Emphasis"/>
                      </w:rPr>
                    </w:pPr>
                    <w:sdt>
                      <w:sdtPr>
                        <w:rPr>
                          <w:rStyle w:val="Emphasis"/>
                        </w:rPr>
                        <w:alias w:val="Title"/>
                        <w:tag w:val=""/>
                        <w:id w:val="-779794582"/>
                        <w:dataBinding w:prefixMappings="xmlns:ns0='http://purl.org/dc/elements/1.1/' xmlns:ns1='http://schemas.openxmlformats.org/package/2006/metadata/core-properties' " w:xpath="/ns1:coreProperties[1]/ns0:title[1]" w:storeItemID="{6C3C8BC8-F283-45AE-878A-BAB7291924A1}"/>
                        <w:text/>
                      </w:sdtPr>
                      <w:sdtContent>
                        <w:r>
                          <w:rPr>
                            <w:rStyle w:val="Emphasis"/>
                          </w:rPr>
                          <w:t>Raport privind situația economică și bugetară</w:t>
                        </w:r>
                      </w:sdtContent>
                    </w:sdt>
                    <w:r>
                      <w:rPr>
                        <w:rStyle w:val="Emphasis"/>
                      </w:rPr>
                      <w:t xml:space="preserve"> pe </w:t>
                    </w:r>
                    <w:r w:rsidRPr="00072D0B">
                      <w:rPr>
                        <w:rStyle w:val="Emphasis"/>
                      </w:rPr>
                      <w:t xml:space="preserve"> primele șase luni ale anului 2017</w:t>
                    </w:r>
                  </w:p>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E07"/>
      </v:shape>
    </w:pict>
  </w:numPicBullet>
  <w:abstractNum w:abstractNumId="0">
    <w:nsid w:val="00000001"/>
    <w:multiLevelType w:val="singleLevel"/>
    <w:tmpl w:val="EF6C9ADC"/>
    <w:name w:val="WW8Num1"/>
    <w:lvl w:ilvl="0">
      <w:start w:val="1"/>
      <w:numFmt w:val="bullet"/>
      <w:lvlText w:val=""/>
      <w:lvlJc w:val="left"/>
      <w:pPr>
        <w:tabs>
          <w:tab w:val="num" w:pos="0"/>
        </w:tabs>
        <w:ind w:left="794" w:hanging="434"/>
      </w:pPr>
      <w:rPr>
        <w:rFonts w:ascii="Symbol" w:hAnsi="Symbol" w:cs="Symbol" w:hint="default"/>
        <w:color w:val="auto"/>
        <w:sz w:val="24"/>
        <w:szCs w:val="24"/>
        <w:lang w:val="ro-RO" w:eastAsia="ja-JP"/>
      </w:rPr>
    </w:lvl>
  </w:abstractNum>
  <w:abstractNum w:abstractNumId="1">
    <w:nsid w:val="00000010"/>
    <w:multiLevelType w:val="multilevel"/>
    <w:tmpl w:val="00000010"/>
    <w:name w:val="WW8Num16"/>
    <w:lvl w:ilvl="0">
      <w:start w:val="1"/>
      <w:numFmt w:val="bullet"/>
      <w:lvlText w:val=""/>
      <w:lvlJc w:val="left"/>
      <w:pPr>
        <w:tabs>
          <w:tab w:val="num" w:pos="0"/>
        </w:tabs>
        <w:ind w:left="644" w:hanging="360"/>
      </w:pPr>
      <w:rPr>
        <w:rFonts w:ascii="Wingdings" w:hAnsi="Wingdings" w:cs="OpenSymbol"/>
        <w:szCs w:val="24"/>
      </w:rPr>
    </w:lvl>
    <w:lvl w:ilvl="1">
      <w:start w:val="1"/>
      <w:numFmt w:val="bullet"/>
      <w:lvlText w:val="o"/>
      <w:lvlJc w:val="left"/>
      <w:pPr>
        <w:tabs>
          <w:tab w:val="num" w:pos="0"/>
        </w:tabs>
        <w:ind w:left="1440" w:hanging="360"/>
      </w:pPr>
      <w:rPr>
        <w:rFonts w:ascii="Courier New" w:hAnsi="Courier New" w:cs="Courier New"/>
        <w:sz w:val="24"/>
        <w:szCs w:val="24"/>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4"/>
        <w:szCs w:val="24"/>
        <w:shd w:val="clear" w:color="auto" w:fill="auto"/>
      </w:rPr>
    </w:lvl>
    <w:lvl w:ilvl="4">
      <w:start w:val="1"/>
      <w:numFmt w:val="bullet"/>
      <w:lvlText w:val="o"/>
      <w:lvlJc w:val="left"/>
      <w:pPr>
        <w:tabs>
          <w:tab w:val="num" w:pos="0"/>
        </w:tabs>
        <w:ind w:left="3600" w:hanging="360"/>
      </w:pPr>
      <w:rPr>
        <w:rFonts w:ascii="Courier New" w:hAnsi="Courier New" w:cs="Courier New"/>
        <w:sz w:val="24"/>
        <w:szCs w:val="24"/>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4"/>
        <w:szCs w:val="24"/>
        <w:shd w:val="clear" w:color="auto" w:fill="auto"/>
      </w:rPr>
    </w:lvl>
    <w:lvl w:ilvl="7">
      <w:start w:val="1"/>
      <w:numFmt w:val="bullet"/>
      <w:lvlText w:val="o"/>
      <w:lvlJc w:val="left"/>
      <w:pPr>
        <w:tabs>
          <w:tab w:val="num" w:pos="0"/>
        </w:tabs>
        <w:ind w:left="5760" w:hanging="360"/>
      </w:pPr>
      <w:rPr>
        <w:rFonts w:ascii="Courier New" w:hAnsi="Courier New" w:cs="Courier New"/>
        <w:sz w:val="24"/>
        <w:szCs w:val="24"/>
      </w:rPr>
    </w:lvl>
    <w:lvl w:ilvl="8">
      <w:start w:val="1"/>
      <w:numFmt w:val="bullet"/>
      <w:lvlText w:val=""/>
      <w:lvlJc w:val="left"/>
      <w:pPr>
        <w:tabs>
          <w:tab w:val="num" w:pos="0"/>
        </w:tabs>
        <w:ind w:left="6480" w:hanging="360"/>
      </w:pPr>
      <w:rPr>
        <w:rFonts w:ascii="Wingdings" w:hAnsi="Wingdings" w:cs="Wingdings"/>
      </w:rPr>
    </w:lvl>
  </w:abstractNum>
  <w:abstractNum w:abstractNumId="2">
    <w:nsid w:val="00000019"/>
    <w:multiLevelType w:val="multilevel"/>
    <w:tmpl w:val="00000019"/>
    <w:name w:val="WW8Num25"/>
    <w:lvl w:ilvl="0">
      <w:start w:val="1"/>
      <w:numFmt w:val="bullet"/>
      <w:lvlText w:val=""/>
      <w:lvlJc w:val="left"/>
      <w:pPr>
        <w:tabs>
          <w:tab w:val="num" w:pos="720"/>
        </w:tabs>
        <w:ind w:left="720" w:hanging="360"/>
      </w:pPr>
      <w:rPr>
        <w:rFonts w:ascii="Wingdings" w:hAnsi="Wingdings" w:cs="OpenSymbol"/>
        <w:sz w:val="24"/>
        <w:szCs w:val="24"/>
        <w:shd w:val="clear" w:color="auto" w:fill="auto"/>
        <w:lang w:val="ro-RO" w:eastAsia="zh-CN" w:bidi="ar-SA"/>
      </w:rPr>
    </w:lvl>
    <w:lvl w:ilvl="1">
      <w:start w:val="1"/>
      <w:numFmt w:val="bullet"/>
      <w:lvlText w:val=""/>
      <w:lvlJc w:val="left"/>
      <w:pPr>
        <w:tabs>
          <w:tab w:val="num" w:pos="1080"/>
        </w:tabs>
        <w:ind w:left="1080" w:hanging="360"/>
      </w:pPr>
      <w:rPr>
        <w:rFonts w:ascii="Wingdings" w:hAnsi="Wingdings" w:cs="OpenSymbol"/>
        <w:sz w:val="24"/>
        <w:szCs w:val="24"/>
        <w:shd w:val="clear" w:color="auto" w:fill="auto"/>
        <w:lang w:val="ro-RO" w:eastAsia="zh-CN" w:bidi="ar-SA"/>
      </w:rPr>
    </w:lvl>
    <w:lvl w:ilvl="2">
      <w:start w:val="1"/>
      <w:numFmt w:val="bullet"/>
      <w:lvlText w:val=""/>
      <w:lvlJc w:val="left"/>
      <w:pPr>
        <w:tabs>
          <w:tab w:val="num" w:pos="1440"/>
        </w:tabs>
        <w:ind w:left="1440" w:hanging="360"/>
      </w:pPr>
      <w:rPr>
        <w:rFonts w:ascii="Wingdings" w:hAnsi="Wingdings" w:cs="OpenSymbol"/>
        <w:sz w:val="24"/>
        <w:szCs w:val="24"/>
        <w:shd w:val="clear" w:color="auto" w:fill="auto"/>
        <w:lang w:val="ro-RO" w:eastAsia="zh-CN" w:bidi="ar-SA"/>
      </w:rPr>
    </w:lvl>
    <w:lvl w:ilvl="3">
      <w:start w:val="1"/>
      <w:numFmt w:val="bullet"/>
      <w:lvlText w:val=""/>
      <w:lvlJc w:val="left"/>
      <w:pPr>
        <w:tabs>
          <w:tab w:val="num" w:pos="1800"/>
        </w:tabs>
        <w:ind w:left="1800" w:hanging="360"/>
      </w:pPr>
      <w:rPr>
        <w:rFonts w:ascii="Wingdings" w:hAnsi="Wingdings" w:cs="OpenSymbol"/>
        <w:sz w:val="24"/>
        <w:szCs w:val="24"/>
        <w:shd w:val="clear" w:color="auto" w:fill="auto"/>
        <w:lang w:val="ro-RO" w:eastAsia="zh-CN" w:bidi="ar-SA"/>
      </w:rPr>
    </w:lvl>
    <w:lvl w:ilvl="4">
      <w:start w:val="1"/>
      <w:numFmt w:val="bullet"/>
      <w:lvlText w:val=""/>
      <w:lvlJc w:val="left"/>
      <w:pPr>
        <w:tabs>
          <w:tab w:val="num" w:pos="2160"/>
        </w:tabs>
        <w:ind w:left="2160" w:hanging="360"/>
      </w:pPr>
      <w:rPr>
        <w:rFonts w:ascii="Wingdings" w:hAnsi="Wingdings" w:cs="OpenSymbol"/>
        <w:sz w:val="24"/>
        <w:szCs w:val="24"/>
        <w:shd w:val="clear" w:color="auto" w:fill="auto"/>
        <w:lang w:val="ro-RO" w:eastAsia="zh-CN" w:bidi="ar-SA"/>
      </w:rPr>
    </w:lvl>
    <w:lvl w:ilvl="5">
      <w:start w:val="1"/>
      <w:numFmt w:val="bullet"/>
      <w:lvlText w:val=""/>
      <w:lvlJc w:val="left"/>
      <w:pPr>
        <w:tabs>
          <w:tab w:val="num" w:pos="2520"/>
        </w:tabs>
        <w:ind w:left="2520" w:hanging="360"/>
      </w:pPr>
      <w:rPr>
        <w:rFonts w:ascii="Wingdings" w:hAnsi="Wingdings" w:cs="OpenSymbol"/>
        <w:sz w:val="24"/>
        <w:szCs w:val="24"/>
        <w:shd w:val="clear" w:color="auto" w:fill="auto"/>
        <w:lang w:val="ro-RO" w:eastAsia="zh-CN" w:bidi="ar-SA"/>
      </w:rPr>
    </w:lvl>
    <w:lvl w:ilvl="6">
      <w:start w:val="1"/>
      <w:numFmt w:val="bullet"/>
      <w:lvlText w:val=""/>
      <w:lvlJc w:val="left"/>
      <w:pPr>
        <w:tabs>
          <w:tab w:val="num" w:pos="2880"/>
        </w:tabs>
        <w:ind w:left="2880" w:hanging="360"/>
      </w:pPr>
      <w:rPr>
        <w:rFonts w:ascii="Wingdings" w:hAnsi="Wingdings" w:cs="OpenSymbol"/>
        <w:sz w:val="24"/>
        <w:szCs w:val="24"/>
        <w:shd w:val="clear" w:color="auto" w:fill="auto"/>
        <w:lang w:val="ro-RO" w:eastAsia="zh-CN" w:bidi="ar-SA"/>
      </w:rPr>
    </w:lvl>
    <w:lvl w:ilvl="7">
      <w:start w:val="1"/>
      <w:numFmt w:val="bullet"/>
      <w:lvlText w:val=""/>
      <w:lvlJc w:val="left"/>
      <w:pPr>
        <w:tabs>
          <w:tab w:val="num" w:pos="3240"/>
        </w:tabs>
        <w:ind w:left="3240" w:hanging="360"/>
      </w:pPr>
      <w:rPr>
        <w:rFonts w:ascii="Wingdings" w:hAnsi="Wingdings" w:cs="OpenSymbol"/>
        <w:sz w:val="24"/>
        <w:szCs w:val="24"/>
        <w:shd w:val="clear" w:color="auto" w:fill="auto"/>
        <w:lang w:val="ro-RO" w:eastAsia="zh-CN" w:bidi="ar-SA"/>
      </w:rPr>
    </w:lvl>
    <w:lvl w:ilvl="8">
      <w:start w:val="1"/>
      <w:numFmt w:val="bullet"/>
      <w:lvlText w:val=""/>
      <w:lvlJc w:val="left"/>
      <w:pPr>
        <w:tabs>
          <w:tab w:val="num" w:pos="3600"/>
        </w:tabs>
        <w:ind w:left="3600" w:hanging="360"/>
      </w:pPr>
      <w:rPr>
        <w:rFonts w:ascii="Wingdings" w:hAnsi="Wingdings" w:cs="OpenSymbol"/>
        <w:sz w:val="24"/>
        <w:szCs w:val="24"/>
        <w:shd w:val="clear" w:color="auto" w:fill="auto"/>
        <w:lang w:val="ro-RO" w:eastAsia="zh-CN" w:bidi="ar-SA"/>
      </w:rPr>
    </w:lvl>
  </w:abstractNum>
  <w:abstractNum w:abstractNumId="3">
    <w:nsid w:val="0D0B0FFD"/>
    <w:multiLevelType w:val="hybridMultilevel"/>
    <w:tmpl w:val="B13CDFD2"/>
    <w:lvl w:ilvl="0" w:tplc="0418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3D30BB"/>
    <w:multiLevelType w:val="hybridMultilevel"/>
    <w:tmpl w:val="407AEA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66F2D19"/>
    <w:multiLevelType w:val="hybridMultilevel"/>
    <w:tmpl w:val="77C89D06"/>
    <w:lvl w:ilvl="0" w:tplc="79E6D0EA">
      <w:start w:val="1"/>
      <w:numFmt w:val="bullet"/>
      <w:lvlText w:val=""/>
      <w:lvlJc w:val="left"/>
      <w:pPr>
        <w:ind w:left="1440" w:hanging="360"/>
      </w:pPr>
      <w:rPr>
        <w:rFonts w:ascii="Wingdings" w:hAnsi="Wingdings" w:hint="default"/>
        <w:color w:val="auto"/>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nsid w:val="32FF2BE6"/>
    <w:multiLevelType w:val="hybridMultilevel"/>
    <w:tmpl w:val="15D63584"/>
    <w:lvl w:ilvl="0" w:tplc="0409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nsid w:val="43304548"/>
    <w:multiLevelType w:val="hybridMultilevel"/>
    <w:tmpl w:val="1658828C"/>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526E1A7B"/>
    <w:multiLevelType w:val="hybridMultilevel"/>
    <w:tmpl w:val="F42A6F74"/>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6255188A"/>
    <w:multiLevelType w:val="hybridMultilevel"/>
    <w:tmpl w:val="16BA46DA"/>
    <w:lvl w:ilvl="0" w:tplc="04180009">
      <w:start w:val="1"/>
      <w:numFmt w:val="bullet"/>
      <w:lvlText w:val=""/>
      <w:lvlJc w:val="left"/>
      <w:pPr>
        <w:ind w:left="1571" w:hanging="360"/>
      </w:pPr>
      <w:rPr>
        <w:rFonts w:ascii="Wingdings" w:hAnsi="Wingdings"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10">
    <w:nsid w:val="645C6C60"/>
    <w:multiLevelType w:val="hybridMultilevel"/>
    <w:tmpl w:val="E3FCFA00"/>
    <w:lvl w:ilvl="0" w:tplc="603EB578">
      <w:start w:val="81"/>
      <w:numFmt w:val="bullet"/>
      <w:lvlText w:val="-"/>
      <w:lvlJc w:val="left"/>
      <w:pPr>
        <w:ind w:left="1440" w:hanging="360"/>
      </w:pPr>
      <w:rPr>
        <w:rFonts w:ascii="Calibri" w:eastAsia="Times New Roman" w:hAnsi="Calibri"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nsid w:val="65D90F97"/>
    <w:multiLevelType w:val="multilevel"/>
    <w:tmpl w:val="25465316"/>
    <w:lvl w:ilvl="0">
      <w:start w:val="81"/>
      <w:numFmt w:val="bullet"/>
      <w:lvlText w:val="-"/>
      <w:lvlJc w:val="left"/>
      <w:pPr>
        <w:tabs>
          <w:tab w:val="num" w:pos="1440"/>
        </w:tabs>
        <w:ind w:left="1440" w:hanging="360"/>
      </w:pPr>
      <w:rPr>
        <w:rFonts w:ascii="Arial" w:eastAsia="Times New Roman" w:hAnsi="Arial" w:cs="Arial" w:hint="default"/>
        <w:szCs w:val="24"/>
      </w:rPr>
    </w:lvl>
    <w:lvl w:ilvl="1">
      <w:start w:val="1"/>
      <w:numFmt w:val="bullet"/>
      <w:lvlText w:val=""/>
      <w:lvlJc w:val="left"/>
      <w:pPr>
        <w:tabs>
          <w:tab w:val="num" w:pos="1800"/>
        </w:tabs>
        <w:ind w:left="1800" w:hanging="360"/>
      </w:pPr>
      <w:rPr>
        <w:rFonts w:ascii="Wingdings" w:hAnsi="Wingdings" w:cs="OpenSymbol"/>
        <w:szCs w:val="24"/>
      </w:rPr>
    </w:lvl>
    <w:lvl w:ilvl="2">
      <w:start w:val="1"/>
      <w:numFmt w:val="bullet"/>
      <w:lvlText w:val=""/>
      <w:lvlJc w:val="left"/>
      <w:pPr>
        <w:tabs>
          <w:tab w:val="num" w:pos="2160"/>
        </w:tabs>
        <w:ind w:left="2160" w:hanging="360"/>
      </w:pPr>
      <w:rPr>
        <w:rFonts w:ascii="Wingdings" w:hAnsi="Wingdings" w:cs="OpenSymbol"/>
        <w:szCs w:val="24"/>
      </w:rPr>
    </w:lvl>
    <w:lvl w:ilvl="3">
      <w:start w:val="1"/>
      <w:numFmt w:val="bullet"/>
      <w:lvlText w:val=""/>
      <w:lvlJc w:val="left"/>
      <w:pPr>
        <w:tabs>
          <w:tab w:val="num" w:pos="2520"/>
        </w:tabs>
        <w:ind w:left="2520" w:hanging="360"/>
      </w:pPr>
      <w:rPr>
        <w:rFonts w:ascii="Wingdings" w:hAnsi="Wingdings" w:cs="OpenSymbol"/>
        <w:szCs w:val="24"/>
      </w:rPr>
    </w:lvl>
    <w:lvl w:ilvl="4">
      <w:start w:val="1"/>
      <w:numFmt w:val="bullet"/>
      <w:lvlText w:val=""/>
      <w:lvlJc w:val="left"/>
      <w:pPr>
        <w:tabs>
          <w:tab w:val="num" w:pos="2880"/>
        </w:tabs>
        <w:ind w:left="2880" w:hanging="360"/>
      </w:pPr>
      <w:rPr>
        <w:rFonts w:ascii="Wingdings" w:hAnsi="Wingdings" w:cs="OpenSymbol"/>
        <w:szCs w:val="24"/>
      </w:rPr>
    </w:lvl>
    <w:lvl w:ilvl="5">
      <w:start w:val="1"/>
      <w:numFmt w:val="bullet"/>
      <w:lvlText w:val=""/>
      <w:lvlJc w:val="left"/>
      <w:pPr>
        <w:tabs>
          <w:tab w:val="num" w:pos="3240"/>
        </w:tabs>
        <w:ind w:left="3240" w:hanging="360"/>
      </w:pPr>
      <w:rPr>
        <w:rFonts w:ascii="Wingdings" w:hAnsi="Wingdings" w:cs="OpenSymbol"/>
        <w:szCs w:val="24"/>
      </w:rPr>
    </w:lvl>
    <w:lvl w:ilvl="6">
      <w:start w:val="1"/>
      <w:numFmt w:val="bullet"/>
      <w:lvlText w:val=""/>
      <w:lvlJc w:val="left"/>
      <w:pPr>
        <w:tabs>
          <w:tab w:val="num" w:pos="3600"/>
        </w:tabs>
        <w:ind w:left="3600" w:hanging="360"/>
      </w:pPr>
      <w:rPr>
        <w:rFonts w:ascii="Wingdings" w:hAnsi="Wingdings" w:cs="OpenSymbol"/>
        <w:szCs w:val="24"/>
      </w:rPr>
    </w:lvl>
    <w:lvl w:ilvl="7">
      <w:start w:val="1"/>
      <w:numFmt w:val="bullet"/>
      <w:lvlText w:val=""/>
      <w:lvlJc w:val="left"/>
      <w:pPr>
        <w:tabs>
          <w:tab w:val="num" w:pos="3960"/>
        </w:tabs>
        <w:ind w:left="3960" w:hanging="360"/>
      </w:pPr>
      <w:rPr>
        <w:rFonts w:ascii="Wingdings" w:hAnsi="Wingdings" w:cs="OpenSymbol"/>
        <w:szCs w:val="24"/>
      </w:rPr>
    </w:lvl>
    <w:lvl w:ilvl="8">
      <w:start w:val="1"/>
      <w:numFmt w:val="bullet"/>
      <w:lvlText w:val=""/>
      <w:lvlJc w:val="left"/>
      <w:pPr>
        <w:tabs>
          <w:tab w:val="num" w:pos="4320"/>
        </w:tabs>
        <w:ind w:left="4320" w:hanging="360"/>
      </w:pPr>
      <w:rPr>
        <w:rFonts w:ascii="Wingdings" w:hAnsi="Wingdings" w:cs="OpenSymbol"/>
        <w:szCs w:val="24"/>
      </w:rPr>
    </w:lvl>
  </w:abstractNum>
  <w:abstractNum w:abstractNumId="12">
    <w:nsid w:val="68E26B94"/>
    <w:multiLevelType w:val="hybridMultilevel"/>
    <w:tmpl w:val="06507F3A"/>
    <w:lvl w:ilvl="0" w:tplc="04180009">
      <w:start w:val="1"/>
      <w:numFmt w:val="bullet"/>
      <w:lvlText w:val=""/>
      <w:lvlJc w:val="left"/>
      <w:pPr>
        <w:ind w:left="1004" w:hanging="360"/>
      </w:pPr>
      <w:rPr>
        <w:rFonts w:ascii="Wingdings" w:hAnsi="Wingdings"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13">
    <w:nsid w:val="6A173B6C"/>
    <w:multiLevelType w:val="hybridMultilevel"/>
    <w:tmpl w:val="4D8C4404"/>
    <w:lvl w:ilvl="0" w:tplc="04180001">
      <w:start w:val="1"/>
      <w:numFmt w:val="bullet"/>
      <w:lvlText w:val=""/>
      <w:lvlJc w:val="left"/>
      <w:pPr>
        <w:ind w:left="720" w:hanging="360"/>
      </w:pPr>
      <w:rPr>
        <w:rFonts w:ascii="Symbol" w:hAnsi="Symbol" w:hint="default"/>
      </w:rPr>
    </w:lvl>
    <w:lvl w:ilvl="1" w:tplc="ADBC729A">
      <w:start w:val="1"/>
      <w:numFmt w:val="bullet"/>
      <w:lvlText w:val=""/>
      <w:lvlJc w:val="left"/>
      <w:pPr>
        <w:ind w:left="1440" w:hanging="360"/>
      </w:pPr>
      <w:rPr>
        <w:rFonts w:ascii="Symbol" w:hAnsi="Symbol" w:hint="default"/>
        <w:color w:val="auto"/>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6B990FBE"/>
    <w:multiLevelType w:val="hybridMultilevel"/>
    <w:tmpl w:val="F5AC796A"/>
    <w:lvl w:ilvl="0" w:tplc="04180013">
      <w:start w:val="1"/>
      <w:numFmt w:val="upperRoman"/>
      <w:lvlText w:val="%1."/>
      <w:lvlJc w:val="right"/>
      <w:pPr>
        <w:ind w:left="720" w:hanging="360"/>
      </w:pPr>
    </w:lvl>
    <w:lvl w:ilvl="1" w:tplc="69685C0E">
      <w:start w:val="1"/>
      <w:numFmt w:val="decimal"/>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6C1A7F90"/>
    <w:multiLevelType w:val="hybridMultilevel"/>
    <w:tmpl w:val="54F0D104"/>
    <w:lvl w:ilvl="0" w:tplc="04180017">
      <w:start w:val="1"/>
      <w:numFmt w:val="lowerLetter"/>
      <w:lvlText w:val="%1)"/>
      <w:lvlJc w:val="left"/>
      <w:pPr>
        <w:ind w:left="1287" w:hanging="360"/>
      </w:pPr>
    </w:lvl>
    <w:lvl w:ilvl="1" w:tplc="04180019">
      <w:start w:val="1"/>
      <w:numFmt w:val="lowerLetter"/>
      <w:lvlText w:val="%2."/>
      <w:lvlJc w:val="left"/>
      <w:pPr>
        <w:ind w:left="2007" w:hanging="360"/>
      </w:pPr>
    </w:lvl>
    <w:lvl w:ilvl="2" w:tplc="04180009">
      <w:start w:val="1"/>
      <w:numFmt w:val="bullet"/>
      <w:lvlText w:val=""/>
      <w:lvlJc w:val="left"/>
      <w:pPr>
        <w:ind w:left="2907" w:hanging="360"/>
      </w:pPr>
      <w:rPr>
        <w:rFonts w:ascii="Wingdings" w:hAnsi="Wingdings" w:hint="default"/>
        <w:color w:val="auto"/>
        <w:sz w:val="22"/>
      </w:rPr>
    </w:lvl>
    <w:lvl w:ilvl="3" w:tplc="CC0C61D2">
      <w:start w:val="4"/>
      <w:numFmt w:val="decimal"/>
      <w:lvlText w:val="%4."/>
      <w:lvlJc w:val="left"/>
      <w:pPr>
        <w:ind w:left="3447" w:hanging="360"/>
      </w:pPr>
      <w:rPr>
        <w:rFonts w:hint="default"/>
      </w:r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6">
    <w:nsid w:val="6FF1415B"/>
    <w:multiLevelType w:val="hybridMultilevel"/>
    <w:tmpl w:val="0B10CD5C"/>
    <w:lvl w:ilvl="0" w:tplc="04180009">
      <w:start w:val="1"/>
      <w:numFmt w:val="bullet"/>
      <w:lvlText w:val=""/>
      <w:lvlJc w:val="left"/>
      <w:pPr>
        <w:ind w:left="1400" w:hanging="360"/>
      </w:pPr>
      <w:rPr>
        <w:rFonts w:ascii="Wingdings" w:hAnsi="Wingdings" w:hint="default"/>
        <w:color w:val="auto"/>
        <w:sz w:val="22"/>
      </w:rPr>
    </w:lvl>
    <w:lvl w:ilvl="1" w:tplc="04180003" w:tentative="1">
      <w:start w:val="1"/>
      <w:numFmt w:val="bullet"/>
      <w:lvlText w:val="o"/>
      <w:lvlJc w:val="left"/>
      <w:pPr>
        <w:ind w:left="2120" w:hanging="360"/>
      </w:pPr>
      <w:rPr>
        <w:rFonts w:ascii="Courier New" w:hAnsi="Courier New" w:cs="Courier New" w:hint="default"/>
      </w:rPr>
    </w:lvl>
    <w:lvl w:ilvl="2" w:tplc="04180005" w:tentative="1">
      <w:start w:val="1"/>
      <w:numFmt w:val="bullet"/>
      <w:lvlText w:val=""/>
      <w:lvlJc w:val="left"/>
      <w:pPr>
        <w:ind w:left="2840" w:hanging="360"/>
      </w:pPr>
      <w:rPr>
        <w:rFonts w:ascii="Wingdings" w:hAnsi="Wingdings" w:hint="default"/>
      </w:rPr>
    </w:lvl>
    <w:lvl w:ilvl="3" w:tplc="04180001" w:tentative="1">
      <w:start w:val="1"/>
      <w:numFmt w:val="bullet"/>
      <w:lvlText w:val=""/>
      <w:lvlJc w:val="left"/>
      <w:pPr>
        <w:ind w:left="3560" w:hanging="360"/>
      </w:pPr>
      <w:rPr>
        <w:rFonts w:ascii="Symbol" w:hAnsi="Symbol" w:hint="default"/>
      </w:rPr>
    </w:lvl>
    <w:lvl w:ilvl="4" w:tplc="04180003" w:tentative="1">
      <w:start w:val="1"/>
      <w:numFmt w:val="bullet"/>
      <w:lvlText w:val="o"/>
      <w:lvlJc w:val="left"/>
      <w:pPr>
        <w:ind w:left="4280" w:hanging="360"/>
      </w:pPr>
      <w:rPr>
        <w:rFonts w:ascii="Courier New" w:hAnsi="Courier New" w:cs="Courier New" w:hint="default"/>
      </w:rPr>
    </w:lvl>
    <w:lvl w:ilvl="5" w:tplc="04180005" w:tentative="1">
      <w:start w:val="1"/>
      <w:numFmt w:val="bullet"/>
      <w:lvlText w:val=""/>
      <w:lvlJc w:val="left"/>
      <w:pPr>
        <w:ind w:left="5000" w:hanging="360"/>
      </w:pPr>
      <w:rPr>
        <w:rFonts w:ascii="Wingdings" w:hAnsi="Wingdings" w:hint="default"/>
      </w:rPr>
    </w:lvl>
    <w:lvl w:ilvl="6" w:tplc="04180001" w:tentative="1">
      <w:start w:val="1"/>
      <w:numFmt w:val="bullet"/>
      <w:lvlText w:val=""/>
      <w:lvlJc w:val="left"/>
      <w:pPr>
        <w:ind w:left="5720" w:hanging="360"/>
      </w:pPr>
      <w:rPr>
        <w:rFonts w:ascii="Symbol" w:hAnsi="Symbol" w:hint="default"/>
      </w:rPr>
    </w:lvl>
    <w:lvl w:ilvl="7" w:tplc="04180003" w:tentative="1">
      <w:start w:val="1"/>
      <w:numFmt w:val="bullet"/>
      <w:lvlText w:val="o"/>
      <w:lvlJc w:val="left"/>
      <w:pPr>
        <w:ind w:left="6440" w:hanging="360"/>
      </w:pPr>
      <w:rPr>
        <w:rFonts w:ascii="Courier New" w:hAnsi="Courier New" w:cs="Courier New" w:hint="default"/>
      </w:rPr>
    </w:lvl>
    <w:lvl w:ilvl="8" w:tplc="04180005" w:tentative="1">
      <w:start w:val="1"/>
      <w:numFmt w:val="bullet"/>
      <w:lvlText w:val=""/>
      <w:lvlJc w:val="left"/>
      <w:pPr>
        <w:ind w:left="7160" w:hanging="360"/>
      </w:pPr>
      <w:rPr>
        <w:rFonts w:ascii="Wingdings" w:hAnsi="Wingdings" w:hint="default"/>
      </w:rPr>
    </w:lvl>
  </w:abstractNum>
  <w:abstractNum w:abstractNumId="17">
    <w:nsid w:val="70203FF1"/>
    <w:multiLevelType w:val="multilevel"/>
    <w:tmpl w:val="07221670"/>
    <w:lvl w:ilvl="0">
      <w:start w:val="1"/>
      <w:numFmt w:val="bullet"/>
      <w:lvlText w:val=""/>
      <w:lvlJc w:val="left"/>
      <w:pPr>
        <w:tabs>
          <w:tab w:val="num" w:pos="1440"/>
        </w:tabs>
        <w:ind w:left="1440" w:hanging="360"/>
      </w:pPr>
      <w:rPr>
        <w:rFonts w:ascii="Wingdings" w:hAnsi="Wingdings" w:hint="default"/>
        <w:szCs w:val="24"/>
      </w:rPr>
    </w:lvl>
    <w:lvl w:ilvl="1">
      <w:start w:val="1"/>
      <w:numFmt w:val="bullet"/>
      <w:lvlText w:val=""/>
      <w:lvlJc w:val="left"/>
      <w:pPr>
        <w:tabs>
          <w:tab w:val="num" w:pos="1800"/>
        </w:tabs>
        <w:ind w:left="1800" w:hanging="360"/>
      </w:pPr>
      <w:rPr>
        <w:rFonts w:ascii="Wingdings" w:hAnsi="Wingdings" w:cs="OpenSymbol"/>
        <w:szCs w:val="24"/>
      </w:rPr>
    </w:lvl>
    <w:lvl w:ilvl="2">
      <w:start w:val="1"/>
      <w:numFmt w:val="bullet"/>
      <w:lvlText w:val=""/>
      <w:lvlJc w:val="left"/>
      <w:pPr>
        <w:tabs>
          <w:tab w:val="num" w:pos="2160"/>
        </w:tabs>
        <w:ind w:left="2160" w:hanging="360"/>
      </w:pPr>
      <w:rPr>
        <w:rFonts w:ascii="Wingdings" w:hAnsi="Wingdings" w:cs="OpenSymbol"/>
        <w:szCs w:val="24"/>
      </w:rPr>
    </w:lvl>
    <w:lvl w:ilvl="3">
      <w:start w:val="1"/>
      <w:numFmt w:val="bullet"/>
      <w:lvlText w:val=""/>
      <w:lvlJc w:val="left"/>
      <w:pPr>
        <w:tabs>
          <w:tab w:val="num" w:pos="2520"/>
        </w:tabs>
        <w:ind w:left="2520" w:hanging="360"/>
      </w:pPr>
      <w:rPr>
        <w:rFonts w:ascii="Wingdings" w:hAnsi="Wingdings" w:cs="OpenSymbol"/>
        <w:szCs w:val="24"/>
      </w:rPr>
    </w:lvl>
    <w:lvl w:ilvl="4">
      <w:start w:val="1"/>
      <w:numFmt w:val="bullet"/>
      <w:lvlText w:val=""/>
      <w:lvlJc w:val="left"/>
      <w:pPr>
        <w:tabs>
          <w:tab w:val="num" w:pos="2880"/>
        </w:tabs>
        <w:ind w:left="2880" w:hanging="360"/>
      </w:pPr>
      <w:rPr>
        <w:rFonts w:ascii="Wingdings" w:hAnsi="Wingdings" w:cs="OpenSymbol"/>
        <w:szCs w:val="24"/>
      </w:rPr>
    </w:lvl>
    <w:lvl w:ilvl="5">
      <w:start w:val="1"/>
      <w:numFmt w:val="bullet"/>
      <w:lvlText w:val=""/>
      <w:lvlJc w:val="left"/>
      <w:pPr>
        <w:tabs>
          <w:tab w:val="num" w:pos="3240"/>
        </w:tabs>
        <w:ind w:left="3240" w:hanging="360"/>
      </w:pPr>
      <w:rPr>
        <w:rFonts w:ascii="Wingdings" w:hAnsi="Wingdings" w:cs="OpenSymbol"/>
        <w:szCs w:val="24"/>
      </w:rPr>
    </w:lvl>
    <w:lvl w:ilvl="6">
      <w:start w:val="1"/>
      <w:numFmt w:val="bullet"/>
      <w:lvlText w:val=""/>
      <w:lvlJc w:val="left"/>
      <w:pPr>
        <w:tabs>
          <w:tab w:val="num" w:pos="3600"/>
        </w:tabs>
        <w:ind w:left="3600" w:hanging="360"/>
      </w:pPr>
      <w:rPr>
        <w:rFonts w:ascii="Wingdings" w:hAnsi="Wingdings" w:cs="OpenSymbol"/>
        <w:szCs w:val="24"/>
      </w:rPr>
    </w:lvl>
    <w:lvl w:ilvl="7">
      <w:start w:val="1"/>
      <w:numFmt w:val="bullet"/>
      <w:lvlText w:val=""/>
      <w:lvlJc w:val="left"/>
      <w:pPr>
        <w:tabs>
          <w:tab w:val="num" w:pos="3960"/>
        </w:tabs>
        <w:ind w:left="3960" w:hanging="360"/>
      </w:pPr>
      <w:rPr>
        <w:rFonts w:ascii="Wingdings" w:hAnsi="Wingdings" w:cs="OpenSymbol"/>
        <w:szCs w:val="24"/>
      </w:rPr>
    </w:lvl>
    <w:lvl w:ilvl="8">
      <w:start w:val="1"/>
      <w:numFmt w:val="bullet"/>
      <w:lvlText w:val=""/>
      <w:lvlJc w:val="left"/>
      <w:pPr>
        <w:tabs>
          <w:tab w:val="num" w:pos="4320"/>
        </w:tabs>
        <w:ind w:left="4320" w:hanging="360"/>
      </w:pPr>
      <w:rPr>
        <w:rFonts w:ascii="Wingdings" w:hAnsi="Wingdings" w:cs="OpenSymbol"/>
        <w:szCs w:val="24"/>
      </w:rPr>
    </w:lvl>
  </w:abstractNum>
  <w:abstractNum w:abstractNumId="18">
    <w:nsid w:val="7AAD0054"/>
    <w:multiLevelType w:val="hybridMultilevel"/>
    <w:tmpl w:val="7D8014CC"/>
    <w:lvl w:ilvl="0" w:tplc="04180009">
      <w:start w:val="1"/>
      <w:numFmt w:val="bullet"/>
      <w:lvlText w:val=""/>
      <w:lvlJc w:val="left"/>
      <w:pPr>
        <w:ind w:left="2160" w:hanging="360"/>
      </w:pPr>
      <w:rPr>
        <w:rFonts w:ascii="Wingdings" w:hAnsi="Wingdings"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num w:numId="1">
    <w:abstractNumId w:val="14"/>
  </w:num>
  <w:num w:numId="2">
    <w:abstractNumId w:val="15"/>
  </w:num>
  <w:num w:numId="3">
    <w:abstractNumId w:val="13"/>
  </w:num>
  <w:num w:numId="4">
    <w:abstractNumId w:val="3"/>
  </w:num>
  <w:num w:numId="5">
    <w:abstractNumId w:val="17"/>
  </w:num>
  <w:num w:numId="6">
    <w:abstractNumId w:val="10"/>
  </w:num>
  <w:num w:numId="7">
    <w:abstractNumId w:val="8"/>
  </w:num>
  <w:num w:numId="8">
    <w:abstractNumId w:val="12"/>
  </w:num>
  <w:num w:numId="9">
    <w:abstractNumId w:val="7"/>
  </w:num>
  <w:num w:numId="10">
    <w:abstractNumId w:val="9"/>
  </w:num>
  <w:num w:numId="11">
    <w:abstractNumId w:val="18"/>
  </w:num>
  <w:num w:numId="12">
    <w:abstractNumId w:val="6"/>
  </w:num>
  <w:num w:numId="13">
    <w:abstractNumId w:val="11"/>
  </w:num>
  <w:num w:numId="14">
    <w:abstractNumId w:val="16"/>
  </w:num>
  <w:num w:numId="15">
    <w:abstractNumId w:val="4"/>
  </w:num>
  <w:num w:numId="1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C4"/>
    <w:rsid w:val="00000B46"/>
    <w:rsid w:val="00004284"/>
    <w:rsid w:val="00006DDD"/>
    <w:rsid w:val="00006FE6"/>
    <w:rsid w:val="0002178B"/>
    <w:rsid w:val="0005391F"/>
    <w:rsid w:val="00060B8F"/>
    <w:rsid w:val="000651AF"/>
    <w:rsid w:val="0006566D"/>
    <w:rsid w:val="00065F94"/>
    <w:rsid w:val="00066A53"/>
    <w:rsid w:val="00072D0B"/>
    <w:rsid w:val="00083123"/>
    <w:rsid w:val="000875A8"/>
    <w:rsid w:val="000A187F"/>
    <w:rsid w:val="000A467F"/>
    <w:rsid w:val="000B0BE3"/>
    <w:rsid w:val="000B4020"/>
    <w:rsid w:val="000B6552"/>
    <w:rsid w:val="000C0D1E"/>
    <w:rsid w:val="000D46FB"/>
    <w:rsid w:val="000D4824"/>
    <w:rsid w:val="00105A75"/>
    <w:rsid w:val="00135155"/>
    <w:rsid w:val="00144AEE"/>
    <w:rsid w:val="001465BE"/>
    <w:rsid w:val="00147BBC"/>
    <w:rsid w:val="00154D8A"/>
    <w:rsid w:val="00155F43"/>
    <w:rsid w:val="001678F2"/>
    <w:rsid w:val="00170CA1"/>
    <w:rsid w:val="00174F48"/>
    <w:rsid w:val="0017578C"/>
    <w:rsid w:val="00180D48"/>
    <w:rsid w:val="00183827"/>
    <w:rsid w:val="001854D7"/>
    <w:rsid w:val="00191D8D"/>
    <w:rsid w:val="00196744"/>
    <w:rsid w:val="00197AF4"/>
    <w:rsid w:val="001A1773"/>
    <w:rsid w:val="001B0710"/>
    <w:rsid w:val="001B7BED"/>
    <w:rsid w:val="001C550F"/>
    <w:rsid w:val="001C7589"/>
    <w:rsid w:val="001D00F4"/>
    <w:rsid w:val="001D1F40"/>
    <w:rsid w:val="001E0833"/>
    <w:rsid w:val="001E1FAC"/>
    <w:rsid w:val="001E319D"/>
    <w:rsid w:val="001E31E7"/>
    <w:rsid w:val="001F084B"/>
    <w:rsid w:val="001F2287"/>
    <w:rsid w:val="001F31C5"/>
    <w:rsid w:val="001F321D"/>
    <w:rsid w:val="001F3C47"/>
    <w:rsid w:val="00203737"/>
    <w:rsid w:val="0022310F"/>
    <w:rsid w:val="00223FB5"/>
    <w:rsid w:val="0022798C"/>
    <w:rsid w:val="00232B17"/>
    <w:rsid w:val="00232B3C"/>
    <w:rsid w:val="002345FB"/>
    <w:rsid w:val="002370C1"/>
    <w:rsid w:val="00241EAF"/>
    <w:rsid w:val="00243CA2"/>
    <w:rsid w:val="00252A5C"/>
    <w:rsid w:val="00262D00"/>
    <w:rsid w:val="00267B7C"/>
    <w:rsid w:val="002833B0"/>
    <w:rsid w:val="00287682"/>
    <w:rsid w:val="002906CC"/>
    <w:rsid w:val="002C4907"/>
    <w:rsid w:val="002C4AF9"/>
    <w:rsid w:val="002C5421"/>
    <w:rsid w:val="002C59D7"/>
    <w:rsid w:val="002C735C"/>
    <w:rsid w:val="002E037D"/>
    <w:rsid w:val="002F6658"/>
    <w:rsid w:val="003058A8"/>
    <w:rsid w:val="00307398"/>
    <w:rsid w:val="00310CE6"/>
    <w:rsid w:val="00314A7F"/>
    <w:rsid w:val="003349C9"/>
    <w:rsid w:val="00342188"/>
    <w:rsid w:val="00344803"/>
    <w:rsid w:val="0034492A"/>
    <w:rsid w:val="00346FFE"/>
    <w:rsid w:val="00352140"/>
    <w:rsid w:val="00355DAA"/>
    <w:rsid w:val="0038426B"/>
    <w:rsid w:val="0038491E"/>
    <w:rsid w:val="00384D95"/>
    <w:rsid w:val="00386E53"/>
    <w:rsid w:val="00395F32"/>
    <w:rsid w:val="003B2CDF"/>
    <w:rsid w:val="003B4BED"/>
    <w:rsid w:val="003B4EA0"/>
    <w:rsid w:val="003B531C"/>
    <w:rsid w:val="003C2245"/>
    <w:rsid w:val="003C2741"/>
    <w:rsid w:val="003C6EA0"/>
    <w:rsid w:val="003D0192"/>
    <w:rsid w:val="003D3922"/>
    <w:rsid w:val="003D547F"/>
    <w:rsid w:val="003E4D3E"/>
    <w:rsid w:val="003E5124"/>
    <w:rsid w:val="003E54CD"/>
    <w:rsid w:val="003E5810"/>
    <w:rsid w:val="003E5F89"/>
    <w:rsid w:val="00406434"/>
    <w:rsid w:val="00406F25"/>
    <w:rsid w:val="004403C4"/>
    <w:rsid w:val="00441939"/>
    <w:rsid w:val="00446370"/>
    <w:rsid w:val="00446691"/>
    <w:rsid w:val="00446D9C"/>
    <w:rsid w:val="0045273D"/>
    <w:rsid w:val="00467C3F"/>
    <w:rsid w:val="0047248B"/>
    <w:rsid w:val="0047638C"/>
    <w:rsid w:val="00483010"/>
    <w:rsid w:val="00493544"/>
    <w:rsid w:val="00493E89"/>
    <w:rsid w:val="004A0EFF"/>
    <w:rsid w:val="004C393E"/>
    <w:rsid w:val="004D3BAE"/>
    <w:rsid w:val="004D5CE1"/>
    <w:rsid w:val="004E2452"/>
    <w:rsid w:val="004E406D"/>
    <w:rsid w:val="004F494F"/>
    <w:rsid w:val="00500555"/>
    <w:rsid w:val="0050101A"/>
    <w:rsid w:val="00503B0B"/>
    <w:rsid w:val="005125A1"/>
    <w:rsid w:val="00525D24"/>
    <w:rsid w:val="005275F7"/>
    <w:rsid w:val="00531E2B"/>
    <w:rsid w:val="00532478"/>
    <w:rsid w:val="00532C95"/>
    <w:rsid w:val="005364D7"/>
    <w:rsid w:val="00540A55"/>
    <w:rsid w:val="00542CC9"/>
    <w:rsid w:val="0055194F"/>
    <w:rsid w:val="00553FEF"/>
    <w:rsid w:val="0056154D"/>
    <w:rsid w:val="005663C4"/>
    <w:rsid w:val="00570371"/>
    <w:rsid w:val="00572238"/>
    <w:rsid w:val="0057610D"/>
    <w:rsid w:val="00584125"/>
    <w:rsid w:val="00593732"/>
    <w:rsid w:val="00593BF0"/>
    <w:rsid w:val="005A1564"/>
    <w:rsid w:val="005C110D"/>
    <w:rsid w:val="005C1C87"/>
    <w:rsid w:val="005C6217"/>
    <w:rsid w:val="005D1DFE"/>
    <w:rsid w:val="005D50AA"/>
    <w:rsid w:val="005D7882"/>
    <w:rsid w:val="00601209"/>
    <w:rsid w:val="00601CFD"/>
    <w:rsid w:val="006305B7"/>
    <w:rsid w:val="00640213"/>
    <w:rsid w:val="00642CE8"/>
    <w:rsid w:val="00652CF8"/>
    <w:rsid w:val="006662DC"/>
    <w:rsid w:val="00666AAF"/>
    <w:rsid w:val="00690D36"/>
    <w:rsid w:val="006A1B46"/>
    <w:rsid w:val="006B1124"/>
    <w:rsid w:val="006B43C4"/>
    <w:rsid w:val="006D4230"/>
    <w:rsid w:val="006D599B"/>
    <w:rsid w:val="006D6E71"/>
    <w:rsid w:val="006E5C9D"/>
    <w:rsid w:val="006E60E3"/>
    <w:rsid w:val="006E6C8A"/>
    <w:rsid w:val="006F3E60"/>
    <w:rsid w:val="006F4BE5"/>
    <w:rsid w:val="00704D34"/>
    <w:rsid w:val="007111AF"/>
    <w:rsid w:val="00711E39"/>
    <w:rsid w:val="00714936"/>
    <w:rsid w:val="007167DE"/>
    <w:rsid w:val="007207DF"/>
    <w:rsid w:val="007350FB"/>
    <w:rsid w:val="0074137E"/>
    <w:rsid w:val="00741CC2"/>
    <w:rsid w:val="00743B20"/>
    <w:rsid w:val="00752570"/>
    <w:rsid w:val="007530B8"/>
    <w:rsid w:val="007577B2"/>
    <w:rsid w:val="00770409"/>
    <w:rsid w:val="007747E1"/>
    <w:rsid w:val="0077567F"/>
    <w:rsid w:val="007839F1"/>
    <w:rsid w:val="00786028"/>
    <w:rsid w:val="007A351E"/>
    <w:rsid w:val="007B0021"/>
    <w:rsid w:val="007B1A18"/>
    <w:rsid w:val="007B4E33"/>
    <w:rsid w:val="007B7DE2"/>
    <w:rsid w:val="007C0390"/>
    <w:rsid w:val="007C4F03"/>
    <w:rsid w:val="007C6588"/>
    <w:rsid w:val="007E04FF"/>
    <w:rsid w:val="007E5C0F"/>
    <w:rsid w:val="0082412C"/>
    <w:rsid w:val="00830F0D"/>
    <w:rsid w:val="008412C1"/>
    <w:rsid w:val="008643B0"/>
    <w:rsid w:val="0086691C"/>
    <w:rsid w:val="008710E6"/>
    <w:rsid w:val="008765E8"/>
    <w:rsid w:val="0088572D"/>
    <w:rsid w:val="008863DB"/>
    <w:rsid w:val="00896646"/>
    <w:rsid w:val="008A09B8"/>
    <w:rsid w:val="008A3A90"/>
    <w:rsid w:val="008A5038"/>
    <w:rsid w:val="008B3560"/>
    <w:rsid w:val="008B41F6"/>
    <w:rsid w:val="008B4FEA"/>
    <w:rsid w:val="008B509B"/>
    <w:rsid w:val="008B66B3"/>
    <w:rsid w:val="008C70D1"/>
    <w:rsid w:val="008D4FE6"/>
    <w:rsid w:val="008D6F4B"/>
    <w:rsid w:val="008E3EC0"/>
    <w:rsid w:val="008F3967"/>
    <w:rsid w:val="008F7BBB"/>
    <w:rsid w:val="009015CD"/>
    <w:rsid w:val="00906A7E"/>
    <w:rsid w:val="009124C0"/>
    <w:rsid w:val="0091264D"/>
    <w:rsid w:val="0091356D"/>
    <w:rsid w:val="009168ED"/>
    <w:rsid w:val="009306D3"/>
    <w:rsid w:val="009364F0"/>
    <w:rsid w:val="00937CD4"/>
    <w:rsid w:val="00940BDB"/>
    <w:rsid w:val="009414F6"/>
    <w:rsid w:val="00945CDE"/>
    <w:rsid w:val="0095144E"/>
    <w:rsid w:val="00953D2F"/>
    <w:rsid w:val="0095421F"/>
    <w:rsid w:val="009563D4"/>
    <w:rsid w:val="00956912"/>
    <w:rsid w:val="00967BE6"/>
    <w:rsid w:val="00967C0E"/>
    <w:rsid w:val="00967D74"/>
    <w:rsid w:val="00970F67"/>
    <w:rsid w:val="009727CF"/>
    <w:rsid w:val="00974E1A"/>
    <w:rsid w:val="009754AE"/>
    <w:rsid w:val="009774BD"/>
    <w:rsid w:val="009778A4"/>
    <w:rsid w:val="009815B7"/>
    <w:rsid w:val="00987A6E"/>
    <w:rsid w:val="009A5AAA"/>
    <w:rsid w:val="009C2A3D"/>
    <w:rsid w:val="009C6832"/>
    <w:rsid w:val="009D6D45"/>
    <w:rsid w:val="009E25E4"/>
    <w:rsid w:val="009E565A"/>
    <w:rsid w:val="009F4875"/>
    <w:rsid w:val="009F58DB"/>
    <w:rsid w:val="009F5991"/>
    <w:rsid w:val="00A04D92"/>
    <w:rsid w:val="00A04E91"/>
    <w:rsid w:val="00A103CF"/>
    <w:rsid w:val="00A139E7"/>
    <w:rsid w:val="00A13D67"/>
    <w:rsid w:val="00A218DA"/>
    <w:rsid w:val="00A249D5"/>
    <w:rsid w:val="00A26E1A"/>
    <w:rsid w:val="00A344D2"/>
    <w:rsid w:val="00A442C4"/>
    <w:rsid w:val="00A575FB"/>
    <w:rsid w:val="00A62D1E"/>
    <w:rsid w:val="00A63A72"/>
    <w:rsid w:val="00A84AAE"/>
    <w:rsid w:val="00A86D78"/>
    <w:rsid w:val="00A90B77"/>
    <w:rsid w:val="00A92000"/>
    <w:rsid w:val="00A9347D"/>
    <w:rsid w:val="00A9353E"/>
    <w:rsid w:val="00A95C7E"/>
    <w:rsid w:val="00AA1EED"/>
    <w:rsid w:val="00AA3311"/>
    <w:rsid w:val="00AB37A9"/>
    <w:rsid w:val="00AC4B34"/>
    <w:rsid w:val="00AD228D"/>
    <w:rsid w:val="00AD6713"/>
    <w:rsid w:val="00AE1944"/>
    <w:rsid w:val="00AE3CDA"/>
    <w:rsid w:val="00AE4A80"/>
    <w:rsid w:val="00AF5CFF"/>
    <w:rsid w:val="00B008D3"/>
    <w:rsid w:val="00B16822"/>
    <w:rsid w:val="00B21A9C"/>
    <w:rsid w:val="00B435CF"/>
    <w:rsid w:val="00B450D8"/>
    <w:rsid w:val="00B56A27"/>
    <w:rsid w:val="00B573EC"/>
    <w:rsid w:val="00B6374D"/>
    <w:rsid w:val="00B647C8"/>
    <w:rsid w:val="00B76DC7"/>
    <w:rsid w:val="00B8349F"/>
    <w:rsid w:val="00B8712E"/>
    <w:rsid w:val="00BA2D78"/>
    <w:rsid w:val="00BA444B"/>
    <w:rsid w:val="00BA6E6C"/>
    <w:rsid w:val="00BB0851"/>
    <w:rsid w:val="00BC3785"/>
    <w:rsid w:val="00BC70E3"/>
    <w:rsid w:val="00BD4E32"/>
    <w:rsid w:val="00BD7F81"/>
    <w:rsid w:val="00BF4126"/>
    <w:rsid w:val="00C00E3B"/>
    <w:rsid w:val="00C265A3"/>
    <w:rsid w:val="00C27619"/>
    <w:rsid w:val="00C3380F"/>
    <w:rsid w:val="00C3536F"/>
    <w:rsid w:val="00C375A2"/>
    <w:rsid w:val="00C40D75"/>
    <w:rsid w:val="00C410EC"/>
    <w:rsid w:val="00C425E2"/>
    <w:rsid w:val="00C45B65"/>
    <w:rsid w:val="00C64251"/>
    <w:rsid w:val="00C662AF"/>
    <w:rsid w:val="00C714D4"/>
    <w:rsid w:val="00C75356"/>
    <w:rsid w:val="00C82AAE"/>
    <w:rsid w:val="00C8367B"/>
    <w:rsid w:val="00C86610"/>
    <w:rsid w:val="00CA3B04"/>
    <w:rsid w:val="00CB0DBE"/>
    <w:rsid w:val="00CB6389"/>
    <w:rsid w:val="00CC0032"/>
    <w:rsid w:val="00CD7EDF"/>
    <w:rsid w:val="00CE1F98"/>
    <w:rsid w:val="00CE22AC"/>
    <w:rsid w:val="00CF0E9F"/>
    <w:rsid w:val="00CF5A1F"/>
    <w:rsid w:val="00D04A87"/>
    <w:rsid w:val="00D10850"/>
    <w:rsid w:val="00D12BA2"/>
    <w:rsid w:val="00D133EF"/>
    <w:rsid w:val="00D21D50"/>
    <w:rsid w:val="00D26276"/>
    <w:rsid w:val="00D3028A"/>
    <w:rsid w:val="00D404DE"/>
    <w:rsid w:val="00D44756"/>
    <w:rsid w:val="00D511A6"/>
    <w:rsid w:val="00D51B3E"/>
    <w:rsid w:val="00D5296E"/>
    <w:rsid w:val="00D53AF4"/>
    <w:rsid w:val="00D56048"/>
    <w:rsid w:val="00D6065B"/>
    <w:rsid w:val="00D6572B"/>
    <w:rsid w:val="00D67DD0"/>
    <w:rsid w:val="00D75673"/>
    <w:rsid w:val="00D756C1"/>
    <w:rsid w:val="00D80060"/>
    <w:rsid w:val="00D853E1"/>
    <w:rsid w:val="00D908ED"/>
    <w:rsid w:val="00D90927"/>
    <w:rsid w:val="00D920EB"/>
    <w:rsid w:val="00DA17B7"/>
    <w:rsid w:val="00DA6A3F"/>
    <w:rsid w:val="00DB7D0C"/>
    <w:rsid w:val="00DC0ECE"/>
    <w:rsid w:val="00DC191D"/>
    <w:rsid w:val="00DC7F79"/>
    <w:rsid w:val="00DD201B"/>
    <w:rsid w:val="00DF66E3"/>
    <w:rsid w:val="00DF6DC8"/>
    <w:rsid w:val="00DF7267"/>
    <w:rsid w:val="00E0258E"/>
    <w:rsid w:val="00E04FC0"/>
    <w:rsid w:val="00E06F2E"/>
    <w:rsid w:val="00E12457"/>
    <w:rsid w:val="00E22BD3"/>
    <w:rsid w:val="00E23916"/>
    <w:rsid w:val="00E244F3"/>
    <w:rsid w:val="00E3087D"/>
    <w:rsid w:val="00E3539E"/>
    <w:rsid w:val="00E37BD3"/>
    <w:rsid w:val="00E44448"/>
    <w:rsid w:val="00E53CD8"/>
    <w:rsid w:val="00E564EA"/>
    <w:rsid w:val="00E65423"/>
    <w:rsid w:val="00E73EFB"/>
    <w:rsid w:val="00E77879"/>
    <w:rsid w:val="00EA0607"/>
    <w:rsid w:val="00EB000E"/>
    <w:rsid w:val="00EB1E40"/>
    <w:rsid w:val="00EC3D46"/>
    <w:rsid w:val="00ED0F2E"/>
    <w:rsid w:val="00ED17D7"/>
    <w:rsid w:val="00ED6C33"/>
    <w:rsid w:val="00EE2635"/>
    <w:rsid w:val="00F00EB5"/>
    <w:rsid w:val="00F02136"/>
    <w:rsid w:val="00F02AD1"/>
    <w:rsid w:val="00F04FBB"/>
    <w:rsid w:val="00F05D25"/>
    <w:rsid w:val="00F065DE"/>
    <w:rsid w:val="00F204DD"/>
    <w:rsid w:val="00F213DC"/>
    <w:rsid w:val="00F22950"/>
    <w:rsid w:val="00F248EB"/>
    <w:rsid w:val="00F60C4C"/>
    <w:rsid w:val="00F612FE"/>
    <w:rsid w:val="00F63836"/>
    <w:rsid w:val="00F63CAF"/>
    <w:rsid w:val="00F77BD7"/>
    <w:rsid w:val="00F93CAD"/>
    <w:rsid w:val="00FA0452"/>
    <w:rsid w:val="00FA554F"/>
    <w:rsid w:val="00FA64BD"/>
    <w:rsid w:val="00FB55E8"/>
    <w:rsid w:val="00FD47E5"/>
    <w:rsid w:val="00FD7A40"/>
    <w:rsid w:val="00FD7CCF"/>
    <w:rsid w:val="00FE0BCB"/>
    <w:rsid w:val="00FE0C7D"/>
    <w:rsid w:val="00FE1664"/>
    <w:rsid w:val="00FF13C9"/>
    <w:rsid w:val="00FF5682"/>
    <w:rsid w:val="00FF6A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289D2C-EA68-49AB-991F-6EC630BC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40" w:line="276" w:lineRule="auto"/>
        <w:ind w:hanging="35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56D"/>
  </w:style>
  <w:style w:type="paragraph" w:styleId="Heading1">
    <w:name w:val="heading 1"/>
    <w:aliases w:val=" Caracter"/>
    <w:basedOn w:val="Normal"/>
    <w:next w:val="Normal"/>
    <w:link w:val="Heading1Char"/>
    <w:qFormat/>
    <w:rsid w:val="007C4F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aracter Char"/>
    <w:basedOn w:val="DefaultParagraphFont"/>
    <w:link w:val="Heading1"/>
    <w:rsid w:val="007C4F0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C4F03"/>
    <w:pPr>
      <w:outlineLvl w:val="9"/>
    </w:pPr>
    <w:rPr>
      <w:lang w:val="en-US"/>
    </w:rPr>
  </w:style>
  <w:style w:type="paragraph" w:styleId="ListParagraph">
    <w:name w:val="List Paragraph"/>
    <w:basedOn w:val="Normal"/>
    <w:qFormat/>
    <w:rsid w:val="007C4F03"/>
    <w:pPr>
      <w:ind w:left="720"/>
      <w:contextualSpacing/>
    </w:pPr>
  </w:style>
  <w:style w:type="paragraph" w:styleId="TOC1">
    <w:name w:val="toc 1"/>
    <w:basedOn w:val="Normal"/>
    <w:next w:val="Normal"/>
    <w:autoRedefine/>
    <w:uiPriority w:val="39"/>
    <w:unhideWhenUsed/>
    <w:rsid w:val="00601209"/>
    <w:pPr>
      <w:tabs>
        <w:tab w:val="left" w:pos="426"/>
        <w:tab w:val="right" w:leader="dot" w:pos="9062"/>
      </w:tabs>
      <w:spacing w:after="100"/>
    </w:pPr>
  </w:style>
  <w:style w:type="character" w:styleId="Hyperlink">
    <w:name w:val="Hyperlink"/>
    <w:basedOn w:val="DefaultParagraphFont"/>
    <w:uiPriority w:val="99"/>
    <w:unhideWhenUsed/>
    <w:rsid w:val="007C4F03"/>
    <w:rPr>
      <w:color w:val="0563C1" w:themeColor="hyperlink"/>
      <w:u w:val="single"/>
    </w:rPr>
  </w:style>
  <w:style w:type="paragraph" w:styleId="FootnoteText">
    <w:name w:val="footnote text"/>
    <w:aliases w:val="Footnote,Fußnote,Tekst przypisu,Tekst przypisu Znak Znak Znak Znak,Tekst przypisu Znak Znak Znak Znak Znak,Tekst przypisu Znak Znak Znak Znak Znak Znak Znak,Tekst przypisu Znak Znak Znak Znak Znak Znak Znak Znak Zn,fn,single space"/>
    <w:basedOn w:val="Normal"/>
    <w:link w:val="FootnoteTextChar"/>
    <w:semiHidden/>
    <w:rsid w:val="007C4F03"/>
    <w:pPr>
      <w:spacing w:after="0" w:line="240" w:lineRule="auto"/>
    </w:pPr>
    <w:rPr>
      <w:rFonts w:ascii="Times New Roman" w:eastAsia="Times New Roman" w:hAnsi="Times New Roman" w:cs="Times New Roman"/>
      <w:sz w:val="20"/>
      <w:szCs w:val="20"/>
      <w:lang w:eastAsia="ro-RO"/>
    </w:rPr>
  </w:style>
  <w:style w:type="character" w:customStyle="1" w:styleId="FootnoteTextChar">
    <w:name w:val="Footnote Text Char"/>
    <w:aliases w:val="Footnote Char,Fußnote Char,Tekst przypisu Char,Tekst przypisu Znak Znak Znak Znak Char,Tekst przypisu Znak Znak Znak Znak Znak Char,Tekst przypisu Znak Znak Znak Znak Znak Znak Znak Char,fn Char,single space Char"/>
    <w:basedOn w:val="DefaultParagraphFont"/>
    <w:link w:val="FootnoteText"/>
    <w:semiHidden/>
    <w:rsid w:val="007C4F03"/>
    <w:rPr>
      <w:rFonts w:ascii="Times New Roman" w:eastAsia="Times New Roman" w:hAnsi="Times New Roman" w:cs="Times New Roman"/>
      <w:sz w:val="20"/>
      <w:szCs w:val="20"/>
      <w:lang w:eastAsia="ro-RO"/>
    </w:rPr>
  </w:style>
  <w:style w:type="character" w:styleId="FootnoteReference">
    <w:name w:val="footnote reference"/>
    <w:aliases w:val="BVI fnr Char1 Char Char Char Char Char Char1 Char Caracter Char Char Char Char Char Char,Footnote Reference Number Char Char Char Char Char Char Char1 Char Caracter Char Char Char Char Char Char Char Char Char Char Caracter,SUPERS,BVI"/>
    <w:uiPriority w:val="99"/>
    <w:rsid w:val="007C4F03"/>
    <w:rPr>
      <w:vertAlign w:val="superscript"/>
    </w:rPr>
  </w:style>
  <w:style w:type="paragraph" w:styleId="NoSpacing">
    <w:name w:val="No Spacing"/>
    <w:uiPriority w:val="1"/>
    <w:qFormat/>
    <w:rsid w:val="007C4F03"/>
    <w:pPr>
      <w:spacing w:after="0"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F48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875"/>
    <w:rPr>
      <w:rFonts w:ascii="Segoe UI" w:hAnsi="Segoe UI" w:cs="Segoe UI"/>
      <w:sz w:val="18"/>
      <w:szCs w:val="18"/>
    </w:rPr>
  </w:style>
  <w:style w:type="paragraph" w:styleId="EndnoteText">
    <w:name w:val="endnote text"/>
    <w:basedOn w:val="Normal"/>
    <w:link w:val="EndnoteTextChar"/>
    <w:uiPriority w:val="99"/>
    <w:semiHidden/>
    <w:unhideWhenUsed/>
    <w:rsid w:val="00C8661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6610"/>
    <w:rPr>
      <w:sz w:val="20"/>
      <w:szCs w:val="20"/>
    </w:rPr>
  </w:style>
  <w:style w:type="character" w:styleId="EndnoteReference">
    <w:name w:val="endnote reference"/>
    <w:basedOn w:val="DefaultParagraphFont"/>
    <w:uiPriority w:val="99"/>
    <w:semiHidden/>
    <w:unhideWhenUsed/>
    <w:rsid w:val="00C86610"/>
    <w:rPr>
      <w:vertAlign w:val="superscript"/>
    </w:rPr>
  </w:style>
  <w:style w:type="character" w:styleId="Emphasis">
    <w:name w:val="Emphasis"/>
    <w:qFormat/>
    <w:rsid w:val="00D756C1"/>
    <w:rPr>
      <w:i/>
      <w:iCs/>
    </w:rPr>
  </w:style>
  <w:style w:type="paragraph" w:styleId="Header">
    <w:name w:val="header"/>
    <w:basedOn w:val="Normal"/>
    <w:link w:val="HeaderChar"/>
    <w:uiPriority w:val="99"/>
    <w:unhideWhenUsed/>
    <w:rsid w:val="00197AF4"/>
    <w:pPr>
      <w:tabs>
        <w:tab w:val="center" w:pos="4536"/>
        <w:tab w:val="right" w:pos="9072"/>
      </w:tabs>
      <w:spacing w:after="0" w:line="240" w:lineRule="auto"/>
    </w:pPr>
  </w:style>
  <w:style w:type="character" w:customStyle="1" w:styleId="HeaderChar">
    <w:name w:val="Header Char"/>
    <w:basedOn w:val="DefaultParagraphFont"/>
    <w:link w:val="Header"/>
    <w:uiPriority w:val="99"/>
    <w:rsid w:val="00197AF4"/>
  </w:style>
  <w:style w:type="paragraph" w:styleId="Footer">
    <w:name w:val="footer"/>
    <w:basedOn w:val="Normal"/>
    <w:link w:val="FooterChar"/>
    <w:uiPriority w:val="99"/>
    <w:unhideWhenUsed/>
    <w:rsid w:val="00197AF4"/>
    <w:pPr>
      <w:tabs>
        <w:tab w:val="center" w:pos="4536"/>
        <w:tab w:val="right" w:pos="9072"/>
      </w:tabs>
      <w:spacing w:after="0" w:line="240" w:lineRule="auto"/>
    </w:pPr>
  </w:style>
  <w:style w:type="character" w:customStyle="1" w:styleId="FooterChar">
    <w:name w:val="Footer Char"/>
    <w:basedOn w:val="DefaultParagraphFont"/>
    <w:link w:val="Footer"/>
    <w:uiPriority w:val="99"/>
    <w:rsid w:val="00197AF4"/>
  </w:style>
  <w:style w:type="character" w:styleId="CommentReference">
    <w:name w:val="annotation reference"/>
    <w:basedOn w:val="DefaultParagraphFont"/>
    <w:uiPriority w:val="99"/>
    <w:semiHidden/>
    <w:unhideWhenUsed/>
    <w:rsid w:val="00183827"/>
    <w:rPr>
      <w:sz w:val="16"/>
      <w:szCs w:val="16"/>
    </w:rPr>
  </w:style>
  <w:style w:type="paragraph" w:styleId="CommentText">
    <w:name w:val="annotation text"/>
    <w:basedOn w:val="Normal"/>
    <w:link w:val="CommentTextChar"/>
    <w:uiPriority w:val="99"/>
    <w:semiHidden/>
    <w:unhideWhenUsed/>
    <w:rsid w:val="00183827"/>
    <w:pPr>
      <w:spacing w:line="240" w:lineRule="auto"/>
    </w:pPr>
    <w:rPr>
      <w:sz w:val="20"/>
      <w:szCs w:val="20"/>
    </w:rPr>
  </w:style>
  <w:style w:type="character" w:customStyle="1" w:styleId="CommentTextChar">
    <w:name w:val="Comment Text Char"/>
    <w:basedOn w:val="DefaultParagraphFont"/>
    <w:link w:val="CommentText"/>
    <w:uiPriority w:val="99"/>
    <w:semiHidden/>
    <w:rsid w:val="00183827"/>
    <w:rPr>
      <w:sz w:val="20"/>
      <w:szCs w:val="20"/>
    </w:rPr>
  </w:style>
  <w:style w:type="paragraph" w:styleId="CommentSubject">
    <w:name w:val="annotation subject"/>
    <w:basedOn w:val="CommentText"/>
    <w:next w:val="CommentText"/>
    <w:link w:val="CommentSubjectChar"/>
    <w:uiPriority w:val="99"/>
    <w:semiHidden/>
    <w:unhideWhenUsed/>
    <w:rsid w:val="00183827"/>
    <w:rPr>
      <w:b/>
      <w:bCs/>
    </w:rPr>
  </w:style>
  <w:style w:type="character" w:customStyle="1" w:styleId="CommentSubjectChar">
    <w:name w:val="Comment Subject Char"/>
    <w:basedOn w:val="CommentTextChar"/>
    <w:link w:val="CommentSubject"/>
    <w:uiPriority w:val="99"/>
    <w:semiHidden/>
    <w:rsid w:val="00183827"/>
    <w:rPr>
      <w:b/>
      <w:bCs/>
      <w:sz w:val="20"/>
      <w:szCs w:val="20"/>
    </w:rPr>
  </w:style>
  <w:style w:type="paragraph" w:customStyle="1" w:styleId="Caracter2CharCharCaracterCharCharCaracterCharCharCaracterCharChar">
    <w:name w:val="Caracter2 Char Char Caracter Char Char Caracter Char Char Caracter Char Char"/>
    <w:basedOn w:val="Normal"/>
    <w:rsid w:val="008A5038"/>
    <w:pPr>
      <w:spacing w:after="0" w:line="240" w:lineRule="auto"/>
    </w:pPr>
    <w:rPr>
      <w:rFonts w:ascii="Times New Roman" w:eastAsia="Times New Roman" w:hAnsi="Times New Roman" w:cs="Times New Roman"/>
      <w:sz w:val="24"/>
      <w:szCs w:val="24"/>
      <w:lang w:val="pl-PL" w:eastAsia="pl-PL"/>
    </w:rPr>
  </w:style>
  <w:style w:type="paragraph" w:styleId="NormalWeb">
    <w:name w:val="Normal (Web)"/>
    <w:basedOn w:val="Normal"/>
    <w:uiPriority w:val="99"/>
    <w:semiHidden/>
    <w:unhideWhenUsed/>
    <w:rsid w:val="00406434"/>
    <w:rPr>
      <w:rFonts w:ascii="Times New Roman" w:hAnsi="Times New Roman" w:cs="Times New Roman"/>
      <w:sz w:val="24"/>
      <w:szCs w:val="24"/>
    </w:rPr>
  </w:style>
  <w:style w:type="paragraph" w:customStyle="1" w:styleId="Bodytext2">
    <w:name w:val="Body text (2)"/>
    <w:basedOn w:val="Normal"/>
    <w:rsid w:val="00446D9C"/>
    <w:pPr>
      <w:widowControl w:val="0"/>
      <w:shd w:val="clear" w:color="auto" w:fill="FFFFFF"/>
      <w:spacing w:before="780" w:after="0" w:line="413" w:lineRule="exact"/>
      <w:ind w:firstLine="0"/>
    </w:pPr>
    <w:rPr>
      <w:rFonts w:ascii="Arial" w:eastAsia="Arial" w:hAnsi="Arial" w:cs="Arial"/>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73442">
      <w:bodyDiv w:val="1"/>
      <w:marLeft w:val="0"/>
      <w:marRight w:val="0"/>
      <w:marTop w:val="0"/>
      <w:marBottom w:val="0"/>
      <w:divBdr>
        <w:top w:val="none" w:sz="0" w:space="0" w:color="auto"/>
        <w:left w:val="none" w:sz="0" w:space="0" w:color="auto"/>
        <w:bottom w:val="none" w:sz="0" w:space="0" w:color="auto"/>
        <w:right w:val="none" w:sz="0" w:space="0" w:color="auto"/>
      </w:divBdr>
    </w:div>
    <w:div w:id="304822241">
      <w:bodyDiv w:val="1"/>
      <w:marLeft w:val="0"/>
      <w:marRight w:val="0"/>
      <w:marTop w:val="0"/>
      <w:marBottom w:val="0"/>
      <w:divBdr>
        <w:top w:val="none" w:sz="0" w:space="0" w:color="auto"/>
        <w:left w:val="none" w:sz="0" w:space="0" w:color="auto"/>
        <w:bottom w:val="none" w:sz="0" w:space="0" w:color="auto"/>
        <w:right w:val="none" w:sz="0" w:space="0" w:color="auto"/>
      </w:divBdr>
    </w:div>
    <w:div w:id="353116261">
      <w:bodyDiv w:val="1"/>
      <w:marLeft w:val="0"/>
      <w:marRight w:val="0"/>
      <w:marTop w:val="0"/>
      <w:marBottom w:val="0"/>
      <w:divBdr>
        <w:top w:val="none" w:sz="0" w:space="0" w:color="auto"/>
        <w:left w:val="none" w:sz="0" w:space="0" w:color="auto"/>
        <w:bottom w:val="none" w:sz="0" w:space="0" w:color="auto"/>
        <w:right w:val="none" w:sz="0" w:space="0" w:color="auto"/>
      </w:divBdr>
    </w:div>
    <w:div w:id="548416336">
      <w:bodyDiv w:val="1"/>
      <w:marLeft w:val="0"/>
      <w:marRight w:val="0"/>
      <w:marTop w:val="0"/>
      <w:marBottom w:val="0"/>
      <w:divBdr>
        <w:top w:val="none" w:sz="0" w:space="0" w:color="auto"/>
        <w:left w:val="none" w:sz="0" w:space="0" w:color="auto"/>
        <w:bottom w:val="none" w:sz="0" w:space="0" w:color="auto"/>
        <w:right w:val="none" w:sz="0" w:space="0" w:color="auto"/>
      </w:divBdr>
    </w:div>
    <w:div w:id="569778675">
      <w:bodyDiv w:val="1"/>
      <w:marLeft w:val="0"/>
      <w:marRight w:val="0"/>
      <w:marTop w:val="0"/>
      <w:marBottom w:val="0"/>
      <w:divBdr>
        <w:top w:val="none" w:sz="0" w:space="0" w:color="auto"/>
        <w:left w:val="none" w:sz="0" w:space="0" w:color="auto"/>
        <w:bottom w:val="none" w:sz="0" w:space="0" w:color="auto"/>
        <w:right w:val="none" w:sz="0" w:space="0" w:color="auto"/>
      </w:divBdr>
    </w:div>
    <w:div w:id="681198562">
      <w:bodyDiv w:val="1"/>
      <w:marLeft w:val="0"/>
      <w:marRight w:val="0"/>
      <w:marTop w:val="0"/>
      <w:marBottom w:val="0"/>
      <w:divBdr>
        <w:top w:val="none" w:sz="0" w:space="0" w:color="auto"/>
        <w:left w:val="none" w:sz="0" w:space="0" w:color="auto"/>
        <w:bottom w:val="none" w:sz="0" w:space="0" w:color="auto"/>
        <w:right w:val="none" w:sz="0" w:space="0" w:color="auto"/>
      </w:divBdr>
    </w:div>
    <w:div w:id="788933016">
      <w:bodyDiv w:val="1"/>
      <w:marLeft w:val="0"/>
      <w:marRight w:val="0"/>
      <w:marTop w:val="0"/>
      <w:marBottom w:val="0"/>
      <w:divBdr>
        <w:top w:val="none" w:sz="0" w:space="0" w:color="auto"/>
        <w:left w:val="none" w:sz="0" w:space="0" w:color="auto"/>
        <w:bottom w:val="none" w:sz="0" w:space="0" w:color="auto"/>
        <w:right w:val="none" w:sz="0" w:space="0" w:color="auto"/>
      </w:divBdr>
    </w:div>
    <w:div w:id="1053888659">
      <w:bodyDiv w:val="1"/>
      <w:marLeft w:val="0"/>
      <w:marRight w:val="0"/>
      <w:marTop w:val="0"/>
      <w:marBottom w:val="0"/>
      <w:divBdr>
        <w:top w:val="none" w:sz="0" w:space="0" w:color="auto"/>
        <w:left w:val="none" w:sz="0" w:space="0" w:color="auto"/>
        <w:bottom w:val="none" w:sz="0" w:space="0" w:color="auto"/>
        <w:right w:val="none" w:sz="0" w:space="0" w:color="auto"/>
      </w:divBdr>
    </w:div>
    <w:div w:id="1183669206">
      <w:bodyDiv w:val="1"/>
      <w:marLeft w:val="0"/>
      <w:marRight w:val="0"/>
      <w:marTop w:val="0"/>
      <w:marBottom w:val="0"/>
      <w:divBdr>
        <w:top w:val="none" w:sz="0" w:space="0" w:color="auto"/>
        <w:left w:val="none" w:sz="0" w:space="0" w:color="auto"/>
        <w:bottom w:val="none" w:sz="0" w:space="0" w:color="auto"/>
        <w:right w:val="none" w:sz="0" w:space="0" w:color="auto"/>
      </w:divBdr>
    </w:div>
    <w:div w:id="1623611751">
      <w:bodyDiv w:val="1"/>
      <w:marLeft w:val="0"/>
      <w:marRight w:val="0"/>
      <w:marTop w:val="0"/>
      <w:marBottom w:val="0"/>
      <w:divBdr>
        <w:top w:val="none" w:sz="0" w:space="0" w:color="auto"/>
        <w:left w:val="none" w:sz="0" w:space="0" w:color="auto"/>
        <w:bottom w:val="none" w:sz="0" w:space="0" w:color="auto"/>
        <w:right w:val="none" w:sz="0" w:space="0" w:color="auto"/>
      </w:divBdr>
    </w:div>
    <w:div w:id="1672175889">
      <w:bodyDiv w:val="1"/>
      <w:marLeft w:val="0"/>
      <w:marRight w:val="0"/>
      <w:marTop w:val="0"/>
      <w:marBottom w:val="0"/>
      <w:divBdr>
        <w:top w:val="none" w:sz="0" w:space="0" w:color="auto"/>
        <w:left w:val="none" w:sz="0" w:space="0" w:color="auto"/>
        <w:bottom w:val="none" w:sz="0" w:space="0" w:color="auto"/>
        <w:right w:val="none" w:sz="0" w:space="0" w:color="auto"/>
      </w:divBdr>
    </w:div>
    <w:div w:id="1703282475">
      <w:bodyDiv w:val="1"/>
      <w:marLeft w:val="0"/>
      <w:marRight w:val="0"/>
      <w:marTop w:val="0"/>
      <w:marBottom w:val="0"/>
      <w:divBdr>
        <w:top w:val="none" w:sz="0" w:space="0" w:color="auto"/>
        <w:left w:val="none" w:sz="0" w:space="0" w:color="auto"/>
        <w:bottom w:val="none" w:sz="0" w:space="0" w:color="auto"/>
        <w:right w:val="none" w:sz="0" w:space="0" w:color="auto"/>
      </w:divBdr>
    </w:div>
    <w:div w:id="1785538974">
      <w:bodyDiv w:val="1"/>
      <w:marLeft w:val="0"/>
      <w:marRight w:val="0"/>
      <w:marTop w:val="0"/>
      <w:marBottom w:val="0"/>
      <w:divBdr>
        <w:top w:val="none" w:sz="0" w:space="0" w:color="auto"/>
        <w:left w:val="none" w:sz="0" w:space="0" w:color="auto"/>
        <w:bottom w:val="none" w:sz="0" w:space="0" w:color="auto"/>
        <w:right w:val="none" w:sz="0" w:space="0" w:color="auto"/>
      </w:divBdr>
    </w:div>
    <w:div w:id="1832258239">
      <w:bodyDiv w:val="1"/>
      <w:marLeft w:val="0"/>
      <w:marRight w:val="0"/>
      <w:marTop w:val="0"/>
      <w:marBottom w:val="0"/>
      <w:divBdr>
        <w:top w:val="none" w:sz="0" w:space="0" w:color="auto"/>
        <w:left w:val="none" w:sz="0" w:space="0" w:color="auto"/>
        <w:bottom w:val="none" w:sz="0" w:space="0" w:color="auto"/>
        <w:right w:val="none" w:sz="0" w:space="0" w:color="auto"/>
      </w:divBdr>
    </w:div>
    <w:div w:id="1896115792">
      <w:bodyDiv w:val="1"/>
      <w:marLeft w:val="0"/>
      <w:marRight w:val="0"/>
      <w:marTop w:val="0"/>
      <w:marBottom w:val="0"/>
      <w:divBdr>
        <w:top w:val="none" w:sz="0" w:space="0" w:color="auto"/>
        <w:left w:val="none" w:sz="0" w:space="0" w:color="auto"/>
        <w:bottom w:val="none" w:sz="0" w:space="0" w:color="auto"/>
        <w:right w:val="none" w:sz="0" w:space="0" w:color="auto"/>
      </w:divBdr>
    </w:div>
    <w:div w:id="1932422144">
      <w:bodyDiv w:val="1"/>
      <w:marLeft w:val="0"/>
      <w:marRight w:val="0"/>
      <w:marTop w:val="0"/>
      <w:marBottom w:val="0"/>
      <w:divBdr>
        <w:top w:val="none" w:sz="0" w:space="0" w:color="auto"/>
        <w:left w:val="none" w:sz="0" w:space="0" w:color="auto"/>
        <w:bottom w:val="none" w:sz="0" w:space="0" w:color="auto"/>
        <w:right w:val="none" w:sz="0" w:space="0" w:color="auto"/>
      </w:divBdr>
    </w:div>
    <w:div w:id="2043090463">
      <w:bodyDiv w:val="1"/>
      <w:marLeft w:val="0"/>
      <w:marRight w:val="0"/>
      <w:marTop w:val="0"/>
      <w:marBottom w:val="0"/>
      <w:divBdr>
        <w:top w:val="none" w:sz="0" w:space="0" w:color="auto"/>
        <w:left w:val="none" w:sz="0" w:space="0" w:color="auto"/>
        <w:bottom w:val="none" w:sz="0" w:space="0" w:color="auto"/>
        <w:right w:val="none" w:sz="0" w:space="0" w:color="auto"/>
      </w:divBdr>
    </w:div>
    <w:div w:id="214265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package" Target="embeddings/Microsoft_Excel_Worksheet1.xls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ser\Desktop\Book1%20-%20Copy.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Sheet1!$C$13</c:f>
              <c:strCache>
                <c:ptCount val="1"/>
                <c:pt idx="0">
                  <c:v>consum final</c:v>
                </c:pt>
              </c:strCache>
            </c:strRef>
          </c:tx>
          <c:spPr>
            <a:solidFill>
              <a:schemeClr val="accent3">
                <a:lumMod val="60000"/>
                <a:lumOff val="40000"/>
              </a:schemeClr>
            </a:solidFill>
          </c:spPr>
          <c:invertIfNegative val="0"/>
          <c:cat>
            <c:strRef>
              <c:f>Sheet1!$B$14:$B$16</c:f>
              <c:strCache>
                <c:ptCount val="3"/>
                <c:pt idx="0">
                  <c:v>Sem. I 2015</c:v>
                </c:pt>
                <c:pt idx="1">
                  <c:v>Sem. I 2016</c:v>
                </c:pt>
                <c:pt idx="2">
                  <c:v>Sem. I 2017</c:v>
                </c:pt>
              </c:strCache>
            </c:strRef>
          </c:cat>
          <c:val>
            <c:numRef>
              <c:f>Sheet1!$C$14:$C$16</c:f>
              <c:numCache>
                <c:formatCode>General</c:formatCode>
                <c:ptCount val="3"/>
                <c:pt idx="0">
                  <c:v>3.3</c:v>
                </c:pt>
                <c:pt idx="1">
                  <c:v>6.5</c:v>
                </c:pt>
                <c:pt idx="2">
                  <c:v>5.5</c:v>
                </c:pt>
              </c:numCache>
            </c:numRef>
          </c:val>
        </c:ser>
        <c:ser>
          <c:idx val="1"/>
          <c:order val="1"/>
          <c:tx>
            <c:strRef>
              <c:f>Sheet1!$D$13</c:f>
              <c:strCache>
                <c:ptCount val="1"/>
                <c:pt idx="0">
                  <c:v>formarea bruta de capital fix</c:v>
                </c:pt>
              </c:strCache>
            </c:strRef>
          </c:tx>
          <c:spPr>
            <a:solidFill>
              <a:srgbClr val="FFC000"/>
            </a:solidFill>
          </c:spPr>
          <c:invertIfNegative val="0"/>
          <c:cat>
            <c:strRef>
              <c:f>Sheet1!$B$14:$B$16</c:f>
              <c:strCache>
                <c:ptCount val="3"/>
                <c:pt idx="0">
                  <c:v>Sem. I 2015</c:v>
                </c:pt>
                <c:pt idx="1">
                  <c:v>Sem. I 2016</c:v>
                </c:pt>
                <c:pt idx="2">
                  <c:v>Sem. I 2017</c:v>
                </c:pt>
              </c:strCache>
            </c:strRef>
          </c:cat>
          <c:val>
            <c:numRef>
              <c:f>Sheet1!$D$14:$D$16</c:f>
              <c:numCache>
                <c:formatCode>General</c:formatCode>
                <c:ptCount val="3"/>
                <c:pt idx="0">
                  <c:v>1.5</c:v>
                </c:pt>
                <c:pt idx="1">
                  <c:v>0.9</c:v>
                </c:pt>
                <c:pt idx="2">
                  <c:v>0.2</c:v>
                </c:pt>
              </c:numCache>
            </c:numRef>
          </c:val>
        </c:ser>
        <c:ser>
          <c:idx val="2"/>
          <c:order val="2"/>
          <c:tx>
            <c:strRef>
              <c:f>Sheet1!$E$13</c:f>
              <c:strCache>
                <c:ptCount val="1"/>
                <c:pt idx="0">
                  <c:v>variatia stocurilor</c:v>
                </c:pt>
              </c:strCache>
            </c:strRef>
          </c:tx>
          <c:spPr>
            <a:solidFill>
              <a:schemeClr val="accent2">
                <a:lumMod val="75000"/>
              </a:schemeClr>
            </a:solidFill>
          </c:spPr>
          <c:invertIfNegative val="0"/>
          <c:cat>
            <c:strRef>
              <c:f>Sheet1!$B$14:$B$16</c:f>
              <c:strCache>
                <c:ptCount val="3"/>
                <c:pt idx="0">
                  <c:v>Sem. I 2015</c:v>
                </c:pt>
                <c:pt idx="1">
                  <c:v>Sem. I 2016</c:v>
                </c:pt>
                <c:pt idx="2">
                  <c:v>Sem. I 2017</c:v>
                </c:pt>
              </c:strCache>
            </c:strRef>
          </c:cat>
          <c:val>
            <c:numRef>
              <c:f>Sheet1!$E$14:$E$16</c:f>
              <c:numCache>
                <c:formatCode>General</c:formatCode>
                <c:ptCount val="3"/>
                <c:pt idx="0">
                  <c:v>0.2</c:v>
                </c:pt>
                <c:pt idx="1">
                  <c:v>-0.1</c:v>
                </c:pt>
                <c:pt idx="2">
                  <c:v>0.8</c:v>
                </c:pt>
              </c:numCache>
            </c:numRef>
          </c:val>
        </c:ser>
        <c:ser>
          <c:idx val="3"/>
          <c:order val="3"/>
          <c:tx>
            <c:strRef>
              <c:f>Sheet1!$F$13</c:f>
              <c:strCache>
                <c:ptCount val="1"/>
                <c:pt idx="0">
                  <c:v>export net</c:v>
                </c:pt>
              </c:strCache>
            </c:strRef>
          </c:tx>
          <c:spPr>
            <a:solidFill>
              <a:schemeClr val="tx2">
                <a:lumMod val="60000"/>
                <a:lumOff val="40000"/>
              </a:schemeClr>
            </a:solidFill>
          </c:spPr>
          <c:invertIfNegative val="0"/>
          <c:cat>
            <c:strRef>
              <c:f>Sheet1!$B$14:$B$16</c:f>
              <c:strCache>
                <c:ptCount val="3"/>
                <c:pt idx="0">
                  <c:v>Sem. I 2015</c:v>
                </c:pt>
                <c:pt idx="1">
                  <c:v>Sem. I 2016</c:v>
                </c:pt>
                <c:pt idx="2">
                  <c:v>Sem. I 2017</c:v>
                </c:pt>
              </c:strCache>
            </c:strRef>
          </c:cat>
          <c:val>
            <c:numRef>
              <c:f>Sheet1!$F$14:$F$16</c:f>
              <c:numCache>
                <c:formatCode>General</c:formatCode>
                <c:ptCount val="3"/>
                <c:pt idx="0">
                  <c:v>-1.1000000000000001</c:v>
                </c:pt>
                <c:pt idx="1">
                  <c:v>-2.1</c:v>
                </c:pt>
                <c:pt idx="2">
                  <c:v>-0.70000000000000007</c:v>
                </c:pt>
              </c:numCache>
            </c:numRef>
          </c:val>
        </c:ser>
        <c:dLbls>
          <c:showLegendKey val="0"/>
          <c:showVal val="0"/>
          <c:showCatName val="0"/>
          <c:showSerName val="0"/>
          <c:showPercent val="0"/>
          <c:showBubbleSize val="0"/>
        </c:dLbls>
        <c:gapWidth val="150"/>
        <c:overlap val="100"/>
        <c:axId val="134062368"/>
        <c:axId val="134062928"/>
      </c:barChart>
      <c:lineChart>
        <c:grouping val="standard"/>
        <c:varyColors val="0"/>
        <c:ser>
          <c:idx val="5"/>
          <c:order val="4"/>
          <c:tx>
            <c:strRef>
              <c:f>Sheet1!$G$13</c:f>
              <c:strCache>
                <c:ptCount val="1"/>
                <c:pt idx="0">
                  <c:v>PIB</c:v>
                </c:pt>
              </c:strCache>
            </c:strRef>
          </c:tx>
          <c:marker>
            <c:symbol val="none"/>
          </c:marker>
          <c:dPt>
            <c:idx val="1"/>
            <c:bubble3D val="0"/>
            <c:spPr>
              <a:ln>
                <a:solidFill>
                  <a:srgbClr val="002060"/>
                </a:solidFill>
              </a:ln>
            </c:spPr>
          </c:dPt>
          <c:dPt>
            <c:idx val="2"/>
            <c:bubble3D val="0"/>
            <c:spPr>
              <a:ln>
                <a:solidFill>
                  <a:srgbClr val="002060"/>
                </a:solidFill>
              </a:ln>
            </c:spPr>
          </c:dPt>
          <c:dLbls>
            <c:dLbl>
              <c:idx val="0"/>
              <c:layout>
                <c:manualLayout>
                  <c:x val="5.0925916643715978E-2"/>
                  <c:y val="-9.259259259259275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6481471186666812E-2"/>
                  <c:y val="-6.944444444444450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7777772714754213E-2"/>
                  <c:y val="-7.40740740740740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Sheet1!$B$14:$B$16</c:f>
              <c:strCache>
                <c:ptCount val="3"/>
                <c:pt idx="0">
                  <c:v>Sem. I 2015</c:v>
                </c:pt>
                <c:pt idx="1">
                  <c:v>Sem. I 2016</c:v>
                </c:pt>
                <c:pt idx="2">
                  <c:v>Sem. I 2017</c:v>
                </c:pt>
              </c:strCache>
            </c:strRef>
          </c:cat>
          <c:val>
            <c:numRef>
              <c:f>Sheet1!$G$14:$G$16</c:f>
              <c:numCache>
                <c:formatCode>General</c:formatCode>
                <c:ptCount val="3"/>
                <c:pt idx="0">
                  <c:v>3.9</c:v>
                </c:pt>
                <c:pt idx="1">
                  <c:v>5.2</c:v>
                </c:pt>
                <c:pt idx="2">
                  <c:v>5.8</c:v>
                </c:pt>
              </c:numCache>
            </c:numRef>
          </c:val>
          <c:smooth val="0"/>
        </c:ser>
        <c:dLbls>
          <c:showLegendKey val="0"/>
          <c:showVal val="0"/>
          <c:showCatName val="0"/>
          <c:showSerName val="0"/>
          <c:showPercent val="0"/>
          <c:showBubbleSize val="0"/>
        </c:dLbls>
        <c:marker val="1"/>
        <c:smooth val="0"/>
        <c:axId val="134062368"/>
        <c:axId val="134062928"/>
      </c:lineChart>
      <c:catAx>
        <c:axId val="134062368"/>
        <c:scaling>
          <c:orientation val="minMax"/>
        </c:scaling>
        <c:delete val="0"/>
        <c:axPos val="b"/>
        <c:numFmt formatCode="General" sourceLinked="0"/>
        <c:majorTickMark val="out"/>
        <c:minorTickMark val="none"/>
        <c:tickLblPos val="low"/>
        <c:crossAx val="134062928"/>
        <c:crosses val="autoZero"/>
        <c:auto val="1"/>
        <c:lblAlgn val="ctr"/>
        <c:lblOffset val="100"/>
        <c:noMultiLvlLbl val="0"/>
      </c:catAx>
      <c:valAx>
        <c:axId val="134062928"/>
        <c:scaling>
          <c:orientation val="minMax"/>
        </c:scaling>
        <c:delete val="0"/>
        <c:axPos val="l"/>
        <c:majorGridlines>
          <c:spPr>
            <a:ln>
              <a:solidFill>
                <a:schemeClr val="bg1">
                  <a:lumMod val="95000"/>
                </a:schemeClr>
              </a:solidFill>
            </a:ln>
          </c:spPr>
        </c:majorGridlines>
        <c:numFmt formatCode="General" sourceLinked="1"/>
        <c:majorTickMark val="out"/>
        <c:minorTickMark val="none"/>
        <c:tickLblPos val="nextTo"/>
        <c:crossAx val="134062368"/>
        <c:crosses val="autoZero"/>
        <c:crossBetween val="between"/>
      </c:valAx>
    </c:plotArea>
    <c:legend>
      <c:legendPos val="b"/>
      <c:layout>
        <c:manualLayout>
          <c:xMode val="edge"/>
          <c:yMode val="edge"/>
          <c:x val="5.0550304588549817E-2"/>
          <c:y val="0.81173228346456694"/>
          <c:w val="0.88158317872603464"/>
          <c:h val="0.16048993875765541"/>
        </c:manualLayout>
      </c:layout>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48"/>
      <c:rotY val="20"/>
      <c:depthPercent val="100"/>
      <c:rAngAx val="1"/>
    </c:view3D>
    <c:floor>
      <c:thickness val="0"/>
      <c:spPr>
        <a:solidFill>
          <a:srgbClr val="C0C0C0"/>
        </a:solidFill>
        <a:ln w="3175">
          <a:solidFill>
            <a:srgbClr val="000000"/>
          </a:solidFill>
          <a:prstDash val="solid"/>
        </a:ln>
      </c:spPr>
    </c:floor>
    <c:sideWall>
      <c:thickness val="0"/>
      <c:spPr>
        <a:gradFill rotWithShape="0">
          <a:gsLst>
            <a:gs pos="0">
              <a:srgbClr val="FFFFFF"/>
            </a:gs>
            <a:gs pos="100000">
              <a:srgbClr val="FFFFFF">
                <a:gamma/>
                <a:shade val="46275"/>
                <a:invGamma/>
              </a:srgbClr>
            </a:gs>
          </a:gsLst>
          <a:lin ang="2700000" scaled="1"/>
        </a:gradFill>
        <a:ln w="12700">
          <a:solidFill>
            <a:srgbClr val="FFFFFF"/>
          </a:solidFill>
          <a:prstDash val="solid"/>
        </a:ln>
      </c:spPr>
    </c:sideWall>
    <c:backWall>
      <c:thickness val="0"/>
      <c:spPr>
        <a:gradFill rotWithShape="0">
          <a:gsLst>
            <a:gs pos="0">
              <a:srgbClr val="FFFFFF"/>
            </a:gs>
            <a:gs pos="100000">
              <a:srgbClr val="FFFFFF">
                <a:gamma/>
                <a:shade val="46275"/>
                <a:invGamma/>
              </a:srgbClr>
            </a:gs>
          </a:gsLst>
          <a:lin ang="2700000" scaled="1"/>
        </a:gradFill>
        <a:ln w="12700">
          <a:solidFill>
            <a:srgbClr val="FFFFFF"/>
          </a:solidFill>
          <a:prstDash val="solid"/>
        </a:ln>
      </c:spPr>
    </c:backWall>
    <c:plotArea>
      <c:layout>
        <c:manualLayout>
          <c:layoutTarget val="inner"/>
          <c:xMode val="edge"/>
          <c:yMode val="edge"/>
          <c:x val="8.0858085808580865E-2"/>
          <c:y val="9.6590909090909144E-2"/>
          <c:w val="0.91254125412541265"/>
          <c:h val="0.65340909090909116"/>
        </c:manualLayout>
      </c:layout>
      <c:bar3DChart>
        <c:barDir val="col"/>
        <c:grouping val="clustered"/>
        <c:varyColors val="0"/>
        <c:ser>
          <c:idx val="0"/>
          <c:order val="0"/>
          <c:tx>
            <c:strRef>
              <c:f>'Date Lunare'!$A$129</c:f>
              <c:strCache>
                <c:ptCount val="1"/>
                <c:pt idx="0">
                  <c:v>EXPORT FOB</c:v>
                </c:pt>
              </c:strCache>
            </c:strRef>
          </c:tx>
          <c:spPr>
            <a:solidFill>
              <a:srgbClr val="333399"/>
            </a:solidFill>
            <a:ln w="12703">
              <a:solidFill>
                <a:srgbClr val="000000"/>
              </a:solidFill>
              <a:prstDash val="solid"/>
            </a:ln>
          </c:spPr>
          <c:invertIfNegative val="0"/>
          <c:cat>
            <c:strRef>
              <c:f>('Date Lunare'!$B$6:$D$6,'Date Lunare'!$G$6:$I$6)</c:f>
              <c:strCache>
                <c:ptCount val="6"/>
                <c:pt idx="0">
                  <c:v>ianuarie</c:v>
                </c:pt>
                <c:pt idx="1">
                  <c:v>februarie</c:v>
                </c:pt>
                <c:pt idx="2">
                  <c:v>martie</c:v>
                </c:pt>
                <c:pt idx="3">
                  <c:v>aprilie</c:v>
                </c:pt>
                <c:pt idx="4">
                  <c:v>mai</c:v>
                </c:pt>
                <c:pt idx="5">
                  <c:v>iun</c:v>
                </c:pt>
              </c:strCache>
            </c:strRef>
          </c:cat>
          <c:val>
            <c:numRef>
              <c:f>('Date Lunare'!$B$129:$D$129,'Date Lunare'!$G$129:$I$129)</c:f>
              <c:numCache>
                <c:formatCode>0.0</c:formatCode>
                <c:ptCount val="6"/>
                <c:pt idx="0">
                  <c:v>4678.5</c:v>
                </c:pt>
                <c:pt idx="1">
                  <c:v>5070.5</c:v>
                </c:pt>
                <c:pt idx="2">
                  <c:v>5711.4</c:v>
                </c:pt>
                <c:pt idx="3">
                  <c:v>4773.5</c:v>
                </c:pt>
                <c:pt idx="4">
                  <c:v>5578.7</c:v>
                </c:pt>
                <c:pt idx="5">
                  <c:v>5065.2</c:v>
                </c:pt>
              </c:numCache>
            </c:numRef>
          </c:val>
        </c:ser>
        <c:ser>
          <c:idx val="1"/>
          <c:order val="1"/>
          <c:tx>
            <c:strRef>
              <c:f>'Date Lunare'!$A$130</c:f>
              <c:strCache>
                <c:ptCount val="1"/>
                <c:pt idx="0">
                  <c:v>IMPORT CIF</c:v>
                </c:pt>
              </c:strCache>
            </c:strRef>
          </c:tx>
          <c:spPr>
            <a:solidFill>
              <a:srgbClr val="993366"/>
            </a:solidFill>
            <a:ln w="12703">
              <a:solidFill>
                <a:srgbClr val="000000"/>
              </a:solidFill>
              <a:prstDash val="solid"/>
            </a:ln>
          </c:spPr>
          <c:invertIfNegative val="0"/>
          <c:cat>
            <c:strRef>
              <c:f>('Date Lunare'!$B$6:$D$6,'Date Lunare'!$G$6:$I$6)</c:f>
              <c:strCache>
                <c:ptCount val="6"/>
                <c:pt idx="0">
                  <c:v>ianuarie</c:v>
                </c:pt>
                <c:pt idx="1">
                  <c:v>februarie</c:v>
                </c:pt>
                <c:pt idx="2">
                  <c:v>martie</c:v>
                </c:pt>
                <c:pt idx="3">
                  <c:v>aprilie</c:v>
                </c:pt>
                <c:pt idx="4">
                  <c:v>mai</c:v>
                </c:pt>
                <c:pt idx="5">
                  <c:v>iun</c:v>
                </c:pt>
              </c:strCache>
            </c:strRef>
          </c:cat>
          <c:val>
            <c:numRef>
              <c:f>('Date Lunare'!$B$130:$D$130,'Date Lunare'!$G$130:$I$130)</c:f>
              <c:numCache>
                <c:formatCode>0.0</c:formatCode>
                <c:ptCount val="6"/>
                <c:pt idx="0">
                  <c:v>5283.5</c:v>
                </c:pt>
                <c:pt idx="1">
                  <c:v>5723.6</c:v>
                </c:pt>
                <c:pt idx="2">
                  <c:v>6766.6</c:v>
                </c:pt>
                <c:pt idx="3">
                  <c:v>5823.5</c:v>
                </c:pt>
                <c:pt idx="4">
                  <c:v>6681.8</c:v>
                </c:pt>
                <c:pt idx="5">
                  <c:v>6436.5</c:v>
                </c:pt>
              </c:numCache>
            </c:numRef>
          </c:val>
        </c:ser>
        <c:ser>
          <c:idx val="2"/>
          <c:order val="2"/>
          <c:tx>
            <c:strRef>
              <c:f>'Date Lunare'!$A$131</c:f>
              <c:strCache>
                <c:ptCount val="1"/>
                <c:pt idx="0">
                  <c:v>SOLD</c:v>
                </c:pt>
              </c:strCache>
            </c:strRef>
          </c:tx>
          <c:spPr>
            <a:solidFill>
              <a:srgbClr val="336666"/>
            </a:solidFill>
            <a:ln w="12703">
              <a:solidFill>
                <a:srgbClr val="000000"/>
              </a:solidFill>
              <a:prstDash val="solid"/>
            </a:ln>
          </c:spPr>
          <c:invertIfNegative val="0"/>
          <c:dLbls>
            <c:dLbl>
              <c:idx val="0"/>
              <c:layout>
                <c:manualLayout>
                  <c:x val="2.662488627315427E-2"/>
                  <c:y val="0.12036752890480761"/>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9276779071483034E-2"/>
                  <c:y val="0.14349727788337921"/>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0233127830968355E-2"/>
                  <c:y val="0.1649283970022041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4634195546788872E-2"/>
                  <c:y val="0.17025941424658028"/>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3985758312114351E-2"/>
                  <c:y val="0.16247632673988127"/>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0036991044436261E-2"/>
                  <c:y val="0.17487860154903714"/>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w="25405">
                <a:noFill/>
              </a:ln>
            </c:spPr>
            <c:txPr>
              <a:bodyPr/>
              <a:lstStyle/>
              <a:p>
                <a:pPr>
                  <a:defRPr sz="800" b="0" i="0" u="none" strike="noStrike" baseline="0">
                    <a:solidFill>
                      <a:srgbClr val="000000"/>
                    </a:solidFill>
                    <a:latin typeface="Arial"/>
                    <a:ea typeface="Arial"/>
                    <a:cs typeface="Arial"/>
                  </a:defRPr>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('Date Lunare'!$B$6:$D$6,'Date Lunare'!$G$6:$I$6)</c:f>
              <c:strCache>
                <c:ptCount val="6"/>
                <c:pt idx="0">
                  <c:v>ianuarie</c:v>
                </c:pt>
                <c:pt idx="1">
                  <c:v>februarie</c:v>
                </c:pt>
                <c:pt idx="2">
                  <c:v>martie</c:v>
                </c:pt>
                <c:pt idx="3">
                  <c:v>aprilie</c:v>
                </c:pt>
                <c:pt idx="4">
                  <c:v>mai</c:v>
                </c:pt>
                <c:pt idx="5">
                  <c:v>iun</c:v>
                </c:pt>
              </c:strCache>
            </c:strRef>
          </c:cat>
          <c:val>
            <c:numRef>
              <c:f>('Date Lunare'!$B$131:$D$131,'Date Lunare'!$G$131:$I$131)</c:f>
              <c:numCache>
                <c:formatCode>0.0</c:formatCode>
                <c:ptCount val="6"/>
                <c:pt idx="0">
                  <c:v>-605</c:v>
                </c:pt>
                <c:pt idx="1">
                  <c:v>-653.10000000000059</c:v>
                </c:pt>
                <c:pt idx="2">
                  <c:v>-1055.2000000000007</c:v>
                </c:pt>
                <c:pt idx="3">
                  <c:v>-1050</c:v>
                </c:pt>
                <c:pt idx="4">
                  <c:v>-1103.1000000000004</c:v>
                </c:pt>
                <c:pt idx="5">
                  <c:v>-1371.3000000000002</c:v>
                </c:pt>
              </c:numCache>
            </c:numRef>
          </c:val>
        </c:ser>
        <c:dLbls>
          <c:showLegendKey val="0"/>
          <c:showVal val="0"/>
          <c:showCatName val="0"/>
          <c:showSerName val="0"/>
          <c:showPercent val="0"/>
          <c:showBubbleSize val="0"/>
        </c:dLbls>
        <c:gapWidth val="150"/>
        <c:shape val="box"/>
        <c:axId val="134066288"/>
        <c:axId val="134066848"/>
        <c:axId val="0"/>
      </c:bar3DChart>
      <c:catAx>
        <c:axId val="134066288"/>
        <c:scaling>
          <c:orientation val="minMax"/>
        </c:scaling>
        <c:delete val="0"/>
        <c:axPos val="b"/>
        <c:title>
          <c:tx>
            <c:rich>
              <a:bodyPr/>
              <a:lstStyle/>
              <a:p>
                <a:pPr>
                  <a:defRPr sz="925" b="0" i="1" u="none" strike="noStrike" baseline="0">
                    <a:solidFill>
                      <a:srgbClr val="000000"/>
                    </a:solidFill>
                    <a:latin typeface="Arial"/>
                    <a:ea typeface="Arial"/>
                    <a:cs typeface="Arial"/>
                  </a:defRPr>
                </a:pPr>
                <a:r>
                  <a:rPr lang="en-US"/>
                  <a:t> - mil. euro - </a:t>
                </a:r>
              </a:p>
            </c:rich>
          </c:tx>
          <c:layout>
            <c:manualLayout>
              <c:xMode val="edge"/>
              <c:yMode val="edge"/>
              <c:x val="0.76567656765676573"/>
              <c:y val="2.8409090909090912E-2"/>
            </c:manualLayout>
          </c:layout>
          <c:overlay val="0"/>
          <c:spPr>
            <a:noFill/>
            <a:ln w="25405">
              <a:noFill/>
            </a:ln>
          </c:spPr>
        </c:title>
        <c:numFmt formatCode="General" sourceLinked="1"/>
        <c:majorTickMark val="out"/>
        <c:minorTickMark val="none"/>
        <c:tickLblPos val="low"/>
        <c:spPr>
          <a:ln w="3176">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ro-RO"/>
          </a:p>
        </c:txPr>
        <c:crossAx val="134066848"/>
        <c:crosses val="autoZero"/>
        <c:auto val="0"/>
        <c:lblAlgn val="ctr"/>
        <c:lblOffset val="100"/>
        <c:tickLblSkip val="1"/>
        <c:tickMarkSkip val="1"/>
        <c:noMultiLvlLbl val="0"/>
      </c:catAx>
      <c:valAx>
        <c:axId val="134066848"/>
        <c:scaling>
          <c:orientation val="minMax"/>
        </c:scaling>
        <c:delete val="0"/>
        <c:axPos val="l"/>
        <c:majorGridlines>
          <c:spPr>
            <a:ln w="3176">
              <a:solidFill>
                <a:srgbClr val="000000"/>
              </a:solidFill>
              <a:prstDash val="solid"/>
            </a:ln>
          </c:spPr>
        </c:majorGridlines>
        <c:numFmt formatCode="0" sourceLinked="0"/>
        <c:majorTickMark val="out"/>
        <c:minorTickMark val="none"/>
        <c:tickLblPos val="nextTo"/>
        <c:spPr>
          <a:ln w="3176">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ro-RO"/>
          </a:p>
        </c:txPr>
        <c:crossAx val="134066288"/>
        <c:crosses val="autoZero"/>
        <c:crossBetween val="between"/>
      </c:valAx>
      <c:spPr>
        <a:noFill/>
        <a:ln w="25405">
          <a:noFill/>
        </a:ln>
      </c:spPr>
    </c:plotArea>
    <c:legend>
      <c:legendPos val="r"/>
      <c:layout>
        <c:manualLayout>
          <c:xMode val="edge"/>
          <c:yMode val="edge"/>
          <c:x val="0.33993399339934022"/>
          <c:y val="0.89488636363636331"/>
          <c:w val="0.40594059405940608"/>
          <c:h val="6.8181818181818177E-2"/>
        </c:manualLayout>
      </c:layout>
      <c:overlay val="0"/>
      <c:spPr>
        <a:solidFill>
          <a:srgbClr val="FFFFFF"/>
        </a:solidFill>
        <a:ln w="3176">
          <a:solidFill>
            <a:srgbClr val="000000"/>
          </a:solidFill>
          <a:prstDash val="solid"/>
        </a:ln>
      </c:spPr>
      <c:txPr>
        <a:bodyPr/>
        <a:lstStyle/>
        <a:p>
          <a:pPr>
            <a:defRPr sz="870" b="0" i="0" u="none" strike="noStrike" baseline="0">
              <a:solidFill>
                <a:srgbClr val="000000"/>
              </a:solidFill>
              <a:latin typeface="Arial"/>
              <a:ea typeface="Arial"/>
              <a:cs typeface="Arial"/>
            </a:defRPr>
          </a:pPr>
          <a:endParaRPr lang="ro-RO"/>
        </a:p>
      </c:txPr>
    </c:legend>
    <c:plotVisOnly val="1"/>
    <c:dispBlanksAs val="gap"/>
    <c:showDLblsOverMax val="0"/>
  </c:chart>
  <c:spPr>
    <a:solidFill>
      <a:srgbClr val="FFFFFF"/>
    </a:solidFill>
    <a:ln w="3176">
      <a:solidFill>
        <a:srgbClr val="000000"/>
      </a:solidFill>
      <a:prstDash val="solid"/>
    </a:ln>
  </c:spPr>
  <c:txPr>
    <a:bodyPr/>
    <a:lstStyle/>
    <a:p>
      <a:pPr>
        <a:defRPr sz="950" b="0" i="0" u="none" strike="noStrike" baseline="0">
          <a:solidFill>
            <a:srgbClr val="000000"/>
          </a:solidFill>
          <a:latin typeface="Arial"/>
          <a:ea typeface="Arial"/>
          <a:cs typeface="Arial"/>
        </a:defRPr>
      </a:pPr>
      <a:endParaRPr lang="ro-RO"/>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0.10906</cdr:x>
      <cdr:y>0.05208</cdr:y>
    </cdr:from>
    <cdr:to>
      <cdr:x>0.27013</cdr:x>
      <cdr:y>0.14583</cdr:y>
    </cdr:to>
    <cdr:sp macro="" textlink="">
      <cdr:nvSpPr>
        <cdr:cNvPr id="2" name="TextBox 1"/>
        <cdr:cNvSpPr txBox="1"/>
      </cdr:nvSpPr>
      <cdr:spPr>
        <a:xfrm xmlns:a="http://schemas.openxmlformats.org/drawingml/2006/main">
          <a:off x="619126" y="142875"/>
          <a:ext cx="914400" cy="2571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t>- procente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D5A82-5E82-431B-A0A8-645C57A5A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7914</Words>
  <Characters>45907</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Raport privind situația economică și bugetară</vt:lpstr>
    </vt:vector>
  </TitlesOfParts>
  <Company/>
  <LinksUpToDate>false</LinksUpToDate>
  <CharactersWithSpaces>53714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privind situația economică și bugetară</dc:title>
  <dc:subject/>
  <dc:creator>FLORIN-ANDREI DAIA</dc:creator>
  <cp:keywords/>
  <dc:description/>
  <cp:lastModifiedBy>ALINA-MIRELA RĂDUŢĂ</cp:lastModifiedBy>
  <cp:revision>2</cp:revision>
  <cp:lastPrinted>2017-09-08T15:14:00Z</cp:lastPrinted>
  <dcterms:created xsi:type="dcterms:W3CDTF">2017-09-08T16:14:00Z</dcterms:created>
  <dcterms:modified xsi:type="dcterms:W3CDTF">2017-09-08T16:14:00Z</dcterms:modified>
</cp:coreProperties>
</file>