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ro-RO"/>
        </w:rPr>
        <w:id w:val="-413402210"/>
        <w:docPartObj>
          <w:docPartGallery w:val="Table of Contents"/>
          <w:docPartUnique/>
        </w:docPartObj>
      </w:sdtPr>
      <w:sdtEndPr>
        <w:rPr>
          <w:b/>
          <w:bCs/>
          <w:noProof/>
        </w:rPr>
      </w:sdtEndPr>
      <w:sdtContent>
        <w:p w:rsidR="00C43AD2" w:rsidRPr="00C43AD2" w:rsidRDefault="00C43AD2" w:rsidP="00C43AD2">
          <w:pPr>
            <w:pStyle w:val="TOCHeading"/>
            <w:spacing w:before="1320" w:after="240"/>
            <w:rPr>
              <w:b/>
              <w:color w:val="auto"/>
            </w:rPr>
          </w:pPr>
          <w:r w:rsidRPr="00C43AD2">
            <w:rPr>
              <w:b/>
              <w:color w:val="auto"/>
            </w:rPr>
            <w:t>Cuprins</w:t>
          </w:r>
        </w:p>
        <w:p w:rsidR="00C43AD2" w:rsidRPr="00C43AD2" w:rsidRDefault="00C43AD2" w:rsidP="00C43AD2">
          <w:pPr>
            <w:rPr>
              <w:lang w:val="en-US"/>
            </w:rPr>
          </w:pPr>
        </w:p>
        <w:p w:rsidR="00C43AD2" w:rsidRPr="00C43AD2" w:rsidRDefault="00C43AD2" w:rsidP="00C43AD2">
          <w:pPr>
            <w:pStyle w:val="TOC1"/>
            <w:rPr>
              <w:rFonts w:eastAsiaTheme="minorEastAsia"/>
              <w:lang w:val="en-US"/>
            </w:rPr>
          </w:pPr>
          <w:r>
            <w:fldChar w:fldCharType="begin"/>
          </w:r>
          <w:r>
            <w:instrText xml:space="preserve"> TOC \o "1-3" \h \z \u </w:instrText>
          </w:r>
          <w:r>
            <w:fldChar w:fldCharType="separate"/>
          </w:r>
          <w:hyperlink w:anchor="_Toc15024074" w:history="1">
            <w:r w:rsidRPr="00C43AD2">
              <w:rPr>
                <w:rStyle w:val="Hyperlink"/>
              </w:rPr>
              <w:t>I.</w:t>
            </w:r>
            <w:r w:rsidRPr="00C43AD2">
              <w:rPr>
                <w:rFonts w:eastAsiaTheme="minorEastAsia"/>
                <w:lang w:val="en-US"/>
              </w:rPr>
              <w:tab/>
            </w:r>
            <w:r w:rsidRPr="00C43AD2">
              <w:rPr>
                <w:rStyle w:val="Hyperlink"/>
              </w:rPr>
              <w:t>Evoluții macroeconomice recente ale economiei românești</w:t>
            </w:r>
            <w:r w:rsidRPr="00C43AD2">
              <w:rPr>
                <w:webHidden/>
              </w:rPr>
              <w:tab/>
            </w:r>
            <w:r w:rsidRPr="00C43AD2">
              <w:rPr>
                <w:webHidden/>
              </w:rPr>
              <w:fldChar w:fldCharType="begin"/>
            </w:r>
            <w:r w:rsidRPr="00C43AD2">
              <w:rPr>
                <w:webHidden/>
              </w:rPr>
              <w:instrText xml:space="preserve"> PAGEREF _Toc15024074 \h </w:instrText>
            </w:r>
            <w:r w:rsidRPr="00C43AD2">
              <w:rPr>
                <w:webHidden/>
              </w:rPr>
            </w:r>
            <w:r w:rsidRPr="00C43AD2">
              <w:rPr>
                <w:webHidden/>
              </w:rPr>
              <w:fldChar w:fldCharType="separate"/>
            </w:r>
            <w:r w:rsidR="004D7BBF">
              <w:rPr>
                <w:webHidden/>
              </w:rPr>
              <w:t>1</w:t>
            </w:r>
            <w:r w:rsidRPr="00C43AD2">
              <w:rPr>
                <w:webHidden/>
              </w:rPr>
              <w:fldChar w:fldCharType="end"/>
            </w:r>
          </w:hyperlink>
        </w:p>
        <w:p w:rsidR="00C43AD2" w:rsidRPr="00C43AD2" w:rsidRDefault="00EF1FF8" w:rsidP="00C43AD2">
          <w:pPr>
            <w:pStyle w:val="TOC1"/>
            <w:rPr>
              <w:rStyle w:val="Hyperlink"/>
            </w:rPr>
          </w:pPr>
          <w:hyperlink w:anchor="_Toc15024075" w:history="1">
            <w:r w:rsidR="00C43AD2" w:rsidRPr="00C43AD2">
              <w:rPr>
                <w:rStyle w:val="Hyperlink"/>
              </w:rPr>
              <w:t>II.</w:t>
            </w:r>
            <w:r w:rsidR="00C43AD2" w:rsidRPr="00C43AD2">
              <w:rPr>
                <w:rStyle w:val="Hyperlink"/>
              </w:rPr>
              <w:tab/>
              <w:t>Politica fiscal-bugetară aferentă anului 2019</w:t>
            </w:r>
            <w:r w:rsidR="00C43AD2" w:rsidRPr="00C43AD2">
              <w:rPr>
                <w:rStyle w:val="Hyperlink"/>
                <w:webHidden/>
              </w:rPr>
              <w:tab/>
            </w:r>
            <w:r w:rsidR="00C43AD2" w:rsidRPr="00C43AD2">
              <w:rPr>
                <w:rStyle w:val="Hyperlink"/>
                <w:webHidden/>
              </w:rPr>
              <w:fldChar w:fldCharType="begin"/>
            </w:r>
            <w:r w:rsidR="00C43AD2" w:rsidRPr="00C43AD2">
              <w:rPr>
                <w:rStyle w:val="Hyperlink"/>
                <w:webHidden/>
              </w:rPr>
              <w:instrText xml:space="preserve"> PAGEREF _Toc15024075 \h </w:instrText>
            </w:r>
            <w:r w:rsidR="00C43AD2" w:rsidRPr="00C43AD2">
              <w:rPr>
                <w:rStyle w:val="Hyperlink"/>
                <w:webHidden/>
              </w:rPr>
            </w:r>
            <w:r w:rsidR="00C43AD2" w:rsidRPr="00C43AD2">
              <w:rPr>
                <w:rStyle w:val="Hyperlink"/>
                <w:webHidden/>
              </w:rPr>
              <w:fldChar w:fldCharType="separate"/>
            </w:r>
            <w:r w:rsidR="004D7BBF">
              <w:rPr>
                <w:rStyle w:val="Hyperlink"/>
                <w:webHidden/>
              </w:rPr>
              <w:t>8</w:t>
            </w:r>
            <w:r w:rsidR="00C43AD2" w:rsidRPr="00C43AD2">
              <w:rPr>
                <w:rStyle w:val="Hyperlink"/>
                <w:webHidden/>
              </w:rPr>
              <w:fldChar w:fldCharType="end"/>
            </w:r>
          </w:hyperlink>
        </w:p>
        <w:p w:rsidR="00C43AD2" w:rsidRPr="00C43AD2" w:rsidRDefault="00EF1FF8" w:rsidP="00C43AD2">
          <w:pPr>
            <w:pStyle w:val="TOC1"/>
            <w:rPr>
              <w:rStyle w:val="Hyperlink"/>
            </w:rPr>
          </w:pPr>
          <w:hyperlink w:anchor="_Toc15024076" w:history="1">
            <w:r w:rsidR="00C43AD2" w:rsidRPr="00C43AD2">
              <w:rPr>
                <w:rStyle w:val="Hyperlink"/>
              </w:rPr>
              <w:t>III.</w:t>
            </w:r>
            <w:r w:rsidR="00C43AD2" w:rsidRPr="00C43AD2">
              <w:rPr>
                <w:rStyle w:val="Hyperlink"/>
              </w:rPr>
              <w:tab/>
              <w:t>Execuția bugetară pe primul semestru al anului 2019</w:t>
            </w:r>
            <w:r w:rsidR="00C43AD2" w:rsidRPr="00C43AD2">
              <w:rPr>
                <w:rStyle w:val="Hyperlink"/>
                <w:webHidden/>
              </w:rPr>
              <w:tab/>
            </w:r>
            <w:r w:rsidR="00C43AD2" w:rsidRPr="00C43AD2">
              <w:rPr>
                <w:rStyle w:val="Hyperlink"/>
                <w:webHidden/>
              </w:rPr>
              <w:fldChar w:fldCharType="begin"/>
            </w:r>
            <w:r w:rsidR="00C43AD2" w:rsidRPr="00C43AD2">
              <w:rPr>
                <w:rStyle w:val="Hyperlink"/>
                <w:webHidden/>
              </w:rPr>
              <w:instrText xml:space="preserve"> PAGEREF _Toc15024076 \h </w:instrText>
            </w:r>
            <w:r w:rsidR="00C43AD2" w:rsidRPr="00C43AD2">
              <w:rPr>
                <w:rStyle w:val="Hyperlink"/>
                <w:webHidden/>
              </w:rPr>
            </w:r>
            <w:r w:rsidR="00C43AD2" w:rsidRPr="00C43AD2">
              <w:rPr>
                <w:rStyle w:val="Hyperlink"/>
                <w:webHidden/>
              </w:rPr>
              <w:fldChar w:fldCharType="separate"/>
            </w:r>
            <w:r w:rsidR="004D7BBF">
              <w:rPr>
                <w:rStyle w:val="Hyperlink"/>
                <w:webHidden/>
              </w:rPr>
              <w:t>16</w:t>
            </w:r>
            <w:r w:rsidR="00C43AD2" w:rsidRPr="00C43AD2">
              <w:rPr>
                <w:rStyle w:val="Hyperlink"/>
                <w:webHidden/>
              </w:rPr>
              <w:fldChar w:fldCharType="end"/>
            </w:r>
          </w:hyperlink>
        </w:p>
        <w:p w:rsidR="00C43AD2" w:rsidRPr="00C43AD2" w:rsidRDefault="00EF1FF8" w:rsidP="00C43AD2">
          <w:pPr>
            <w:pStyle w:val="TOC1"/>
            <w:rPr>
              <w:rStyle w:val="Hyperlink"/>
            </w:rPr>
          </w:pPr>
          <w:hyperlink w:anchor="_Toc15024077" w:history="1">
            <w:r w:rsidR="00C43AD2" w:rsidRPr="00C43AD2">
              <w:rPr>
                <w:rStyle w:val="Hyperlink"/>
              </w:rPr>
              <w:t>IV. Finanțarea deficitului bugetar şi datoria publică</w:t>
            </w:r>
            <w:r w:rsidR="00C43AD2" w:rsidRPr="00C43AD2">
              <w:rPr>
                <w:rStyle w:val="Hyperlink"/>
                <w:webHidden/>
              </w:rPr>
              <w:tab/>
            </w:r>
            <w:r w:rsidR="00C43AD2" w:rsidRPr="00C43AD2">
              <w:rPr>
                <w:rStyle w:val="Hyperlink"/>
                <w:webHidden/>
              </w:rPr>
              <w:fldChar w:fldCharType="begin"/>
            </w:r>
            <w:r w:rsidR="00C43AD2" w:rsidRPr="00C43AD2">
              <w:rPr>
                <w:rStyle w:val="Hyperlink"/>
                <w:webHidden/>
              </w:rPr>
              <w:instrText xml:space="preserve"> PAGEREF _Toc15024077 \h </w:instrText>
            </w:r>
            <w:r w:rsidR="00C43AD2" w:rsidRPr="00C43AD2">
              <w:rPr>
                <w:rStyle w:val="Hyperlink"/>
                <w:webHidden/>
              </w:rPr>
            </w:r>
            <w:r w:rsidR="00C43AD2" w:rsidRPr="00C43AD2">
              <w:rPr>
                <w:rStyle w:val="Hyperlink"/>
                <w:webHidden/>
              </w:rPr>
              <w:fldChar w:fldCharType="separate"/>
            </w:r>
            <w:r w:rsidR="004D7BBF">
              <w:rPr>
                <w:rStyle w:val="Hyperlink"/>
                <w:webHidden/>
              </w:rPr>
              <w:t>23</w:t>
            </w:r>
            <w:r w:rsidR="00C43AD2" w:rsidRPr="00C43AD2">
              <w:rPr>
                <w:rStyle w:val="Hyperlink"/>
                <w:webHidden/>
              </w:rPr>
              <w:fldChar w:fldCharType="end"/>
            </w:r>
          </w:hyperlink>
        </w:p>
        <w:p w:rsidR="00C43AD2" w:rsidRPr="00C43AD2" w:rsidRDefault="00EF1FF8" w:rsidP="00C43AD2">
          <w:pPr>
            <w:pStyle w:val="TOC1"/>
            <w:rPr>
              <w:rStyle w:val="Hyperlink"/>
            </w:rPr>
          </w:pPr>
          <w:hyperlink w:anchor="_Toc15024078" w:history="1">
            <w:r w:rsidR="00C43AD2" w:rsidRPr="00C43AD2">
              <w:rPr>
                <w:rStyle w:val="Hyperlink"/>
              </w:rPr>
              <w:t>V. Absorbția fondurilor externe nerambursabile</w:t>
            </w:r>
            <w:r w:rsidR="00C43AD2" w:rsidRPr="00C43AD2">
              <w:rPr>
                <w:rStyle w:val="Hyperlink"/>
                <w:webHidden/>
              </w:rPr>
              <w:tab/>
            </w:r>
            <w:r w:rsidR="00C43AD2" w:rsidRPr="00C43AD2">
              <w:rPr>
                <w:rStyle w:val="Hyperlink"/>
                <w:webHidden/>
              </w:rPr>
              <w:fldChar w:fldCharType="begin"/>
            </w:r>
            <w:r w:rsidR="00C43AD2" w:rsidRPr="00C43AD2">
              <w:rPr>
                <w:rStyle w:val="Hyperlink"/>
                <w:webHidden/>
              </w:rPr>
              <w:instrText xml:space="preserve"> PAGEREF _Toc15024078 \h </w:instrText>
            </w:r>
            <w:r w:rsidR="00C43AD2" w:rsidRPr="00C43AD2">
              <w:rPr>
                <w:rStyle w:val="Hyperlink"/>
                <w:webHidden/>
              </w:rPr>
            </w:r>
            <w:r w:rsidR="00C43AD2" w:rsidRPr="00C43AD2">
              <w:rPr>
                <w:rStyle w:val="Hyperlink"/>
                <w:webHidden/>
              </w:rPr>
              <w:fldChar w:fldCharType="separate"/>
            </w:r>
            <w:r w:rsidR="004D7BBF">
              <w:rPr>
                <w:rStyle w:val="Hyperlink"/>
                <w:webHidden/>
              </w:rPr>
              <w:t>26</w:t>
            </w:r>
            <w:r w:rsidR="00C43AD2" w:rsidRPr="00C43AD2">
              <w:rPr>
                <w:rStyle w:val="Hyperlink"/>
                <w:webHidden/>
              </w:rPr>
              <w:fldChar w:fldCharType="end"/>
            </w:r>
          </w:hyperlink>
        </w:p>
        <w:p w:rsidR="00C43AD2" w:rsidRPr="00C43AD2" w:rsidRDefault="00EF1FF8" w:rsidP="00C43AD2">
          <w:pPr>
            <w:pStyle w:val="TOC1"/>
            <w:rPr>
              <w:rStyle w:val="Hyperlink"/>
            </w:rPr>
          </w:pPr>
          <w:hyperlink w:anchor="_Toc15024079" w:history="1">
            <w:r w:rsidR="00C43AD2" w:rsidRPr="00C43AD2">
              <w:rPr>
                <w:rStyle w:val="Hyperlink"/>
              </w:rPr>
              <w:t>Concluzii</w:t>
            </w:r>
            <w:r w:rsidR="00C43AD2" w:rsidRPr="00C43AD2">
              <w:rPr>
                <w:rStyle w:val="Hyperlink"/>
                <w:webHidden/>
              </w:rPr>
              <w:tab/>
            </w:r>
            <w:r w:rsidR="00C43AD2" w:rsidRPr="00C43AD2">
              <w:rPr>
                <w:rStyle w:val="Hyperlink"/>
                <w:webHidden/>
              </w:rPr>
              <w:fldChar w:fldCharType="begin"/>
            </w:r>
            <w:r w:rsidR="00C43AD2" w:rsidRPr="00C43AD2">
              <w:rPr>
                <w:rStyle w:val="Hyperlink"/>
                <w:webHidden/>
              </w:rPr>
              <w:instrText xml:space="preserve"> PAGEREF _Toc15024079 \h </w:instrText>
            </w:r>
            <w:r w:rsidR="00C43AD2" w:rsidRPr="00C43AD2">
              <w:rPr>
                <w:rStyle w:val="Hyperlink"/>
                <w:webHidden/>
              </w:rPr>
            </w:r>
            <w:r w:rsidR="00C43AD2" w:rsidRPr="00C43AD2">
              <w:rPr>
                <w:rStyle w:val="Hyperlink"/>
                <w:webHidden/>
              </w:rPr>
              <w:fldChar w:fldCharType="separate"/>
            </w:r>
            <w:r w:rsidR="004D7BBF">
              <w:rPr>
                <w:rStyle w:val="Hyperlink"/>
                <w:webHidden/>
              </w:rPr>
              <w:t>29</w:t>
            </w:r>
            <w:r w:rsidR="00C43AD2" w:rsidRPr="00C43AD2">
              <w:rPr>
                <w:rStyle w:val="Hyperlink"/>
                <w:webHidden/>
              </w:rPr>
              <w:fldChar w:fldCharType="end"/>
            </w:r>
          </w:hyperlink>
        </w:p>
        <w:p w:rsidR="00C43AD2" w:rsidRDefault="00C43AD2">
          <w:r>
            <w:rPr>
              <w:b/>
              <w:bCs/>
              <w:noProof/>
            </w:rPr>
            <w:fldChar w:fldCharType="end"/>
          </w:r>
        </w:p>
      </w:sdtContent>
    </w:sdt>
    <w:p w:rsidR="00386E53" w:rsidRPr="00857E54" w:rsidRDefault="00386E53" w:rsidP="00C43AD2">
      <w:pPr>
        <w:pStyle w:val="Heading1"/>
      </w:pPr>
    </w:p>
    <w:p w:rsidR="007C4F03" w:rsidRPr="00857E54" w:rsidRDefault="007C4F03" w:rsidP="00281576">
      <w:pPr>
        <w:keepNext/>
        <w:keepLines/>
      </w:pPr>
    </w:p>
    <w:p w:rsidR="007C4F03" w:rsidRPr="00857E54" w:rsidRDefault="007C4F03" w:rsidP="00281576">
      <w:pPr>
        <w:keepNext/>
        <w:keepLines/>
      </w:pPr>
    </w:p>
    <w:p w:rsidR="007C4F03" w:rsidRPr="00857E54" w:rsidRDefault="007C4F03" w:rsidP="00281576">
      <w:pPr>
        <w:keepNext/>
        <w:keepLines/>
      </w:pPr>
    </w:p>
    <w:p w:rsidR="006407D7" w:rsidRPr="00857E54" w:rsidRDefault="006407D7" w:rsidP="00281576">
      <w:pPr>
        <w:keepNext/>
        <w:keepLines/>
      </w:pPr>
    </w:p>
    <w:p w:rsidR="007C4F03" w:rsidRPr="00857E54" w:rsidRDefault="007C4F03" w:rsidP="00281576">
      <w:pPr>
        <w:keepNext/>
        <w:keepLines/>
      </w:pPr>
    </w:p>
    <w:p w:rsidR="00F51EDE" w:rsidRPr="00857E54" w:rsidRDefault="00F51EDE" w:rsidP="00281576">
      <w:pPr>
        <w:keepNext/>
        <w:keepLines/>
      </w:pPr>
    </w:p>
    <w:p w:rsidR="00F51EDE" w:rsidRPr="00857E54" w:rsidRDefault="00F51EDE" w:rsidP="00281576">
      <w:pPr>
        <w:keepNext/>
        <w:keepLines/>
      </w:pPr>
    </w:p>
    <w:p w:rsidR="00F51EDE" w:rsidRPr="00857E54" w:rsidRDefault="00F51EDE" w:rsidP="00281576">
      <w:pPr>
        <w:keepNext/>
        <w:keepLines/>
      </w:pPr>
    </w:p>
    <w:p w:rsidR="00F51EDE" w:rsidRPr="00857E54" w:rsidRDefault="00F51EDE" w:rsidP="00281576">
      <w:pPr>
        <w:keepNext/>
        <w:keepLines/>
      </w:pPr>
    </w:p>
    <w:p w:rsidR="00F51EDE" w:rsidRPr="00857E54" w:rsidRDefault="00F51EDE" w:rsidP="00281576">
      <w:pPr>
        <w:keepNext/>
        <w:keepLines/>
      </w:pPr>
    </w:p>
    <w:p w:rsidR="00F96228" w:rsidRPr="00857E54" w:rsidRDefault="00F96228" w:rsidP="00281576">
      <w:pPr>
        <w:keepNext/>
        <w:keepLines/>
      </w:pPr>
      <w:r w:rsidRPr="00857E54">
        <w:br w:type="page"/>
      </w:r>
    </w:p>
    <w:p w:rsidR="007C4F03" w:rsidRPr="00AB33F7" w:rsidRDefault="00EE2635" w:rsidP="00281576">
      <w:pPr>
        <w:pStyle w:val="ListParagraph"/>
        <w:keepNext/>
        <w:keepLines/>
        <w:numPr>
          <w:ilvl w:val="0"/>
          <w:numId w:val="1"/>
        </w:numPr>
        <w:ind w:left="567" w:hanging="283"/>
        <w:outlineLvl w:val="0"/>
        <w:rPr>
          <w:rFonts w:ascii="Arial" w:hAnsi="Arial" w:cs="Arial"/>
          <w:b/>
          <w:sz w:val="28"/>
          <w:szCs w:val="28"/>
        </w:rPr>
      </w:pPr>
      <w:bookmarkStart w:id="0" w:name="_Toc299543078"/>
      <w:bookmarkStart w:id="1" w:name="_Toc425320856"/>
      <w:bookmarkStart w:id="2" w:name="_Toc456256932"/>
      <w:bookmarkStart w:id="3" w:name="_Toc456257456"/>
      <w:bookmarkStart w:id="4" w:name="_Toc456258314"/>
      <w:bookmarkStart w:id="5" w:name="_Toc456258418"/>
      <w:bookmarkStart w:id="6" w:name="_Toc15024074"/>
      <w:r w:rsidRPr="00AB33F7">
        <w:rPr>
          <w:rFonts w:ascii="Arial" w:hAnsi="Arial" w:cs="Arial"/>
          <w:b/>
          <w:sz w:val="28"/>
          <w:szCs w:val="28"/>
        </w:rPr>
        <w:lastRenderedPageBreak/>
        <w:t>Evoluții</w:t>
      </w:r>
      <w:r w:rsidR="007C4F03" w:rsidRPr="00AB33F7">
        <w:rPr>
          <w:rFonts w:ascii="Arial" w:hAnsi="Arial" w:cs="Arial"/>
          <w:b/>
          <w:sz w:val="28"/>
          <w:szCs w:val="28"/>
        </w:rPr>
        <w:t xml:space="preserve"> macroeconomice recente ale economiei </w:t>
      </w:r>
      <w:bookmarkEnd w:id="0"/>
      <w:bookmarkEnd w:id="1"/>
      <w:bookmarkEnd w:id="2"/>
      <w:bookmarkEnd w:id="3"/>
      <w:bookmarkEnd w:id="4"/>
      <w:bookmarkEnd w:id="5"/>
      <w:r w:rsidRPr="00AB33F7">
        <w:rPr>
          <w:rFonts w:ascii="Arial" w:hAnsi="Arial" w:cs="Arial"/>
          <w:b/>
          <w:sz w:val="28"/>
          <w:szCs w:val="28"/>
        </w:rPr>
        <w:t>românești</w:t>
      </w:r>
      <w:bookmarkEnd w:id="6"/>
    </w:p>
    <w:p w:rsidR="009D0987" w:rsidRPr="00857E54" w:rsidRDefault="009D0987" w:rsidP="00281576">
      <w:pPr>
        <w:pStyle w:val="ListParagraph"/>
        <w:keepNext/>
        <w:keepLines/>
        <w:ind w:left="567" w:firstLine="0"/>
        <w:outlineLvl w:val="0"/>
        <w:rPr>
          <w:rFonts w:cs="Arial"/>
          <w:b/>
          <w:sz w:val="28"/>
          <w:szCs w:val="28"/>
        </w:rPr>
      </w:pPr>
    </w:p>
    <w:p w:rsidR="003B3BFB" w:rsidRPr="003B3BFB" w:rsidRDefault="003B3BFB" w:rsidP="004D6D76">
      <w:pPr>
        <w:keepNext/>
        <w:keepLines/>
        <w:spacing w:before="120" w:after="0" w:line="276" w:lineRule="auto"/>
        <w:ind w:firstLine="567"/>
        <w:rPr>
          <w:rFonts w:ascii="Arial" w:eastAsia="Times New Roman" w:hAnsi="Arial" w:cs="Arial"/>
          <w:sz w:val="24"/>
          <w:szCs w:val="24"/>
        </w:rPr>
      </w:pPr>
      <w:r w:rsidRPr="003B3BFB">
        <w:rPr>
          <w:rFonts w:ascii="Arial" w:eastAsia="Times New Roman" w:hAnsi="Arial" w:cs="Arial"/>
          <w:sz w:val="24"/>
          <w:szCs w:val="24"/>
        </w:rPr>
        <w:t xml:space="preserve">Conform datelor publicate de INS, </w:t>
      </w:r>
      <w:r w:rsidR="00164927" w:rsidRPr="003B3BFB">
        <w:rPr>
          <w:rFonts w:ascii="Arial" w:eastAsia="Times New Roman" w:hAnsi="Arial" w:cs="Arial"/>
          <w:b/>
          <w:sz w:val="24"/>
          <w:szCs w:val="24"/>
        </w:rPr>
        <w:t>creșterea</w:t>
      </w:r>
      <w:r w:rsidRPr="003B3BFB">
        <w:rPr>
          <w:rFonts w:ascii="Arial" w:eastAsia="Times New Roman" w:hAnsi="Arial" w:cs="Arial"/>
          <w:b/>
          <w:sz w:val="24"/>
          <w:szCs w:val="24"/>
        </w:rPr>
        <w:t xml:space="preserve"> </w:t>
      </w:r>
      <w:r w:rsidR="00164927" w:rsidRPr="003B3BFB">
        <w:rPr>
          <w:rFonts w:ascii="Arial" w:eastAsia="Times New Roman" w:hAnsi="Arial" w:cs="Arial"/>
          <w:b/>
          <w:sz w:val="24"/>
          <w:szCs w:val="24"/>
        </w:rPr>
        <w:t>economică</w:t>
      </w:r>
      <w:r w:rsidRPr="003B3BFB">
        <w:rPr>
          <w:rFonts w:ascii="Arial" w:eastAsia="Times New Roman" w:hAnsi="Arial" w:cs="Arial"/>
          <w:b/>
          <w:sz w:val="24"/>
          <w:szCs w:val="24"/>
        </w:rPr>
        <w:t xml:space="preserve"> în primul trimestru din 2019 a fost de 5,0%</w:t>
      </w:r>
      <w:r w:rsidRPr="003B3BFB">
        <w:rPr>
          <w:rFonts w:ascii="Arial" w:eastAsia="Times New Roman" w:hAnsi="Arial" w:cs="Arial"/>
          <w:sz w:val="24"/>
          <w:szCs w:val="24"/>
        </w:rPr>
        <w:t xml:space="preserve"> atât ca serie </w:t>
      </w:r>
      <w:r w:rsidR="00164927" w:rsidRPr="003B3BFB">
        <w:rPr>
          <w:rFonts w:ascii="Arial" w:eastAsia="Times New Roman" w:hAnsi="Arial" w:cs="Arial"/>
          <w:sz w:val="24"/>
          <w:szCs w:val="24"/>
        </w:rPr>
        <w:t>brută</w:t>
      </w:r>
      <w:r w:rsidRPr="003B3BFB">
        <w:rPr>
          <w:rFonts w:ascii="Arial" w:eastAsia="Times New Roman" w:hAnsi="Arial" w:cs="Arial"/>
          <w:sz w:val="24"/>
          <w:szCs w:val="24"/>
        </w:rPr>
        <w:t xml:space="preserve">, cât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ca serie ajustată sezonier (date provizorii) comparativ cu trimestrul I 2018.  Din punct de vedere al </w:t>
      </w:r>
      <w:r w:rsidR="00164927" w:rsidRPr="003B3BFB">
        <w:rPr>
          <w:rFonts w:ascii="Arial" w:eastAsia="Times New Roman" w:hAnsi="Arial" w:cs="Arial"/>
          <w:sz w:val="24"/>
          <w:szCs w:val="24"/>
        </w:rPr>
        <w:t>creșterii</w:t>
      </w:r>
      <w:r w:rsidRPr="003B3BFB">
        <w:rPr>
          <w:rFonts w:ascii="Arial" w:eastAsia="Times New Roman" w:hAnsi="Arial" w:cs="Arial"/>
          <w:sz w:val="24"/>
          <w:szCs w:val="24"/>
        </w:rPr>
        <w:t xml:space="preserve"> economice, România a înregistrat una dintre cele mai mari rate de </w:t>
      </w:r>
      <w:r w:rsidR="00164927" w:rsidRPr="003B3BFB">
        <w:rPr>
          <w:rFonts w:ascii="Arial" w:eastAsia="Times New Roman" w:hAnsi="Arial" w:cs="Arial"/>
          <w:sz w:val="24"/>
          <w:szCs w:val="24"/>
        </w:rPr>
        <w:t>creștere</w:t>
      </w:r>
      <w:r w:rsidRPr="003B3BFB">
        <w:rPr>
          <w:rFonts w:ascii="Arial" w:eastAsia="Times New Roman" w:hAnsi="Arial" w:cs="Arial"/>
          <w:sz w:val="24"/>
          <w:szCs w:val="24"/>
        </w:rPr>
        <w:t xml:space="preserve"> din UE, dinamica de 5% fiind de peste 3 ori mai mare </w:t>
      </w:r>
      <w:r w:rsidR="00164927" w:rsidRPr="003B3BFB">
        <w:rPr>
          <w:rFonts w:ascii="Arial" w:eastAsia="Times New Roman" w:hAnsi="Arial" w:cs="Arial"/>
          <w:sz w:val="24"/>
          <w:szCs w:val="24"/>
        </w:rPr>
        <w:t>față</w:t>
      </w:r>
      <w:r w:rsidRPr="003B3BFB">
        <w:rPr>
          <w:rFonts w:ascii="Arial" w:eastAsia="Times New Roman" w:hAnsi="Arial" w:cs="Arial"/>
          <w:sz w:val="24"/>
          <w:szCs w:val="24"/>
        </w:rPr>
        <w:t xml:space="preserve"> de cea înregistrată pe ansamblul UE (1,5%).</w:t>
      </w:r>
    </w:p>
    <w:p w:rsidR="003B3BFB" w:rsidRPr="003B3BFB" w:rsidRDefault="003B3BFB" w:rsidP="004D6D76">
      <w:pPr>
        <w:keepNext/>
        <w:keepLines/>
        <w:spacing w:before="120" w:after="0" w:line="276" w:lineRule="auto"/>
        <w:ind w:firstLine="0"/>
        <w:rPr>
          <w:rFonts w:ascii="Arial" w:eastAsia="Times New Roman" w:hAnsi="Arial" w:cs="Arial"/>
          <w:sz w:val="24"/>
          <w:szCs w:val="24"/>
        </w:rPr>
      </w:pPr>
      <w:r w:rsidRPr="003B3BFB">
        <w:rPr>
          <w:rFonts w:ascii="Arial" w:eastAsia="Times New Roman" w:hAnsi="Arial" w:cs="Arial"/>
          <w:sz w:val="24"/>
          <w:szCs w:val="24"/>
        </w:rPr>
        <w:tab/>
        <w:t xml:space="preserve">Cererea internă, cu o </w:t>
      </w:r>
      <w:r w:rsidR="00164927" w:rsidRPr="003B3BFB">
        <w:rPr>
          <w:rFonts w:ascii="Arial" w:eastAsia="Times New Roman" w:hAnsi="Arial" w:cs="Arial"/>
          <w:sz w:val="24"/>
          <w:szCs w:val="24"/>
        </w:rPr>
        <w:t>contribuție</w:t>
      </w:r>
      <w:r w:rsidRPr="003B3BFB">
        <w:rPr>
          <w:rFonts w:ascii="Arial" w:eastAsia="Times New Roman" w:hAnsi="Arial" w:cs="Arial"/>
          <w:sz w:val="24"/>
          <w:szCs w:val="24"/>
        </w:rPr>
        <w:t xml:space="preserve"> la </w:t>
      </w:r>
      <w:r w:rsidR="00164927" w:rsidRPr="003B3BFB">
        <w:rPr>
          <w:rFonts w:ascii="Arial" w:eastAsia="Times New Roman" w:hAnsi="Arial" w:cs="Arial"/>
          <w:sz w:val="24"/>
          <w:szCs w:val="24"/>
        </w:rPr>
        <w:t>creșterea</w:t>
      </w:r>
      <w:r w:rsidRPr="003B3BFB">
        <w:rPr>
          <w:rFonts w:ascii="Arial" w:eastAsia="Times New Roman" w:hAnsi="Arial" w:cs="Arial"/>
          <w:sz w:val="24"/>
          <w:szCs w:val="24"/>
        </w:rPr>
        <w:t xml:space="preserve"> produsului intern brut de 7,5 procente, s-a bazat, în principal, pe cheltuiala pentru consumul final al gospodăriilor care s-a majorat cu 7% în trimestrul I 2019 comparativ cu trimestrul I din 2018. In cadrul acesteia, serviciile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cumpărările de mărfuri au crescut cu 8,7%, respectiv 8,3%. Totodată, consumul guvernamental (care include consumul individual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consumul colectiv al </w:t>
      </w:r>
      <w:r w:rsidR="00164927" w:rsidRPr="003B3BFB">
        <w:rPr>
          <w:rFonts w:ascii="Arial" w:eastAsia="Times New Roman" w:hAnsi="Arial" w:cs="Arial"/>
          <w:sz w:val="24"/>
          <w:szCs w:val="24"/>
        </w:rPr>
        <w:t>administrației</w:t>
      </w:r>
      <w:r w:rsidRPr="003B3BFB">
        <w:rPr>
          <w:rFonts w:ascii="Arial" w:eastAsia="Times New Roman" w:hAnsi="Arial" w:cs="Arial"/>
          <w:sz w:val="24"/>
          <w:szCs w:val="24"/>
        </w:rPr>
        <w:t xml:space="preserve"> publice) s-a majorat cu doar  0,2%.</w:t>
      </w:r>
    </w:p>
    <w:p w:rsidR="003B3BFB" w:rsidRPr="003B3BFB" w:rsidRDefault="003B3BFB" w:rsidP="004D6D76">
      <w:pPr>
        <w:keepNext/>
        <w:keepLines/>
        <w:spacing w:before="120" w:after="0" w:line="276" w:lineRule="auto"/>
        <w:ind w:firstLine="0"/>
        <w:rPr>
          <w:rFonts w:ascii="Arial" w:eastAsia="Times New Roman" w:hAnsi="Arial" w:cs="Arial"/>
          <w:sz w:val="24"/>
          <w:szCs w:val="24"/>
        </w:rPr>
      </w:pPr>
      <w:r w:rsidRPr="003B3BFB">
        <w:rPr>
          <w:rFonts w:ascii="Arial" w:eastAsia="Times New Roman" w:hAnsi="Arial" w:cs="Arial"/>
          <w:sz w:val="24"/>
          <w:szCs w:val="24"/>
        </w:rPr>
        <w:tab/>
      </w:r>
      <w:r w:rsidR="00164927" w:rsidRPr="003B3BFB">
        <w:rPr>
          <w:rFonts w:ascii="Arial" w:eastAsia="Times New Roman" w:hAnsi="Arial" w:cs="Arial"/>
          <w:sz w:val="24"/>
          <w:szCs w:val="24"/>
        </w:rPr>
        <w:t>Investițiile</w:t>
      </w:r>
      <w:r w:rsidRPr="003B3BFB">
        <w:rPr>
          <w:rFonts w:ascii="Arial" w:eastAsia="Times New Roman" w:hAnsi="Arial" w:cs="Arial"/>
          <w:sz w:val="24"/>
          <w:szCs w:val="24"/>
        </w:rPr>
        <w:t xml:space="preserve"> brute din economie (formarea brută de capital fix - FBCF), după scăderea din anul 2018,  au revenit pe palierul pozitiv,  înregistrând o </w:t>
      </w:r>
      <w:r w:rsidR="00164927" w:rsidRPr="003B3BFB">
        <w:rPr>
          <w:rFonts w:ascii="Arial" w:eastAsia="Times New Roman" w:hAnsi="Arial" w:cs="Arial"/>
          <w:sz w:val="24"/>
          <w:szCs w:val="24"/>
        </w:rPr>
        <w:t>creștere</w:t>
      </w:r>
      <w:r w:rsidRPr="003B3BFB">
        <w:rPr>
          <w:rFonts w:ascii="Arial" w:eastAsia="Times New Roman" w:hAnsi="Arial" w:cs="Arial"/>
          <w:sz w:val="24"/>
          <w:szCs w:val="24"/>
        </w:rPr>
        <w:t xml:space="preserve"> de 3,9% co</w:t>
      </w:r>
      <w:r w:rsidR="00164927">
        <w:rPr>
          <w:rFonts w:ascii="Arial" w:eastAsia="Times New Roman" w:hAnsi="Arial" w:cs="Arial"/>
          <w:sz w:val="24"/>
          <w:szCs w:val="24"/>
        </w:rPr>
        <w:t>mparativ cu trimestrul I 2018. Î</w:t>
      </w:r>
      <w:r w:rsidRPr="003B3BFB">
        <w:rPr>
          <w:rFonts w:ascii="Arial" w:eastAsia="Times New Roman" w:hAnsi="Arial" w:cs="Arial"/>
          <w:sz w:val="24"/>
          <w:szCs w:val="24"/>
        </w:rPr>
        <w:t xml:space="preserve">n </w:t>
      </w:r>
      <w:r w:rsidR="00164927" w:rsidRPr="003B3BFB">
        <w:rPr>
          <w:rFonts w:ascii="Arial" w:eastAsia="Times New Roman" w:hAnsi="Arial" w:cs="Arial"/>
          <w:sz w:val="24"/>
          <w:szCs w:val="24"/>
        </w:rPr>
        <w:t>același</w:t>
      </w:r>
      <w:r w:rsidRPr="003B3BFB">
        <w:rPr>
          <w:rFonts w:ascii="Arial" w:eastAsia="Times New Roman" w:hAnsi="Arial" w:cs="Arial"/>
          <w:sz w:val="24"/>
          <w:szCs w:val="24"/>
        </w:rPr>
        <w:t xml:space="preserve"> timp, </w:t>
      </w:r>
      <w:r w:rsidR="00164927" w:rsidRPr="003B3BFB">
        <w:rPr>
          <w:rFonts w:ascii="Arial" w:eastAsia="Times New Roman" w:hAnsi="Arial" w:cs="Arial"/>
          <w:sz w:val="24"/>
          <w:szCs w:val="24"/>
        </w:rPr>
        <w:t>variația</w:t>
      </w:r>
      <w:r w:rsidRPr="003B3BFB">
        <w:rPr>
          <w:rFonts w:ascii="Arial" w:eastAsia="Times New Roman" w:hAnsi="Arial" w:cs="Arial"/>
          <w:sz w:val="24"/>
          <w:szCs w:val="24"/>
        </w:rPr>
        <w:t xml:space="preserve"> stocurilor a înregistrat o </w:t>
      </w:r>
      <w:r w:rsidR="00164927" w:rsidRPr="003B3BFB">
        <w:rPr>
          <w:rFonts w:ascii="Arial" w:eastAsia="Times New Roman" w:hAnsi="Arial" w:cs="Arial"/>
          <w:sz w:val="24"/>
          <w:szCs w:val="24"/>
        </w:rPr>
        <w:t>contribuție</w:t>
      </w:r>
      <w:r w:rsidRPr="003B3BFB">
        <w:rPr>
          <w:rFonts w:ascii="Arial" w:eastAsia="Times New Roman" w:hAnsi="Arial" w:cs="Arial"/>
          <w:sz w:val="24"/>
          <w:szCs w:val="24"/>
        </w:rPr>
        <w:t xml:space="preserve"> pozitivă de 2,4 procente ca urmare a </w:t>
      </w:r>
      <w:r w:rsidR="00164927" w:rsidRPr="003B3BFB">
        <w:rPr>
          <w:rFonts w:ascii="Arial" w:eastAsia="Times New Roman" w:hAnsi="Arial" w:cs="Arial"/>
          <w:sz w:val="24"/>
          <w:szCs w:val="24"/>
        </w:rPr>
        <w:t>tendinței</w:t>
      </w:r>
      <w:r w:rsidRPr="003B3BFB">
        <w:rPr>
          <w:rFonts w:ascii="Arial" w:eastAsia="Times New Roman" w:hAnsi="Arial" w:cs="Arial"/>
          <w:sz w:val="24"/>
          <w:szCs w:val="24"/>
        </w:rPr>
        <w:t xml:space="preserve"> </w:t>
      </w:r>
      <w:r w:rsidR="00164927" w:rsidRPr="003B3BFB">
        <w:rPr>
          <w:rFonts w:ascii="Arial" w:eastAsia="Times New Roman" w:hAnsi="Arial" w:cs="Arial"/>
          <w:sz w:val="24"/>
          <w:szCs w:val="24"/>
        </w:rPr>
        <w:t>agenților</w:t>
      </w:r>
      <w:r w:rsidRPr="003B3BFB">
        <w:rPr>
          <w:rFonts w:ascii="Arial" w:eastAsia="Times New Roman" w:hAnsi="Arial" w:cs="Arial"/>
          <w:sz w:val="24"/>
          <w:szCs w:val="24"/>
        </w:rPr>
        <w:t xml:space="preserve"> economici de constituire de stocuri de bunuri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echipamente pentru </w:t>
      </w:r>
      <w:r w:rsidR="00164927" w:rsidRPr="003B3BFB">
        <w:rPr>
          <w:rFonts w:ascii="Arial" w:eastAsia="Times New Roman" w:hAnsi="Arial" w:cs="Arial"/>
          <w:sz w:val="24"/>
          <w:szCs w:val="24"/>
        </w:rPr>
        <w:t>investiții</w:t>
      </w:r>
      <w:r w:rsidR="00164927">
        <w:rPr>
          <w:rFonts w:ascii="Arial" w:eastAsia="Times New Roman" w:hAnsi="Arial" w:cs="Arial"/>
          <w:sz w:val="24"/>
          <w:szCs w:val="24"/>
        </w:rPr>
        <w:t xml:space="preserve"> viitoare. Î</w:t>
      </w:r>
      <w:r w:rsidRPr="003B3BFB">
        <w:rPr>
          <w:rFonts w:ascii="Arial" w:eastAsia="Times New Roman" w:hAnsi="Arial" w:cs="Arial"/>
          <w:sz w:val="24"/>
          <w:szCs w:val="24"/>
        </w:rPr>
        <w:t xml:space="preserve">n aceste </w:t>
      </w:r>
      <w:r w:rsidR="00164927" w:rsidRPr="003B3BFB">
        <w:rPr>
          <w:rFonts w:ascii="Arial" w:eastAsia="Times New Roman" w:hAnsi="Arial" w:cs="Arial"/>
          <w:sz w:val="24"/>
          <w:szCs w:val="24"/>
        </w:rPr>
        <w:t>condiții</w:t>
      </w:r>
      <w:r w:rsidRPr="003B3BFB">
        <w:rPr>
          <w:rFonts w:ascii="Arial" w:eastAsia="Times New Roman" w:hAnsi="Arial" w:cs="Arial"/>
          <w:sz w:val="24"/>
          <w:szCs w:val="24"/>
        </w:rPr>
        <w:t>, formarea brută de capital a crescut cu 16%  comparativ cu trimestrul I 2018.</w:t>
      </w:r>
    </w:p>
    <w:p w:rsidR="003B3BFB" w:rsidRDefault="003B3BFB" w:rsidP="004D6D76">
      <w:pPr>
        <w:keepNext/>
        <w:keepLines/>
        <w:spacing w:before="120" w:after="0" w:line="276" w:lineRule="auto"/>
        <w:ind w:firstLine="0"/>
        <w:rPr>
          <w:rFonts w:ascii="Arial" w:eastAsia="Times New Roman" w:hAnsi="Arial" w:cs="Arial"/>
          <w:sz w:val="24"/>
          <w:szCs w:val="24"/>
        </w:rPr>
      </w:pPr>
      <w:r w:rsidRPr="003B3BFB">
        <w:rPr>
          <w:rFonts w:ascii="Arial" w:eastAsia="Times New Roman" w:hAnsi="Arial" w:cs="Arial"/>
          <w:sz w:val="24"/>
          <w:szCs w:val="24"/>
        </w:rPr>
        <w:tab/>
        <w:t xml:space="preserve">Exportul de bunuri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servicii s-a majorat în termeni reali cu 4,9%, în timp ce importul de bunuri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servicii a crescut cu 9,3%. Aceste </w:t>
      </w:r>
      <w:r w:rsidR="00164927" w:rsidRPr="003B3BFB">
        <w:rPr>
          <w:rFonts w:ascii="Arial" w:eastAsia="Times New Roman" w:hAnsi="Arial" w:cs="Arial"/>
          <w:sz w:val="24"/>
          <w:szCs w:val="24"/>
        </w:rPr>
        <w:t>evoluții</w:t>
      </w:r>
      <w:r w:rsidRPr="003B3BFB">
        <w:rPr>
          <w:rFonts w:ascii="Arial" w:eastAsia="Times New Roman" w:hAnsi="Arial" w:cs="Arial"/>
          <w:sz w:val="24"/>
          <w:szCs w:val="24"/>
        </w:rPr>
        <w:t xml:space="preserve"> au făcut ca exportul net să înregistreze o contribuție negativă la creșterea produsului intern brut de 2,5 procente.</w:t>
      </w:r>
    </w:p>
    <w:p w:rsidR="002C735C" w:rsidRDefault="006407D7" w:rsidP="003B3BFB">
      <w:pPr>
        <w:keepNext/>
        <w:keepLines/>
        <w:spacing w:before="120" w:after="0"/>
        <w:ind w:firstLine="0"/>
        <w:jc w:val="center"/>
        <w:rPr>
          <w:rFonts w:ascii="Arial" w:eastAsia="Times New Roman" w:hAnsi="Arial" w:cs="Arial"/>
          <w:b/>
          <w:bCs/>
          <w:sz w:val="24"/>
          <w:szCs w:val="24"/>
        </w:rPr>
      </w:pPr>
      <w:r w:rsidRPr="00857E54">
        <w:rPr>
          <w:rFonts w:ascii="Arial" w:eastAsia="Times New Roman" w:hAnsi="Arial" w:cs="Arial"/>
          <w:b/>
          <w:bCs/>
          <w:sz w:val="24"/>
          <w:szCs w:val="24"/>
        </w:rPr>
        <w:t>Contribuția la creșterea reală a PIB a elementelor de cheltuieli</w:t>
      </w:r>
    </w:p>
    <w:p w:rsidR="009414F6" w:rsidRDefault="003B3BFB" w:rsidP="004D6D76">
      <w:pPr>
        <w:keepNext/>
        <w:keepLines/>
        <w:ind w:firstLine="0"/>
        <w:rPr>
          <w:rFonts w:eastAsia="Times New Roman" w:cs="Arial"/>
          <w:sz w:val="24"/>
          <w:szCs w:val="24"/>
        </w:rPr>
      </w:pPr>
      <w:r>
        <w:rPr>
          <w:rFonts w:eastAsia="Times New Roman" w:cs="Arial"/>
          <w:noProof/>
          <w:sz w:val="24"/>
          <w:szCs w:val="24"/>
          <w:lang w:val="en-US"/>
        </w:rPr>
        <w:drawing>
          <wp:inline distT="0" distB="0" distL="0" distR="0" wp14:anchorId="5C40D651" wp14:editId="3E6ABC8A">
            <wp:extent cx="5718810" cy="25092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372" cy="2512163"/>
                    </a:xfrm>
                    <a:prstGeom prst="rect">
                      <a:avLst/>
                    </a:prstGeom>
                    <a:noFill/>
                  </pic:spPr>
                </pic:pic>
              </a:graphicData>
            </a:graphic>
          </wp:inline>
        </w:drawing>
      </w:r>
    </w:p>
    <w:p w:rsidR="003B3BFB" w:rsidRPr="004D6D76" w:rsidRDefault="003B3BFB" w:rsidP="004D6D76">
      <w:pPr>
        <w:keepNext/>
        <w:keepLines/>
        <w:spacing w:line="276" w:lineRule="auto"/>
        <w:ind w:firstLine="708"/>
        <w:rPr>
          <w:rFonts w:ascii="Arial" w:eastAsia="Times New Roman" w:hAnsi="Arial" w:cs="Arial"/>
          <w:sz w:val="24"/>
          <w:szCs w:val="24"/>
        </w:rPr>
      </w:pPr>
      <w:r w:rsidRPr="004D6D76">
        <w:rPr>
          <w:rFonts w:ascii="Arial" w:eastAsia="Times New Roman" w:hAnsi="Arial" w:cs="Arial"/>
          <w:sz w:val="24"/>
          <w:szCs w:val="24"/>
        </w:rPr>
        <w:lastRenderedPageBreak/>
        <w:t xml:space="preserve">Pe partea ofertei, s-au înregistrat </w:t>
      </w:r>
      <w:r w:rsidR="00164927" w:rsidRPr="004D6D76">
        <w:rPr>
          <w:rFonts w:ascii="Arial" w:eastAsia="Times New Roman" w:hAnsi="Arial" w:cs="Arial"/>
          <w:sz w:val="24"/>
          <w:szCs w:val="24"/>
        </w:rPr>
        <w:t>evoluții</w:t>
      </w:r>
      <w:r w:rsidRPr="004D6D76">
        <w:rPr>
          <w:rFonts w:ascii="Arial" w:eastAsia="Times New Roman" w:hAnsi="Arial" w:cs="Arial"/>
          <w:sz w:val="24"/>
          <w:szCs w:val="24"/>
        </w:rPr>
        <w:t xml:space="preserve"> pozitive în </w:t>
      </w:r>
      <w:r w:rsidR="00164927" w:rsidRPr="004D6D76">
        <w:rPr>
          <w:rFonts w:ascii="Arial" w:eastAsia="Times New Roman" w:hAnsi="Arial" w:cs="Arial"/>
          <w:sz w:val="24"/>
          <w:szCs w:val="24"/>
        </w:rPr>
        <w:t>construcții</w:t>
      </w:r>
      <w:r w:rsidRPr="004D6D76">
        <w:rPr>
          <w:rFonts w:ascii="Arial" w:eastAsia="Times New Roman" w:hAnsi="Arial" w:cs="Arial"/>
          <w:sz w:val="24"/>
          <w:szCs w:val="24"/>
        </w:rPr>
        <w:t xml:space="preserve"> (6,6%),  servicii (5,7%), agricultură (3,0%)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industrie (0,9%), ceea ce arată caracterul sustenabil al </w:t>
      </w:r>
      <w:r w:rsidR="00164927" w:rsidRPr="004D6D76">
        <w:rPr>
          <w:rFonts w:ascii="Arial" w:eastAsia="Times New Roman" w:hAnsi="Arial" w:cs="Arial"/>
          <w:sz w:val="24"/>
          <w:szCs w:val="24"/>
        </w:rPr>
        <w:t>creșterii</w:t>
      </w:r>
      <w:r w:rsidRPr="004D6D76">
        <w:rPr>
          <w:rFonts w:ascii="Arial" w:eastAsia="Times New Roman" w:hAnsi="Arial" w:cs="Arial"/>
          <w:sz w:val="24"/>
          <w:szCs w:val="24"/>
        </w:rPr>
        <w:t xml:space="preserve"> economice. De remarcat majorarea valorii adăugate brute din </w:t>
      </w:r>
      <w:r w:rsidR="00164927" w:rsidRPr="004D6D76">
        <w:rPr>
          <w:rFonts w:ascii="Arial" w:eastAsia="Times New Roman" w:hAnsi="Arial" w:cs="Arial"/>
          <w:sz w:val="24"/>
          <w:szCs w:val="24"/>
        </w:rPr>
        <w:t>construcții</w:t>
      </w:r>
      <w:r w:rsidRPr="004D6D76">
        <w:rPr>
          <w:rFonts w:ascii="Arial" w:eastAsia="Times New Roman" w:hAnsi="Arial" w:cs="Arial"/>
          <w:sz w:val="24"/>
          <w:szCs w:val="24"/>
        </w:rPr>
        <w:t xml:space="preserve"> (6,6%), peste cea a </w:t>
      </w:r>
      <w:r w:rsidR="00164927" w:rsidRPr="004D6D76">
        <w:rPr>
          <w:rFonts w:ascii="Arial" w:eastAsia="Times New Roman" w:hAnsi="Arial" w:cs="Arial"/>
          <w:sz w:val="24"/>
          <w:szCs w:val="24"/>
        </w:rPr>
        <w:t>creșterii</w:t>
      </w:r>
      <w:r w:rsidRPr="004D6D76">
        <w:rPr>
          <w:rFonts w:ascii="Arial" w:eastAsia="Times New Roman" w:hAnsi="Arial" w:cs="Arial"/>
          <w:sz w:val="24"/>
          <w:szCs w:val="24"/>
        </w:rPr>
        <w:t xml:space="preserve"> economice, </w:t>
      </w:r>
      <w:r w:rsidR="00164927" w:rsidRPr="004D6D76">
        <w:rPr>
          <w:rFonts w:ascii="Arial" w:eastAsia="Times New Roman" w:hAnsi="Arial" w:cs="Arial"/>
          <w:sz w:val="24"/>
          <w:szCs w:val="24"/>
        </w:rPr>
        <w:t>contribuția</w:t>
      </w:r>
      <w:r w:rsidRPr="004D6D76">
        <w:rPr>
          <w:rFonts w:ascii="Arial" w:eastAsia="Times New Roman" w:hAnsi="Arial" w:cs="Arial"/>
          <w:sz w:val="24"/>
          <w:szCs w:val="24"/>
        </w:rPr>
        <w:t xml:space="preserve"> acestei ramuri la </w:t>
      </w:r>
      <w:r w:rsidR="00164927" w:rsidRPr="004D6D76">
        <w:rPr>
          <w:rFonts w:ascii="Arial" w:eastAsia="Times New Roman" w:hAnsi="Arial" w:cs="Arial"/>
          <w:sz w:val="24"/>
          <w:szCs w:val="24"/>
        </w:rPr>
        <w:t>creșterea</w:t>
      </w:r>
      <w:r w:rsidRPr="004D6D76">
        <w:rPr>
          <w:rFonts w:ascii="Arial" w:eastAsia="Times New Roman" w:hAnsi="Arial" w:cs="Arial"/>
          <w:sz w:val="24"/>
          <w:szCs w:val="24"/>
        </w:rPr>
        <w:t xml:space="preserve"> reală a PIB fiind de 0,2 puncte procentuale. În ceea ce </w:t>
      </w:r>
      <w:r w:rsidR="00164927" w:rsidRPr="004D6D76">
        <w:rPr>
          <w:rFonts w:ascii="Arial" w:eastAsia="Times New Roman" w:hAnsi="Arial" w:cs="Arial"/>
          <w:sz w:val="24"/>
          <w:szCs w:val="24"/>
        </w:rPr>
        <w:t>privește</w:t>
      </w:r>
      <w:r w:rsidRPr="004D6D76">
        <w:rPr>
          <w:rFonts w:ascii="Arial" w:eastAsia="Times New Roman" w:hAnsi="Arial" w:cs="Arial"/>
          <w:sz w:val="24"/>
          <w:szCs w:val="24"/>
        </w:rPr>
        <w:t xml:space="preserve"> serviciile în ansamblul lor, a căror </w:t>
      </w:r>
      <w:r w:rsidR="00164927" w:rsidRPr="004D6D76">
        <w:rPr>
          <w:rFonts w:ascii="Arial" w:eastAsia="Times New Roman" w:hAnsi="Arial" w:cs="Arial"/>
          <w:sz w:val="24"/>
          <w:szCs w:val="24"/>
        </w:rPr>
        <w:t>contribuție</w:t>
      </w:r>
      <w:r w:rsidRPr="004D6D76">
        <w:rPr>
          <w:rFonts w:ascii="Arial" w:eastAsia="Times New Roman" w:hAnsi="Arial" w:cs="Arial"/>
          <w:sz w:val="24"/>
          <w:szCs w:val="24"/>
        </w:rPr>
        <w:t xml:space="preserve"> la </w:t>
      </w:r>
      <w:r w:rsidR="00164927" w:rsidRPr="004D6D76">
        <w:rPr>
          <w:rFonts w:ascii="Arial" w:eastAsia="Times New Roman" w:hAnsi="Arial" w:cs="Arial"/>
          <w:sz w:val="24"/>
          <w:szCs w:val="24"/>
        </w:rPr>
        <w:t>creșterea</w:t>
      </w:r>
      <w:r w:rsidRPr="004D6D76">
        <w:rPr>
          <w:rFonts w:ascii="Arial" w:eastAsia="Times New Roman" w:hAnsi="Arial" w:cs="Arial"/>
          <w:sz w:val="24"/>
          <w:szCs w:val="24"/>
        </w:rPr>
        <w:t xml:space="preserve"> reală a PIB a fost de 3,5 puncte procentuale, se </w:t>
      </w:r>
      <w:r w:rsidR="00164927" w:rsidRPr="004D6D76">
        <w:rPr>
          <w:rFonts w:ascii="Arial" w:eastAsia="Times New Roman" w:hAnsi="Arial" w:cs="Arial"/>
          <w:sz w:val="24"/>
          <w:szCs w:val="24"/>
        </w:rPr>
        <w:t>evidențiază</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detașat</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contribuția</w:t>
      </w:r>
      <w:r w:rsidRPr="004D6D76">
        <w:rPr>
          <w:rFonts w:ascii="Arial" w:eastAsia="Times New Roman" w:hAnsi="Arial" w:cs="Arial"/>
          <w:sz w:val="24"/>
          <w:szCs w:val="24"/>
        </w:rPr>
        <w:t xml:space="preserve"> ramurii „</w:t>
      </w:r>
      <w:r w:rsidR="00164927" w:rsidRPr="004D6D76">
        <w:rPr>
          <w:rFonts w:ascii="Arial" w:eastAsia="Times New Roman" w:hAnsi="Arial" w:cs="Arial"/>
          <w:sz w:val="24"/>
          <w:szCs w:val="24"/>
        </w:rPr>
        <w:t>comerț</w:t>
      </w:r>
      <w:r w:rsidRPr="004D6D76">
        <w:rPr>
          <w:rFonts w:ascii="Arial" w:eastAsia="Times New Roman" w:hAnsi="Arial" w:cs="Arial"/>
          <w:sz w:val="24"/>
          <w:szCs w:val="24"/>
        </w:rPr>
        <w:t xml:space="preserve">, transport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depozitare, hoteluri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restaurante” cu 1,4 puncte procentuale. </w:t>
      </w:r>
    </w:p>
    <w:p w:rsidR="004D6D76" w:rsidRPr="004D6D76" w:rsidRDefault="003B3BFB" w:rsidP="004D6D76">
      <w:pPr>
        <w:keepNext/>
        <w:keepLines/>
        <w:spacing w:line="276" w:lineRule="auto"/>
        <w:ind w:firstLine="708"/>
        <w:rPr>
          <w:rFonts w:ascii="Arial" w:eastAsia="Times New Roman" w:hAnsi="Arial" w:cs="Arial"/>
          <w:sz w:val="24"/>
          <w:szCs w:val="24"/>
        </w:rPr>
      </w:pPr>
      <w:r w:rsidRPr="004D6D76">
        <w:rPr>
          <w:rFonts w:ascii="Arial" w:eastAsia="Times New Roman" w:hAnsi="Arial" w:cs="Arial"/>
          <w:sz w:val="24"/>
          <w:szCs w:val="24"/>
        </w:rPr>
        <w:t xml:space="preserve">De </w:t>
      </w:r>
      <w:r w:rsidR="00164927" w:rsidRPr="004D6D76">
        <w:rPr>
          <w:rFonts w:ascii="Arial" w:eastAsia="Times New Roman" w:hAnsi="Arial" w:cs="Arial"/>
          <w:sz w:val="24"/>
          <w:szCs w:val="24"/>
        </w:rPr>
        <w:t>evidențiat</w:t>
      </w:r>
      <w:r w:rsidRPr="004D6D76">
        <w:rPr>
          <w:rFonts w:ascii="Arial" w:eastAsia="Times New Roman" w:hAnsi="Arial" w:cs="Arial"/>
          <w:sz w:val="24"/>
          <w:szCs w:val="24"/>
        </w:rPr>
        <w:t xml:space="preserve"> că pe categorii de servicii s-au înregistrat majorări semnificative în ramurile „</w:t>
      </w:r>
      <w:r w:rsidR="00164927" w:rsidRPr="004D6D76">
        <w:rPr>
          <w:rFonts w:ascii="Arial" w:eastAsia="Times New Roman" w:hAnsi="Arial" w:cs="Arial"/>
          <w:sz w:val="24"/>
          <w:szCs w:val="24"/>
        </w:rPr>
        <w:t>informații</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comunicații</w:t>
      </w:r>
      <w:r w:rsidRPr="004D6D76">
        <w:rPr>
          <w:rFonts w:ascii="Arial" w:eastAsia="Times New Roman" w:hAnsi="Arial" w:cs="Arial"/>
          <w:sz w:val="24"/>
          <w:szCs w:val="24"/>
        </w:rPr>
        <w:t xml:space="preserve">" (11%)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activități</w:t>
      </w:r>
      <w:r w:rsidRPr="004D6D76">
        <w:rPr>
          <w:rFonts w:ascii="Arial" w:eastAsia="Times New Roman" w:hAnsi="Arial" w:cs="Arial"/>
          <w:sz w:val="24"/>
          <w:szCs w:val="24"/>
        </w:rPr>
        <w:t xml:space="preserve"> profesionale </w:t>
      </w:r>
      <w:r w:rsidR="00164927" w:rsidRPr="004D6D76">
        <w:rPr>
          <w:rFonts w:ascii="Arial" w:eastAsia="Times New Roman" w:hAnsi="Arial" w:cs="Arial"/>
          <w:sz w:val="24"/>
          <w:szCs w:val="24"/>
        </w:rPr>
        <w:t>și</w:t>
      </w:r>
      <w:r w:rsidRPr="004D6D76">
        <w:rPr>
          <w:rFonts w:ascii="Arial" w:eastAsia="Times New Roman" w:hAnsi="Arial" w:cs="Arial"/>
          <w:sz w:val="24"/>
          <w:szCs w:val="24"/>
        </w:rPr>
        <w:t xml:space="preserve"> de servicii suport" (9,6%). Majorarea semnificativă a impozitelor nete pe produs (9,1%) a </w:t>
      </w:r>
      <w:r w:rsidR="00164927" w:rsidRPr="004D6D76">
        <w:rPr>
          <w:rFonts w:ascii="Arial" w:eastAsia="Times New Roman" w:hAnsi="Arial" w:cs="Arial"/>
          <w:sz w:val="24"/>
          <w:szCs w:val="24"/>
        </w:rPr>
        <w:t>susținut</w:t>
      </w:r>
      <w:r w:rsidRPr="004D6D76">
        <w:rPr>
          <w:rFonts w:ascii="Arial" w:eastAsia="Times New Roman" w:hAnsi="Arial" w:cs="Arial"/>
          <w:sz w:val="24"/>
          <w:szCs w:val="24"/>
        </w:rPr>
        <w:t xml:space="preserve"> </w:t>
      </w:r>
      <w:r w:rsidR="00164927" w:rsidRPr="004D6D76">
        <w:rPr>
          <w:rFonts w:ascii="Arial" w:eastAsia="Times New Roman" w:hAnsi="Arial" w:cs="Arial"/>
          <w:sz w:val="24"/>
          <w:szCs w:val="24"/>
        </w:rPr>
        <w:t>creșt</w:t>
      </w:r>
      <w:r w:rsidR="00164927">
        <w:rPr>
          <w:rFonts w:ascii="Arial" w:eastAsia="Times New Roman" w:hAnsi="Arial" w:cs="Arial"/>
          <w:sz w:val="24"/>
          <w:szCs w:val="24"/>
        </w:rPr>
        <w:t>erea</w:t>
      </w:r>
      <w:r w:rsidRPr="004D6D76">
        <w:rPr>
          <w:rFonts w:ascii="Arial" w:eastAsia="Times New Roman" w:hAnsi="Arial" w:cs="Arial"/>
          <w:sz w:val="24"/>
          <w:szCs w:val="24"/>
        </w:rPr>
        <w:t xml:space="preserve"> economică cu un punct procentual.</w:t>
      </w:r>
    </w:p>
    <w:p w:rsidR="006407D7" w:rsidRPr="00857E54" w:rsidRDefault="006407D7" w:rsidP="004D6D76">
      <w:pPr>
        <w:keepNext/>
        <w:keepLines/>
        <w:spacing w:before="120" w:after="360"/>
        <w:ind w:firstLine="0"/>
        <w:jc w:val="center"/>
        <w:rPr>
          <w:rFonts w:ascii="Arial" w:eastAsia="Times New Roman" w:hAnsi="Arial" w:cs="Arial"/>
          <w:sz w:val="24"/>
          <w:szCs w:val="24"/>
        </w:rPr>
      </w:pPr>
      <w:r w:rsidRPr="00857E54">
        <w:rPr>
          <w:rFonts w:ascii="Arial" w:eastAsia="Times New Roman" w:hAnsi="Arial" w:cs="Arial"/>
          <w:b/>
          <w:bCs/>
          <w:sz w:val="24"/>
          <w:szCs w:val="24"/>
        </w:rPr>
        <w:t>Contribuția la creșterea reală a PIB a elementelor de creare</w:t>
      </w:r>
    </w:p>
    <w:p w:rsidR="00281576" w:rsidRPr="00857E54" w:rsidRDefault="003B3BFB" w:rsidP="00281576">
      <w:pPr>
        <w:keepNext/>
        <w:keepLines/>
        <w:ind w:firstLine="0"/>
        <w:rPr>
          <w:rFonts w:ascii="Arial" w:eastAsia="Times New Roman" w:hAnsi="Arial" w:cs="Arial"/>
          <w:sz w:val="24"/>
          <w:szCs w:val="24"/>
        </w:rPr>
      </w:pPr>
      <w:r>
        <w:rPr>
          <w:rFonts w:ascii="Arial" w:eastAsia="Times New Roman" w:hAnsi="Arial" w:cs="Arial"/>
          <w:noProof/>
          <w:sz w:val="24"/>
          <w:szCs w:val="24"/>
          <w:lang w:val="en-US"/>
        </w:rPr>
        <w:drawing>
          <wp:inline distT="0" distB="0" distL="0" distR="0" wp14:anchorId="1FCFCF2E" wp14:editId="024BD169">
            <wp:extent cx="5761355" cy="28388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728" cy="2842033"/>
                    </a:xfrm>
                    <a:prstGeom prst="rect">
                      <a:avLst/>
                    </a:prstGeom>
                    <a:noFill/>
                  </pic:spPr>
                </pic:pic>
              </a:graphicData>
            </a:graphic>
          </wp:inline>
        </w:drawing>
      </w:r>
    </w:p>
    <w:p w:rsidR="00281576" w:rsidRPr="00857E54" w:rsidRDefault="00281576" w:rsidP="00281576">
      <w:pPr>
        <w:keepNext/>
        <w:keepLines/>
        <w:ind w:firstLine="0"/>
        <w:rPr>
          <w:rFonts w:ascii="Arial" w:eastAsia="Times New Roman" w:hAnsi="Arial" w:cs="Arial"/>
          <w:sz w:val="24"/>
          <w:szCs w:val="24"/>
        </w:rPr>
      </w:pPr>
    </w:p>
    <w:p w:rsidR="003B3BFB" w:rsidRPr="003B3BFB" w:rsidRDefault="003B3BFB" w:rsidP="004D6D76">
      <w:pPr>
        <w:keepNext/>
        <w:keepLines/>
        <w:spacing w:before="120" w:after="0" w:line="276" w:lineRule="auto"/>
        <w:ind w:firstLine="708"/>
        <w:rPr>
          <w:rFonts w:ascii="Arial" w:eastAsia="Times New Roman" w:hAnsi="Arial" w:cs="Arial"/>
          <w:sz w:val="24"/>
          <w:szCs w:val="24"/>
        </w:rPr>
      </w:pPr>
      <w:r w:rsidRPr="003B3BFB">
        <w:rPr>
          <w:rFonts w:ascii="Arial" w:eastAsia="Times New Roman" w:hAnsi="Arial" w:cs="Arial"/>
          <w:sz w:val="24"/>
          <w:szCs w:val="24"/>
        </w:rPr>
        <w:t xml:space="preserve">În termeni nominali PIB a fost în trimestrul I 2019 în valoare de 200,4 miliarde lei, în </w:t>
      </w:r>
      <w:r w:rsidR="00164927" w:rsidRPr="003B3BFB">
        <w:rPr>
          <w:rFonts w:ascii="Arial" w:eastAsia="Times New Roman" w:hAnsi="Arial" w:cs="Arial"/>
          <w:sz w:val="24"/>
          <w:szCs w:val="24"/>
        </w:rPr>
        <w:t>creștere</w:t>
      </w:r>
      <w:r w:rsidRPr="003B3BFB">
        <w:rPr>
          <w:rFonts w:ascii="Arial" w:eastAsia="Times New Roman" w:hAnsi="Arial" w:cs="Arial"/>
          <w:sz w:val="24"/>
          <w:szCs w:val="24"/>
        </w:rPr>
        <w:t xml:space="preserve"> cu 11,8% </w:t>
      </w:r>
      <w:r w:rsidR="00164927" w:rsidRPr="003B3BFB">
        <w:rPr>
          <w:rFonts w:ascii="Arial" w:eastAsia="Times New Roman" w:hAnsi="Arial" w:cs="Arial"/>
          <w:sz w:val="24"/>
          <w:szCs w:val="24"/>
        </w:rPr>
        <w:t>față</w:t>
      </w:r>
      <w:r w:rsidRPr="003B3BFB">
        <w:rPr>
          <w:rFonts w:ascii="Arial" w:eastAsia="Times New Roman" w:hAnsi="Arial" w:cs="Arial"/>
          <w:sz w:val="24"/>
          <w:szCs w:val="24"/>
        </w:rPr>
        <w:t xml:space="preserve"> de perioada corespunzătoare din anul precedent, în </w:t>
      </w:r>
      <w:r w:rsidR="00164927" w:rsidRPr="003B3BFB">
        <w:rPr>
          <w:rFonts w:ascii="Arial" w:eastAsia="Times New Roman" w:hAnsi="Arial" w:cs="Arial"/>
          <w:sz w:val="24"/>
          <w:szCs w:val="24"/>
        </w:rPr>
        <w:t>condițiile</w:t>
      </w:r>
      <w:r w:rsidRPr="003B3BFB">
        <w:rPr>
          <w:rFonts w:ascii="Arial" w:eastAsia="Times New Roman" w:hAnsi="Arial" w:cs="Arial"/>
          <w:sz w:val="24"/>
          <w:szCs w:val="24"/>
        </w:rPr>
        <w:t xml:space="preserve"> unui deflator de 6,5%. </w:t>
      </w:r>
    </w:p>
    <w:p w:rsidR="003B3BFB" w:rsidRP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3B3BFB">
        <w:rPr>
          <w:rFonts w:ascii="Arial" w:eastAsia="Times New Roman" w:hAnsi="Arial" w:cs="Arial"/>
          <w:sz w:val="24"/>
          <w:szCs w:val="24"/>
        </w:rPr>
        <w:t xml:space="preserve">La nivelul primelor 5 luni ale anului curent </w:t>
      </w:r>
      <w:r w:rsidRPr="00552F13">
        <w:rPr>
          <w:rFonts w:ascii="Arial" w:eastAsia="Times New Roman" w:hAnsi="Arial" w:cs="Arial"/>
          <w:b/>
          <w:sz w:val="24"/>
          <w:szCs w:val="24"/>
        </w:rPr>
        <w:t>volumul producției industriale</w:t>
      </w:r>
      <w:r w:rsidRPr="003B3BFB">
        <w:rPr>
          <w:rFonts w:ascii="Arial" w:eastAsia="Times New Roman" w:hAnsi="Arial" w:cs="Arial"/>
          <w:sz w:val="24"/>
          <w:szCs w:val="24"/>
        </w:rPr>
        <w:t xml:space="preserve"> s-a majorat cu 0,7% față de aceeași perioadă din 2018. Este de remarcat creșterea semnificativă a cererii de bunuri intermediare </w:t>
      </w:r>
      <w:r w:rsidR="00164927" w:rsidRPr="003B3BFB">
        <w:rPr>
          <w:rFonts w:ascii="Arial" w:eastAsia="Times New Roman" w:hAnsi="Arial" w:cs="Arial"/>
          <w:sz w:val="24"/>
          <w:szCs w:val="24"/>
        </w:rPr>
        <w:t>și</w:t>
      </w:r>
      <w:r w:rsidRPr="003B3BFB">
        <w:rPr>
          <w:rFonts w:ascii="Arial" w:eastAsia="Times New Roman" w:hAnsi="Arial" w:cs="Arial"/>
          <w:sz w:val="24"/>
          <w:szCs w:val="24"/>
        </w:rPr>
        <w:t xml:space="preserve"> a celei de bunuri de capital reflectate într-o majorare a producției pentru aceste categorii de bunuri cu 4,7%, respectiv 1,5%, în timp ce valorile cifrei de afaceri au  crescut cu 11,1%, respectiv 7,2%. </w:t>
      </w:r>
    </w:p>
    <w:p w:rsidR="003B3BFB" w:rsidRPr="003B3BFB" w:rsidRDefault="003B3BFB" w:rsidP="004D6D76">
      <w:pPr>
        <w:keepNext/>
        <w:keepLines/>
        <w:spacing w:before="120" w:after="0" w:line="276" w:lineRule="auto"/>
        <w:ind w:firstLine="708"/>
        <w:rPr>
          <w:rFonts w:ascii="Arial" w:eastAsia="Times New Roman" w:hAnsi="Arial" w:cs="Arial"/>
          <w:sz w:val="24"/>
          <w:szCs w:val="24"/>
        </w:rPr>
      </w:pPr>
      <w:r w:rsidRPr="003B3BFB">
        <w:rPr>
          <w:rFonts w:ascii="Arial" w:eastAsia="Times New Roman" w:hAnsi="Arial" w:cs="Arial"/>
          <w:sz w:val="24"/>
          <w:szCs w:val="24"/>
        </w:rPr>
        <w:t xml:space="preserve">În primul trimestru din 2019 majorarea </w:t>
      </w:r>
      <w:r w:rsidRPr="00552F13">
        <w:rPr>
          <w:rFonts w:ascii="Arial" w:eastAsia="Times New Roman" w:hAnsi="Arial" w:cs="Arial"/>
          <w:b/>
          <w:sz w:val="24"/>
          <w:szCs w:val="24"/>
        </w:rPr>
        <w:t>investițiilor nete</w:t>
      </w:r>
      <w:r w:rsidRPr="003B3BFB">
        <w:rPr>
          <w:rFonts w:ascii="Arial" w:eastAsia="Times New Roman" w:hAnsi="Arial" w:cs="Arial"/>
          <w:sz w:val="24"/>
          <w:szCs w:val="24"/>
        </w:rPr>
        <w:t xml:space="preserve"> a ajuns la o dinamică de 5,7% comparativ cu trimestrul I 2018. </w:t>
      </w:r>
      <w:r w:rsidR="00164927" w:rsidRPr="003B3BFB">
        <w:rPr>
          <w:rFonts w:ascii="Arial" w:eastAsia="Times New Roman" w:hAnsi="Arial" w:cs="Arial"/>
          <w:sz w:val="24"/>
          <w:szCs w:val="24"/>
        </w:rPr>
        <w:t>Acest</w:t>
      </w:r>
      <w:r w:rsidRPr="003B3BFB">
        <w:rPr>
          <w:rFonts w:ascii="Arial" w:eastAsia="Times New Roman" w:hAnsi="Arial" w:cs="Arial"/>
          <w:sz w:val="24"/>
          <w:szCs w:val="24"/>
        </w:rPr>
        <w:t xml:space="preserve"> rezultat s-a realizat ca urmare a creșterii cu 12,6% a investițiilor din sectorul majoritar privat.</w:t>
      </w:r>
    </w:p>
    <w:p w:rsidR="003B3BFB" w:rsidRP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lastRenderedPageBreak/>
        <w:tab/>
      </w:r>
      <w:r w:rsidR="00552F13">
        <w:rPr>
          <w:rFonts w:ascii="Arial" w:eastAsia="Times New Roman" w:hAnsi="Arial" w:cs="Arial"/>
          <w:sz w:val="24"/>
          <w:szCs w:val="24"/>
        </w:rPr>
        <w:tab/>
      </w:r>
      <w:r w:rsidRPr="00552F13">
        <w:rPr>
          <w:rFonts w:ascii="Arial" w:eastAsia="Times New Roman" w:hAnsi="Arial" w:cs="Arial"/>
          <w:b/>
          <w:sz w:val="24"/>
          <w:szCs w:val="24"/>
        </w:rPr>
        <w:t>Investițiile nete</w:t>
      </w:r>
      <w:r w:rsidRPr="003B3BFB">
        <w:rPr>
          <w:rFonts w:ascii="Arial" w:eastAsia="Times New Roman" w:hAnsi="Arial" w:cs="Arial"/>
          <w:sz w:val="24"/>
          <w:szCs w:val="24"/>
        </w:rPr>
        <w:t xml:space="preserve"> în lucrările de </w:t>
      </w:r>
      <w:r w:rsidR="00164927" w:rsidRPr="003B3BFB">
        <w:rPr>
          <w:rFonts w:ascii="Arial" w:eastAsia="Times New Roman" w:hAnsi="Arial" w:cs="Arial"/>
          <w:sz w:val="24"/>
          <w:szCs w:val="24"/>
        </w:rPr>
        <w:t>construcții</w:t>
      </w:r>
      <w:r w:rsidRPr="003B3BFB">
        <w:rPr>
          <w:rFonts w:ascii="Arial" w:eastAsia="Times New Roman" w:hAnsi="Arial" w:cs="Arial"/>
          <w:sz w:val="24"/>
          <w:szCs w:val="24"/>
        </w:rPr>
        <w:t xml:space="preserve"> noi, pe total economie, au crescut cu 20,6%, fiind predominante în structura </w:t>
      </w:r>
      <w:r w:rsidR="00146B8D" w:rsidRPr="003B3BFB">
        <w:rPr>
          <w:rFonts w:ascii="Arial" w:eastAsia="Times New Roman" w:hAnsi="Arial" w:cs="Arial"/>
          <w:sz w:val="24"/>
          <w:szCs w:val="24"/>
        </w:rPr>
        <w:t>investițiilor</w:t>
      </w:r>
      <w:r w:rsidRPr="003B3BFB">
        <w:rPr>
          <w:rFonts w:ascii="Arial" w:eastAsia="Times New Roman" w:hAnsi="Arial" w:cs="Arial"/>
          <w:sz w:val="24"/>
          <w:szCs w:val="24"/>
        </w:rPr>
        <w:t xml:space="preserve"> cu o pondere de 46,4%, în </w:t>
      </w:r>
      <w:r w:rsidR="00146B8D" w:rsidRPr="003B3BFB">
        <w:rPr>
          <w:rFonts w:ascii="Arial" w:eastAsia="Times New Roman" w:hAnsi="Arial" w:cs="Arial"/>
          <w:sz w:val="24"/>
          <w:szCs w:val="24"/>
        </w:rPr>
        <w:t>creștere</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față</w:t>
      </w:r>
      <w:r w:rsidRPr="003B3BFB">
        <w:rPr>
          <w:rFonts w:ascii="Arial" w:eastAsia="Times New Roman" w:hAnsi="Arial" w:cs="Arial"/>
          <w:sz w:val="24"/>
          <w:szCs w:val="24"/>
        </w:rPr>
        <w:t xml:space="preserve"> de trimestrul I 2018, când acestea reprezentau doar 39,7%.</w:t>
      </w:r>
    </w:p>
    <w:p w:rsidR="003B3BFB" w:rsidRPr="003B3BFB" w:rsidRDefault="003B3BFB" w:rsidP="004D6D76">
      <w:pPr>
        <w:keepNext/>
        <w:keepLines/>
        <w:spacing w:before="120" w:after="0" w:line="276" w:lineRule="auto"/>
        <w:ind w:firstLine="708"/>
        <w:rPr>
          <w:rFonts w:ascii="Arial" w:eastAsia="Times New Roman" w:hAnsi="Arial" w:cs="Arial"/>
          <w:sz w:val="24"/>
          <w:szCs w:val="24"/>
        </w:rPr>
      </w:pPr>
      <w:r w:rsidRPr="003B3BFB">
        <w:rPr>
          <w:rFonts w:ascii="Arial" w:eastAsia="Times New Roman" w:hAnsi="Arial" w:cs="Arial"/>
          <w:sz w:val="24"/>
          <w:szCs w:val="24"/>
        </w:rPr>
        <w:t xml:space="preserve">Începând cu luna februarie 2019 </w:t>
      </w:r>
      <w:r w:rsidRPr="00552F13">
        <w:rPr>
          <w:rFonts w:ascii="Arial" w:eastAsia="Times New Roman" w:hAnsi="Arial" w:cs="Arial"/>
          <w:b/>
          <w:sz w:val="24"/>
          <w:szCs w:val="24"/>
        </w:rPr>
        <w:t>volumul lucrărilor de construcții</w:t>
      </w:r>
      <w:r w:rsidRPr="003B3BFB">
        <w:rPr>
          <w:rFonts w:ascii="Arial" w:eastAsia="Times New Roman" w:hAnsi="Arial" w:cs="Arial"/>
          <w:sz w:val="24"/>
          <w:szCs w:val="24"/>
        </w:rPr>
        <w:t xml:space="preserve"> a revenit pe un trend ascendent, rezultatele primelor 5 luni indicând o majorare a acestui sector cu 23,1% </w:t>
      </w:r>
      <w:r w:rsidR="00146B8D" w:rsidRPr="003B3BFB">
        <w:rPr>
          <w:rFonts w:ascii="Arial" w:eastAsia="Times New Roman" w:hAnsi="Arial" w:cs="Arial"/>
          <w:sz w:val="24"/>
          <w:szCs w:val="24"/>
        </w:rPr>
        <w:t>față</w:t>
      </w:r>
      <w:r w:rsidRPr="003B3BFB">
        <w:rPr>
          <w:rFonts w:ascii="Arial" w:eastAsia="Times New Roman" w:hAnsi="Arial" w:cs="Arial"/>
          <w:sz w:val="24"/>
          <w:szCs w:val="24"/>
        </w:rPr>
        <w:t xml:space="preserve"> de </w:t>
      </w:r>
      <w:r w:rsidR="00146B8D" w:rsidRPr="003B3BFB">
        <w:rPr>
          <w:rFonts w:ascii="Arial" w:eastAsia="Times New Roman" w:hAnsi="Arial" w:cs="Arial"/>
          <w:sz w:val="24"/>
          <w:szCs w:val="24"/>
        </w:rPr>
        <w:t>aceeași</w:t>
      </w:r>
      <w:r w:rsidRPr="003B3BFB">
        <w:rPr>
          <w:rFonts w:ascii="Arial" w:eastAsia="Times New Roman" w:hAnsi="Arial" w:cs="Arial"/>
          <w:sz w:val="24"/>
          <w:szCs w:val="24"/>
        </w:rPr>
        <w:t xml:space="preserve"> perioadă a anului anterior. Pe obiecte de </w:t>
      </w:r>
      <w:r w:rsidR="00146B8D" w:rsidRPr="003B3BFB">
        <w:rPr>
          <w:rFonts w:ascii="Arial" w:eastAsia="Times New Roman" w:hAnsi="Arial" w:cs="Arial"/>
          <w:sz w:val="24"/>
          <w:szCs w:val="24"/>
        </w:rPr>
        <w:t>construcții</w:t>
      </w:r>
      <w:r w:rsidRPr="003B3BFB">
        <w:rPr>
          <w:rFonts w:ascii="Arial" w:eastAsia="Times New Roman" w:hAnsi="Arial" w:cs="Arial"/>
          <w:sz w:val="24"/>
          <w:szCs w:val="24"/>
        </w:rPr>
        <w:t xml:space="preserve"> s-au înregistrat </w:t>
      </w:r>
      <w:r w:rsidR="00146B8D" w:rsidRPr="003B3BFB">
        <w:rPr>
          <w:rFonts w:ascii="Arial" w:eastAsia="Times New Roman" w:hAnsi="Arial" w:cs="Arial"/>
          <w:sz w:val="24"/>
          <w:szCs w:val="24"/>
        </w:rPr>
        <w:t>evoluții</w:t>
      </w:r>
      <w:r w:rsidRPr="003B3BFB">
        <w:rPr>
          <w:rFonts w:ascii="Arial" w:eastAsia="Times New Roman" w:hAnsi="Arial" w:cs="Arial"/>
          <w:sz w:val="24"/>
          <w:szCs w:val="24"/>
        </w:rPr>
        <w:t xml:space="preserve"> pozitive la toate componentele, cele mai spectaculoase regăsindu-se în sectorul clădirilor (+39,9% pentru clădirile </w:t>
      </w:r>
      <w:r w:rsidR="00146B8D" w:rsidRPr="003B3BFB">
        <w:rPr>
          <w:rFonts w:ascii="Arial" w:eastAsia="Times New Roman" w:hAnsi="Arial" w:cs="Arial"/>
          <w:sz w:val="24"/>
          <w:szCs w:val="24"/>
        </w:rPr>
        <w:t>nerezidențiale</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+33,1% în cazul clădirilor </w:t>
      </w:r>
      <w:r w:rsidR="00146B8D" w:rsidRPr="003B3BFB">
        <w:rPr>
          <w:rFonts w:ascii="Arial" w:eastAsia="Times New Roman" w:hAnsi="Arial" w:cs="Arial"/>
          <w:sz w:val="24"/>
          <w:szCs w:val="24"/>
        </w:rPr>
        <w:t>rezidențiale</w:t>
      </w:r>
      <w:r w:rsidRPr="003B3BFB">
        <w:rPr>
          <w:rFonts w:ascii="Arial" w:eastAsia="Times New Roman" w:hAnsi="Arial" w:cs="Arial"/>
          <w:sz w:val="24"/>
          <w:szCs w:val="24"/>
        </w:rPr>
        <w:t>).</w:t>
      </w:r>
    </w:p>
    <w:p w:rsidR="003B3BFB" w:rsidRP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552F13">
        <w:rPr>
          <w:rFonts w:ascii="Arial" w:eastAsia="Times New Roman" w:hAnsi="Arial" w:cs="Arial"/>
          <w:b/>
          <w:sz w:val="24"/>
          <w:szCs w:val="24"/>
        </w:rPr>
        <w:t>Volumul cifrei de afaceri pentru comerțul cu amănuntul</w:t>
      </w:r>
      <w:r w:rsidRPr="003B3BFB">
        <w:rPr>
          <w:rFonts w:ascii="Arial" w:eastAsia="Times New Roman" w:hAnsi="Arial" w:cs="Arial"/>
          <w:sz w:val="24"/>
          <w:szCs w:val="24"/>
        </w:rPr>
        <w:t xml:space="preserve"> s-a majorat în primele cinci luni ale anului 2019, comparativ aceeași perioadă din 2018, cu 7,2%, în principal datorită vânzărilor de produse nealimentare  (+10,1%). În cadrul mărfurilor nealimentare sunt de remarcat </w:t>
      </w:r>
      <w:r w:rsidR="00146B8D" w:rsidRPr="003B3BFB">
        <w:rPr>
          <w:rFonts w:ascii="Arial" w:eastAsia="Times New Roman" w:hAnsi="Arial" w:cs="Arial"/>
          <w:sz w:val="24"/>
          <w:szCs w:val="24"/>
        </w:rPr>
        <w:t>creșterile</w:t>
      </w:r>
      <w:r w:rsidRPr="003B3BFB">
        <w:rPr>
          <w:rFonts w:ascii="Arial" w:eastAsia="Times New Roman" w:hAnsi="Arial" w:cs="Arial"/>
          <w:sz w:val="24"/>
          <w:szCs w:val="24"/>
        </w:rPr>
        <w:t xml:space="preserve"> volumului vânzărilor de mobilier, aparate electrice (+15,7%) cât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 produselor farmaceutice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cosmetice (+11,0%). </w:t>
      </w:r>
    </w:p>
    <w:p w:rsidR="003B3BFB" w:rsidRP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3B3BFB">
        <w:rPr>
          <w:rFonts w:ascii="Arial" w:eastAsia="Times New Roman" w:hAnsi="Arial" w:cs="Arial"/>
          <w:sz w:val="24"/>
          <w:szCs w:val="24"/>
        </w:rPr>
        <w:t xml:space="preserve">Creșteri substanțiale s-au înregistrat, în această perioadă,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în cazul </w:t>
      </w:r>
      <w:r w:rsidR="00146B8D" w:rsidRPr="003B3BFB">
        <w:rPr>
          <w:rFonts w:ascii="Arial" w:eastAsia="Times New Roman" w:hAnsi="Arial" w:cs="Arial"/>
          <w:sz w:val="24"/>
          <w:szCs w:val="24"/>
        </w:rPr>
        <w:t>comerțului</w:t>
      </w:r>
      <w:r w:rsidRPr="003B3BFB">
        <w:rPr>
          <w:rFonts w:ascii="Arial" w:eastAsia="Times New Roman" w:hAnsi="Arial" w:cs="Arial"/>
          <w:sz w:val="24"/>
          <w:szCs w:val="24"/>
        </w:rPr>
        <w:t xml:space="preserve"> cu amănuntul pentru </w:t>
      </w:r>
      <w:r w:rsidR="00146B8D" w:rsidRPr="003B3BFB">
        <w:rPr>
          <w:rFonts w:ascii="Arial" w:eastAsia="Times New Roman" w:hAnsi="Arial" w:cs="Arial"/>
          <w:sz w:val="24"/>
          <w:szCs w:val="24"/>
        </w:rPr>
        <w:t>carburanți</w:t>
      </w:r>
      <w:r w:rsidRPr="003B3BFB">
        <w:rPr>
          <w:rFonts w:ascii="Arial" w:eastAsia="Times New Roman" w:hAnsi="Arial" w:cs="Arial"/>
          <w:sz w:val="24"/>
          <w:szCs w:val="24"/>
        </w:rPr>
        <w:t xml:space="preserve"> (+6,6%) cât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 mărfurilor alimentare (+4,7%).</w:t>
      </w:r>
    </w:p>
    <w:p w:rsidR="003B3BFB" w:rsidRP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552F13">
        <w:rPr>
          <w:rFonts w:ascii="Arial" w:eastAsia="Times New Roman" w:hAnsi="Arial" w:cs="Arial"/>
          <w:b/>
          <w:sz w:val="24"/>
          <w:szCs w:val="24"/>
        </w:rPr>
        <w:t xml:space="preserve">Exporturile de bunuri </w:t>
      </w:r>
      <w:r w:rsidRPr="003B3BFB">
        <w:rPr>
          <w:rFonts w:ascii="Arial" w:eastAsia="Times New Roman" w:hAnsi="Arial" w:cs="Arial"/>
          <w:sz w:val="24"/>
          <w:szCs w:val="24"/>
        </w:rPr>
        <w:t xml:space="preserve">au însumat în primele 5 luni ale anului 2019 valoarea de 29,3 mld. euro, înregistrând o creștere cu 4,4%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o valoare suplimentară de 1,2 mld. euro, față de perioada similară a anului anterior. Expedierile intracomunitare de bunuri a înregistrat o creștere cu 5,2%, ponderea exportului destinat statelor UE în total exporturi reprezentând 77,3%. </w:t>
      </w:r>
      <w:r w:rsidRPr="00552F13">
        <w:rPr>
          <w:rFonts w:ascii="Arial" w:eastAsia="Times New Roman" w:hAnsi="Arial" w:cs="Arial"/>
          <w:b/>
          <w:sz w:val="24"/>
          <w:szCs w:val="24"/>
        </w:rPr>
        <w:t>Importurile de bunuri</w:t>
      </w:r>
      <w:r w:rsidRPr="003B3BFB">
        <w:rPr>
          <w:rFonts w:ascii="Arial" w:eastAsia="Times New Roman" w:hAnsi="Arial" w:cs="Arial"/>
          <w:sz w:val="24"/>
          <w:szCs w:val="24"/>
        </w:rPr>
        <w:t xml:space="preserve"> au crescut, în primele 5 luni ale anului 2019 cu 8,3%. Valoarea importurilor provenite din zona UE a înregistrat o creștere cu 8,1%, ajungând să reprezinte 75,1% din importurile românești. </w:t>
      </w:r>
    </w:p>
    <w:p w:rsidR="003B3BFB" w:rsidRDefault="003B3BFB" w:rsidP="004D6D76">
      <w:pPr>
        <w:keepNext/>
        <w:keepLines/>
        <w:spacing w:before="120" w:after="0" w:line="276" w:lineRule="auto"/>
        <w:rPr>
          <w:rFonts w:ascii="Arial" w:eastAsia="Times New Roman" w:hAnsi="Arial" w:cs="Arial"/>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3B3BFB">
        <w:rPr>
          <w:rFonts w:ascii="Arial" w:eastAsia="Times New Roman" w:hAnsi="Arial" w:cs="Arial"/>
          <w:sz w:val="24"/>
          <w:szCs w:val="24"/>
        </w:rPr>
        <w:t xml:space="preserve">În primele 5 luni din 2019, </w:t>
      </w:r>
      <w:r w:rsidRPr="00552F13">
        <w:rPr>
          <w:rFonts w:ascii="Arial" w:eastAsia="Times New Roman" w:hAnsi="Arial" w:cs="Arial"/>
          <w:b/>
          <w:sz w:val="24"/>
          <w:szCs w:val="24"/>
        </w:rPr>
        <w:t xml:space="preserve">contul curent al </w:t>
      </w:r>
      <w:r w:rsidR="00146B8D" w:rsidRPr="00552F13">
        <w:rPr>
          <w:rFonts w:ascii="Arial" w:eastAsia="Times New Roman" w:hAnsi="Arial" w:cs="Arial"/>
          <w:b/>
          <w:sz w:val="24"/>
          <w:szCs w:val="24"/>
        </w:rPr>
        <w:t>balanței</w:t>
      </w:r>
      <w:r w:rsidRPr="00552F13">
        <w:rPr>
          <w:rFonts w:ascii="Arial" w:eastAsia="Times New Roman" w:hAnsi="Arial" w:cs="Arial"/>
          <w:b/>
          <w:sz w:val="24"/>
          <w:szCs w:val="24"/>
        </w:rPr>
        <w:t xml:space="preserve"> de </w:t>
      </w:r>
      <w:r w:rsidR="00146B8D" w:rsidRPr="00552F13">
        <w:rPr>
          <w:rFonts w:ascii="Arial" w:eastAsia="Times New Roman" w:hAnsi="Arial" w:cs="Arial"/>
          <w:b/>
          <w:sz w:val="24"/>
          <w:szCs w:val="24"/>
        </w:rPr>
        <w:t>plăți</w:t>
      </w:r>
      <w:r w:rsidRPr="003B3BFB">
        <w:rPr>
          <w:rFonts w:ascii="Arial" w:eastAsia="Times New Roman" w:hAnsi="Arial" w:cs="Arial"/>
          <w:sz w:val="24"/>
          <w:szCs w:val="24"/>
        </w:rPr>
        <w:t xml:space="preserve"> s-a închis cu un deficit în valoare de 3.401 mil. euro mai mare cu 32,6% față de perioada corespunzătoare din anul 2018. Investițiile străine directe au totalizat o valoare de 1.491 mil. euro, în scădere cu 10,2% față de aceeași perioadă din 2018. </w:t>
      </w:r>
    </w:p>
    <w:p w:rsidR="006407D7" w:rsidRPr="00857E54" w:rsidRDefault="006407D7" w:rsidP="003B3BFB">
      <w:pPr>
        <w:keepNext/>
        <w:keepLines/>
        <w:spacing w:before="120" w:after="0"/>
        <w:jc w:val="center"/>
        <w:rPr>
          <w:rFonts w:ascii="Arial" w:eastAsia="Times New Roman" w:hAnsi="Arial" w:cs="Arial"/>
          <w:b/>
          <w:bCs/>
          <w:sz w:val="24"/>
          <w:szCs w:val="24"/>
        </w:rPr>
      </w:pPr>
      <w:r w:rsidRPr="00857E54">
        <w:rPr>
          <w:rFonts w:ascii="Arial" w:eastAsia="Times New Roman" w:hAnsi="Arial" w:cs="Arial"/>
          <w:b/>
          <w:bCs/>
          <w:sz w:val="24"/>
          <w:szCs w:val="24"/>
        </w:rPr>
        <w:t>Evoluția comerțului exterior</w:t>
      </w:r>
    </w:p>
    <w:p w:rsidR="006407D7" w:rsidRPr="00857E54" w:rsidRDefault="006407D7" w:rsidP="00281576">
      <w:pPr>
        <w:keepNext/>
        <w:keepLines/>
        <w:spacing w:before="120" w:after="120"/>
        <w:jc w:val="center"/>
        <w:rPr>
          <w:rFonts w:ascii="Arial" w:eastAsia="Times New Roman" w:hAnsi="Arial" w:cs="Arial"/>
          <w:bCs/>
          <w:sz w:val="24"/>
          <w:szCs w:val="24"/>
        </w:rPr>
      </w:pPr>
      <w:r w:rsidRPr="00857E54">
        <w:rPr>
          <w:rFonts w:ascii="Arial" w:eastAsia="Times New Roman" w:hAnsi="Arial" w:cs="Arial"/>
          <w:bCs/>
          <w:sz w:val="24"/>
          <w:szCs w:val="24"/>
        </w:rPr>
        <w:t>Ianuarie – mai 201</w:t>
      </w:r>
      <w:r w:rsidR="003B3BFB">
        <w:rPr>
          <w:rFonts w:ascii="Arial" w:eastAsia="Times New Roman" w:hAnsi="Arial" w:cs="Arial"/>
          <w:bCs/>
          <w:sz w:val="24"/>
          <w:szCs w:val="24"/>
        </w:rPr>
        <w:t>9</w:t>
      </w:r>
    </w:p>
    <w:p w:rsidR="006407D7" w:rsidRPr="00857E54" w:rsidRDefault="003B3BFB" w:rsidP="00281576">
      <w:pPr>
        <w:keepNext/>
        <w:keepLines/>
        <w:ind w:firstLine="0"/>
        <w:rPr>
          <w:rFonts w:eastAsia="Times New Roman" w:cs="Arial"/>
          <w:sz w:val="24"/>
          <w:szCs w:val="24"/>
        </w:rPr>
      </w:pPr>
      <w:r>
        <w:rPr>
          <w:rFonts w:eastAsia="Times New Roman" w:cs="Arial"/>
          <w:noProof/>
          <w:sz w:val="24"/>
          <w:szCs w:val="24"/>
          <w:lang w:val="en-US"/>
        </w:rPr>
        <w:drawing>
          <wp:inline distT="0" distB="0" distL="0" distR="0" wp14:anchorId="31AD5760" wp14:editId="61FDDA7D">
            <wp:extent cx="5766113" cy="241359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8538" cy="2427162"/>
                    </a:xfrm>
                    <a:prstGeom prst="rect">
                      <a:avLst/>
                    </a:prstGeom>
                    <a:noFill/>
                  </pic:spPr>
                </pic:pic>
              </a:graphicData>
            </a:graphic>
          </wp:inline>
        </w:drawing>
      </w:r>
    </w:p>
    <w:p w:rsidR="003B3BFB" w:rsidRPr="003B3BFB" w:rsidRDefault="003B3BFB" w:rsidP="003B3BFB">
      <w:pPr>
        <w:keepNext/>
        <w:keepLines/>
        <w:ind w:firstLine="708"/>
        <w:rPr>
          <w:rFonts w:ascii="Arial" w:eastAsia="Times New Roman" w:hAnsi="Arial" w:cs="Arial"/>
          <w:sz w:val="24"/>
          <w:szCs w:val="24"/>
        </w:rPr>
      </w:pPr>
      <w:r w:rsidRPr="003B3BFB">
        <w:rPr>
          <w:rFonts w:ascii="Arial" w:eastAsia="Times New Roman" w:hAnsi="Arial" w:cs="Arial"/>
          <w:sz w:val="24"/>
          <w:szCs w:val="24"/>
        </w:rPr>
        <w:lastRenderedPageBreak/>
        <w:t xml:space="preserve">Creșterea </w:t>
      </w:r>
      <w:r w:rsidRPr="003B3BFB">
        <w:rPr>
          <w:rFonts w:ascii="Arial" w:eastAsia="Times New Roman" w:hAnsi="Arial" w:cs="Arial"/>
          <w:b/>
          <w:sz w:val="24"/>
          <w:szCs w:val="24"/>
        </w:rPr>
        <w:t>prețurilor de consum</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-a temperat traiectoria ascendentă manifestată în prima parte a anului, inflația anuală ajungând în luna iunie la valoarea de 3,84%, cu 0,26 puncte procentuale sub cea din luna mai. Creșterea consemnată la nivelul </w:t>
      </w:r>
      <w:r w:rsidR="00146B8D" w:rsidRPr="003B3BFB">
        <w:rPr>
          <w:rFonts w:ascii="Arial" w:eastAsia="Times New Roman" w:hAnsi="Arial" w:cs="Arial"/>
          <w:sz w:val="24"/>
          <w:szCs w:val="24"/>
        </w:rPr>
        <w:t>inflației</w:t>
      </w:r>
      <w:r w:rsidRPr="003B3BFB">
        <w:rPr>
          <w:rFonts w:ascii="Arial" w:eastAsia="Times New Roman" w:hAnsi="Arial" w:cs="Arial"/>
          <w:sz w:val="24"/>
          <w:szCs w:val="24"/>
        </w:rPr>
        <w:t xml:space="preserve"> anuale s-a datorat în principal majorării </w:t>
      </w:r>
      <w:r w:rsidR="00146B8D" w:rsidRPr="003B3BFB">
        <w:rPr>
          <w:rFonts w:ascii="Arial" w:eastAsia="Times New Roman" w:hAnsi="Arial" w:cs="Arial"/>
          <w:sz w:val="24"/>
          <w:szCs w:val="24"/>
        </w:rPr>
        <w:t>prețurilor</w:t>
      </w:r>
      <w:r w:rsidRPr="003B3BFB">
        <w:rPr>
          <w:rFonts w:ascii="Arial" w:eastAsia="Times New Roman" w:hAnsi="Arial" w:cs="Arial"/>
          <w:sz w:val="24"/>
          <w:szCs w:val="24"/>
        </w:rPr>
        <w:t xml:space="preserve"> la legume cât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 accizei la </w:t>
      </w:r>
      <w:r w:rsidR="00146B8D" w:rsidRPr="003B3BFB">
        <w:rPr>
          <w:rFonts w:ascii="Arial" w:eastAsia="Times New Roman" w:hAnsi="Arial" w:cs="Arial"/>
          <w:sz w:val="24"/>
          <w:szCs w:val="24"/>
        </w:rPr>
        <w:t>țigarete</w:t>
      </w:r>
      <w:r w:rsidRPr="003B3BFB">
        <w:rPr>
          <w:rFonts w:ascii="Arial" w:eastAsia="Times New Roman" w:hAnsi="Arial" w:cs="Arial"/>
          <w:sz w:val="24"/>
          <w:szCs w:val="24"/>
        </w:rPr>
        <w:t xml:space="preserve"> începând cu 1 ianuarie 2019. </w:t>
      </w:r>
    </w:p>
    <w:p w:rsidR="006407D7" w:rsidRPr="00857E54" w:rsidRDefault="003B3BFB" w:rsidP="003B3BFB">
      <w:pPr>
        <w:keepNext/>
        <w:keepLines/>
        <w:rPr>
          <w:rFonts w:ascii="Arial" w:eastAsia="Times New Roman" w:hAnsi="Arial" w:cs="Arial"/>
          <w:b/>
          <w:bCs/>
          <w:sz w:val="24"/>
          <w:szCs w:val="24"/>
        </w:rPr>
      </w:pPr>
      <w:r w:rsidRPr="003B3BFB">
        <w:rPr>
          <w:rFonts w:ascii="Arial" w:eastAsia="Times New Roman" w:hAnsi="Arial" w:cs="Arial"/>
          <w:sz w:val="24"/>
          <w:szCs w:val="24"/>
        </w:rPr>
        <w:tab/>
      </w:r>
      <w:r>
        <w:rPr>
          <w:rFonts w:ascii="Arial" w:eastAsia="Times New Roman" w:hAnsi="Arial" w:cs="Arial"/>
          <w:sz w:val="24"/>
          <w:szCs w:val="24"/>
        </w:rPr>
        <w:tab/>
      </w:r>
      <w:r w:rsidRPr="003B3BFB">
        <w:rPr>
          <w:rFonts w:ascii="Arial" w:eastAsia="Times New Roman" w:hAnsi="Arial" w:cs="Arial"/>
          <w:sz w:val="24"/>
          <w:szCs w:val="24"/>
        </w:rPr>
        <w:t xml:space="preserve">În primul semestru al anului 2019 comparativ cu perioada corespunzătoare a anului anterior prețurile de consum au înregistrat o creștere de 3,87%. Creșterea cea mai pronunțată s-a înregistrat la mărfurile alimentare (4,66%), urmată de tarifele la servicii (3,56%)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de prețurile mărfurilor nealimentare (3,50%). De asemenea</w:t>
      </w:r>
      <w:r w:rsidR="00146B8D">
        <w:rPr>
          <w:rFonts w:ascii="Arial" w:eastAsia="Times New Roman" w:hAnsi="Arial" w:cs="Arial"/>
          <w:sz w:val="24"/>
          <w:szCs w:val="24"/>
        </w:rPr>
        <w:t>,</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deprecierea monedei naționale din primul semestru a contribuit la </w:t>
      </w:r>
      <w:r w:rsidR="00146B8D" w:rsidRPr="003B3BFB">
        <w:rPr>
          <w:rFonts w:ascii="Arial" w:eastAsia="Times New Roman" w:hAnsi="Arial" w:cs="Arial"/>
          <w:sz w:val="24"/>
          <w:szCs w:val="24"/>
        </w:rPr>
        <w:t>creșterea</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prețurilor</w:t>
      </w:r>
      <w:r w:rsidRPr="003B3BFB">
        <w:rPr>
          <w:rFonts w:ascii="Arial" w:eastAsia="Times New Roman" w:hAnsi="Arial" w:cs="Arial"/>
          <w:sz w:val="24"/>
          <w:szCs w:val="24"/>
        </w:rPr>
        <w:t xml:space="preserve"> de consum.</w:t>
      </w:r>
    </w:p>
    <w:p w:rsidR="006407D7" w:rsidRPr="00857E54" w:rsidRDefault="006407D7" w:rsidP="00281576">
      <w:pPr>
        <w:keepNext/>
        <w:keepLines/>
        <w:jc w:val="center"/>
        <w:rPr>
          <w:rFonts w:ascii="Arial" w:eastAsia="Times New Roman" w:hAnsi="Arial" w:cs="Arial"/>
          <w:b/>
          <w:bCs/>
          <w:sz w:val="24"/>
          <w:szCs w:val="24"/>
        </w:rPr>
      </w:pPr>
      <w:r w:rsidRPr="00857E54">
        <w:rPr>
          <w:rFonts w:ascii="Arial" w:eastAsia="Times New Roman" w:hAnsi="Arial" w:cs="Arial"/>
          <w:b/>
          <w:bCs/>
          <w:sz w:val="24"/>
          <w:szCs w:val="24"/>
        </w:rPr>
        <w:t>Contribuții la rata anuală a inflației (%)</w:t>
      </w:r>
    </w:p>
    <w:p w:rsidR="006407D7" w:rsidRPr="00857E54" w:rsidRDefault="003B3BFB" w:rsidP="00281576">
      <w:pPr>
        <w:keepNext/>
        <w:keepLines/>
        <w:ind w:firstLine="0"/>
        <w:jc w:val="center"/>
        <w:rPr>
          <w:rFonts w:ascii="Calibri" w:eastAsia="Times New Roman" w:hAnsi="Calibri" w:cs="Times New Roman"/>
          <w:b/>
          <w:noProof/>
        </w:rPr>
      </w:pPr>
      <w:r>
        <w:rPr>
          <w:rFonts w:ascii="Calibri" w:eastAsia="Times New Roman" w:hAnsi="Calibri" w:cs="Times New Roman"/>
          <w:b/>
          <w:noProof/>
          <w:lang w:val="en-US"/>
        </w:rPr>
        <w:drawing>
          <wp:inline distT="0" distB="0" distL="0" distR="0" wp14:anchorId="62B3CB5E" wp14:editId="268DCCD0">
            <wp:extent cx="5742940" cy="2871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871470"/>
                    </a:xfrm>
                    <a:prstGeom prst="rect">
                      <a:avLst/>
                    </a:prstGeom>
                    <a:noFill/>
                  </pic:spPr>
                </pic:pic>
              </a:graphicData>
            </a:graphic>
          </wp:inline>
        </w:drawing>
      </w:r>
    </w:p>
    <w:p w:rsidR="004D6D76" w:rsidRDefault="004D6D76" w:rsidP="003B3BFB">
      <w:pPr>
        <w:keepNext/>
        <w:keepLines/>
        <w:spacing w:before="120" w:after="0" w:line="276" w:lineRule="auto"/>
        <w:ind w:firstLine="709"/>
        <w:rPr>
          <w:rFonts w:ascii="Arial" w:eastAsia="Times New Roman" w:hAnsi="Arial" w:cs="Arial"/>
          <w:b/>
          <w:sz w:val="24"/>
          <w:szCs w:val="24"/>
        </w:rPr>
      </w:pP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t>Cursul mediu de schimb leu/euro</w:t>
      </w:r>
      <w:r w:rsidRPr="003B3BFB">
        <w:rPr>
          <w:rFonts w:ascii="Arial" w:eastAsia="Times New Roman" w:hAnsi="Arial" w:cs="Arial"/>
          <w:sz w:val="24"/>
          <w:szCs w:val="24"/>
        </w:rPr>
        <w:t xml:space="preserve"> s-a situat în primele 6 luni ale anului curent la valoarea de 4,7414 lei/euro, moneda </w:t>
      </w:r>
      <w:r w:rsidR="00146B8D" w:rsidRPr="003B3BFB">
        <w:rPr>
          <w:rFonts w:ascii="Arial" w:eastAsia="Times New Roman" w:hAnsi="Arial" w:cs="Arial"/>
          <w:sz w:val="24"/>
          <w:szCs w:val="24"/>
        </w:rPr>
        <w:t>națională</w:t>
      </w:r>
      <w:r w:rsidRPr="003B3BFB">
        <w:rPr>
          <w:rFonts w:ascii="Arial" w:eastAsia="Times New Roman" w:hAnsi="Arial" w:cs="Arial"/>
          <w:sz w:val="24"/>
          <w:szCs w:val="24"/>
        </w:rPr>
        <w:t xml:space="preserve"> înregistrând o depreciere, în termeni nominali de 1,85% față de perioada corespunzătoare din 2018, în timp ce în termeni reali aceasta s-a apreciat cu 1,95%. În perioada ianuarie - iunie 2019 raportul euro/$ a fost de 1,13, cursul mediu al dolarului în această perioadă fiind de 4,1955 lei/$.</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t>Efectivul salariaților</w:t>
      </w:r>
      <w:r w:rsidRPr="003B3BFB">
        <w:rPr>
          <w:rFonts w:ascii="Arial" w:eastAsia="Times New Roman" w:hAnsi="Arial" w:cs="Arial"/>
          <w:sz w:val="24"/>
          <w:szCs w:val="24"/>
        </w:rPr>
        <w:t xml:space="preserve"> a avut o </w:t>
      </w:r>
      <w:r w:rsidR="00146B8D" w:rsidRPr="003B3BFB">
        <w:rPr>
          <w:rFonts w:ascii="Arial" w:eastAsia="Times New Roman" w:hAnsi="Arial" w:cs="Arial"/>
          <w:sz w:val="24"/>
          <w:szCs w:val="24"/>
        </w:rPr>
        <w:t>tendință</w:t>
      </w:r>
      <w:r w:rsidRPr="003B3BFB">
        <w:rPr>
          <w:rFonts w:ascii="Arial" w:eastAsia="Times New Roman" w:hAnsi="Arial" w:cs="Arial"/>
          <w:sz w:val="24"/>
          <w:szCs w:val="24"/>
        </w:rPr>
        <w:t xml:space="preserve"> constantă de </w:t>
      </w:r>
      <w:r w:rsidR="00146B8D" w:rsidRPr="003B3BFB">
        <w:rPr>
          <w:rFonts w:ascii="Arial" w:eastAsia="Times New Roman" w:hAnsi="Arial" w:cs="Arial"/>
          <w:sz w:val="24"/>
          <w:szCs w:val="24"/>
        </w:rPr>
        <w:t>creștere</w:t>
      </w:r>
      <w:r w:rsidRPr="003B3BFB">
        <w:rPr>
          <w:rFonts w:ascii="Arial" w:eastAsia="Times New Roman" w:hAnsi="Arial" w:cs="Arial"/>
          <w:sz w:val="24"/>
          <w:szCs w:val="24"/>
        </w:rPr>
        <w:t xml:space="preserve"> în primele 5 luni ale anului 2019 comparativ cu perioada corespunzătoare din 2018, ajungând la </w:t>
      </w:r>
      <w:r w:rsidR="00146B8D" w:rsidRPr="003B3BFB">
        <w:rPr>
          <w:rFonts w:ascii="Arial" w:eastAsia="Times New Roman" w:hAnsi="Arial" w:cs="Arial"/>
          <w:sz w:val="24"/>
          <w:szCs w:val="24"/>
        </w:rPr>
        <w:t>sfârșitul</w:t>
      </w:r>
      <w:r w:rsidRPr="003B3BFB">
        <w:rPr>
          <w:rFonts w:ascii="Arial" w:eastAsia="Times New Roman" w:hAnsi="Arial" w:cs="Arial"/>
          <w:sz w:val="24"/>
          <w:szCs w:val="24"/>
        </w:rPr>
        <w:t xml:space="preserve"> lunii mai la o </w:t>
      </w:r>
      <w:r w:rsidR="00146B8D" w:rsidRPr="003B3BFB">
        <w:rPr>
          <w:rFonts w:ascii="Arial" w:eastAsia="Times New Roman" w:hAnsi="Arial" w:cs="Arial"/>
          <w:sz w:val="24"/>
          <w:szCs w:val="24"/>
        </w:rPr>
        <w:t>creștere</w:t>
      </w:r>
      <w:r w:rsidRPr="003B3BFB">
        <w:rPr>
          <w:rFonts w:ascii="Arial" w:eastAsia="Times New Roman" w:hAnsi="Arial" w:cs="Arial"/>
          <w:sz w:val="24"/>
          <w:szCs w:val="24"/>
        </w:rPr>
        <w:t xml:space="preserve"> cu 1,0 % </w:t>
      </w:r>
      <w:r w:rsidR="00146B8D" w:rsidRPr="003B3BFB">
        <w:rPr>
          <w:rFonts w:ascii="Arial" w:eastAsia="Times New Roman" w:hAnsi="Arial" w:cs="Arial"/>
          <w:sz w:val="24"/>
          <w:szCs w:val="24"/>
        </w:rPr>
        <w:t>față</w:t>
      </w:r>
      <w:r w:rsidRPr="003B3BFB">
        <w:rPr>
          <w:rFonts w:ascii="Arial" w:eastAsia="Times New Roman" w:hAnsi="Arial" w:cs="Arial"/>
          <w:sz w:val="24"/>
          <w:szCs w:val="24"/>
        </w:rPr>
        <w:t xml:space="preserve"> de efectivul </w:t>
      </w:r>
      <w:r w:rsidR="00146B8D" w:rsidRPr="003B3BFB">
        <w:rPr>
          <w:rFonts w:ascii="Arial" w:eastAsia="Times New Roman" w:hAnsi="Arial" w:cs="Arial"/>
          <w:sz w:val="24"/>
          <w:szCs w:val="24"/>
        </w:rPr>
        <w:t>salariaților</w:t>
      </w:r>
      <w:r w:rsidRPr="003B3BFB">
        <w:rPr>
          <w:rFonts w:ascii="Arial" w:eastAsia="Times New Roman" w:hAnsi="Arial" w:cs="Arial"/>
          <w:sz w:val="24"/>
          <w:szCs w:val="24"/>
        </w:rPr>
        <w:t xml:space="preserve"> înregistrat la </w:t>
      </w:r>
      <w:r w:rsidR="00146B8D" w:rsidRPr="003B3BFB">
        <w:rPr>
          <w:rFonts w:ascii="Arial" w:eastAsia="Times New Roman" w:hAnsi="Arial" w:cs="Arial"/>
          <w:sz w:val="24"/>
          <w:szCs w:val="24"/>
        </w:rPr>
        <w:t>sfârșitul</w:t>
      </w:r>
      <w:r w:rsidRPr="003B3BFB">
        <w:rPr>
          <w:rFonts w:ascii="Arial" w:eastAsia="Times New Roman" w:hAnsi="Arial" w:cs="Arial"/>
          <w:sz w:val="24"/>
          <w:szCs w:val="24"/>
        </w:rPr>
        <w:t xml:space="preserve"> lunii mai din anul 2018.</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t>Numărul mediu al salariaților</w:t>
      </w:r>
      <w:r w:rsidRPr="003B3BFB">
        <w:rPr>
          <w:rFonts w:ascii="Arial" w:eastAsia="Times New Roman" w:hAnsi="Arial" w:cs="Arial"/>
          <w:sz w:val="24"/>
          <w:szCs w:val="24"/>
        </w:rPr>
        <w:t xml:space="preserve"> (calculat ca medie aritmetică a  efectivelor lunare) în primele 5 luni ale anului 2019 a crescut cu 1,3 % </w:t>
      </w:r>
      <w:r w:rsidR="00146B8D" w:rsidRPr="003B3BFB">
        <w:rPr>
          <w:rFonts w:ascii="Arial" w:eastAsia="Times New Roman" w:hAnsi="Arial" w:cs="Arial"/>
          <w:sz w:val="24"/>
          <w:szCs w:val="24"/>
        </w:rPr>
        <w:t>față</w:t>
      </w:r>
      <w:r w:rsidRPr="003B3BFB">
        <w:rPr>
          <w:rFonts w:ascii="Arial" w:eastAsia="Times New Roman" w:hAnsi="Arial" w:cs="Arial"/>
          <w:sz w:val="24"/>
          <w:szCs w:val="24"/>
        </w:rPr>
        <w:t xml:space="preserve"> de </w:t>
      </w:r>
      <w:r w:rsidR="00146B8D" w:rsidRPr="003B3BFB">
        <w:rPr>
          <w:rFonts w:ascii="Arial" w:eastAsia="Times New Roman" w:hAnsi="Arial" w:cs="Arial"/>
          <w:sz w:val="24"/>
          <w:szCs w:val="24"/>
        </w:rPr>
        <w:t>aceeași</w:t>
      </w:r>
      <w:r w:rsidRPr="003B3BFB">
        <w:rPr>
          <w:rFonts w:ascii="Arial" w:eastAsia="Times New Roman" w:hAnsi="Arial" w:cs="Arial"/>
          <w:sz w:val="24"/>
          <w:szCs w:val="24"/>
        </w:rPr>
        <w:t xml:space="preserve"> perioadă a anului 2018. Pe sectoare, </w:t>
      </w:r>
      <w:r w:rsidR="00146B8D" w:rsidRPr="003B3BFB">
        <w:rPr>
          <w:rFonts w:ascii="Arial" w:eastAsia="Times New Roman" w:hAnsi="Arial" w:cs="Arial"/>
          <w:sz w:val="24"/>
          <w:szCs w:val="24"/>
        </w:rPr>
        <w:t>creșterea</w:t>
      </w:r>
      <w:r w:rsidRPr="003B3BFB">
        <w:rPr>
          <w:rFonts w:ascii="Arial" w:eastAsia="Times New Roman" w:hAnsi="Arial" w:cs="Arial"/>
          <w:sz w:val="24"/>
          <w:szCs w:val="24"/>
        </w:rPr>
        <w:t xml:space="preserve"> în sectorul bugetar a fost de 1,5%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în sectorul </w:t>
      </w:r>
      <w:r w:rsidR="00146B8D" w:rsidRPr="003B3BFB">
        <w:rPr>
          <w:rFonts w:ascii="Arial" w:eastAsia="Times New Roman" w:hAnsi="Arial" w:cs="Arial"/>
          <w:sz w:val="24"/>
          <w:szCs w:val="24"/>
        </w:rPr>
        <w:t>concurențial</w:t>
      </w:r>
      <w:r w:rsidRPr="003B3BFB">
        <w:rPr>
          <w:rFonts w:ascii="Arial" w:eastAsia="Times New Roman" w:hAnsi="Arial" w:cs="Arial"/>
          <w:sz w:val="24"/>
          <w:szCs w:val="24"/>
        </w:rPr>
        <w:t xml:space="preserve"> de 1,2% față de </w:t>
      </w:r>
      <w:r w:rsidR="00146B8D" w:rsidRPr="003B3BFB">
        <w:rPr>
          <w:rFonts w:ascii="Arial" w:eastAsia="Times New Roman" w:hAnsi="Arial" w:cs="Arial"/>
          <w:sz w:val="24"/>
          <w:szCs w:val="24"/>
        </w:rPr>
        <w:t>aceeași</w:t>
      </w:r>
      <w:r w:rsidRPr="003B3BFB">
        <w:rPr>
          <w:rFonts w:ascii="Arial" w:eastAsia="Times New Roman" w:hAnsi="Arial" w:cs="Arial"/>
          <w:sz w:val="24"/>
          <w:szCs w:val="24"/>
        </w:rPr>
        <w:t xml:space="preserve"> perioadă a anului 2018. </w:t>
      </w:r>
      <w:r w:rsidR="00146B8D" w:rsidRPr="003B3BFB">
        <w:rPr>
          <w:rFonts w:ascii="Arial" w:eastAsia="Times New Roman" w:hAnsi="Arial" w:cs="Arial"/>
          <w:sz w:val="24"/>
          <w:szCs w:val="24"/>
        </w:rPr>
        <w:t>Salariații</w:t>
      </w:r>
      <w:r w:rsidRPr="003B3BFB">
        <w:rPr>
          <w:rFonts w:ascii="Arial" w:eastAsia="Times New Roman" w:hAnsi="Arial" w:cs="Arial"/>
          <w:sz w:val="24"/>
          <w:szCs w:val="24"/>
        </w:rPr>
        <w:t xml:space="preserve"> din sectorul bugetar reprezentau 19,3 % din totalul </w:t>
      </w:r>
      <w:r w:rsidR="00146B8D" w:rsidRPr="003B3BFB">
        <w:rPr>
          <w:rFonts w:ascii="Arial" w:eastAsia="Times New Roman" w:hAnsi="Arial" w:cs="Arial"/>
          <w:sz w:val="24"/>
          <w:szCs w:val="24"/>
        </w:rPr>
        <w:t>salariaților</w:t>
      </w:r>
      <w:r w:rsidRPr="003B3BFB">
        <w:rPr>
          <w:rFonts w:ascii="Arial" w:eastAsia="Times New Roman" w:hAnsi="Arial" w:cs="Arial"/>
          <w:sz w:val="24"/>
          <w:szCs w:val="24"/>
        </w:rPr>
        <w:t xml:space="preserve"> din economie, în timp ce </w:t>
      </w:r>
      <w:r w:rsidR="00146B8D" w:rsidRPr="003B3BFB">
        <w:rPr>
          <w:rFonts w:ascii="Arial" w:eastAsia="Times New Roman" w:hAnsi="Arial" w:cs="Arial"/>
          <w:sz w:val="24"/>
          <w:szCs w:val="24"/>
        </w:rPr>
        <w:t>salariații</w:t>
      </w:r>
      <w:r w:rsidRPr="003B3BFB">
        <w:rPr>
          <w:rFonts w:ascii="Arial" w:eastAsia="Times New Roman" w:hAnsi="Arial" w:cs="Arial"/>
          <w:sz w:val="24"/>
          <w:szCs w:val="24"/>
        </w:rPr>
        <w:t xml:space="preserve"> din sectorul </w:t>
      </w:r>
      <w:r w:rsidR="00146B8D" w:rsidRPr="003B3BFB">
        <w:rPr>
          <w:rFonts w:ascii="Arial" w:eastAsia="Times New Roman" w:hAnsi="Arial" w:cs="Arial"/>
          <w:sz w:val="24"/>
          <w:szCs w:val="24"/>
        </w:rPr>
        <w:t>concurențial</w:t>
      </w:r>
      <w:r w:rsidRPr="003B3BFB">
        <w:rPr>
          <w:rFonts w:ascii="Arial" w:eastAsia="Times New Roman" w:hAnsi="Arial" w:cs="Arial"/>
          <w:sz w:val="24"/>
          <w:szCs w:val="24"/>
        </w:rPr>
        <w:t xml:space="preserve"> 80,7 %. </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lastRenderedPageBreak/>
        <w:t>În sectorul bugetar</w:t>
      </w:r>
      <w:r w:rsidRPr="003B3BFB">
        <w:rPr>
          <w:rFonts w:ascii="Arial" w:eastAsia="Times New Roman" w:hAnsi="Arial" w:cs="Arial"/>
          <w:sz w:val="24"/>
          <w:szCs w:val="24"/>
        </w:rPr>
        <w:t xml:space="preserve">, cele mai mari creșteri de </w:t>
      </w:r>
      <w:r w:rsidR="00146B8D" w:rsidRPr="003B3BFB">
        <w:rPr>
          <w:rFonts w:ascii="Arial" w:eastAsia="Times New Roman" w:hAnsi="Arial" w:cs="Arial"/>
          <w:sz w:val="24"/>
          <w:szCs w:val="24"/>
        </w:rPr>
        <w:t>salariați</w:t>
      </w:r>
      <w:r w:rsidRPr="003B3BFB">
        <w:rPr>
          <w:rFonts w:ascii="Arial" w:eastAsia="Times New Roman" w:hAnsi="Arial" w:cs="Arial"/>
          <w:sz w:val="24"/>
          <w:szCs w:val="24"/>
        </w:rPr>
        <w:t xml:space="preserve"> au fost în sănătate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asistență</w:t>
      </w:r>
      <w:r w:rsidRPr="003B3BFB">
        <w:rPr>
          <w:rFonts w:ascii="Arial" w:eastAsia="Times New Roman" w:hAnsi="Arial" w:cs="Arial"/>
          <w:sz w:val="24"/>
          <w:szCs w:val="24"/>
        </w:rPr>
        <w:t xml:space="preserve"> socială cu aproximativ 2,9%. În </w:t>
      </w:r>
      <w:r w:rsidR="00146B8D" w:rsidRPr="003B3BFB">
        <w:rPr>
          <w:rFonts w:ascii="Arial" w:eastAsia="Times New Roman" w:hAnsi="Arial" w:cs="Arial"/>
          <w:sz w:val="24"/>
          <w:szCs w:val="24"/>
        </w:rPr>
        <w:t>administrația</w:t>
      </w:r>
      <w:r w:rsidRPr="003B3BFB">
        <w:rPr>
          <w:rFonts w:ascii="Arial" w:eastAsia="Times New Roman" w:hAnsi="Arial" w:cs="Arial"/>
          <w:sz w:val="24"/>
          <w:szCs w:val="24"/>
        </w:rPr>
        <w:t xml:space="preserve"> publică </w:t>
      </w:r>
      <w:r w:rsidR="00146B8D" w:rsidRPr="003B3BFB">
        <w:rPr>
          <w:rFonts w:ascii="Arial" w:eastAsia="Times New Roman" w:hAnsi="Arial" w:cs="Arial"/>
          <w:sz w:val="24"/>
          <w:szCs w:val="24"/>
        </w:rPr>
        <w:t>creșterea</w:t>
      </w:r>
      <w:r w:rsidRPr="003B3BFB">
        <w:rPr>
          <w:rFonts w:ascii="Arial" w:eastAsia="Times New Roman" w:hAnsi="Arial" w:cs="Arial"/>
          <w:sz w:val="24"/>
          <w:szCs w:val="24"/>
        </w:rPr>
        <w:t xml:space="preserve"> a fost de 1,4%, în timp ce în învățământ s-a înregistrat o </w:t>
      </w:r>
      <w:r w:rsidR="00146B8D" w:rsidRPr="003B3BFB">
        <w:rPr>
          <w:rFonts w:ascii="Arial" w:eastAsia="Times New Roman" w:hAnsi="Arial" w:cs="Arial"/>
          <w:sz w:val="24"/>
          <w:szCs w:val="24"/>
        </w:rPr>
        <w:t>creștere</w:t>
      </w:r>
      <w:r w:rsidRPr="003B3BFB">
        <w:rPr>
          <w:rFonts w:ascii="Arial" w:eastAsia="Times New Roman" w:hAnsi="Arial" w:cs="Arial"/>
          <w:sz w:val="24"/>
          <w:szCs w:val="24"/>
        </w:rPr>
        <w:t xml:space="preserve"> cu 0,1%. </w:t>
      </w:r>
      <w:r w:rsidR="00146B8D" w:rsidRPr="003B3BFB">
        <w:rPr>
          <w:rFonts w:ascii="Arial" w:eastAsia="Times New Roman" w:hAnsi="Arial" w:cs="Arial"/>
          <w:sz w:val="24"/>
          <w:szCs w:val="24"/>
        </w:rPr>
        <w:t>Salariații</w:t>
      </w:r>
      <w:r w:rsidRPr="003B3BFB">
        <w:rPr>
          <w:rFonts w:ascii="Arial" w:eastAsia="Times New Roman" w:hAnsi="Arial" w:cs="Arial"/>
          <w:sz w:val="24"/>
          <w:szCs w:val="24"/>
        </w:rPr>
        <w:t xml:space="preserve"> din sectorul bugetar erau </w:t>
      </w:r>
      <w:r w:rsidR="00146B8D" w:rsidRPr="003B3BFB">
        <w:rPr>
          <w:rFonts w:ascii="Arial" w:eastAsia="Times New Roman" w:hAnsi="Arial" w:cs="Arial"/>
          <w:sz w:val="24"/>
          <w:szCs w:val="24"/>
        </w:rPr>
        <w:t>distribuiți</w:t>
      </w:r>
      <w:r w:rsidRPr="003B3BFB">
        <w:rPr>
          <w:rFonts w:ascii="Arial" w:eastAsia="Times New Roman" w:hAnsi="Arial" w:cs="Arial"/>
          <w:sz w:val="24"/>
          <w:szCs w:val="24"/>
        </w:rPr>
        <w:t xml:space="preserve"> astfel: 41,1% în sănătate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asistență socială; 37,0% în </w:t>
      </w:r>
      <w:r w:rsidR="00146B8D" w:rsidRPr="003B3BFB">
        <w:rPr>
          <w:rFonts w:ascii="Arial" w:eastAsia="Times New Roman" w:hAnsi="Arial" w:cs="Arial"/>
          <w:sz w:val="24"/>
          <w:szCs w:val="24"/>
        </w:rPr>
        <w:t>activitățile</w:t>
      </w:r>
      <w:r w:rsidRPr="003B3BFB">
        <w:rPr>
          <w:rFonts w:ascii="Arial" w:eastAsia="Times New Roman" w:hAnsi="Arial" w:cs="Arial"/>
          <w:sz w:val="24"/>
          <w:szCs w:val="24"/>
        </w:rPr>
        <w:t xml:space="preserve"> de învățământ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21,9% în administrația publică.</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t xml:space="preserve">În sectorul </w:t>
      </w:r>
      <w:r w:rsidR="00146B8D" w:rsidRPr="003B3BFB">
        <w:rPr>
          <w:rFonts w:ascii="Arial" w:eastAsia="Times New Roman" w:hAnsi="Arial" w:cs="Arial"/>
          <w:b/>
          <w:sz w:val="24"/>
          <w:szCs w:val="24"/>
        </w:rPr>
        <w:t>concurențial</w:t>
      </w:r>
      <w:r w:rsidRPr="003B3BFB">
        <w:rPr>
          <w:rFonts w:ascii="Arial" w:eastAsia="Times New Roman" w:hAnsi="Arial" w:cs="Arial"/>
          <w:sz w:val="24"/>
          <w:szCs w:val="24"/>
        </w:rPr>
        <w:t xml:space="preserve">, </w:t>
      </w:r>
      <w:r w:rsidR="00146B8D" w:rsidRPr="003B3BFB">
        <w:rPr>
          <w:rFonts w:ascii="Arial" w:eastAsia="Times New Roman" w:hAnsi="Arial" w:cs="Arial"/>
          <w:sz w:val="24"/>
          <w:szCs w:val="24"/>
        </w:rPr>
        <w:t>creșteri</w:t>
      </w:r>
      <w:r w:rsidRPr="003B3BFB">
        <w:rPr>
          <w:rFonts w:ascii="Arial" w:eastAsia="Times New Roman" w:hAnsi="Arial" w:cs="Arial"/>
          <w:sz w:val="24"/>
          <w:szCs w:val="24"/>
        </w:rPr>
        <w:t xml:space="preserve"> semnificative ale numărului de </w:t>
      </w:r>
      <w:r w:rsidR="00146B8D" w:rsidRPr="003B3BFB">
        <w:rPr>
          <w:rFonts w:ascii="Arial" w:eastAsia="Times New Roman" w:hAnsi="Arial" w:cs="Arial"/>
          <w:sz w:val="24"/>
          <w:szCs w:val="24"/>
        </w:rPr>
        <w:t>salariați</w:t>
      </w:r>
      <w:r w:rsidRPr="003B3BFB">
        <w:rPr>
          <w:rFonts w:ascii="Arial" w:eastAsia="Times New Roman" w:hAnsi="Arial" w:cs="Arial"/>
          <w:sz w:val="24"/>
          <w:szCs w:val="24"/>
        </w:rPr>
        <w:t xml:space="preserve"> în primele 5 luni, au fost în servicii comerciale (exclusiv sectorul bugetar) cu 2,8%, în agricultură cu 2,3%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în construcții cu 1,6%.</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sz w:val="24"/>
          <w:szCs w:val="24"/>
        </w:rPr>
        <w:t xml:space="preserve">Distribuția </w:t>
      </w:r>
      <w:r w:rsidRPr="003B3BFB">
        <w:rPr>
          <w:rFonts w:ascii="Arial" w:eastAsia="Times New Roman" w:hAnsi="Arial" w:cs="Arial"/>
          <w:b/>
          <w:sz w:val="24"/>
          <w:szCs w:val="24"/>
        </w:rPr>
        <w:t xml:space="preserve">salariaților pe </w:t>
      </w:r>
      <w:r w:rsidR="00146B8D" w:rsidRPr="003B3BFB">
        <w:rPr>
          <w:rFonts w:ascii="Arial" w:eastAsia="Times New Roman" w:hAnsi="Arial" w:cs="Arial"/>
          <w:b/>
          <w:sz w:val="24"/>
          <w:szCs w:val="24"/>
        </w:rPr>
        <w:t>activități</w:t>
      </w:r>
      <w:r w:rsidRPr="003B3BFB">
        <w:rPr>
          <w:rFonts w:ascii="Arial" w:eastAsia="Times New Roman" w:hAnsi="Arial" w:cs="Arial"/>
          <w:b/>
          <w:sz w:val="24"/>
          <w:szCs w:val="24"/>
        </w:rPr>
        <w:t xml:space="preserve"> economice</w:t>
      </w:r>
      <w:r w:rsidRPr="003B3BFB">
        <w:rPr>
          <w:rFonts w:ascii="Arial" w:eastAsia="Times New Roman" w:hAnsi="Arial" w:cs="Arial"/>
          <w:sz w:val="24"/>
          <w:szCs w:val="24"/>
        </w:rPr>
        <w:t xml:space="preserve"> în primele 5 luni ale anului ne arată că: 27,6% din totalul </w:t>
      </w:r>
      <w:r w:rsidR="00146B8D" w:rsidRPr="003B3BFB">
        <w:rPr>
          <w:rFonts w:ascii="Arial" w:eastAsia="Times New Roman" w:hAnsi="Arial" w:cs="Arial"/>
          <w:sz w:val="24"/>
          <w:szCs w:val="24"/>
        </w:rPr>
        <w:t>salariaților</w:t>
      </w:r>
      <w:r w:rsidRPr="003B3BFB">
        <w:rPr>
          <w:rFonts w:ascii="Arial" w:eastAsia="Times New Roman" w:hAnsi="Arial" w:cs="Arial"/>
          <w:sz w:val="24"/>
          <w:szCs w:val="24"/>
        </w:rPr>
        <w:t xml:space="preserve"> erau în industrie (din care 85,2% în industria prelucrătoare); 16,0% în comerț; 7,9% în sănătate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asistență socială; 7,8% în construcții; 7,1% în învățământ; 5,4% în transporturi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depozitare; câte 4,2% în administrație publică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apărare; asigurări sociale din sistemul public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în hoteluri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restaurante; 2,4% în agricultură, silvicultură </w:t>
      </w:r>
      <w:r w:rsidR="00146B8D" w:rsidRPr="003B3BFB">
        <w:rPr>
          <w:rFonts w:ascii="Arial" w:eastAsia="Times New Roman" w:hAnsi="Arial" w:cs="Arial"/>
          <w:sz w:val="24"/>
          <w:szCs w:val="24"/>
        </w:rPr>
        <w:t>și</w:t>
      </w:r>
      <w:r w:rsidRPr="003B3BFB">
        <w:rPr>
          <w:rFonts w:ascii="Arial" w:eastAsia="Times New Roman" w:hAnsi="Arial" w:cs="Arial"/>
          <w:sz w:val="24"/>
          <w:szCs w:val="24"/>
        </w:rPr>
        <w:t xml:space="preserve"> pescuit.</w:t>
      </w:r>
    </w:p>
    <w:p w:rsidR="003B3BFB" w:rsidRPr="003B3BFB" w:rsidRDefault="003B3BFB" w:rsidP="003B3BFB">
      <w:pPr>
        <w:keepNext/>
        <w:keepLines/>
        <w:spacing w:before="120" w:after="0" w:line="276" w:lineRule="auto"/>
        <w:ind w:firstLine="709"/>
        <w:rPr>
          <w:rFonts w:ascii="Arial" w:eastAsia="Times New Roman" w:hAnsi="Arial" w:cs="Arial"/>
          <w:sz w:val="24"/>
          <w:szCs w:val="24"/>
        </w:rPr>
      </w:pPr>
      <w:r w:rsidRPr="003B3BFB">
        <w:rPr>
          <w:rFonts w:ascii="Arial" w:eastAsia="Times New Roman" w:hAnsi="Arial" w:cs="Arial"/>
          <w:b/>
          <w:sz w:val="24"/>
          <w:szCs w:val="24"/>
        </w:rPr>
        <w:t xml:space="preserve">Creșteri semnificative ale numărului mediu de </w:t>
      </w:r>
      <w:r w:rsidR="00146B8D" w:rsidRPr="003B3BFB">
        <w:rPr>
          <w:rFonts w:ascii="Arial" w:eastAsia="Times New Roman" w:hAnsi="Arial" w:cs="Arial"/>
          <w:b/>
          <w:sz w:val="24"/>
          <w:szCs w:val="24"/>
        </w:rPr>
        <w:t>salariați</w:t>
      </w:r>
      <w:r w:rsidRPr="003B3BFB">
        <w:rPr>
          <w:rFonts w:ascii="Arial" w:eastAsia="Times New Roman" w:hAnsi="Arial" w:cs="Arial"/>
          <w:sz w:val="24"/>
          <w:szCs w:val="24"/>
        </w:rPr>
        <w:t xml:space="preserve">, în primele 5 luni ale anului 2019, s-au înregistrat în următoarele </w:t>
      </w:r>
      <w:r w:rsidR="00146B8D" w:rsidRPr="003B3BFB">
        <w:rPr>
          <w:rFonts w:ascii="Arial" w:eastAsia="Times New Roman" w:hAnsi="Arial" w:cs="Arial"/>
          <w:sz w:val="24"/>
          <w:szCs w:val="24"/>
        </w:rPr>
        <w:t>activități</w:t>
      </w:r>
      <w:r w:rsidRPr="003B3BFB">
        <w:rPr>
          <w:rFonts w:ascii="Arial" w:eastAsia="Times New Roman" w:hAnsi="Arial" w:cs="Arial"/>
          <w:sz w:val="24"/>
          <w:szCs w:val="24"/>
        </w:rPr>
        <w:t xml:space="preserve"> economice: </w:t>
      </w:r>
      <w:r w:rsidR="00146B8D" w:rsidRPr="003B3BFB">
        <w:rPr>
          <w:rFonts w:ascii="Arial" w:eastAsia="Times New Roman" w:hAnsi="Arial" w:cs="Arial"/>
          <w:sz w:val="24"/>
          <w:szCs w:val="24"/>
        </w:rPr>
        <w:t>Activități</w:t>
      </w:r>
      <w:r w:rsidRPr="003B3BFB">
        <w:rPr>
          <w:rFonts w:ascii="Arial" w:eastAsia="Times New Roman" w:hAnsi="Arial" w:cs="Arial"/>
          <w:sz w:val="24"/>
          <w:szCs w:val="24"/>
        </w:rPr>
        <w:t xml:space="preserve"> de servicii în tehnologia </w:t>
      </w:r>
      <w:r w:rsidR="00A22653" w:rsidRPr="003B3BFB">
        <w:rPr>
          <w:rFonts w:ascii="Arial" w:eastAsia="Times New Roman" w:hAnsi="Arial" w:cs="Arial"/>
          <w:sz w:val="24"/>
          <w:szCs w:val="24"/>
        </w:rPr>
        <w:t>informației</w:t>
      </w:r>
      <w:r w:rsidRPr="003B3BFB">
        <w:rPr>
          <w:rFonts w:ascii="Arial" w:eastAsia="Times New Roman" w:hAnsi="Arial" w:cs="Arial"/>
          <w:sz w:val="24"/>
          <w:szCs w:val="24"/>
        </w:rPr>
        <w:t xml:space="preserve"> 12,0%; Fabricarea produselor din tutun 7,6%; </w:t>
      </w:r>
      <w:r w:rsidR="00A22653" w:rsidRPr="003B3BFB">
        <w:rPr>
          <w:rFonts w:ascii="Arial" w:eastAsia="Times New Roman" w:hAnsi="Arial" w:cs="Arial"/>
          <w:sz w:val="24"/>
          <w:szCs w:val="24"/>
        </w:rPr>
        <w:t>Activități</w:t>
      </w:r>
      <w:r w:rsidRPr="003B3BFB">
        <w:rPr>
          <w:rFonts w:ascii="Arial" w:eastAsia="Times New Roman" w:hAnsi="Arial" w:cs="Arial"/>
          <w:sz w:val="24"/>
          <w:szCs w:val="24"/>
        </w:rPr>
        <w:t xml:space="preserve"> de servicii anexe </w:t>
      </w:r>
      <w:r w:rsidR="00A22653" w:rsidRPr="003B3BFB">
        <w:rPr>
          <w:rFonts w:ascii="Arial" w:eastAsia="Times New Roman" w:hAnsi="Arial" w:cs="Arial"/>
          <w:sz w:val="24"/>
          <w:szCs w:val="24"/>
        </w:rPr>
        <w:t>extracției</w:t>
      </w:r>
      <w:r w:rsidRPr="003B3BFB">
        <w:rPr>
          <w:rFonts w:ascii="Arial" w:eastAsia="Times New Roman" w:hAnsi="Arial" w:cs="Arial"/>
          <w:sz w:val="24"/>
          <w:szCs w:val="24"/>
        </w:rPr>
        <w:t xml:space="preserve"> 6,7%; Fabricarea calculatoarelor </w:t>
      </w:r>
      <w:r w:rsidR="00A22653" w:rsidRPr="003B3BFB">
        <w:rPr>
          <w:rFonts w:ascii="Arial" w:eastAsia="Times New Roman" w:hAnsi="Arial" w:cs="Arial"/>
          <w:sz w:val="24"/>
          <w:szCs w:val="24"/>
        </w:rPr>
        <w:t>și</w:t>
      </w:r>
      <w:r w:rsidRPr="003B3BFB">
        <w:rPr>
          <w:rFonts w:ascii="Arial" w:eastAsia="Times New Roman" w:hAnsi="Arial" w:cs="Arial"/>
          <w:sz w:val="24"/>
          <w:szCs w:val="24"/>
        </w:rPr>
        <w:t xml:space="preserve"> a produselor electronice </w:t>
      </w:r>
      <w:r w:rsidR="00A22653" w:rsidRPr="003B3BFB">
        <w:rPr>
          <w:rFonts w:ascii="Arial" w:eastAsia="Times New Roman" w:hAnsi="Arial" w:cs="Arial"/>
          <w:sz w:val="24"/>
          <w:szCs w:val="24"/>
        </w:rPr>
        <w:t>și</w:t>
      </w:r>
      <w:r w:rsidRPr="003B3BFB">
        <w:rPr>
          <w:rFonts w:ascii="Arial" w:eastAsia="Times New Roman" w:hAnsi="Arial" w:cs="Arial"/>
          <w:sz w:val="24"/>
          <w:szCs w:val="24"/>
        </w:rPr>
        <w:t xml:space="preserve"> optice 5,3%; Fabricarea produselor din tutun 4,2%; Fabricarea produselor din cauciuc şi mase plastice 4,0%; Alte </w:t>
      </w:r>
      <w:r w:rsidR="00A22653" w:rsidRPr="003B3BFB">
        <w:rPr>
          <w:rFonts w:ascii="Arial" w:eastAsia="Times New Roman" w:hAnsi="Arial" w:cs="Arial"/>
          <w:sz w:val="24"/>
          <w:szCs w:val="24"/>
        </w:rPr>
        <w:t>activități</w:t>
      </w:r>
      <w:r w:rsidRPr="003B3BFB">
        <w:rPr>
          <w:rFonts w:ascii="Arial" w:eastAsia="Times New Roman" w:hAnsi="Arial" w:cs="Arial"/>
          <w:sz w:val="24"/>
          <w:szCs w:val="24"/>
        </w:rPr>
        <w:t xml:space="preserve"> extractive 3,8%; Fabricarea echipamentelor electrice 3,7%; Fabricarea altor mijloace de transport 3,5%.</w:t>
      </w:r>
    </w:p>
    <w:p w:rsidR="00F51EDE" w:rsidRDefault="003B3BFB" w:rsidP="003B3BFB">
      <w:pPr>
        <w:keepNext/>
        <w:keepLines/>
        <w:spacing w:before="120" w:after="0" w:line="276" w:lineRule="auto"/>
        <w:ind w:firstLine="709"/>
        <w:rPr>
          <w:rFonts w:ascii="Arial" w:eastAsia="Times New Roman" w:hAnsi="Arial" w:cs="Arial"/>
          <w:b/>
          <w:bCs/>
          <w:sz w:val="24"/>
          <w:szCs w:val="24"/>
        </w:rPr>
      </w:pPr>
      <w:r w:rsidRPr="003B3BFB">
        <w:rPr>
          <w:rFonts w:ascii="Arial" w:eastAsia="Times New Roman" w:hAnsi="Arial" w:cs="Arial"/>
          <w:sz w:val="24"/>
          <w:szCs w:val="24"/>
        </w:rPr>
        <w:t xml:space="preserve">În perioada ianuarie-mai 2019, comparativ cu ianuarie-mai 2018 </w:t>
      </w:r>
      <w:r w:rsidRPr="003B3BFB">
        <w:rPr>
          <w:rFonts w:ascii="Arial" w:eastAsia="Times New Roman" w:hAnsi="Arial" w:cs="Arial"/>
          <w:b/>
          <w:sz w:val="24"/>
          <w:szCs w:val="24"/>
        </w:rPr>
        <w:t>s-au creat 62,3 mii locuri de muncă în regim salarial.</w:t>
      </w:r>
    </w:p>
    <w:p w:rsidR="003B3BFB" w:rsidRPr="003B3BFB" w:rsidRDefault="003B3BFB" w:rsidP="003B3BFB">
      <w:pPr>
        <w:keepNext/>
        <w:keepLines/>
        <w:spacing w:before="120" w:after="0" w:line="276" w:lineRule="auto"/>
        <w:ind w:firstLine="709"/>
        <w:rPr>
          <w:rFonts w:ascii="Arial" w:eastAsia="Times New Roman" w:hAnsi="Arial" w:cs="Arial"/>
          <w:b/>
          <w:bCs/>
          <w:sz w:val="24"/>
          <w:szCs w:val="24"/>
        </w:rPr>
      </w:pPr>
    </w:p>
    <w:p w:rsidR="00F51EDE" w:rsidRPr="00857E54" w:rsidRDefault="003B3BFB" w:rsidP="00065E24">
      <w:pPr>
        <w:keepNext/>
        <w:keepLines/>
        <w:spacing w:after="0"/>
        <w:ind w:firstLine="0"/>
        <w:jc w:val="center"/>
        <w:rPr>
          <w:rFonts w:ascii="Arial" w:eastAsia="Times New Roman" w:hAnsi="Arial" w:cs="Arial"/>
          <w:b/>
          <w:sz w:val="24"/>
          <w:szCs w:val="24"/>
        </w:rPr>
      </w:pPr>
      <w:r>
        <w:rPr>
          <w:rFonts w:ascii="Arial" w:eastAsia="Times New Roman" w:hAnsi="Arial" w:cs="Arial"/>
          <w:b/>
          <w:noProof/>
          <w:sz w:val="24"/>
          <w:szCs w:val="24"/>
          <w:lang w:val="en-US"/>
        </w:rPr>
        <w:drawing>
          <wp:inline distT="0" distB="0" distL="0" distR="0" wp14:anchorId="28F6FE1D" wp14:editId="267F5B01">
            <wp:extent cx="5759713" cy="2998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257" cy="3011678"/>
                    </a:xfrm>
                    <a:prstGeom prst="rect">
                      <a:avLst/>
                    </a:prstGeom>
                    <a:noFill/>
                  </pic:spPr>
                </pic:pic>
              </a:graphicData>
            </a:graphic>
          </wp:inline>
        </w:drawing>
      </w:r>
    </w:p>
    <w:p w:rsidR="00642BCD" w:rsidRDefault="00F51EDE" w:rsidP="00642BCD">
      <w:pPr>
        <w:keepNext/>
        <w:keepLines/>
        <w:spacing w:after="0"/>
        <w:ind w:firstLine="709"/>
        <w:rPr>
          <w:rFonts w:ascii="Calibri" w:eastAsia="Times New Roman" w:hAnsi="Calibri" w:cs="Times New Roman"/>
        </w:rPr>
      </w:pPr>
      <w:r w:rsidRPr="00857E54">
        <w:rPr>
          <w:rFonts w:ascii="Calibri" w:eastAsia="Times New Roman" w:hAnsi="Calibri" w:cs="Times New Roman"/>
        </w:rPr>
        <w:t>Sursa:</w:t>
      </w:r>
      <w:r w:rsidR="00F025AC">
        <w:rPr>
          <w:rFonts w:ascii="Calibri" w:eastAsia="Times New Roman" w:hAnsi="Calibri" w:cs="Times New Roman"/>
        </w:rPr>
        <w:t xml:space="preserve"> </w:t>
      </w:r>
      <w:r w:rsidRPr="00857E54">
        <w:rPr>
          <w:rFonts w:ascii="Calibri" w:eastAsia="Times New Roman" w:hAnsi="Calibri" w:cs="Times New Roman"/>
        </w:rPr>
        <w:t>INS</w:t>
      </w:r>
    </w:p>
    <w:p w:rsidR="00642BCD" w:rsidRDefault="00642BCD" w:rsidP="00642BCD">
      <w:pPr>
        <w:keepNext/>
        <w:keepLines/>
        <w:spacing w:after="0"/>
        <w:ind w:firstLine="709"/>
        <w:rPr>
          <w:rFonts w:ascii="Calibri" w:eastAsia="Times New Roman" w:hAnsi="Calibri" w:cs="Times New Roman"/>
        </w:rPr>
      </w:pPr>
    </w:p>
    <w:p w:rsidR="003B3BFB" w:rsidRPr="00322869" w:rsidRDefault="003B3BFB" w:rsidP="004D6D76">
      <w:pPr>
        <w:keepNext/>
        <w:keepLines/>
        <w:spacing w:after="120" w:line="276" w:lineRule="auto"/>
        <w:ind w:firstLine="709"/>
        <w:rPr>
          <w:rFonts w:ascii="Arial" w:eastAsia="Times New Roman" w:hAnsi="Arial" w:cs="Arial"/>
          <w:sz w:val="24"/>
          <w:szCs w:val="24"/>
        </w:rPr>
      </w:pPr>
      <w:r w:rsidRPr="00322869">
        <w:rPr>
          <w:rFonts w:ascii="Arial" w:eastAsia="Times New Roman" w:hAnsi="Arial" w:cs="Arial"/>
          <w:sz w:val="24"/>
          <w:szCs w:val="24"/>
        </w:rPr>
        <w:lastRenderedPageBreak/>
        <w:t xml:space="preserve">Creșterea </w:t>
      </w:r>
      <w:r w:rsidRPr="00552F13">
        <w:rPr>
          <w:rFonts w:ascii="Arial" w:eastAsia="Times New Roman" w:hAnsi="Arial" w:cs="Arial"/>
          <w:b/>
          <w:sz w:val="24"/>
          <w:szCs w:val="24"/>
        </w:rPr>
        <w:t>salariului mediu brut în primele 5 luni</w:t>
      </w:r>
      <w:r w:rsidRPr="00322869">
        <w:rPr>
          <w:rFonts w:ascii="Arial" w:eastAsia="Times New Roman" w:hAnsi="Arial" w:cs="Arial"/>
          <w:sz w:val="24"/>
          <w:szCs w:val="24"/>
        </w:rPr>
        <w:t xml:space="preserve"> ale anului 2019 nu a avut un efect negativ asupra evoluției pozitive a numărului de salariați, acesta </w:t>
      </w:r>
      <w:r w:rsidR="00F025AC" w:rsidRPr="00322869">
        <w:rPr>
          <w:rFonts w:ascii="Arial" w:eastAsia="Times New Roman" w:hAnsi="Arial" w:cs="Arial"/>
          <w:sz w:val="24"/>
          <w:szCs w:val="24"/>
        </w:rPr>
        <w:t>continuându-și</w:t>
      </w:r>
      <w:r w:rsidRPr="00322869">
        <w:rPr>
          <w:rFonts w:ascii="Arial" w:eastAsia="Times New Roman" w:hAnsi="Arial" w:cs="Arial"/>
          <w:sz w:val="24"/>
          <w:szCs w:val="24"/>
        </w:rPr>
        <w:t xml:space="preserve"> tendința de creștere.</w:t>
      </w:r>
    </w:p>
    <w:p w:rsidR="003B3BFB" w:rsidRPr="00322869" w:rsidRDefault="00142048" w:rsidP="004D6D76">
      <w:pPr>
        <w:spacing w:before="240" w:after="120" w:line="276" w:lineRule="auto"/>
        <w:ind w:firstLine="708"/>
        <w:rPr>
          <w:rFonts w:ascii="Arial" w:eastAsia="Times New Roman" w:hAnsi="Arial" w:cs="Arial"/>
          <w:sz w:val="24"/>
          <w:szCs w:val="24"/>
        </w:rPr>
      </w:pPr>
      <w:r w:rsidRPr="00322869">
        <w:rPr>
          <w:rFonts w:ascii="Arial" w:eastAsia="Times New Roman" w:hAnsi="Arial" w:cs="Arial"/>
          <w:sz w:val="24"/>
          <w:szCs w:val="24"/>
        </w:rPr>
        <w:t>Câștigul</w:t>
      </w:r>
      <w:r w:rsidR="003B3BFB" w:rsidRPr="00322869">
        <w:rPr>
          <w:rFonts w:ascii="Arial" w:eastAsia="Times New Roman" w:hAnsi="Arial" w:cs="Arial"/>
          <w:sz w:val="24"/>
          <w:szCs w:val="24"/>
        </w:rPr>
        <w:t xml:space="preserve"> salarial mediu brut pe total economie, a fost în primele 5 luni ale anului 2019 de 4.978 lei, cu 14,4% mai mare decât cel înregistrat în perioada corespunzătoare a anului 2018. </w:t>
      </w:r>
      <w:r w:rsidRPr="00322869">
        <w:rPr>
          <w:rFonts w:ascii="Arial" w:eastAsia="Times New Roman" w:hAnsi="Arial" w:cs="Arial"/>
          <w:sz w:val="24"/>
          <w:szCs w:val="24"/>
        </w:rPr>
        <w:t>Câștigul</w:t>
      </w:r>
      <w:r w:rsidR="003B3BFB" w:rsidRPr="00322869">
        <w:rPr>
          <w:rFonts w:ascii="Arial" w:eastAsia="Times New Roman" w:hAnsi="Arial" w:cs="Arial"/>
          <w:sz w:val="24"/>
          <w:szCs w:val="24"/>
        </w:rPr>
        <w:t xml:space="preserve"> salarial mediu net s-a majorat cu 15,8%, fiind de 3.032 lei.</w:t>
      </w:r>
    </w:p>
    <w:p w:rsidR="003B3BFB" w:rsidRPr="00322869" w:rsidRDefault="00142048" w:rsidP="004D6D76">
      <w:pPr>
        <w:spacing w:before="240" w:after="120" w:line="276" w:lineRule="auto"/>
        <w:ind w:firstLine="708"/>
        <w:rPr>
          <w:rFonts w:ascii="Arial" w:eastAsia="Times New Roman" w:hAnsi="Arial" w:cs="Arial"/>
          <w:sz w:val="24"/>
          <w:szCs w:val="24"/>
        </w:rPr>
      </w:pPr>
      <w:r w:rsidRPr="00322869">
        <w:rPr>
          <w:rFonts w:ascii="Arial" w:eastAsia="Times New Roman" w:hAnsi="Arial" w:cs="Arial"/>
          <w:sz w:val="24"/>
          <w:szCs w:val="24"/>
        </w:rPr>
        <w:t>Câștigul</w:t>
      </w:r>
      <w:r w:rsidR="003B3BFB" w:rsidRPr="00322869">
        <w:rPr>
          <w:rFonts w:ascii="Arial" w:eastAsia="Times New Roman" w:hAnsi="Arial" w:cs="Arial"/>
          <w:sz w:val="24"/>
          <w:szCs w:val="24"/>
        </w:rPr>
        <w:t xml:space="preserve"> salarial mediu brut a crescut comparativ cu perioada corespunzătoare a anului 2018, în următoarele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w:t>
      </w:r>
      <w:r w:rsidRPr="00322869">
        <w:rPr>
          <w:rFonts w:ascii="Arial" w:eastAsia="Times New Roman" w:hAnsi="Arial" w:cs="Arial"/>
          <w:sz w:val="24"/>
          <w:szCs w:val="24"/>
        </w:rPr>
        <w:t>învățământ</w:t>
      </w:r>
      <w:r w:rsidR="003B3BFB" w:rsidRPr="00322869">
        <w:rPr>
          <w:rFonts w:ascii="Arial" w:eastAsia="Times New Roman" w:hAnsi="Arial" w:cs="Arial"/>
          <w:sz w:val="24"/>
          <w:szCs w:val="24"/>
        </w:rPr>
        <w:t xml:space="preserve"> (25,9%),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auxiliare intermedierilor financiare,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de asigurare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fonduri de pensii (21,3%), </w:t>
      </w:r>
      <w:r w:rsidRPr="00322869">
        <w:rPr>
          <w:rFonts w:ascii="Arial" w:eastAsia="Times New Roman" w:hAnsi="Arial" w:cs="Arial"/>
          <w:sz w:val="24"/>
          <w:szCs w:val="24"/>
        </w:rPr>
        <w:t>extracția</w:t>
      </w:r>
      <w:r w:rsidR="003B3BFB" w:rsidRPr="00322869">
        <w:rPr>
          <w:rFonts w:ascii="Arial" w:eastAsia="Times New Roman" w:hAnsi="Arial" w:cs="Arial"/>
          <w:sz w:val="24"/>
          <w:szCs w:val="24"/>
        </w:rPr>
        <w:t xml:space="preserve"> minereurilor metalifere (21,1%),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de spectacole, culturale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recreative (18,9%), </w:t>
      </w:r>
      <w:r w:rsidRPr="00322869">
        <w:rPr>
          <w:rFonts w:ascii="Arial" w:eastAsia="Times New Roman" w:hAnsi="Arial" w:cs="Arial"/>
          <w:sz w:val="24"/>
          <w:szCs w:val="24"/>
        </w:rPr>
        <w:t>construcții</w:t>
      </w:r>
      <w:r w:rsidR="003B3BFB" w:rsidRPr="00322869">
        <w:rPr>
          <w:rFonts w:ascii="Arial" w:eastAsia="Times New Roman" w:hAnsi="Arial" w:cs="Arial"/>
          <w:sz w:val="24"/>
          <w:szCs w:val="24"/>
        </w:rPr>
        <w:t xml:space="preserve"> (18,4%),  sănătate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w:t>
      </w:r>
      <w:r w:rsidRPr="00322869">
        <w:rPr>
          <w:rFonts w:ascii="Arial" w:eastAsia="Times New Roman" w:hAnsi="Arial" w:cs="Arial"/>
          <w:sz w:val="24"/>
          <w:szCs w:val="24"/>
        </w:rPr>
        <w:t>asistență</w:t>
      </w:r>
      <w:r w:rsidR="003B3BFB" w:rsidRPr="00322869">
        <w:rPr>
          <w:rFonts w:ascii="Arial" w:eastAsia="Times New Roman" w:hAnsi="Arial" w:cs="Arial"/>
          <w:sz w:val="24"/>
          <w:szCs w:val="24"/>
        </w:rPr>
        <w:t xml:space="preserve"> socială (17,6%), hoteluri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restaurante (16,3%),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de servicii administrative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de servicii suport (16,1%), </w:t>
      </w:r>
      <w:r w:rsidRPr="00322869">
        <w:rPr>
          <w:rFonts w:ascii="Arial" w:eastAsia="Times New Roman" w:hAnsi="Arial" w:cs="Arial"/>
          <w:sz w:val="24"/>
          <w:szCs w:val="24"/>
        </w:rPr>
        <w:t>activități</w:t>
      </w:r>
      <w:r w:rsidR="003B3BFB" w:rsidRPr="00322869">
        <w:rPr>
          <w:rFonts w:ascii="Arial" w:eastAsia="Times New Roman" w:hAnsi="Arial" w:cs="Arial"/>
          <w:sz w:val="24"/>
          <w:szCs w:val="24"/>
        </w:rPr>
        <w:t xml:space="preserve"> profesionale, </w:t>
      </w:r>
      <w:r w:rsidRPr="00322869">
        <w:rPr>
          <w:rFonts w:ascii="Arial" w:eastAsia="Times New Roman" w:hAnsi="Arial" w:cs="Arial"/>
          <w:sz w:val="24"/>
          <w:szCs w:val="24"/>
        </w:rPr>
        <w:t>științifice</w:t>
      </w:r>
      <w:r w:rsidR="003B3BFB" w:rsidRPr="00322869">
        <w:rPr>
          <w:rFonts w:ascii="Arial" w:eastAsia="Times New Roman" w:hAnsi="Arial" w:cs="Arial"/>
          <w:sz w:val="24"/>
          <w:szCs w:val="24"/>
        </w:rPr>
        <w:t xml:space="preserve"> </w:t>
      </w:r>
      <w:r w:rsidRPr="00322869">
        <w:rPr>
          <w:rFonts w:ascii="Arial" w:eastAsia="Times New Roman" w:hAnsi="Arial" w:cs="Arial"/>
          <w:sz w:val="24"/>
          <w:szCs w:val="24"/>
        </w:rPr>
        <w:t>și</w:t>
      </w:r>
      <w:r w:rsidR="003B3BFB" w:rsidRPr="00322869">
        <w:rPr>
          <w:rFonts w:ascii="Arial" w:eastAsia="Times New Roman" w:hAnsi="Arial" w:cs="Arial"/>
          <w:sz w:val="24"/>
          <w:szCs w:val="24"/>
        </w:rPr>
        <w:t xml:space="preserve"> tehnice (15,6%).</w:t>
      </w:r>
    </w:p>
    <w:p w:rsidR="003B3BFB" w:rsidRPr="00322869" w:rsidRDefault="003B3BFB" w:rsidP="004D6D76">
      <w:pPr>
        <w:spacing w:before="240" w:after="120" w:line="276" w:lineRule="auto"/>
        <w:ind w:firstLine="708"/>
        <w:rPr>
          <w:rFonts w:ascii="Arial" w:eastAsia="Times New Roman" w:hAnsi="Arial" w:cs="Arial"/>
          <w:sz w:val="24"/>
          <w:szCs w:val="24"/>
        </w:rPr>
      </w:pPr>
      <w:r w:rsidRPr="00322869">
        <w:rPr>
          <w:rFonts w:ascii="Arial" w:eastAsia="Times New Roman" w:hAnsi="Arial" w:cs="Arial"/>
          <w:sz w:val="24"/>
          <w:szCs w:val="24"/>
        </w:rPr>
        <w:t xml:space="preserve">In sectorul bugetar, </w:t>
      </w:r>
      <w:r w:rsidR="00142048" w:rsidRPr="00322869">
        <w:rPr>
          <w:rFonts w:ascii="Arial" w:eastAsia="Times New Roman" w:hAnsi="Arial" w:cs="Arial"/>
          <w:sz w:val="24"/>
          <w:szCs w:val="24"/>
        </w:rPr>
        <w:t>creșterea</w:t>
      </w:r>
      <w:r w:rsidRPr="00322869">
        <w:rPr>
          <w:rFonts w:ascii="Arial" w:eastAsia="Times New Roman" w:hAnsi="Arial" w:cs="Arial"/>
          <w:sz w:val="24"/>
          <w:szCs w:val="24"/>
        </w:rPr>
        <w:t xml:space="preserve"> medie a </w:t>
      </w:r>
      <w:r w:rsidR="00142048" w:rsidRPr="00322869">
        <w:rPr>
          <w:rFonts w:ascii="Arial" w:eastAsia="Times New Roman" w:hAnsi="Arial" w:cs="Arial"/>
          <w:sz w:val="24"/>
          <w:szCs w:val="24"/>
        </w:rPr>
        <w:t>câștigului</w:t>
      </w:r>
      <w:r w:rsidRPr="00322869">
        <w:rPr>
          <w:rFonts w:ascii="Arial" w:eastAsia="Times New Roman" w:hAnsi="Arial" w:cs="Arial"/>
          <w:sz w:val="24"/>
          <w:szCs w:val="24"/>
        </w:rPr>
        <w:t xml:space="preserve"> salarial mediu brut a fost de 18,9% comparativ cu perioada corespunzătoare a anului 2018, în timp ce în sectorul </w:t>
      </w:r>
      <w:r w:rsidR="00142048" w:rsidRPr="00322869">
        <w:rPr>
          <w:rFonts w:ascii="Arial" w:eastAsia="Times New Roman" w:hAnsi="Arial" w:cs="Arial"/>
          <w:sz w:val="24"/>
          <w:szCs w:val="24"/>
        </w:rPr>
        <w:t>concurențial</w:t>
      </w:r>
      <w:r w:rsidRPr="00322869">
        <w:rPr>
          <w:rFonts w:ascii="Arial" w:eastAsia="Times New Roman" w:hAnsi="Arial" w:cs="Arial"/>
          <w:sz w:val="24"/>
          <w:szCs w:val="24"/>
        </w:rPr>
        <w:t xml:space="preserve"> s-a majorat cu 12,9%. În primele 5 luni 2019, câștigul salarial mediu brut din sectorul concurențial a ajuns să reprezinte 72,1% din câștigul salarial din sectorul bugetar față de 75,9% în aceeași perioadă a anului 2018.</w:t>
      </w:r>
    </w:p>
    <w:p w:rsidR="003B3BFB" w:rsidRPr="00322869" w:rsidRDefault="003B3BFB" w:rsidP="004D6D76">
      <w:pPr>
        <w:spacing w:before="240" w:after="120" w:line="276" w:lineRule="auto"/>
        <w:ind w:firstLine="0"/>
        <w:rPr>
          <w:rFonts w:ascii="Arial" w:eastAsia="Times New Roman" w:hAnsi="Arial" w:cs="Arial"/>
          <w:sz w:val="24"/>
          <w:szCs w:val="24"/>
        </w:rPr>
      </w:pPr>
      <w:r w:rsidRPr="00322869">
        <w:rPr>
          <w:rFonts w:ascii="Arial" w:eastAsia="Times New Roman" w:hAnsi="Arial" w:cs="Arial"/>
          <w:sz w:val="24"/>
          <w:szCs w:val="24"/>
        </w:rPr>
        <w:tab/>
        <w:t xml:space="preserve">În termeni reali, pe total economie, </w:t>
      </w:r>
      <w:r w:rsidR="00142048" w:rsidRPr="00322869">
        <w:rPr>
          <w:rFonts w:ascii="Arial" w:eastAsia="Times New Roman" w:hAnsi="Arial" w:cs="Arial"/>
          <w:sz w:val="24"/>
          <w:szCs w:val="24"/>
        </w:rPr>
        <w:t>creșterea</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câștigului</w:t>
      </w:r>
      <w:r w:rsidRPr="00322869">
        <w:rPr>
          <w:rFonts w:ascii="Arial" w:eastAsia="Times New Roman" w:hAnsi="Arial" w:cs="Arial"/>
          <w:sz w:val="24"/>
          <w:szCs w:val="24"/>
        </w:rPr>
        <w:t xml:space="preserve"> salarial a fost de 11,5%. </w:t>
      </w:r>
      <w:r w:rsidR="00142048" w:rsidRPr="00322869">
        <w:rPr>
          <w:rFonts w:ascii="Arial" w:eastAsia="Times New Roman" w:hAnsi="Arial" w:cs="Arial"/>
          <w:sz w:val="24"/>
          <w:szCs w:val="24"/>
        </w:rPr>
        <w:t>Câștigul</w:t>
      </w:r>
      <w:r w:rsidRPr="00322869">
        <w:rPr>
          <w:rFonts w:ascii="Arial" w:eastAsia="Times New Roman" w:hAnsi="Arial" w:cs="Arial"/>
          <w:sz w:val="24"/>
          <w:szCs w:val="24"/>
        </w:rPr>
        <w:t xml:space="preserve"> salarial real în sectorul bugetar a înregistrat o </w:t>
      </w:r>
      <w:r w:rsidR="00142048" w:rsidRPr="00322869">
        <w:rPr>
          <w:rFonts w:ascii="Arial" w:eastAsia="Times New Roman" w:hAnsi="Arial" w:cs="Arial"/>
          <w:sz w:val="24"/>
          <w:szCs w:val="24"/>
        </w:rPr>
        <w:t>creștere</w:t>
      </w:r>
      <w:r w:rsidRPr="00322869">
        <w:rPr>
          <w:rFonts w:ascii="Arial" w:eastAsia="Times New Roman" w:hAnsi="Arial" w:cs="Arial"/>
          <w:sz w:val="24"/>
          <w:szCs w:val="24"/>
        </w:rPr>
        <w:t xml:space="preserve"> de 13,7%, iar în sectorul </w:t>
      </w:r>
      <w:r w:rsidR="00142048" w:rsidRPr="00322869">
        <w:rPr>
          <w:rFonts w:ascii="Arial" w:eastAsia="Times New Roman" w:hAnsi="Arial" w:cs="Arial"/>
          <w:sz w:val="24"/>
          <w:szCs w:val="24"/>
        </w:rPr>
        <w:t>concurențial</w:t>
      </w:r>
      <w:r w:rsidRPr="00322869">
        <w:rPr>
          <w:rFonts w:ascii="Arial" w:eastAsia="Times New Roman" w:hAnsi="Arial" w:cs="Arial"/>
          <w:sz w:val="24"/>
          <w:szCs w:val="24"/>
        </w:rPr>
        <w:t xml:space="preserve"> de 10,8%.</w:t>
      </w:r>
      <w:r w:rsidRPr="00322869">
        <w:rPr>
          <w:rFonts w:ascii="Arial" w:eastAsia="Times New Roman" w:hAnsi="Arial" w:cs="Arial"/>
          <w:sz w:val="24"/>
          <w:szCs w:val="24"/>
        </w:rPr>
        <w:tab/>
      </w:r>
    </w:p>
    <w:p w:rsidR="00C133ED" w:rsidRPr="00322869" w:rsidRDefault="003B3BFB" w:rsidP="004D6D76">
      <w:pPr>
        <w:spacing w:before="240" w:after="120" w:line="276" w:lineRule="auto"/>
        <w:ind w:firstLine="708"/>
        <w:rPr>
          <w:rFonts w:ascii="Arial" w:eastAsia="Times New Roman" w:hAnsi="Arial" w:cs="Arial"/>
          <w:sz w:val="24"/>
          <w:szCs w:val="24"/>
        </w:rPr>
      </w:pPr>
      <w:r w:rsidRPr="00552F13">
        <w:rPr>
          <w:rFonts w:ascii="Arial" w:eastAsia="Times New Roman" w:hAnsi="Arial" w:cs="Arial"/>
          <w:b/>
          <w:sz w:val="24"/>
          <w:szCs w:val="24"/>
        </w:rPr>
        <w:t>Șomajul înregistrat</w:t>
      </w:r>
      <w:r w:rsidRPr="00322869">
        <w:rPr>
          <w:rFonts w:ascii="Arial" w:eastAsia="Times New Roman" w:hAnsi="Arial" w:cs="Arial"/>
          <w:sz w:val="24"/>
          <w:szCs w:val="24"/>
        </w:rPr>
        <w:t xml:space="preserve"> la nivel național a avut un trend descrescător începând cu luna august 2018 când a fost de 302,6 mii persoane cu o rată a </w:t>
      </w:r>
      <w:r w:rsidR="00142048" w:rsidRPr="00322869">
        <w:rPr>
          <w:rFonts w:ascii="Arial" w:eastAsia="Times New Roman" w:hAnsi="Arial" w:cs="Arial"/>
          <w:sz w:val="24"/>
          <w:szCs w:val="24"/>
        </w:rPr>
        <w:t>șomajului</w:t>
      </w:r>
      <w:r w:rsidRPr="00322869">
        <w:rPr>
          <w:rFonts w:ascii="Arial" w:eastAsia="Times New Roman" w:hAnsi="Arial" w:cs="Arial"/>
          <w:sz w:val="24"/>
          <w:szCs w:val="24"/>
        </w:rPr>
        <w:t xml:space="preserve"> de 3,47%, astfel că </w:t>
      </w:r>
      <w:r w:rsidR="00142048" w:rsidRPr="00322869">
        <w:rPr>
          <w:rFonts w:ascii="Arial" w:eastAsia="Times New Roman" w:hAnsi="Arial" w:cs="Arial"/>
          <w:sz w:val="24"/>
          <w:szCs w:val="24"/>
        </w:rPr>
        <w:t>șomajul</w:t>
      </w:r>
      <w:r w:rsidRPr="00322869">
        <w:rPr>
          <w:rFonts w:ascii="Arial" w:eastAsia="Times New Roman" w:hAnsi="Arial" w:cs="Arial"/>
          <w:sz w:val="24"/>
          <w:szCs w:val="24"/>
        </w:rPr>
        <w:t xml:space="preserve"> înregistrat la </w:t>
      </w:r>
      <w:r w:rsidR="00142048" w:rsidRPr="00322869">
        <w:rPr>
          <w:rFonts w:ascii="Arial" w:eastAsia="Times New Roman" w:hAnsi="Arial" w:cs="Arial"/>
          <w:sz w:val="24"/>
          <w:szCs w:val="24"/>
        </w:rPr>
        <w:t>sfârșitul</w:t>
      </w:r>
      <w:r w:rsidRPr="00322869">
        <w:rPr>
          <w:rFonts w:ascii="Arial" w:eastAsia="Times New Roman" w:hAnsi="Arial" w:cs="Arial"/>
          <w:sz w:val="24"/>
          <w:szCs w:val="24"/>
        </w:rPr>
        <w:t xml:space="preserve"> lunii mai 2019 a ajuns la 254,6 mii persoane cu o rată a </w:t>
      </w:r>
      <w:r w:rsidR="00142048" w:rsidRPr="00322869">
        <w:rPr>
          <w:rFonts w:ascii="Arial" w:eastAsia="Times New Roman" w:hAnsi="Arial" w:cs="Arial"/>
          <w:sz w:val="24"/>
          <w:szCs w:val="24"/>
        </w:rPr>
        <w:t>șomajului</w:t>
      </w:r>
      <w:r w:rsidRPr="00322869">
        <w:rPr>
          <w:rFonts w:ascii="Arial" w:eastAsia="Times New Roman" w:hAnsi="Arial" w:cs="Arial"/>
          <w:sz w:val="24"/>
          <w:szCs w:val="24"/>
        </w:rPr>
        <w:t xml:space="preserve"> de 2,92%, mai mică cu 0,57 puncte procentuale față de perioada corespunzătoare a anului anterior. Numărul total al </w:t>
      </w:r>
      <w:r w:rsidR="00142048" w:rsidRPr="00322869">
        <w:rPr>
          <w:rFonts w:ascii="Arial" w:eastAsia="Times New Roman" w:hAnsi="Arial" w:cs="Arial"/>
          <w:sz w:val="24"/>
          <w:szCs w:val="24"/>
        </w:rPr>
        <w:t>șomerilor</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înregistrați</w:t>
      </w:r>
      <w:r w:rsidRPr="00322869">
        <w:rPr>
          <w:rFonts w:ascii="Arial" w:eastAsia="Times New Roman" w:hAnsi="Arial" w:cs="Arial"/>
          <w:sz w:val="24"/>
          <w:szCs w:val="24"/>
        </w:rPr>
        <w:t xml:space="preserve"> a scăzut </w:t>
      </w:r>
      <w:r w:rsidR="00142048" w:rsidRPr="00322869">
        <w:rPr>
          <w:rFonts w:ascii="Arial" w:eastAsia="Times New Roman" w:hAnsi="Arial" w:cs="Arial"/>
          <w:sz w:val="24"/>
          <w:szCs w:val="24"/>
        </w:rPr>
        <w:t>față</w:t>
      </w:r>
      <w:r w:rsidRPr="00322869">
        <w:rPr>
          <w:rFonts w:ascii="Arial" w:eastAsia="Times New Roman" w:hAnsi="Arial" w:cs="Arial"/>
          <w:sz w:val="24"/>
          <w:szCs w:val="24"/>
        </w:rPr>
        <w:t xml:space="preserve"> de luna mai 2018 cu 49,4 mii persoane (respectiv cu 16,3%). Din totalul </w:t>
      </w:r>
      <w:r w:rsidR="00142048" w:rsidRPr="00322869">
        <w:rPr>
          <w:rFonts w:ascii="Arial" w:eastAsia="Times New Roman" w:hAnsi="Arial" w:cs="Arial"/>
          <w:sz w:val="24"/>
          <w:szCs w:val="24"/>
        </w:rPr>
        <w:t>șomerilor</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înregistrați</w:t>
      </w:r>
      <w:r w:rsidRPr="00322869">
        <w:rPr>
          <w:rFonts w:ascii="Arial" w:eastAsia="Times New Roman" w:hAnsi="Arial" w:cs="Arial"/>
          <w:sz w:val="24"/>
          <w:szCs w:val="24"/>
        </w:rPr>
        <w:t xml:space="preserve">, 47,3 mii persoane au fost </w:t>
      </w:r>
      <w:r w:rsidR="00142048" w:rsidRPr="00322869">
        <w:rPr>
          <w:rFonts w:ascii="Arial" w:eastAsia="Times New Roman" w:hAnsi="Arial" w:cs="Arial"/>
          <w:sz w:val="24"/>
          <w:szCs w:val="24"/>
        </w:rPr>
        <w:t>șomeri</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indemnizați</w:t>
      </w:r>
      <w:r w:rsidRPr="00322869">
        <w:rPr>
          <w:rFonts w:ascii="Arial" w:eastAsia="Times New Roman" w:hAnsi="Arial" w:cs="Arial"/>
          <w:sz w:val="24"/>
          <w:szCs w:val="24"/>
        </w:rPr>
        <w:t xml:space="preserve"> (15,6%) </w:t>
      </w:r>
      <w:r w:rsidR="00142048" w:rsidRPr="00322869">
        <w:rPr>
          <w:rFonts w:ascii="Arial" w:eastAsia="Times New Roman" w:hAnsi="Arial" w:cs="Arial"/>
          <w:sz w:val="24"/>
          <w:szCs w:val="24"/>
        </w:rPr>
        <w:t>și</w:t>
      </w:r>
      <w:r w:rsidRPr="00322869">
        <w:rPr>
          <w:rFonts w:ascii="Arial" w:eastAsia="Times New Roman" w:hAnsi="Arial" w:cs="Arial"/>
          <w:sz w:val="24"/>
          <w:szCs w:val="24"/>
        </w:rPr>
        <w:t xml:space="preserve"> 207,4 mii persoane, </w:t>
      </w:r>
      <w:r w:rsidR="00142048" w:rsidRPr="00322869">
        <w:rPr>
          <w:rFonts w:ascii="Arial" w:eastAsia="Times New Roman" w:hAnsi="Arial" w:cs="Arial"/>
          <w:sz w:val="24"/>
          <w:szCs w:val="24"/>
        </w:rPr>
        <w:t>șomeri</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ne indemnizați</w:t>
      </w:r>
      <w:r w:rsidRPr="00322869">
        <w:rPr>
          <w:rFonts w:ascii="Arial" w:eastAsia="Times New Roman" w:hAnsi="Arial" w:cs="Arial"/>
          <w:sz w:val="24"/>
          <w:szCs w:val="24"/>
        </w:rPr>
        <w:t xml:space="preserve"> (84,4%). Pe medii de </w:t>
      </w:r>
      <w:r w:rsidR="00142048" w:rsidRPr="00322869">
        <w:rPr>
          <w:rFonts w:ascii="Arial" w:eastAsia="Times New Roman" w:hAnsi="Arial" w:cs="Arial"/>
          <w:sz w:val="24"/>
          <w:szCs w:val="24"/>
        </w:rPr>
        <w:t>rezidență</w:t>
      </w:r>
      <w:r w:rsidRPr="00322869">
        <w:rPr>
          <w:rFonts w:ascii="Arial" w:eastAsia="Times New Roman" w:hAnsi="Arial" w:cs="Arial"/>
          <w:sz w:val="24"/>
          <w:szCs w:val="24"/>
        </w:rPr>
        <w:t xml:space="preserve"> numărul </w:t>
      </w:r>
      <w:r w:rsidR="00142048" w:rsidRPr="00322869">
        <w:rPr>
          <w:rFonts w:ascii="Arial" w:eastAsia="Times New Roman" w:hAnsi="Arial" w:cs="Arial"/>
          <w:sz w:val="24"/>
          <w:szCs w:val="24"/>
        </w:rPr>
        <w:t>șomerilor</w:t>
      </w:r>
      <w:r w:rsidRPr="00322869">
        <w:rPr>
          <w:rFonts w:ascii="Arial" w:eastAsia="Times New Roman" w:hAnsi="Arial" w:cs="Arial"/>
          <w:sz w:val="24"/>
          <w:szCs w:val="24"/>
        </w:rPr>
        <w:t xml:space="preserve"> </w:t>
      </w:r>
      <w:r w:rsidR="00142048" w:rsidRPr="00322869">
        <w:rPr>
          <w:rFonts w:ascii="Arial" w:eastAsia="Times New Roman" w:hAnsi="Arial" w:cs="Arial"/>
          <w:sz w:val="24"/>
          <w:szCs w:val="24"/>
        </w:rPr>
        <w:t>înregistrați</w:t>
      </w:r>
      <w:r w:rsidRPr="00322869">
        <w:rPr>
          <w:rFonts w:ascii="Arial" w:eastAsia="Times New Roman" w:hAnsi="Arial" w:cs="Arial"/>
          <w:sz w:val="24"/>
          <w:szCs w:val="24"/>
        </w:rPr>
        <w:t xml:space="preserve"> se prezintă astfel: 75,1 mii persoane în mediul urban (29,5%) </w:t>
      </w:r>
      <w:r w:rsidR="00142048" w:rsidRPr="00322869">
        <w:rPr>
          <w:rFonts w:ascii="Arial" w:eastAsia="Times New Roman" w:hAnsi="Arial" w:cs="Arial"/>
          <w:sz w:val="24"/>
          <w:szCs w:val="24"/>
        </w:rPr>
        <w:t>și</w:t>
      </w:r>
      <w:r w:rsidRPr="00322869">
        <w:rPr>
          <w:rFonts w:ascii="Arial" w:eastAsia="Times New Roman" w:hAnsi="Arial" w:cs="Arial"/>
          <w:sz w:val="24"/>
          <w:szCs w:val="24"/>
        </w:rPr>
        <w:t xml:space="preserve"> 179,5 mii persoane în mediul rural (70,5%).</w:t>
      </w:r>
    </w:p>
    <w:p w:rsidR="00F260A2" w:rsidRDefault="00F260A2" w:rsidP="00F260A2">
      <w:pPr>
        <w:spacing w:after="0"/>
        <w:ind w:firstLine="0"/>
        <w:rPr>
          <w:rFonts w:eastAsia="Times New Roman"/>
        </w:rPr>
      </w:pPr>
    </w:p>
    <w:p w:rsidR="00642BCD" w:rsidRPr="00857E54" w:rsidRDefault="00642BCD" w:rsidP="00F260A2">
      <w:pPr>
        <w:spacing w:after="0"/>
        <w:ind w:firstLine="0"/>
        <w:rPr>
          <w:rFonts w:eastAsia="Times New Roman"/>
        </w:rPr>
      </w:pPr>
      <w:r>
        <w:rPr>
          <w:rFonts w:eastAsia="Times New Roman"/>
          <w:noProof/>
          <w:lang w:val="en-US"/>
        </w:rPr>
        <w:lastRenderedPageBreak/>
        <w:drawing>
          <wp:inline distT="0" distB="0" distL="0" distR="0" wp14:anchorId="7ED2FF3D" wp14:editId="7F96CB1B">
            <wp:extent cx="5761355" cy="26368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064" cy="2639944"/>
                    </a:xfrm>
                    <a:prstGeom prst="rect">
                      <a:avLst/>
                    </a:prstGeom>
                    <a:noFill/>
                  </pic:spPr>
                </pic:pic>
              </a:graphicData>
            </a:graphic>
          </wp:inline>
        </w:drawing>
      </w:r>
    </w:p>
    <w:p w:rsidR="00C133ED" w:rsidRPr="00857E54" w:rsidRDefault="00C133ED" w:rsidP="00C133ED">
      <w:pPr>
        <w:spacing w:after="0"/>
        <w:ind w:firstLine="0"/>
        <w:rPr>
          <w:rFonts w:eastAsia="Times New Roman"/>
        </w:rPr>
      </w:pPr>
      <w:r w:rsidRPr="00857E54">
        <w:rPr>
          <w:rFonts w:eastAsia="Times New Roman"/>
        </w:rPr>
        <w:t>Sursa: ANOFM</w:t>
      </w:r>
    </w:p>
    <w:p w:rsidR="00F260A2" w:rsidRPr="00857E54" w:rsidRDefault="00F260A2" w:rsidP="00C133ED">
      <w:pPr>
        <w:keepNext/>
        <w:spacing w:before="120" w:after="0" w:line="276" w:lineRule="auto"/>
        <w:ind w:firstLine="709"/>
        <w:rPr>
          <w:rFonts w:ascii="Arial" w:eastAsia="Times New Roman" w:hAnsi="Arial" w:cs="Arial"/>
          <w:b/>
          <w:bCs/>
          <w:sz w:val="24"/>
          <w:szCs w:val="24"/>
        </w:rPr>
      </w:pPr>
    </w:p>
    <w:p w:rsidR="00642BCD" w:rsidRPr="00642BCD" w:rsidRDefault="00642BCD" w:rsidP="00642BCD">
      <w:pPr>
        <w:keepNext/>
        <w:keepLines/>
        <w:spacing w:before="120" w:after="0" w:line="276" w:lineRule="auto"/>
        <w:ind w:firstLine="708"/>
        <w:rPr>
          <w:rFonts w:ascii="Arial" w:eastAsia="Times New Roman" w:hAnsi="Arial" w:cs="Arial"/>
          <w:bCs/>
          <w:sz w:val="24"/>
          <w:szCs w:val="24"/>
        </w:rPr>
      </w:pPr>
      <w:r w:rsidRPr="00642BCD">
        <w:rPr>
          <w:rFonts w:ascii="Arial" w:eastAsia="Times New Roman" w:hAnsi="Arial" w:cs="Arial"/>
          <w:b/>
          <w:bCs/>
          <w:sz w:val="24"/>
          <w:szCs w:val="24"/>
        </w:rPr>
        <w:t xml:space="preserve">Structura </w:t>
      </w:r>
      <w:r w:rsidR="00C767FF" w:rsidRPr="00642BCD">
        <w:rPr>
          <w:rFonts w:ascii="Arial" w:eastAsia="Times New Roman" w:hAnsi="Arial" w:cs="Arial"/>
          <w:b/>
          <w:bCs/>
          <w:sz w:val="24"/>
          <w:szCs w:val="24"/>
        </w:rPr>
        <w:t>șomajului</w:t>
      </w:r>
      <w:r w:rsidRPr="00642BCD">
        <w:rPr>
          <w:rFonts w:ascii="Arial" w:eastAsia="Times New Roman" w:hAnsi="Arial" w:cs="Arial"/>
          <w:b/>
          <w:bCs/>
          <w:sz w:val="24"/>
          <w:szCs w:val="24"/>
        </w:rPr>
        <w:t xml:space="preserve"> pe grupe de vârstă</w:t>
      </w:r>
      <w:r w:rsidRPr="00642BCD">
        <w:rPr>
          <w:rFonts w:ascii="Arial" w:eastAsia="Times New Roman" w:hAnsi="Arial" w:cs="Arial"/>
          <w:bCs/>
          <w:sz w:val="24"/>
          <w:szCs w:val="24"/>
        </w:rPr>
        <w:t xml:space="preserve">  la nivelul lunii mai 2019 ne arată că </w:t>
      </w:r>
      <w:r w:rsidR="00C767FF" w:rsidRPr="00642BCD">
        <w:rPr>
          <w:rFonts w:ascii="Arial" w:eastAsia="Times New Roman" w:hAnsi="Arial" w:cs="Arial"/>
          <w:bCs/>
          <w:sz w:val="24"/>
          <w:szCs w:val="24"/>
        </w:rPr>
        <w:t>șomerii</w:t>
      </w:r>
      <w:r w:rsidRPr="00642BCD">
        <w:rPr>
          <w:rFonts w:ascii="Arial" w:eastAsia="Times New Roman" w:hAnsi="Arial" w:cs="Arial"/>
          <w:bCs/>
          <w:sz w:val="24"/>
          <w:szCs w:val="24"/>
        </w:rPr>
        <w:t xml:space="preserve"> din grupa de vârstă 40-49 ani reprezentau cea mai mare pondere (29,0%) din totalul </w:t>
      </w:r>
      <w:r w:rsidR="00C767FF" w:rsidRPr="00642BCD">
        <w:rPr>
          <w:rFonts w:ascii="Arial" w:eastAsia="Times New Roman" w:hAnsi="Arial" w:cs="Arial"/>
          <w:bCs/>
          <w:sz w:val="24"/>
          <w:szCs w:val="24"/>
        </w:rPr>
        <w:t>șomerilor</w:t>
      </w:r>
      <w:r w:rsidRPr="00642BCD">
        <w:rPr>
          <w:rFonts w:ascii="Arial" w:eastAsia="Times New Roman" w:hAnsi="Arial" w:cs="Arial"/>
          <w:bCs/>
          <w:sz w:val="24"/>
          <w:szCs w:val="24"/>
        </w:rPr>
        <w:t xml:space="preserve"> </w:t>
      </w:r>
      <w:r w:rsidR="00C767FF" w:rsidRPr="00642BCD">
        <w:rPr>
          <w:rFonts w:ascii="Arial" w:eastAsia="Times New Roman" w:hAnsi="Arial" w:cs="Arial"/>
          <w:bCs/>
          <w:sz w:val="24"/>
          <w:szCs w:val="24"/>
        </w:rPr>
        <w:t>înregistrați</w:t>
      </w:r>
      <w:r w:rsidRPr="00642BCD">
        <w:rPr>
          <w:rFonts w:ascii="Arial" w:eastAsia="Times New Roman" w:hAnsi="Arial" w:cs="Arial"/>
          <w:bCs/>
          <w:sz w:val="24"/>
          <w:szCs w:val="24"/>
        </w:rPr>
        <w:t xml:space="preserve"> </w:t>
      </w:r>
      <w:r w:rsidR="00C767FF" w:rsidRPr="00642BCD">
        <w:rPr>
          <w:rFonts w:ascii="Arial" w:eastAsia="Times New Roman" w:hAnsi="Arial" w:cs="Arial"/>
          <w:bCs/>
          <w:sz w:val="24"/>
          <w:szCs w:val="24"/>
        </w:rPr>
        <w:t>urmați</w:t>
      </w:r>
      <w:r w:rsidRPr="00642BCD">
        <w:rPr>
          <w:rFonts w:ascii="Arial" w:eastAsia="Times New Roman" w:hAnsi="Arial" w:cs="Arial"/>
          <w:bCs/>
          <w:sz w:val="24"/>
          <w:szCs w:val="24"/>
        </w:rPr>
        <w:t xml:space="preserve"> de </w:t>
      </w:r>
      <w:r w:rsidR="00C767FF" w:rsidRPr="00642BCD">
        <w:rPr>
          <w:rFonts w:ascii="Arial" w:eastAsia="Times New Roman" w:hAnsi="Arial" w:cs="Arial"/>
          <w:bCs/>
          <w:sz w:val="24"/>
          <w:szCs w:val="24"/>
        </w:rPr>
        <w:t>șomerii</w:t>
      </w:r>
      <w:r w:rsidRPr="00642BCD">
        <w:rPr>
          <w:rFonts w:ascii="Arial" w:eastAsia="Times New Roman" w:hAnsi="Arial" w:cs="Arial"/>
          <w:bCs/>
          <w:sz w:val="24"/>
          <w:szCs w:val="24"/>
        </w:rPr>
        <w:t xml:space="preserve"> din grupele de vârstă pe</w:t>
      </w:r>
      <w:r w:rsidR="00C767FF">
        <w:rPr>
          <w:rFonts w:ascii="Arial" w:eastAsia="Times New Roman" w:hAnsi="Arial" w:cs="Arial"/>
          <w:bCs/>
          <w:sz w:val="24"/>
          <w:szCs w:val="24"/>
        </w:rPr>
        <w:t xml:space="preserve">ste 55 ani cu pondere de 20,4% </w:t>
      </w:r>
      <w:r w:rsidR="00C767FF" w:rsidRPr="00642BCD">
        <w:rPr>
          <w:rFonts w:ascii="Arial" w:eastAsia="Times New Roman" w:hAnsi="Arial" w:cs="Arial"/>
          <w:bCs/>
          <w:sz w:val="24"/>
          <w:szCs w:val="24"/>
        </w:rPr>
        <w:t>și</w:t>
      </w:r>
      <w:r w:rsidRPr="00642BCD">
        <w:rPr>
          <w:rFonts w:ascii="Arial" w:eastAsia="Times New Roman" w:hAnsi="Arial" w:cs="Arial"/>
          <w:bCs/>
          <w:sz w:val="24"/>
          <w:szCs w:val="24"/>
        </w:rPr>
        <w:t xml:space="preserve"> de </w:t>
      </w:r>
      <w:r w:rsidR="00C767FF" w:rsidRPr="00642BCD">
        <w:rPr>
          <w:rFonts w:ascii="Arial" w:eastAsia="Times New Roman" w:hAnsi="Arial" w:cs="Arial"/>
          <w:bCs/>
          <w:sz w:val="24"/>
          <w:szCs w:val="24"/>
        </w:rPr>
        <w:t>șomerii</w:t>
      </w:r>
      <w:r w:rsidRPr="00642BCD">
        <w:rPr>
          <w:rFonts w:ascii="Arial" w:eastAsia="Times New Roman" w:hAnsi="Arial" w:cs="Arial"/>
          <w:bCs/>
          <w:sz w:val="24"/>
          <w:szCs w:val="24"/>
        </w:rPr>
        <w:t xml:space="preserve"> din grupa de vârstă 30-39 ani cu pondere de 18,7%.</w:t>
      </w:r>
    </w:p>
    <w:p w:rsidR="00642BCD" w:rsidRPr="00642BCD" w:rsidRDefault="00642BCD" w:rsidP="00642BCD">
      <w:pPr>
        <w:keepNext/>
        <w:keepLines/>
        <w:spacing w:before="120" w:after="0" w:line="276" w:lineRule="auto"/>
        <w:ind w:firstLine="708"/>
        <w:rPr>
          <w:rFonts w:ascii="Arial" w:eastAsia="Times New Roman" w:hAnsi="Arial" w:cs="Arial"/>
          <w:bCs/>
          <w:sz w:val="24"/>
          <w:szCs w:val="24"/>
        </w:rPr>
      </w:pPr>
      <w:r w:rsidRPr="00642BCD">
        <w:rPr>
          <w:rFonts w:ascii="Arial" w:eastAsia="Times New Roman" w:hAnsi="Arial" w:cs="Arial"/>
          <w:bCs/>
          <w:sz w:val="24"/>
          <w:szCs w:val="24"/>
        </w:rPr>
        <w:t xml:space="preserve">Referitor la </w:t>
      </w:r>
      <w:r w:rsidRPr="00642BCD">
        <w:rPr>
          <w:rFonts w:ascii="Arial" w:eastAsia="Times New Roman" w:hAnsi="Arial" w:cs="Arial"/>
          <w:b/>
          <w:bCs/>
          <w:sz w:val="24"/>
          <w:szCs w:val="24"/>
        </w:rPr>
        <w:t xml:space="preserve">structura </w:t>
      </w:r>
      <w:r w:rsidR="00725544" w:rsidRPr="00642BCD">
        <w:rPr>
          <w:rFonts w:ascii="Arial" w:eastAsia="Times New Roman" w:hAnsi="Arial" w:cs="Arial"/>
          <w:b/>
          <w:bCs/>
          <w:sz w:val="24"/>
          <w:szCs w:val="24"/>
        </w:rPr>
        <w:t>șomajului</w:t>
      </w:r>
      <w:r w:rsidRPr="00642BCD">
        <w:rPr>
          <w:rFonts w:ascii="Arial" w:eastAsia="Times New Roman" w:hAnsi="Arial" w:cs="Arial"/>
          <w:b/>
          <w:bCs/>
          <w:sz w:val="24"/>
          <w:szCs w:val="24"/>
        </w:rPr>
        <w:t xml:space="preserve"> după nivelul de instruire</w:t>
      </w:r>
      <w:r w:rsidRPr="00642BCD">
        <w:rPr>
          <w:rFonts w:ascii="Arial" w:eastAsia="Times New Roman" w:hAnsi="Arial" w:cs="Arial"/>
          <w:bCs/>
          <w:sz w:val="24"/>
          <w:szCs w:val="24"/>
        </w:rPr>
        <w:t xml:space="preserve">, </w:t>
      </w:r>
      <w:r w:rsidR="00725544" w:rsidRPr="00642BCD">
        <w:rPr>
          <w:rFonts w:ascii="Arial" w:eastAsia="Times New Roman" w:hAnsi="Arial" w:cs="Arial"/>
          <w:bCs/>
          <w:sz w:val="24"/>
          <w:szCs w:val="24"/>
        </w:rPr>
        <w:t>șomerii</w:t>
      </w:r>
      <w:r w:rsidRPr="00642BCD">
        <w:rPr>
          <w:rFonts w:ascii="Arial" w:eastAsia="Times New Roman" w:hAnsi="Arial" w:cs="Arial"/>
          <w:bCs/>
          <w:sz w:val="24"/>
          <w:szCs w:val="24"/>
        </w:rPr>
        <w:t xml:space="preserve"> fără studii </w:t>
      </w:r>
      <w:r w:rsidR="00725544" w:rsidRPr="00642BCD">
        <w:rPr>
          <w:rFonts w:ascii="Arial" w:eastAsia="Times New Roman" w:hAnsi="Arial" w:cs="Arial"/>
          <w:bCs/>
          <w:sz w:val="24"/>
          <w:szCs w:val="24"/>
        </w:rPr>
        <w:t>și</w:t>
      </w:r>
      <w:r w:rsidRPr="00642BCD">
        <w:rPr>
          <w:rFonts w:ascii="Arial" w:eastAsia="Times New Roman" w:hAnsi="Arial" w:cs="Arial"/>
          <w:bCs/>
          <w:sz w:val="24"/>
          <w:szCs w:val="24"/>
        </w:rPr>
        <w:t xml:space="preserve"> cei cu nivel de instruire primar, gimnazial </w:t>
      </w:r>
      <w:r w:rsidR="00725544" w:rsidRPr="00642BCD">
        <w:rPr>
          <w:rFonts w:ascii="Arial" w:eastAsia="Times New Roman" w:hAnsi="Arial" w:cs="Arial"/>
          <w:bCs/>
          <w:sz w:val="24"/>
          <w:szCs w:val="24"/>
        </w:rPr>
        <w:t>și</w:t>
      </w:r>
      <w:r w:rsidRPr="00642BCD">
        <w:rPr>
          <w:rFonts w:ascii="Arial" w:eastAsia="Times New Roman" w:hAnsi="Arial" w:cs="Arial"/>
          <w:bCs/>
          <w:sz w:val="24"/>
          <w:szCs w:val="24"/>
        </w:rPr>
        <w:t xml:space="preserve"> profesional au ponderea cea mai mare în totalul </w:t>
      </w:r>
      <w:r w:rsidR="00725544" w:rsidRPr="00642BCD">
        <w:rPr>
          <w:rFonts w:ascii="Arial" w:eastAsia="Times New Roman" w:hAnsi="Arial" w:cs="Arial"/>
          <w:bCs/>
          <w:sz w:val="24"/>
          <w:szCs w:val="24"/>
        </w:rPr>
        <w:t>șomerilor</w:t>
      </w:r>
      <w:r w:rsidRPr="00642BCD">
        <w:rPr>
          <w:rFonts w:ascii="Arial" w:eastAsia="Times New Roman" w:hAnsi="Arial" w:cs="Arial"/>
          <w:bCs/>
          <w:sz w:val="24"/>
          <w:szCs w:val="24"/>
        </w:rPr>
        <w:t xml:space="preserve"> </w:t>
      </w:r>
      <w:r w:rsidR="00725544" w:rsidRPr="00642BCD">
        <w:rPr>
          <w:rFonts w:ascii="Arial" w:eastAsia="Times New Roman" w:hAnsi="Arial" w:cs="Arial"/>
          <w:bCs/>
          <w:sz w:val="24"/>
          <w:szCs w:val="24"/>
        </w:rPr>
        <w:t>înregistrați</w:t>
      </w:r>
      <w:r w:rsidRPr="00642BCD">
        <w:rPr>
          <w:rFonts w:ascii="Arial" w:eastAsia="Times New Roman" w:hAnsi="Arial" w:cs="Arial"/>
          <w:bCs/>
          <w:sz w:val="24"/>
          <w:szCs w:val="24"/>
        </w:rPr>
        <w:t xml:space="preserve"> (76.0%). Șomerii cu nivel de instruire liceal </w:t>
      </w:r>
      <w:r w:rsidR="00725544" w:rsidRPr="00642BCD">
        <w:rPr>
          <w:rFonts w:ascii="Arial" w:eastAsia="Times New Roman" w:hAnsi="Arial" w:cs="Arial"/>
          <w:bCs/>
          <w:sz w:val="24"/>
          <w:szCs w:val="24"/>
        </w:rPr>
        <w:t>și</w:t>
      </w:r>
      <w:r w:rsidRPr="00642BCD">
        <w:rPr>
          <w:rFonts w:ascii="Arial" w:eastAsia="Times New Roman" w:hAnsi="Arial" w:cs="Arial"/>
          <w:bCs/>
          <w:sz w:val="24"/>
          <w:szCs w:val="24"/>
        </w:rPr>
        <w:t xml:space="preserve"> post-liceal reprezintă (19,0%) din totalul </w:t>
      </w:r>
      <w:r w:rsidR="00725544" w:rsidRPr="00642BCD">
        <w:rPr>
          <w:rFonts w:ascii="Arial" w:eastAsia="Times New Roman" w:hAnsi="Arial" w:cs="Arial"/>
          <w:bCs/>
          <w:sz w:val="24"/>
          <w:szCs w:val="24"/>
        </w:rPr>
        <w:t>șomerilor</w:t>
      </w:r>
      <w:r w:rsidRPr="00642BCD">
        <w:rPr>
          <w:rFonts w:ascii="Arial" w:eastAsia="Times New Roman" w:hAnsi="Arial" w:cs="Arial"/>
          <w:bCs/>
          <w:sz w:val="24"/>
          <w:szCs w:val="24"/>
        </w:rPr>
        <w:t xml:space="preserve"> </w:t>
      </w:r>
      <w:r w:rsidR="00725544" w:rsidRPr="00642BCD">
        <w:rPr>
          <w:rFonts w:ascii="Arial" w:eastAsia="Times New Roman" w:hAnsi="Arial" w:cs="Arial"/>
          <w:bCs/>
          <w:sz w:val="24"/>
          <w:szCs w:val="24"/>
        </w:rPr>
        <w:t>înregistrați</w:t>
      </w:r>
      <w:r w:rsidRPr="00642BCD">
        <w:rPr>
          <w:rFonts w:ascii="Arial" w:eastAsia="Times New Roman" w:hAnsi="Arial" w:cs="Arial"/>
          <w:bCs/>
          <w:sz w:val="24"/>
          <w:szCs w:val="24"/>
        </w:rPr>
        <w:t xml:space="preserve">, iar cei cu studii universitare (5,0 %). </w:t>
      </w:r>
    </w:p>
    <w:p w:rsidR="00642BCD" w:rsidRPr="00642BCD" w:rsidRDefault="00642BCD" w:rsidP="00642BCD">
      <w:pPr>
        <w:keepNext/>
        <w:keepLines/>
        <w:spacing w:before="120" w:after="0" w:line="276" w:lineRule="auto"/>
        <w:ind w:firstLine="708"/>
        <w:rPr>
          <w:rFonts w:ascii="Arial" w:eastAsia="Times New Roman" w:hAnsi="Arial" w:cs="Arial"/>
          <w:bCs/>
          <w:sz w:val="24"/>
          <w:szCs w:val="24"/>
        </w:rPr>
      </w:pPr>
      <w:r w:rsidRPr="00642BCD">
        <w:rPr>
          <w:rFonts w:ascii="Arial" w:eastAsia="Times New Roman" w:hAnsi="Arial" w:cs="Arial"/>
          <w:bCs/>
          <w:sz w:val="24"/>
          <w:szCs w:val="24"/>
        </w:rPr>
        <w:t xml:space="preserve">În ceea ce </w:t>
      </w:r>
      <w:r w:rsidR="00725544" w:rsidRPr="00642BCD">
        <w:rPr>
          <w:rFonts w:ascii="Arial" w:eastAsia="Times New Roman" w:hAnsi="Arial" w:cs="Arial"/>
          <w:bCs/>
          <w:sz w:val="24"/>
          <w:szCs w:val="24"/>
        </w:rPr>
        <w:t>privește</w:t>
      </w:r>
      <w:r w:rsidRPr="00642BCD">
        <w:rPr>
          <w:rFonts w:ascii="Arial" w:eastAsia="Times New Roman" w:hAnsi="Arial" w:cs="Arial"/>
          <w:bCs/>
          <w:sz w:val="24"/>
          <w:szCs w:val="24"/>
        </w:rPr>
        <w:t xml:space="preserve"> </w:t>
      </w:r>
      <w:r w:rsidR="00725544" w:rsidRPr="00642BCD">
        <w:rPr>
          <w:rFonts w:ascii="Arial" w:eastAsia="Times New Roman" w:hAnsi="Arial" w:cs="Arial"/>
          <w:b/>
          <w:bCs/>
          <w:sz w:val="24"/>
          <w:szCs w:val="24"/>
        </w:rPr>
        <w:t>șomajul</w:t>
      </w:r>
      <w:r w:rsidRPr="00642BCD">
        <w:rPr>
          <w:rFonts w:ascii="Arial" w:eastAsia="Times New Roman" w:hAnsi="Arial" w:cs="Arial"/>
          <w:b/>
          <w:bCs/>
          <w:sz w:val="24"/>
          <w:szCs w:val="24"/>
        </w:rPr>
        <w:t xml:space="preserve"> de lungă durată</w:t>
      </w:r>
      <w:r w:rsidRPr="00642BCD">
        <w:rPr>
          <w:rFonts w:ascii="Arial" w:eastAsia="Times New Roman" w:hAnsi="Arial" w:cs="Arial"/>
          <w:bCs/>
          <w:sz w:val="24"/>
          <w:szCs w:val="24"/>
        </w:rPr>
        <w:t xml:space="preserve">, la </w:t>
      </w:r>
      <w:r w:rsidR="00725544" w:rsidRPr="00642BCD">
        <w:rPr>
          <w:rFonts w:ascii="Arial" w:eastAsia="Times New Roman" w:hAnsi="Arial" w:cs="Arial"/>
          <w:bCs/>
          <w:sz w:val="24"/>
          <w:szCs w:val="24"/>
        </w:rPr>
        <w:t>sfârșitul</w:t>
      </w:r>
      <w:r w:rsidRPr="00642BCD">
        <w:rPr>
          <w:rFonts w:ascii="Arial" w:eastAsia="Times New Roman" w:hAnsi="Arial" w:cs="Arial"/>
          <w:bCs/>
          <w:sz w:val="24"/>
          <w:szCs w:val="24"/>
        </w:rPr>
        <w:t xml:space="preserve"> lunii mai 2019 se aflau </w:t>
      </w:r>
      <w:r w:rsidR="00725544" w:rsidRPr="00642BCD">
        <w:rPr>
          <w:rFonts w:ascii="Arial" w:eastAsia="Times New Roman" w:hAnsi="Arial" w:cs="Arial"/>
          <w:bCs/>
          <w:sz w:val="24"/>
          <w:szCs w:val="24"/>
        </w:rPr>
        <w:t>înregistrați</w:t>
      </w:r>
      <w:r w:rsidRPr="00642BCD">
        <w:rPr>
          <w:rFonts w:ascii="Arial" w:eastAsia="Times New Roman" w:hAnsi="Arial" w:cs="Arial"/>
          <w:bCs/>
          <w:sz w:val="24"/>
          <w:szCs w:val="24"/>
        </w:rPr>
        <w:t xml:space="preserve"> 20.743 </w:t>
      </w:r>
      <w:r w:rsidR="00725544" w:rsidRPr="00642BCD">
        <w:rPr>
          <w:rFonts w:ascii="Arial" w:eastAsia="Times New Roman" w:hAnsi="Arial" w:cs="Arial"/>
          <w:bCs/>
          <w:sz w:val="24"/>
          <w:szCs w:val="24"/>
        </w:rPr>
        <w:t>șomeri</w:t>
      </w:r>
      <w:r w:rsidRPr="00642BCD">
        <w:rPr>
          <w:rFonts w:ascii="Arial" w:eastAsia="Times New Roman" w:hAnsi="Arial" w:cs="Arial"/>
          <w:bCs/>
          <w:sz w:val="24"/>
          <w:szCs w:val="24"/>
        </w:rPr>
        <w:t xml:space="preserve"> sub 25 de ani din care,  </w:t>
      </w:r>
      <w:r w:rsidRPr="00642BCD">
        <w:rPr>
          <w:rFonts w:ascii="Arial" w:eastAsia="Times New Roman" w:hAnsi="Arial" w:cs="Arial"/>
          <w:b/>
          <w:bCs/>
          <w:sz w:val="24"/>
          <w:szCs w:val="24"/>
        </w:rPr>
        <w:t xml:space="preserve">6.409 tineri </w:t>
      </w:r>
      <w:r w:rsidR="00725544" w:rsidRPr="00642BCD">
        <w:rPr>
          <w:rFonts w:ascii="Arial" w:eastAsia="Times New Roman" w:hAnsi="Arial" w:cs="Arial"/>
          <w:b/>
          <w:bCs/>
          <w:sz w:val="24"/>
          <w:szCs w:val="24"/>
        </w:rPr>
        <w:t>aflați</w:t>
      </w:r>
      <w:r w:rsidRPr="00642BCD">
        <w:rPr>
          <w:rFonts w:ascii="Arial" w:eastAsia="Times New Roman" w:hAnsi="Arial" w:cs="Arial"/>
          <w:b/>
          <w:bCs/>
          <w:sz w:val="24"/>
          <w:szCs w:val="24"/>
        </w:rPr>
        <w:t xml:space="preserve"> în </w:t>
      </w:r>
      <w:r w:rsidR="00725544" w:rsidRPr="00642BCD">
        <w:rPr>
          <w:rFonts w:ascii="Arial" w:eastAsia="Times New Roman" w:hAnsi="Arial" w:cs="Arial"/>
          <w:b/>
          <w:bCs/>
          <w:sz w:val="24"/>
          <w:szCs w:val="24"/>
        </w:rPr>
        <w:t>șomaj</w:t>
      </w:r>
      <w:r w:rsidRPr="00642BCD">
        <w:rPr>
          <w:rFonts w:ascii="Arial" w:eastAsia="Times New Roman" w:hAnsi="Arial" w:cs="Arial"/>
          <w:b/>
          <w:bCs/>
          <w:sz w:val="24"/>
          <w:szCs w:val="24"/>
        </w:rPr>
        <w:t xml:space="preserve"> de peste 6 luni </w:t>
      </w:r>
      <w:r w:rsidRPr="00642BCD">
        <w:rPr>
          <w:rFonts w:ascii="Arial" w:eastAsia="Times New Roman" w:hAnsi="Arial" w:cs="Arial"/>
          <w:bCs/>
          <w:sz w:val="24"/>
          <w:szCs w:val="24"/>
        </w:rPr>
        <w:t xml:space="preserve">(ceea ce reprezintă </w:t>
      </w:r>
      <w:r w:rsidRPr="00642BCD">
        <w:rPr>
          <w:rFonts w:ascii="Arial" w:eastAsia="Times New Roman" w:hAnsi="Arial" w:cs="Arial"/>
          <w:b/>
          <w:bCs/>
          <w:sz w:val="24"/>
          <w:szCs w:val="24"/>
        </w:rPr>
        <w:t>30,9</w:t>
      </w:r>
      <w:r w:rsidRPr="00642BCD">
        <w:rPr>
          <w:rFonts w:ascii="Arial" w:eastAsia="Times New Roman" w:hAnsi="Arial" w:cs="Arial"/>
          <w:bCs/>
          <w:sz w:val="24"/>
          <w:szCs w:val="24"/>
        </w:rPr>
        <w:t xml:space="preserve">% din totalul </w:t>
      </w:r>
      <w:r w:rsidR="00725544" w:rsidRPr="00642BCD">
        <w:rPr>
          <w:rFonts w:ascii="Arial" w:eastAsia="Times New Roman" w:hAnsi="Arial" w:cs="Arial"/>
          <w:bCs/>
          <w:sz w:val="24"/>
          <w:szCs w:val="24"/>
        </w:rPr>
        <w:t>șomerilor</w:t>
      </w:r>
      <w:r w:rsidRPr="00642BCD">
        <w:rPr>
          <w:rFonts w:ascii="Arial" w:eastAsia="Times New Roman" w:hAnsi="Arial" w:cs="Arial"/>
          <w:bCs/>
          <w:sz w:val="24"/>
          <w:szCs w:val="24"/>
        </w:rPr>
        <w:t xml:space="preserve"> sub 25 de ani) </w:t>
      </w:r>
      <w:r w:rsidR="00725544" w:rsidRPr="00642BCD">
        <w:rPr>
          <w:rFonts w:ascii="Arial" w:eastAsia="Times New Roman" w:hAnsi="Arial" w:cs="Arial"/>
          <w:bCs/>
          <w:sz w:val="24"/>
          <w:szCs w:val="24"/>
        </w:rPr>
        <w:t>și</w:t>
      </w:r>
      <w:r w:rsidRPr="00642BCD">
        <w:rPr>
          <w:rFonts w:ascii="Arial" w:eastAsia="Times New Roman" w:hAnsi="Arial" w:cs="Arial"/>
          <w:bCs/>
          <w:sz w:val="24"/>
          <w:szCs w:val="24"/>
        </w:rPr>
        <w:t xml:space="preserve"> 233.888 </w:t>
      </w:r>
      <w:r w:rsidR="00725544" w:rsidRPr="00642BCD">
        <w:rPr>
          <w:rFonts w:ascii="Arial" w:eastAsia="Times New Roman" w:hAnsi="Arial" w:cs="Arial"/>
          <w:bCs/>
          <w:sz w:val="24"/>
          <w:szCs w:val="24"/>
        </w:rPr>
        <w:t>adulți</w:t>
      </w:r>
      <w:r w:rsidRPr="00642BCD">
        <w:rPr>
          <w:rFonts w:ascii="Arial" w:eastAsia="Times New Roman" w:hAnsi="Arial" w:cs="Arial"/>
          <w:bCs/>
          <w:sz w:val="24"/>
          <w:szCs w:val="24"/>
        </w:rPr>
        <w:t xml:space="preserve">, din care </w:t>
      </w:r>
      <w:r w:rsidRPr="00642BCD">
        <w:rPr>
          <w:rFonts w:ascii="Arial" w:eastAsia="Times New Roman" w:hAnsi="Arial" w:cs="Arial"/>
          <w:b/>
          <w:bCs/>
          <w:sz w:val="24"/>
          <w:szCs w:val="24"/>
        </w:rPr>
        <w:t xml:space="preserve">101.608 </w:t>
      </w:r>
      <w:r w:rsidR="00725544" w:rsidRPr="00642BCD">
        <w:rPr>
          <w:rFonts w:ascii="Arial" w:eastAsia="Times New Roman" w:hAnsi="Arial" w:cs="Arial"/>
          <w:b/>
          <w:bCs/>
          <w:sz w:val="24"/>
          <w:szCs w:val="24"/>
        </w:rPr>
        <w:t>adulți</w:t>
      </w:r>
      <w:r w:rsidRPr="00642BCD">
        <w:rPr>
          <w:rFonts w:ascii="Arial" w:eastAsia="Times New Roman" w:hAnsi="Arial" w:cs="Arial"/>
          <w:b/>
          <w:bCs/>
          <w:sz w:val="24"/>
          <w:szCs w:val="24"/>
        </w:rPr>
        <w:t xml:space="preserve"> </w:t>
      </w:r>
      <w:r w:rsidR="00725544" w:rsidRPr="00642BCD">
        <w:rPr>
          <w:rFonts w:ascii="Arial" w:eastAsia="Times New Roman" w:hAnsi="Arial" w:cs="Arial"/>
          <w:b/>
          <w:bCs/>
          <w:sz w:val="24"/>
          <w:szCs w:val="24"/>
        </w:rPr>
        <w:t>aflați</w:t>
      </w:r>
      <w:r w:rsidRPr="00642BCD">
        <w:rPr>
          <w:rFonts w:ascii="Arial" w:eastAsia="Times New Roman" w:hAnsi="Arial" w:cs="Arial"/>
          <w:b/>
          <w:bCs/>
          <w:sz w:val="24"/>
          <w:szCs w:val="24"/>
        </w:rPr>
        <w:t xml:space="preserve"> în </w:t>
      </w:r>
      <w:r w:rsidR="00725544" w:rsidRPr="00642BCD">
        <w:rPr>
          <w:rFonts w:ascii="Arial" w:eastAsia="Times New Roman" w:hAnsi="Arial" w:cs="Arial"/>
          <w:b/>
          <w:bCs/>
          <w:sz w:val="24"/>
          <w:szCs w:val="24"/>
        </w:rPr>
        <w:t>șomaj</w:t>
      </w:r>
      <w:r w:rsidRPr="00642BCD">
        <w:rPr>
          <w:rFonts w:ascii="Arial" w:eastAsia="Times New Roman" w:hAnsi="Arial" w:cs="Arial"/>
          <w:b/>
          <w:bCs/>
          <w:sz w:val="24"/>
          <w:szCs w:val="24"/>
        </w:rPr>
        <w:t xml:space="preserve"> de peste 12 luni</w:t>
      </w:r>
      <w:r w:rsidRPr="00642BCD">
        <w:rPr>
          <w:rFonts w:ascii="Arial" w:eastAsia="Times New Roman" w:hAnsi="Arial" w:cs="Arial"/>
          <w:bCs/>
          <w:sz w:val="24"/>
          <w:szCs w:val="24"/>
        </w:rPr>
        <w:t xml:space="preserve">. Ponderea </w:t>
      </w:r>
      <w:r w:rsidR="00725544" w:rsidRPr="00642BCD">
        <w:rPr>
          <w:rFonts w:ascii="Arial" w:eastAsia="Times New Roman" w:hAnsi="Arial" w:cs="Arial"/>
          <w:bCs/>
          <w:sz w:val="24"/>
          <w:szCs w:val="24"/>
        </w:rPr>
        <w:t>șomerilor</w:t>
      </w:r>
      <w:r w:rsidRPr="00642BCD">
        <w:rPr>
          <w:rFonts w:ascii="Arial" w:eastAsia="Times New Roman" w:hAnsi="Arial" w:cs="Arial"/>
          <w:bCs/>
          <w:sz w:val="24"/>
          <w:szCs w:val="24"/>
        </w:rPr>
        <w:t xml:space="preserve"> de lungă durată </w:t>
      </w:r>
      <w:r w:rsidR="00725544" w:rsidRPr="00642BCD">
        <w:rPr>
          <w:rFonts w:ascii="Arial" w:eastAsia="Times New Roman" w:hAnsi="Arial" w:cs="Arial"/>
          <w:bCs/>
          <w:sz w:val="24"/>
          <w:szCs w:val="24"/>
        </w:rPr>
        <w:t>adulți</w:t>
      </w:r>
      <w:r w:rsidRPr="00642BCD">
        <w:rPr>
          <w:rFonts w:ascii="Arial" w:eastAsia="Times New Roman" w:hAnsi="Arial" w:cs="Arial"/>
          <w:bCs/>
          <w:sz w:val="24"/>
          <w:szCs w:val="24"/>
        </w:rPr>
        <w:t xml:space="preserve"> în numărul total de </w:t>
      </w:r>
      <w:r w:rsidR="00725544" w:rsidRPr="00642BCD">
        <w:rPr>
          <w:rFonts w:ascii="Arial" w:eastAsia="Times New Roman" w:hAnsi="Arial" w:cs="Arial"/>
          <w:bCs/>
          <w:sz w:val="24"/>
          <w:szCs w:val="24"/>
        </w:rPr>
        <w:t>șomeri</w:t>
      </w:r>
      <w:r w:rsidRPr="00642BCD">
        <w:rPr>
          <w:rFonts w:ascii="Arial" w:eastAsia="Times New Roman" w:hAnsi="Arial" w:cs="Arial"/>
          <w:bCs/>
          <w:sz w:val="24"/>
          <w:szCs w:val="24"/>
        </w:rPr>
        <w:t xml:space="preserve"> </w:t>
      </w:r>
      <w:r w:rsidR="00725544" w:rsidRPr="00642BCD">
        <w:rPr>
          <w:rFonts w:ascii="Arial" w:eastAsia="Times New Roman" w:hAnsi="Arial" w:cs="Arial"/>
          <w:bCs/>
          <w:sz w:val="24"/>
          <w:szCs w:val="24"/>
        </w:rPr>
        <w:t>adulți</w:t>
      </w:r>
      <w:r w:rsidRPr="00642BCD">
        <w:rPr>
          <w:rFonts w:ascii="Arial" w:eastAsia="Times New Roman" w:hAnsi="Arial" w:cs="Arial"/>
          <w:bCs/>
          <w:sz w:val="24"/>
          <w:szCs w:val="24"/>
        </w:rPr>
        <w:t xml:space="preserve"> a fost de 43,4%.</w:t>
      </w:r>
    </w:p>
    <w:p w:rsidR="00F51EDE" w:rsidRPr="00642BCD" w:rsidRDefault="00642BCD" w:rsidP="00642BCD">
      <w:pPr>
        <w:keepNext/>
        <w:keepLines/>
        <w:spacing w:before="120" w:after="0" w:line="276" w:lineRule="auto"/>
        <w:ind w:firstLine="708"/>
        <w:rPr>
          <w:rFonts w:ascii="Arial" w:eastAsia="Times New Roman" w:hAnsi="Arial" w:cs="Arial"/>
          <w:b/>
          <w:sz w:val="24"/>
          <w:szCs w:val="24"/>
        </w:rPr>
      </w:pPr>
      <w:r w:rsidRPr="00642BCD">
        <w:rPr>
          <w:rFonts w:ascii="Arial" w:eastAsia="Times New Roman" w:hAnsi="Arial" w:cs="Arial"/>
          <w:b/>
          <w:bCs/>
          <w:sz w:val="24"/>
          <w:szCs w:val="24"/>
        </w:rPr>
        <w:t xml:space="preserve">Rezultatele economice de până în prezent susțin posibilitatea realizării creșterii economice de 5,5% utilizată la fundamentarea legii bugetului de stat pentru anul 2019 </w:t>
      </w:r>
      <w:r w:rsidR="00725544" w:rsidRPr="00642BCD">
        <w:rPr>
          <w:rFonts w:ascii="Arial" w:eastAsia="Times New Roman" w:hAnsi="Arial" w:cs="Arial"/>
          <w:b/>
          <w:bCs/>
          <w:sz w:val="24"/>
          <w:szCs w:val="24"/>
        </w:rPr>
        <w:t>și</w:t>
      </w:r>
      <w:r w:rsidRPr="00642BCD">
        <w:rPr>
          <w:rFonts w:ascii="Arial" w:eastAsia="Times New Roman" w:hAnsi="Arial" w:cs="Arial"/>
          <w:b/>
          <w:bCs/>
          <w:sz w:val="24"/>
          <w:szCs w:val="24"/>
        </w:rPr>
        <w:t xml:space="preserve"> un produs intern brut în valoare nominală de 1031 miliarde lei. </w:t>
      </w:r>
      <w:r w:rsidR="00F51EDE" w:rsidRPr="00642BCD">
        <w:rPr>
          <w:rFonts w:ascii="Arial" w:eastAsia="Times New Roman" w:hAnsi="Arial" w:cs="Arial"/>
          <w:b/>
          <w:sz w:val="24"/>
          <w:szCs w:val="24"/>
        </w:rPr>
        <w:br w:type="page"/>
      </w:r>
    </w:p>
    <w:p w:rsidR="0056154D" w:rsidRPr="00AB33F7" w:rsidRDefault="002548C2" w:rsidP="00281576">
      <w:pPr>
        <w:pStyle w:val="ListParagraph"/>
        <w:keepNext/>
        <w:keepLines/>
        <w:numPr>
          <w:ilvl w:val="0"/>
          <w:numId w:val="1"/>
        </w:numPr>
        <w:tabs>
          <w:tab w:val="left" w:pos="7371"/>
        </w:tabs>
        <w:ind w:left="567" w:hanging="283"/>
        <w:outlineLvl w:val="0"/>
        <w:rPr>
          <w:rFonts w:ascii="Arial" w:hAnsi="Arial" w:cs="Arial"/>
          <w:b/>
          <w:sz w:val="28"/>
          <w:szCs w:val="28"/>
        </w:rPr>
      </w:pPr>
      <w:bookmarkStart w:id="7" w:name="_Toc456256933"/>
      <w:bookmarkStart w:id="8" w:name="_Toc456257457"/>
      <w:bookmarkStart w:id="9" w:name="_Toc456258315"/>
      <w:bookmarkStart w:id="10" w:name="_Toc456258420"/>
      <w:bookmarkStart w:id="11" w:name="_Toc15024075"/>
      <w:r w:rsidRPr="00AB33F7">
        <w:rPr>
          <w:rFonts w:ascii="Arial" w:hAnsi="Arial" w:cs="Arial"/>
          <w:b/>
          <w:sz w:val="28"/>
          <w:szCs w:val="28"/>
        </w:rPr>
        <w:lastRenderedPageBreak/>
        <w:t>P</w:t>
      </w:r>
      <w:r w:rsidR="00E3087D" w:rsidRPr="00AB33F7">
        <w:rPr>
          <w:rFonts w:ascii="Arial" w:hAnsi="Arial" w:cs="Arial"/>
          <w:b/>
          <w:sz w:val="28"/>
          <w:szCs w:val="28"/>
        </w:rPr>
        <w:t xml:space="preserve">olitica fiscal-bugetară </w:t>
      </w:r>
      <w:r w:rsidR="00191D8D" w:rsidRPr="00AB33F7">
        <w:rPr>
          <w:rFonts w:ascii="Arial" w:hAnsi="Arial" w:cs="Arial"/>
          <w:b/>
          <w:sz w:val="28"/>
          <w:szCs w:val="28"/>
        </w:rPr>
        <w:t>aferentă</w:t>
      </w:r>
      <w:r w:rsidR="00E3087D" w:rsidRPr="00AB33F7">
        <w:rPr>
          <w:rFonts w:ascii="Arial" w:hAnsi="Arial" w:cs="Arial"/>
          <w:b/>
          <w:sz w:val="28"/>
          <w:szCs w:val="28"/>
        </w:rPr>
        <w:t xml:space="preserve"> anul</w:t>
      </w:r>
      <w:r w:rsidR="00191D8D" w:rsidRPr="00AB33F7">
        <w:rPr>
          <w:rFonts w:ascii="Arial" w:hAnsi="Arial" w:cs="Arial"/>
          <w:b/>
          <w:sz w:val="28"/>
          <w:szCs w:val="28"/>
        </w:rPr>
        <w:t>ui</w:t>
      </w:r>
      <w:bookmarkEnd w:id="7"/>
      <w:bookmarkEnd w:id="8"/>
      <w:bookmarkEnd w:id="9"/>
      <w:bookmarkEnd w:id="10"/>
      <w:r w:rsidR="00642BCD" w:rsidRPr="00AB33F7">
        <w:rPr>
          <w:rFonts w:ascii="Arial" w:hAnsi="Arial" w:cs="Arial"/>
          <w:b/>
          <w:sz w:val="28"/>
          <w:szCs w:val="28"/>
        </w:rPr>
        <w:t xml:space="preserve"> </w:t>
      </w:r>
      <w:r w:rsidR="00E3539E" w:rsidRPr="00AB33F7">
        <w:rPr>
          <w:rFonts w:ascii="Arial" w:hAnsi="Arial" w:cs="Arial"/>
          <w:b/>
          <w:sz w:val="28"/>
          <w:szCs w:val="28"/>
        </w:rPr>
        <w:t>201</w:t>
      </w:r>
      <w:r w:rsidR="00642BCD" w:rsidRPr="00AB33F7">
        <w:rPr>
          <w:rFonts w:ascii="Arial" w:hAnsi="Arial" w:cs="Arial"/>
          <w:b/>
          <w:sz w:val="28"/>
          <w:szCs w:val="28"/>
        </w:rPr>
        <w:t>9</w:t>
      </w:r>
      <w:bookmarkEnd w:id="11"/>
    </w:p>
    <w:p w:rsidR="00D6065B" w:rsidRPr="00857E54" w:rsidRDefault="00D6065B" w:rsidP="00281576">
      <w:pPr>
        <w:pStyle w:val="ListParagraph"/>
        <w:keepNext/>
        <w:keepLines/>
        <w:ind w:left="567"/>
        <w:outlineLvl w:val="0"/>
        <w:rPr>
          <w:rFonts w:cs="Arial"/>
          <w:b/>
          <w:sz w:val="28"/>
          <w:szCs w:val="28"/>
        </w:rPr>
      </w:pPr>
    </w:p>
    <w:p w:rsidR="00642BCD" w:rsidRPr="00322869" w:rsidRDefault="00642BCD" w:rsidP="00322869">
      <w:pPr>
        <w:keepNext/>
        <w:keepLines/>
        <w:tabs>
          <w:tab w:val="left" w:pos="851"/>
        </w:tabs>
        <w:spacing w:after="120" w:line="276" w:lineRule="auto"/>
        <w:ind w:hanging="360"/>
        <w:rPr>
          <w:rFonts w:ascii="Arial" w:hAnsi="Arial" w:cs="Arial"/>
          <w:sz w:val="24"/>
          <w:szCs w:val="24"/>
        </w:rPr>
      </w:pPr>
      <w:r>
        <w:rPr>
          <w:rFonts w:ascii="Arial" w:hAnsi="Arial" w:cs="Arial"/>
          <w:sz w:val="24"/>
          <w:szCs w:val="24"/>
        </w:rPr>
        <w:tab/>
      </w:r>
      <w:r>
        <w:rPr>
          <w:rFonts w:ascii="Arial" w:hAnsi="Arial" w:cs="Arial"/>
          <w:sz w:val="24"/>
          <w:szCs w:val="24"/>
        </w:rPr>
        <w:tab/>
      </w:r>
      <w:r w:rsidRPr="00322869">
        <w:rPr>
          <w:rFonts w:ascii="Arial" w:hAnsi="Arial" w:cs="Arial"/>
          <w:sz w:val="24"/>
          <w:szCs w:val="24"/>
        </w:rPr>
        <w:t>Construcția bugetară pe anul 2019 a avut la bază următoarele obiective:</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 xml:space="preserve">Stimularea,  continuarea, consolidarea și menținerea unei creșteri economice inteligente, sustenabile și incluzive, de natură a furniza premisele consolidării unui stat puternic, proactiv și a unei societăți echilibrate, pentru a mări încrederea investitorilor în economia românească;              </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 xml:space="preserve">Alocarea unor sume importante pentru susținerea investițiilor publice prin prioritizarea investițiilor publice semnificative pentru asigurarea infrastructurii </w:t>
      </w:r>
      <w:r w:rsidR="00F85CDF" w:rsidRPr="00322869">
        <w:rPr>
          <w:rFonts w:ascii="Arial" w:hAnsi="Arial" w:cs="Arial"/>
          <w:sz w:val="24"/>
          <w:szCs w:val="24"/>
        </w:rPr>
        <w:t>și</w:t>
      </w:r>
      <w:r w:rsidRPr="00322869">
        <w:rPr>
          <w:rFonts w:ascii="Arial" w:hAnsi="Arial" w:cs="Arial"/>
          <w:sz w:val="24"/>
          <w:szCs w:val="24"/>
        </w:rPr>
        <w:t xml:space="preserve"> serviciilor, pentru îmbunătățirea calității vieții, cu  efect multiplicator </w:t>
      </w:r>
      <w:r w:rsidR="00F85CDF" w:rsidRPr="00322869">
        <w:rPr>
          <w:rFonts w:ascii="Arial" w:hAnsi="Arial" w:cs="Arial"/>
          <w:sz w:val="24"/>
          <w:szCs w:val="24"/>
        </w:rPr>
        <w:t>și</w:t>
      </w:r>
      <w:r w:rsidRPr="00322869">
        <w:rPr>
          <w:rFonts w:ascii="Arial" w:hAnsi="Arial" w:cs="Arial"/>
          <w:sz w:val="24"/>
          <w:szCs w:val="24"/>
        </w:rPr>
        <w:t xml:space="preserve"> aport direct la formarea brută de capital fix; </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Crearea unei politici fiscale predictibile pentru susținerea mediului de afaceri și stimularea investițiilor în sectoarele cu valoare adăugată ridicată, simplificarea fiscalității și fluidizarea proceselor interne, pentru a crea premisa unei creșteri economice sustenabile;</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Măsuri adoptate de Guvern privind stimularea consumului prin adoptarea unor măsuri salariale, sociale pentru asigurarea protecției sociale și securității sociale pentru persoane vârstnice, pensionari  și categoriile cele mai vulnerabile.</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 xml:space="preserve">Dezvoltarea </w:t>
      </w:r>
      <w:r w:rsidR="00F85CDF" w:rsidRPr="00322869">
        <w:rPr>
          <w:rFonts w:ascii="Arial" w:hAnsi="Arial" w:cs="Arial"/>
          <w:sz w:val="24"/>
          <w:szCs w:val="24"/>
        </w:rPr>
        <w:t>și</w:t>
      </w:r>
      <w:r w:rsidRPr="00322869">
        <w:rPr>
          <w:rFonts w:ascii="Arial" w:hAnsi="Arial" w:cs="Arial"/>
          <w:sz w:val="24"/>
          <w:szCs w:val="24"/>
        </w:rPr>
        <w:t xml:space="preserve"> diversificarea instrumentelor de management ale datoriei publice;  </w:t>
      </w:r>
    </w:p>
    <w:p w:rsidR="00642BCD" w:rsidRPr="00322869" w:rsidRDefault="00642BCD" w:rsidP="004423E3">
      <w:pPr>
        <w:pStyle w:val="ListParagraph"/>
        <w:keepNext/>
        <w:keepLines/>
        <w:numPr>
          <w:ilvl w:val="0"/>
          <w:numId w:val="10"/>
        </w:numPr>
        <w:tabs>
          <w:tab w:val="left" w:pos="851"/>
        </w:tabs>
        <w:spacing w:after="120" w:line="276" w:lineRule="auto"/>
        <w:ind w:left="1440" w:hanging="274"/>
        <w:contextualSpacing w:val="0"/>
        <w:rPr>
          <w:rFonts w:ascii="Arial" w:hAnsi="Arial" w:cs="Arial"/>
          <w:sz w:val="24"/>
          <w:szCs w:val="24"/>
        </w:rPr>
      </w:pPr>
      <w:r w:rsidRPr="00322869">
        <w:rPr>
          <w:rFonts w:ascii="Arial" w:hAnsi="Arial" w:cs="Arial"/>
          <w:sz w:val="24"/>
          <w:szCs w:val="24"/>
        </w:rPr>
        <w:t>Îmbunătățirea, aplicarea și consolidarea guvernanței bugetare, creșterea transparenței bugetare și  eficientizarea cheltuielilor publice</w:t>
      </w:r>
    </w:p>
    <w:p w:rsidR="002E7CD9" w:rsidRPr="00857E54" w:rsidRDefault="002E7CD9" w:rsidP="00281576">
      <w:pPr>
        <w:pStyle w:val="ListParagraph"/>
        <w:keepNext/>
        <w:keepLines/>
        <w:tabs>
          <w:tab w:val="left" w:pos="851"/>
        </w:tabs>
        <w:ind w:left="1418" w:firstLine="0"/>
        <w:contextualSpacing w:val="0"/>
        <w:rPr>
          <w:rFonts w:ascii="Arial" w:hAnsi="Arial" w:cs="Arial"/>
          <w:sz w:val="24"/>
          <w:szCs w:val="24"/>
        </w:rPr>
      </w:pPr>
    </w:p>
    <w:p w:rsidR="00E3539E" w:rsidRPr="00857E54" w:rsidRDefault="007C4F03" w:rsidP="00281576">
      <w:pPr>
        <w:keepNext/>
        <w:keepLines/>
        <w:ind w:firstLine="680"/>
        <w:rPr>
          <w:rFonts w:ascii="Arial" w:hAnsi="Arial" w:cs="Arial"/>
          <w:b/>
          <w:bCs/>
          <w:sz w:val="24"/>
          <w:szCs w:val="24"/>
        </w:rPr>
      </w:pPr>
      <w:r w:rsidRPr="00857E54">
        <w:rPr>
          <w:rFonts w:ascii="Arial" w:hAnsi="Arial" w:cs="Arial"/>
          <w:b/>
          <w:bCs/>
          <w:sz w:val="24"/>
          <w:szCs w:val="24"/>
        </w:rPr>
        <w:t xml:space="preserve">Principalele măsuri </w:t>
      </w:r>
      <w:r w:rsidR="008A09B8" w:rsidRPr="00857E54">
        <w:rPr>
          <w:rFonts w:ascii="Arial" w:hAnsi="Arial" w:cs="Arial"/>
          <w:b/>
          <w:bCs/>
          <w:sz w:val="24"/>
          <w:szCs w:val="24"/>
        </w:rPr>
        <w:t>avute în vedere la elabora</w:t>
      </w:r>
      <w:r w:rsidR="001D00F4" w:rsidRPr="00857E54">
        <w:rPr>
          <w:rFonts w:ascii="Arial" w:hAnsi="Arial" w:cs="Arial"/>
          <w:b/>
          <w:bCs/>
          <w:sz w:val="24"/>
          <w:szCs w:val="24"/>
        </w:rPr>
        <w:t xml:space="preserve">rea </w:t>
      </w:r>
      <w:r w:rsidRPr="00857E54">
        <w:rPr>
          <w:rFonts w:ascii="Arial" w:hAnsi="Arial" w:cs="Arial"/>
          <w:b/>
          <w:bCs/>
          <w:sz w:val="24"/>
          <w:szCs w:val="24"/>
        </w:rPr>
        <w:t>bugetul</w:t>
      </w:r>
      <w:r w:rsidR="001D00F4" w:rsidRPr="00857E54">
        <w:rPr>
          <w:rFonts w:ascii="Arial" w:hAnsi="Arial" w:cs="Arial"/>
          <w:b/>
          <w:bCs/>
          <w:sz w:val="24"/>
          <w:szCs w:val="24"/>
        </w:rPr>
        <w:t>ui</w:t>
      </w:r>
      <w:r w:rsidRPr="00857E54">
        <w:rPr>
          <w:rFonts w:ascii="Arial" w:hAnsi="Arial" w:cs="Arial"/>
          <w:b/>
          <w:bCs/>
          <w:sz w:val="24"/>
          <w:szCs w:val="24"/>
        </w:rPr>
        <w:t xml:space="preserve"> pe anul </w:t>
      </w:r>
      <w:r w:rsidR="00DC7F79" w:rsidRPr="00857E54">
        <w:rPr>
          <w:rFonts w:ascii="Arial" w:hAnsi="Arial" w:cs="Arial"/>
          <w:b/>
          <w:bCs/>
          <w:sz w:val="24"/>
          <w:szCs w:val="24"/>
        </w:rPr>
        <w:t>201</w:t>
      </w:r>
      <w:r w:rsidR="009B633E">
        <w:rPr>
          <w:rFonts w:ascii="Arial" w:hAnsi="Arial" w:cs="Arial"/>
          <w:b/>
          <w:bCs/>
          <w:sz w:val="24"/>
          <w:szCs w:val="24"/>
        </w:rPr>
        <w:t>9</w:t>
      </w:r>
      <w:r w:rsidRPr="00857E54">
        <w:rPr>
          <w:rFonts w:ascii="Arial" w:hAnsi="Arial" w:cs="Arial"/>
          <w:b/>
          <w:bCs/>
          <w:sz w:val="24"/>
          <w:szCs w:val="24"/>
        </w:rPr>
        <w:t>:</w:t>
      </w:r>
    </w:p>
    <w:p w:rsidR="009B633E" w:rsidRPr="009B633E" w:rsidRDefault="009B633E" w:rsidP="009B633E">
      <w:pPr>
        <w:keepNext/>
        <w:keepLines/>
        <w:shd w:val="clear" w:color="auto" w:fill="FFFFFF"/>
        <w:tabs>
          <w:tab w:val="left" w:pos="1843"/>
          <w:tab w:val="left" w:pos="2127"/>
        </w:tabs>
        <w:ind w:firstLine="0"/>
        <w:textAlignment w:val="baseline"/>
        <w:rPr>
          <w:rFonts w:ascii="Arial" w:eastAsia="Times New Roman" w:hAnsi="Arial" w:cs="Arial"/>
          <w:bCs/>
          <w:kern w:val="1"/>
          <w:sz w:val="24"/>
          <w:szCs w:val="24"/>
        </w:rPr>
      </w:pP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extinderea </w:t>
      </w:r>
      <w:r w:rsidR="00962D99" w:rsidRPr="00322869">
        <w:rPr>
          <w:rFonts w:ascii="Arial" w:eastAsia="Times New Roman" w:hAnsi="Arial" w:cs="Arial"/>
          <w:bCs/>
          <w:kern w:val="1"/>
          <w:sz w:val="24"/>
          <w:szCs w:val="24"/>
        </w:rPr>
        <w:t>aplicării</w:t>
      </w:r>
      <w:r w:rsidRPr="00322869">
        <w:rPr>
          <w:rFonts w:ascii="Arial" w:eastAsia="Times New Roman" w:hAnsi="Arial" w:cs="Arial"/>
          <w:bCs/>
          <w:kern w:val="1"/>
          <w:sz w:val="24"/>
          <w:szCs w:val="24"/>
        </w:rPr>
        <w:t xml:space="preserve"> cotei reduse de TVA de 9% pentru serviciile de alimentare cu </w:t>
      </w:r>
      <w:r w:rsidR="00962D99" w:rsidRPr="00322869">
        <w:rPr>
          <w:rFonts w:ascii="Arial" w:eastAsia="Times New Roman" w:hAnsi="Arial" w:cs="Arial"/>
          <w:bCs/>
          <w:kern w:val="1"/>
          <w:sz w:val="24"/>
          <w:szCs w:val="24"/>
        </w:rPr>
        <w:t>apă</w:t>
      </w:r>
      <w:r w:rsidRPr="00322869">
        <w:rPr>
          <w:rFonts w:ascii="Arial" w:eastAsia="Times New Roman" w:hAnsi="Arial" w:cs="Arial"/>
          <w:bCs/>
          <w:kern w:val="1"/>
          <w:sz w:val="24"/>
          <w:szCs w:val="24"/>
        </w:rPr>
        <w:t xml:space="preserve"> și de canalizare și extinderea </w:t>
      </w:r>
      <w:r w:rsidR="00962D99" w:rsidRPr="00322869">
        <w:rPr>
          <w:rFonts w:ascii="Arial" w:eastAsia="Times New Roman" w:hAnsi="Arial" w:cs="Arial"/>
          <w:bCs/>
          <w:kern w:val="1"/>
          <w:sz w:val="24"/>
          <w:szCs w:val="24"/>
        </w:rPr>
        <w:t>aplicării</w:t>
      </w:r>
      <w:r w:rsidRPr="00322869">
        <w:rPr>
          <w:rFonts w:ascii="Arial" w:eastAsia="Times New Roman" w:hAnsi="Arial" w:cs="Arial"/>
          <w:bCs/>
          <w:kern w:val="1"/>
          <w:sz w:val="24"/>
          <w:szCs w:val="24"/>
        </w:rPr>
        <w:t xml:space="preserve"> cotei reduse de TVA de 5% pentru </w:t>
      </w:r>
      <w:r w:rsidR="00962D99" w:rsidRPr="00322869">
        <w:rPr>
          <w:rFonts w:ascii="Arial" w:eastAsia="Times New Roman" w:hAnsi="Arial" w:cs="Arial"/>
          <w:bCs/>
          <w:kern w:val="1"/>
          <w:sz w:val="24"/>
          <w:szCs w:val="24"/>
        </w:rPr>
        <w:t>activități</w:t>
      </w:r>
      <w:r w:rsidRPr="00322869">
        <w:rPr>
          <w:rFonts w:ascii="Arial" w:eastAsia="Times New Roman" w:hAnsi="Arial" w:cs="Arial"/>
          <w:bCs/>
          <w:kern w:val="1"/>
          <w:sz w:val="24"/>
          <w:szCs w:val="24"/>
        </w:rPr>
        <w:t xml:space="preserve"> sportive și recreative, servicii de cazare, restaurant și catering. </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impactul generat de prevederile OUG 114/2018 prin:</w:t>
      </w:r>
    </w:p>
    <w:p w:rsidR="009B633E" w:rsidRPr="00322869" w:rsidRDefault="009B633E" w:rsidP="004423E3">
      <w:pPr>
        <w:pStyle w:val="ListParagraph"/>
        <w:keepNext/>
        <w:keepLines/>
        <w:numPr>
          <w:ilvl w:val="0"/>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creșterea taxării în domeniul jocurilor de noroc (0,5 mld lei); </w:t>
      </w:r>
    </w:p>
    <w:p w:rsidR="009B633E" w:rsidRPr="00322869" w:rsidRDefault="009B633E" w:rsidP="004423E3">
      <w:pPr>
        <w:pStyle w:val="ListParagraph"/>
        <w:keepNext/>
        <w:keepLines/>
        <w:numPr>
          <w:ilvl w:val="0"/>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creșterea nivelului accizelor pentru produsele din tutun (0,6 mld lei); </w:t>
      </w:r>
    </w:p>
    <w:p w:rsidR="009B633E" w:rsidRDefault="009B633E" w:rsidP="004423E3">
      <w:pPr>
        <w:pStyle w:val="ListParagraph"/>
        <w:keepNext/>
        <w:keepLines/>
        <w:numPr>
          <w:ilvl w:val="0"/>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lastRenderedPageBreak/>
        <w:t xml:space="preserve">operatorii economici cu capital integral sau majoritar de stat care aplică prevederile OG nr. 26/2013, distribuie </w:t>
      </w:r>
      <w:r w:rsidR="00F85CDF"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virează în </w:t>
      </w:r>
      <w:r w:rsidR="00F85CDF" w:rsidRPr="00322869">
        <w:rPr>
          <w:rFonts w:ascii="Arial" w:eastAsia="Times New Roman" w:hAnsi="Arial" w:cs="Arial"/>
          <w:bCs/>
          <w:kern w:val="1"/>
          <w:sz w:val="24"/>
          <w:szCs w:val="24"/>
        </w:rPr>
        <w:t>condițiile</w:t>
      </w:r>
      <w:r w:rsidRPr="00322869">
        <w:rPr>
          <w:rFonts w:ascii="Arial" w:eastAsia="Times New Roman" w:hAnsi="Arial" w:cs="Arial"/>
          <w:bCs/>
          <w:kern w:val="1"/>
          <w:sz w:val="24"/>
          <w:szCs w:val="24"/>
        </w:rPr>
        <w:t xml:space="preserve"> legii, în termen de 60 de zile de la data aprobării </w:t>
      </w:r>
      <w:r w:rsidR="00F85CDF" w:rsidRPr="00322869">
        <w:rPr>
          <w:rFonts w:ascii="Arial" w:eastAsia="Times New Roman" w:hAnsi="Arial" w:cs="Arial"/>
          <w:bCs/>
          <w:kern w:val="1"/>
          <w:sz w:val="24"/>
          <w:szCs w:val="24"/>
        </w:rPr>
        <w:t>situațiilor</w:t>
      </w:r>
      <w:r w:rsidRPr="00322869">
        <w:rPr>
          <w:rFonts w:ascii="Arial" w:eastAsia="Times New Roman" w:hAnsi="Arial" w:cs="Arial"/>
          <w:bCs/>
          <w:kern w:val="1"/>
          <w:sz w:val="24"/>
          <w:szCs w:val="24"/>
        </w:rPr>
        <w:t xml:space="preserve"> financiare aferente anului 2018, sub formă de dividende sau vărsăminte la bugetul de stat, în cazul regiilor autonome, 35% din sumele repartizate la alte rezerve, în </w:t>
      </w:r>
      <w:r w:rsidR="00F85CDF" w:rsidRPr="00322869">
        <w:rPr>
          <w:rFonts w:ascii="Arial" w:eastAsia="Times New Roman" w:hAnsi="Arial" w:cs="Arial"/>
          <w:bCs/>
          <w:kern w:val="1"/>
          <w:sz w:val="24"/>
          <w:szCs w:val="24"/>
        </w:rPr>
        <w:t>condițiile</w:t>
      </w:r>
      <w:r w:rsidRPr="00322869">
        <w:rPr>
          <w:rFonts w:ascii="Arial" w:eastAsia="Times New Roman" w:hAnsi="Arial" w:cs="Arial"/>
          <w:bCs/>
          <w:kern w:val="1"/>
          <w:sz w:val="24"/>
          <w:szCs w:val="24"/>
        </w:rPr>
        <w:t xml:space="preserve"> art. 1 alin. (1) lit. g) din OG nr. 64/2001, regăsite în conturile de </w:t>
      </w:r>
      <w:r w:rsidR="00F85CDF" w:rsidRPr="00322869">
        <w:rPr>
          <w:rFonts w:ascii="Arial" w:eastAsia="Times New Roman" w:hAnsi="Arial" w:cs="Arial"/>
          <w:bCs/>
          <w:kern w:val="1"/>
          <w:sz w:val="24"/>
          <w:szCs w:val="24"/>
        </w:rPr>
        <w:t>disponibilități</w:t>
      </w:r>
      <w:r w:rsidRPr="00322869">
        <w:rPr>
          <w:rFonts w:ascii="Arial" w:eastAsia="Times New Roman" w:hAnsi="Arial" w:cs="Arial"/>
          <w:bCs/>
          <w:kern w:val="1"/>
          <w:sz w:val="24"/>
          <w:szCs w:val="24"/>
        </w:rPr>
        <w:t xml:space="preserve"> </w:t>
      </w:r>
      <w:r w:rsidR="00F85CDF" w:rsidRPr="00322869">
        <w:rPr>
          <w:rFonts w:ascii="Arial" w:eastAsia="Times New Roman" w:hAnsi="Arial" w:cs="Arial"/>
          <w:bCs/>
          <w:kern w:val="1"/>
          <w:sz w:val="24"/>
          <w:szCs w:val="24"/>
        </w:rPr>
        <w:t>bănești</w:t>
      </w:r>
      <w:r w:rsidRPr="00322869">
        <w:rPr>
          <w:rFonts w:ascii="Arial" w:eastAsia="Times New Roman" w:hAnsi="Arial" w:cs="Arial"/>
          <w:bCs/>
          <w:kern w:val="1"/>
          <w:sz w:val="24"/>
          <w:szCs w:val="24"/>
        </w:rPr>
        <w:t xml:space="preserve"> existente în casă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conturi la bănci precum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cele aferente </w:t>
      </w:r>
      <w:r w:rsidR="00FD5E5E" w:rsidRPr="00322869">
        <w:rPr>
          <w:rFonts w:ascii="Arial" w:eastAsia="Times New Roman" w:hAnsi="Arial" w:cs="Arial"/>
          <w:bCs/>
          <w:kern w:val="1"/>
          <w:sz w:val="24"/>
          <w:szCs w:val="24"/>
        </w:rPr>
        <w:t>investițiilor</w:t>
      </w:r>
      <w:r w:rsidRPr="00322869">
        <w:rPr>
          <w:rFonts w:ascii="Arial" w:eastAsia="Times New Roman" w:hAnsi="Arial" w:cs="Arial"/>
          <w:bCs/>
          <w:kern w:val="1"/>
          <w:sz w:val="24"/>
          <w:szCs w:val="24"/>
        </w:rPr>
        <w:t xml:space="preserve"> pe termen scurt la data de 31 decembrie 2018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care la </w:t>
      </w:r>
      <w:r w:rsidR="00FD5E5E" w:rsidRPr="00322869">
        <w:rPr>
          <w:rFonts w:ascii="Arial" w:eastAsia="Times New Roman" w:hAnsi="Arial" w:cs="Arial"/>
          <w:bCs/>
          <w:kern w:val="1"/>
          <w:sz w:val="24"/>
          <w:szCs w:val="24"/>
        </w:rPr>
        <w:t>aceeași</w:t>
      </w:r>
      <w:r w:rsidRPr="00322869">
        <w:rPr>
          <w:rFonts w:ascii="Arial" w:eastAsia="Times New Roman" w:hAnsi="Arial" w:cs="Arial"/>
          <w:bCs/>
          <w:kern w:val="1"/>
          <w:sz w:val="24"/>
          <w:szCs w:val="24"/>
        </w:rPr>
        <w:t xml:space="preserve"> dată nu sunt angajate, prin contracte de </w:t>
      </w:r>
      <w:r w:rsidR="00FD5E5E" w:rsidRPr="00322869">
        <w:rPr>
          <w:rFonts w:ascii="Arial" w:eastAsia="Times New Roman" w:hAnsi="Arial" w:cs="Arial"/>
          <w:bCs/>
          <w:kern w:val="1"/>
          <w:sz w:val="24"/>
          <w:szCs w:val="24"/>
        </w:rPr>
        <w:t>achiziție</w:t>
      </w:r>
      <w:r w:rsidRPr="00322869">
        <w:rPr>
          <w:rFonts w:ascii="Arial" w:eastAsia="Times New Roman" w:hAnsi="Arial" w:cs="Arial"/>
          <w:bCs/>
          <w:kern w:val="1"/>
          <w:sz w:val="24"/>
          <w:szCs w:val="24"/>
        </w:rPr>
        <w:t xml:space="preserve">, pentru a fi utilizate ca surse proprii de </w:t>
      </w:r>
      <w:r w:rsidR="00FD5E5E" w:rsidRPr="00322869">
        <w:rPr>
          <w:rFonts w:ascii="Arial" w:eastAsia="Times New Roman" w:hAnsi="Arial" w:cs="Arial"/>
          <w:bCs/>
          <w:kern w:val="1"/>
          <w:sz w:val="24"/>
          <w:szCs w:val="24"/>
        </w:rPr>
        <w:t>finanțare</w:t>
      </w:r>
      <w:r w:rsidRPr="00322869">
        <w:rPr>
          <w:rFonts w:ascii="Arial" w:eastAsia="Times New Roman" w:hAnsi="Arial" w:cs="Arial"/>
          <w:bCs/>
          <w:kern w:val="1"/>
          <w:sz w:val="24"/>
          <w:szCs w:val="24"/>
        </w:rPr>
        <w:t>, conform art</w:t>
      </w:r>
      <w:r w:rsidR="00FD5E5E">
        <w:rPr>
          <w:rFonts w:ascii="Arial" w:eastAsia="Times New Roman" w:hAnsi="Arial" w:cs="Arial"/>
          <w:bCs/>
          <w:kern w:val="1"/>
          <w:sz w:val="24"/>
          <w:szCs w:val="24"/>
        </w:rPr>
        <w:t>.</w:t>
      </w:r>
      <w:r w:rsidRPr="00322869">
        <w:rPr>
          <w:rFonts w:ascii="Arial" w:eastAsia="Times New Roman" w:hAnsi="Arial" w:cs="Arial"/>
          <w:bCs/>
          <w:kern w:val="1"/>
          <w:sz w:val="24"/>
          <w:szCs w:val="24"/>
        </w:rPr>
        <w:t xml:space="preserve"> 43 din OUG 114/2018 (1,5 mld lei);</w:t>
      </w:r>
    </w:p>
    <w:p w:rsidR="00A40CBD" w:rsidRPr="00A40CBD" w:rsidRDefault="00A40CBD" w:rsidP="00A40CBD">
      <w:pPr>
        <w:pStyle w:val="ListParagraph"/>
        <w:keepNext/>
        <w:keepLines/>
        <w:numPr>
          <w:ilvl w:val="0"/>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acordarea de facilități fiscale persoanelor fizice, pentru veniturile din salarii și asimilate salariilor cuprin</w:t>
      </w:r>
      <w:r>
        <w:rPr>
          <w:rFonts w:ascii="Arial" w:eastAsia="Times New Roman" w:hAnsi="Arial" w:cs="Arial"/>
          <w:bCs/>
          <w:kern w:val="1"/>
          <w:sz w:val="24"/>
          <w:szCs w:val="24"/>
        </w:rPr>
        <w:t>se între 3.000 și 30.000 lei</w:t>
      </w:r>
      <w:r w:rsidRPr="00A40CBD">
        <w:rPr>
          <w:rFonts w:ascii="Arial" w:eastAsia="Times New Roman" w:hAnsi="Arial" w:cs="Arial"/>
          <w:bCs/>
          <w:kern w:val="1"/>
          <w:sz w:val="24"/>
          <w:szCs w:val="24"/>
        </w:rPr>
        <w:t xml:space="preserve"> lunar, inclusiv, realizate în baza contractelor individuale de muncă încheiate cu angajatori care desfășoară activități în sectorul de construcții, precum și în domeniile de producere a materialelor de construcții, în perioada 1 ianuarie 2019-31 decembrie 2028, respectiv: </w:t>
      </w:r>
    </w:p>
    <w:p w:rsidR="00A40CBD" w:rsidRPr="00A40CBD" w:rsidRDefault="00A40CBD" w:rsidP="00A40CBD">
      <w:pPr>
        <w:pStyle w:val="ListParagraph"/>
        <w:keepNext/>
        <w:keepLines/>
        <w:numPr>
          <w:ilvl w:val="1"/>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scutirea de la plata impozitului pe venit;</w:t>
      </w:r>
    </w:p>
    <w:p w:rsidR="00A40CBD" w:rsidRPr="00A40CBD" w:rsidRDefault="00A40CBD" w:rsidP="00A40CBD">
      <w:pPr>
        <w:pStyle w:val="ListParagraph"/>
        <w:keepNext/>
        <w:keepLines/>
        <w:numPr>
          <w:ilvl w:val="1"/>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 xml:space="preserve">reducerea cotei CAS datorată de angajat cu 3,75 puncte procentuale. </w:t>
      </w:r>
    </w:p>
    <w:p w:rsidR="00A40CBD" w:rsidRPr="00A40CBD" w:rsidRDefault="00A40CBD" w:rsidP="00A40CBD">
      <w:pPr>
        <w:pStyle w:val="ListParagraph"/>
        <w:keepNext/>
        <w:keepLines/>
        <w:numPr>
          <w:ilvl w:val="1"/>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exceptarea angajatului de la plata CASS;</w:t>
      </w:r>
    </w:p>
    <w:p w:rsidR="00A40CBD" w:rsidRPr="00A40CBD" w:rsidRDefault="00A40CBD" w:rsidP="00A40CBD">
      <w:pPr>
        <w:pStyle w:val="ListParagraph"/>
        <w:keepNext/>
        <w:keepLines/>
        <w:numPr>
          <w:ilvl w:val="1"/>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exceptarea de la plata CAS datorată de angajator pentru condiții deosebite/speciale de muncă;</w:t>
      </w:r>
    </w:p>
    <w:p w:rsidR="00A40CBD" w:rsidRPr="00A40CBD" w:rsidRDefault="00A40CBD" w:rsidP="00A40CBD">
      <w:pPr>
        <w:pStyle w:val="ListParagraph"/>
        <w:keepNext/>
        <w:keepLines/>
        <w:numPr>
          <w:ilvl w:val="1"/>
          <w:numId w:val="12"/>
        </w:numPr>
        <w:shd w:val="clear" w:color="auto" w:fill="FFFFFF"/>
        <w:tabs>
          <w:tab w:val="left" w:pos="1843"/>
          <w:tab w:val="left" w:pos="2127"/>
        </w:tabs>
        <w:spacing w:line="276" w:lineRule="auto"/>
        <w:contextualSpacing w:val="0"/>
        <w:textAlignment w:val="baseline"/>
        <w:rPr>
          <w:rFonts w:ascii="Arial" w:eastAsia="Times New Roman" w:hAnsi="Arial" w:cs="Arial"/>
          <w:bCs/>
          <w:kern w:val="1"/>
          <w:sz w:val="24"/>
          <w:szCs w:val="24"/>
        </w:rPr>
      </w:pPr>
      <w:r w:rsidRPr="00A40CBD">
        <w:rPr>
          <w:rFonts w:ascii="Arial" w:eastAsia="Times New Roman" w:hAnsi="Arial" w:cs="Arial"/>
          <w:bCs/>
          <w:kern w:val="1"/>
          <w:sz w:val="24"/>
          <w:szCs w:val="24"/>
        </w:rPr>
        <w:t>reducerea cotei contribuției asiguratorii pentru muncă datorată de angajator la nivelul cotei aferente contribuției la Fondul de garantare pentru plata creanțelor salariale.</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veniturile estimate a fi încasate în urma vânzării licențelor de telecomunicații de tip 5G de către ANCOM (2,1 mld lei);  </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angajamentul ANAF de a colecta venituri suplimentare de aproximativ 7,5 mld lei prin intensificarea acțiunilor de îmbunătățire a colectării și reducerea evaziunii fiscale.</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aplicarea și în 2019 a măsurilor de repartizare a minimum 90% din profitul net realizat sub formă de vărsăminte la bugetul de stat sau local, în cazul regiilor autonome, sau dividende, în cazul societăților naționale, companiilor naționale și societăților cu capital integral sau majoritar de stat ;</w:t>
      </w:r>
    </w:p>
    <w:p w:rsidR="009B633E" w:rsidRPr="00322869" w:rsidRDefault="00962D99"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lastRenderedPageBreak/>
        <w:t>prorog</w:t>
      </w:r>
      <w:r>
        <w:rPr>
          <w:rFonts w:ascii="Arial" w:eastAsia="Times New Roman" w:hAnsi="Arial" w:cs="Arial"/>
          <w:bCs/>
          <w:kern w:val="1"/>
          <w:sz w:val="24"/>
          <w:szCs w:val="24"/>
        </w:rPr>
        <w:t xml:space="preserve">area </w:t>
      </w:r>
      <w:r w:rsidRPr="00322869">
        <w:rPr>
          <w:rFonts w:ascii="Arial" w:eastAsia="Times New Roman" w:hAnsi="Arial" w:cs="Arial"/>
          <w:bCs/>
          <w:kern w:val="1"/>
          <w:sz w:val="24"/>
          <w:szCs w:val="24"/>
        </w:rPr>
        <w:t>până la data de 31 decembrie 2021, inclusiv</w:t>
      </w:r>
      <w:r>
        <w:rPr>
          <w:rFonts w:ascii="Arial" w:eastAsia="Times New Roman" w:hAnsi="Arial" w:cs="Arial"/>
          <w:bCs/>
          <w:kern w:val="1"/>
          <w:sz w:val="24"/>
          <w:szCs w:val="24"/>
        </w:rPr>
        <w:t xml:space="preserve">, a </w:t>
      </w:r>
      <w:r w:rsidR="009B633E" w:rsidRPr="00322869">
        <w:rPr>
          <w:rFonts w:ascii="Arial" w:eastAsia="Times New Roman" w:hAnsi="Arial" w:cs="Arial"/>
          <w:bCs/>
          <w:kern w:val="1"/>
          <w:sz w:val="24"/>
          <w:szCs w:val="24"/>
        </w:rPr>
        <w:t>termenul</w:t>
      </w:r>
      <w:r>
        <w:rPr>
          <w:rFonts w:ascii="Arial" w:eastAsia="Times New Roman" w:hAnsi="Arial" w:cs="Arial"/>
          <w:bCs/>
          <w:kern w:val="1"/>
          <w:sz w:val="24"/>
          <w:szCs w:val="24"/>
        </w:rPr>
        <w:t>ui</w:t>
      </w:r>
      <w:r w:rsidR="009B633E" w:rsidRPr="00322869">
        <w:rPr>
          <w:rFonts w:ascii="Arial" w:eastAsia="Times New Roman" w:hAnsi="Arial" w:cs="Arial"/>
          <w:bCs/>
          <w:kern w:val="1"/>
          <w:sz w:val="24"/>
          <w:szCs w:val="24"/>
        </w:rPr>
        <w:t xml:space="preserve"> prevăzut la art. 6 din Ordonanța Guvernului nr. 5/2013 privind stabilirea unor măsuri speciale de impozitare a activităților cu caracter de monopol natural din sectorul energiei electrice și al gazului natural, cu modificările și completările ulterioare, precum și </w:t>
      </w:r>
      <w:r>
        <w:rPr>
          <w:rFonts w:ascii="Arial" w:eastAsia="Times New Roman" w:hAnsi="Arial" w:cs="Arial"/>
          <w:bCs/>
          <w:kern w:val="1"/>
          <w:sz w:val="24"/>
          <w:szCs w:val="24"/>
        </w:rPr>
        <w:t xml:space="preserve">a </w:t>
      </w:r>
      <w:r w:rsidR="009B633E" w:rsidRPr="00322869">
        <w:rPr>
          <w:rFonts w:ascii="Arial" w:eastAsia="Times New Roman" w:hAnsi="Arial" w:cs="Arial"/>
          <w:bCs/>
          <w:kern w:val="1"/>
          <w:sz w:val="24"/>
          <w:szCs w:val="24"/>
        </w:rPr>
        <w:t>termenul</w:t>
      </w:r>
      <w:r>
        <w:rPr>
          <w:rFonts w:ascii="Arial" w:eastAsia="Times New Roman" w:hAnsi="Arial" w:cs="Arial"/>
          <w:bCs/>
          <w:kern w:val="1"/>
          <w:sz w:val="24"/>
          <w:szCs w:val="24"/>
        </w:rPr>
        <w:t>ui</w:t>
      </w:r>
      <w:r w:rsidR="009B633E" w:rsidRPr="00322869">
        <w:rPr>
          <w:rFonts w:ascii="Arial" w:eastAsia="Times New Roman" w:hAnsi="Arial" w:cs="Arial"/>
          <w:bCs/>
          <w:kern w:val="1"/>
          <w:sz w:val="24"/>
          <w:szCs w:val="24"/>
        </w:rPr>
        <w:t xml:space="preserve"> prevăzut la art. 6 din Ordonanța Guvernului nr. 6/2013 privind instituirea unor măsuri speciale pentru impozitarea exploatării resurselor naturale, altele decât gazele naturale, aprobată cu modificări și completări prin Legea nr. 261/2013,;</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estimarea Pilonului II de pensii pe perioada 2019 - 2022 a fost realizată în condițiile menținerii, ca și în anul 2018, a unei cote de </w:t>
      </w:r>
      <w:r w:rsidR="00FD5E5E" w:rsidRPr="00322869">
        <w:rPr>
          <w:rFonts w:ascii="Arial" w:eastAsia="Times New Roman" w:hAnsi="Arial" w:cs="Arial"/>
          <w:bCs/>
          <w:kern w:val="1"/>
          <w:sz w:val="24"/>
          <w:szCs w:val="24"/>
        </w:rPr>
        <w:t>contribuție</w:t>
      </w:r>
      <w:r w:rsidRPr="00322869">
        <w:rPr>
          <w:rFonts w:ascii="Arial" w:eastAsia="Times New Roman" w:hAnsi="Arial" w:cs="Arial"/>
          <w:bCs/>
          <w:kern w:val="1"/>
          <w:sz w:val="24"/>
          <w:szCs w:val="24"/>
        </w:rPr>
        <w:t xml:space="preserve"> la fondul de pensii de 3,75%, în conformitate cu prevederile art. 43 alin. (3) din Legea nr. 411/2004 privind fondurile de pensii administrate privat, cu modificările și completările ulterioare.</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Majorarea, începând cu 1 septembrie 2019, a valorii punctului de pensie cu 15%, respectiv de la 1.100 lei la 1.265 lei;</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Majorarea, începând cu 1 septembrie 2019, a indemnizației sociale pentru pensionari garantată cu 10%, respectiv de la 640 lei la 704 lei;</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începând cu data de 1 ianuarie 2019, salariul de bază minim brut pe </w:t>
      </w:r>
      <w:r w:rsidR="00FD5E5E" w:rsidRPr="00322869">
        <w:rPr>
          <w:rFonts w:ascii="Arial" w:eastAsia="Times New Roman" w:hAnsi="Arial" w:cs="Arial"/>
          <w:bCs/>
          <w:kern w:val="1"/>
          <w:sz w:val="24"/>
          <w:szCs w:val="24"/>
        </w:rPr>
        <w:t>țară</w:t>
      </w:r>
      <w:r w:rsidRPr="00322869">
        <w:rPr>
          <w:rFonts w:ascii="Arial" w:eastAsia="Times New Roman" w:hAnsi="Arial" w:cs="Arial"/>
          <w:bCs/>
          <w:kern w:val="1"/>
          <w:sz w:val="24"/>
          <w:szCs w:val="24"/>
        </w:rPr>
        <w:t xml:space="preserve"> garantat în plată, prevăzut la art. 164 alin. (1) din Legea nr. 53/2003 - Codul muncii, republicată, cu modificările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completările ulterioare, se </w:t>
      </w:r>
      <w:r w:rsidR="00FD5E5E" w:rsidRPr="00322869">
        <w:rPr>
          <w:rFonts w:ascii="Arial" w:eastAsia="Times New Roman" w:hAnsi="Arial" w:cs="Arial"/>
          <w:bCs/>
          <w:kern w:val="1"/>
          <w:sz w:val="24"/>
          <w:szCs w:val="24"/>
        </w:rPr>
        <w:t>stabilește</w:t>
      </w:r>
      <w:r w:rsidRPr="00322869">
        <w:rPr>
          <w:rFonts w:ascii="Arial" w:eastAsia="Times New Roman" w:hAnsi="Arial" w:cs="Arial"/>
          <w:bCs/>
          <w:kern w:val="1"/>
          <w:sz w:val="24"/>
          <w:szCs w:val="24"/>
        </w:rPr>
        <w:t xml:space="preserve"> în bani, fără a include sporuri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alte adaosuri, la suma de 2.080 lei lunar;</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începând cu 1 ianuarie 2019, salariile de bază, soldele de </w:t>
      </w:r>
      <w:r w:rsidR="00FD5E5E" w:rsidRPr="00322869">
        <w:rPr>
          <w:rFonts w:ascii="Arial" w:eastAsia="Times New Roman" w:hAnsi="Arial" w:cs="Arial"/>
          <w:bCs/>
          <w:kern w:val="1"/>
          <w:sz w:val="24"/>
          <w:szCs w:val="24"/>
        </w:rPr>
        <w:t>funcție</w:t>
      </w:r>
      <w:r w:rsidRPr="00322869">
        <w:rPr>
          <w:rFonts w:ascii="Arial" w:eastAsia="Times New Roman" w:hAnsi="Arial" w:cs="Arial"/>
          <w:bCs/>
          <w:kern w:val="1"/>
          <w:sz w:val="24"/>
          <w:szCs w:val="24"/>
        </w:rPr>
        <w:t xml:space="preserve">/salariile de </w:t>
      </w:r>
      <w:r w:rsidR="00FD5E5E" w:rsidRPr="00322869">
        <w:rPr>
          <w:rFonts w:ascii="Arial" w:eastAsia="Times New Roman" w:hAnsi="Arial" w:cs="Arial"/>
          <w:bCs/>
          <w:kern w:val="1"/>
          <w:sz w:val="24"/>
          <w:szCs w:val="24"/>
        </w:rPr>
        <w:t>funcție</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indemnizațiile</w:t>
      </w:r>
      <w:r w:rsidRPr="00322869">
        <w:rPr>
          <w:rFonts w:ascii="Arial" w:eastAsia="Times New Roman" w:hAnsi="Arial" w:cs="Arial"/>
          <w:bCs/>
          <w:kern w:val="1"/>
          <w:sz w:val="24"/>
          <w:szCs w:val="24"/>
        </w:rPr>
        <w:t xml:space="preserve"> de încadrare se majorează cu 1/4 din </w:t>
      </w:r>
      <w:r w:rsidR="00FD5E5E" w:rsidRPr="00322869">
        <w:rPr>
          <w:rFonts w:ascii="Arial" w:eastAsia="Times New Roman" w:hAnsi="Arial" w:cs="Arial"/>
          <w:bCs/>
          <w:kern w:val="1"/>
          <w:sz w:val="24"/>
          <w:szCs w:val="24"/>
        </w:rPr>
        <w:t>diferența</w:t>
      </w:r>
      <w:r w:rsidRPr="00322869">
        <w:rPr>
          <w:rFonts w:ascii="Arial" w:eastAsia="Times New Roman" w:hAnsi="Arial" w:cs="Arial"/>
          <w:bCs/>
          <w:kern w:val="1"/>
          <w:sz w:val="24"/>
          <w:szCs w:val="24"/>
        </w:rPr>
        <w:t xml:space="preserve"> dintre salariul de bază, solda de </w:t>
      </w:r>
      <w:r w:rsidR="00FD5E5E" w:rsidRPr="00322869">
        <w:rPr>
          <w:rFonts w:ascii="Arial" w:eastAsia="Times New Roman" w:hAnsi="Arial" w:cs="Arial"/>
          <w:bCs/>
          <w:kern w:val="1"/>
          <w:sz w:val="24"/>
          <w:szCs w:val="24"/>
        </w:rPr>
        <w:t>funcție</w:t>
      </w:r>
      <w:r w:rsidRPr="00322869">
        <w:rPr>
          <w:rFonts w:ascii="Arial" w:eastAsia="Times New Roman" w:hAnsi="Arial" w:cs="Arial"/>
          <w:bCs/>
          <w:kern w:val="1"/>
          <w:sz w:val="24"/>
          <w:szCs w:val="24"/>
        </w:rPr>
        <w:t xml:space="preserve">/salariul de </w:t>
      </w:r>
      <w:r w:rsidR="00FD5E5E" w:rsidRPr="00322869">
        <w:rPr>
          <w:rFonts w:ascii="Arial" w:eastAsia="Times New Roman" w:hAnsi="Arial" w:cs="Arial"/>
          <w:bCs/>
          <w:kern w:val="1"/>
          <w:sz w:val="24"/>
          <w:szCs w:val="24"/>
        </w:rPr>
        <w:t>funcție</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indemnizația</w:t>
      </w:r>
      <w:r w:rsidRPr="00322869">
        <w:rPr>
          <w:rFonts w:ascii="Arial" w:eastAsia="Times New Roman" w:hAnsi="Arial" w:cs="Arial"/>
          <w:bCs/>
          <w:kern w:val="1"/>
          <w:sz w:val="24"/>
          <w:szCs w:val="24"/>
        </w:rPr>
        <w:t xml:space="preserve"> de încadrare prevăzute de lege pentru anul 2022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cel/cea din luna decembrie 2018;</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începând cu 1 ianuarie 2019, cuantumul sporurilor, </w:t>
      </w:r>
      <w:r w:rsidR="00FD5E5E" w:rsidRPr="00322869">
        <w:rPr>
          <w:rFonts w:ascii="Arial" w:eastAsia="Times New Roman" w:hAnsi="Arial" w:cs="Arial"/>
          <w:bCs/>
          <w:kern w:val="1"/>
          <w:sz w:val="24"/>
          <w:szCs w:val="24"/>
        </w:rPr>
        <w:t>indemnizațiilor</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compensațiilor</w:t>
      </w:r>
      <w:r w:rsidRPr="00322869">
        <w:rPr>
          <w:rFonts w:ascii="Arial" w:eastAsia="Times New Roman" w:hAnsi="Arial" w:cs="Arial"/>
          <w:bCs/>
          <w:kern w:val="1"/>
          <w:sz w:val="24"/>
          <w:szCs w:val="24"/>
        </w:rPr>
        <w:t xml:space="preserve">, primelor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al celorlalte elemente ale sistemului de salarizare care fac parte, potrivit legii, din salariul brut lunar, solda lunară de care beneficiază personalul plătit din fonduri publice, se </w:t>
      </w:r>
      <w:r w:rsidR="00FD5E5E" w:rsidRPr="00322869">
        <w:rPr>
          <w:rFonts w:ascii="Arial" w:eastAsia="Times New Roman" w:hAnsi="Arial" w:cs="Arial"/>
          <w:bCs/>
          <w:kern w:val="1"/>
          <w:sz w:val="24"/>
          <w:szCs w:val="24"/>
        </w:rPr>
        <w:t>menține</w:t>
      </w:r>
      <w:r w:rsidRPr="00322869">
        <w:rPr>
          <w:rFonts w:ascii="Arial" w:eastAsia="Times New Roman" w:hAnsi="Arial" w:cs="Arial"/>
          <w:bCs/>
          <w:kern w:val="1"/>
          <w:sz w:val="24"/>
          <w:szCs w:val="24"/>
        </w:rPr>
        <w:t xml:space="preserve"> cel mult la nivelul cuantumului acordat pentru luna decembrie 2018;</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acordarea, în perioada 2019 – 2020, de vouchere de </w:t>
      </w:r>
      <w:r w:rsidR="00FD5E5E" w:rsidRPr="00322869">
        <w:rPr>
          <w:rFonts w:ascii="Arial" w:eastAsia="Times New Roman" w:hAnsi="Arial" w:cs="Arial"/>
          <w:bCs/>
          <w:kern w:val="1"/>
          <w:sz w:val="24"/>
          <w:szCs w:val="24"/>
        </w:rPr>
        <w:t>vacanță</w:t>
      </w:r>
      <w:r w:rsidRPr="00322869">
        <w:rPr>
          <w:rFonts w:ascii="Arial" w:eastAsia="Times New Roman" w:hAnsi="Arial" w:cs="Arial"/>
          <w:bCs/>
          <w:kern w:val="1"/>
          <w:sz w:val="24"/>
          <w:szCs w:val="24"/>
        </w:rPr>
        <w:t xml:space="preserve"> potrivit prevederilor OUG nr.8/2009;</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acordarea, in perioada 2019 – 2020, a </w:t>
      </w:r>
      <w:r w:rsidR="00FD5E5E" w:rsidRPr="00322869">
        <w:rPr>
          <w:rFonts w:ascii="Arial" w:eastAsia="Times New Roman" w:hAnsi="Arial" w:cs="Arial"/>
          <w:bCs/>
          <w:kern w:val="1"/>
          <w:sz w:val="24"/>
          <w:szCs w:val="24"/>
        </w:rPr>
        <w:t>indemnizației</w:t>
      </w:r>
      <w:r w:rsidRPr="00322869">
        <w:rPr>
          <w:rFonts w:ascii="Arial" w:eastAsia="Times New Roman" w:hAnsi="Arial" w:cs="Arial"/>
          <w:bCs/>
          <w:kern w:val="1"/>
          <w:sz w:val="24"/>
          <w:szCs w:val="24"/>
        </w:rPr>
        <w:t xml:space="preserve"> de hrană prevăzută la art. 18 din Legea-cadru nr. 153/2017;</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lastRenderedPageBreak/>
        <w:t xml:space="preserve">în perioada 2019-2021, pentru personalul militar, </w:t>
      </w:r>
      <w:r w:rsidR="00FD5E5E" w:rsidRPr="00322869">
        <w:rPr>
          <w:rFonts w:ascii="Arial" w:eastAsia="Times New Roman" w:hAnsi="Arial" w:cs="Arial"/>
          <w:bCs/>
          <w:kern w:val="1"/>
          <w:sz w:val="24"/>
          <w:szCs w:val="24"/>
        </w:rPr>
        <w:t>polițiștii</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funcționarii</w:t>
      </w:r>
      <w:r w:rsidRPr="00322869">
        <w:rPr>
          <w:rFonts w:ascii="Arial" w:eastAsia="Times New Roman" w:hAnsi="Arial" w:cs="Arial"/>
          <w:bCs/>
          <w:kern w:val="1"/>
          <w:sz w:val="24"/>
          <w:szCs w:val="24"/>
        </w:rPr>
        <w:t xml:space="preserve"> publici cu statut special din sistemul </w:t>
      </w:r>
      <w:r w:rsidR="00FD5E5E" w:rsidRPr="00322869">
        <w:rPr>
          <w:rFonts w:ascii="Arial" w:eastAsia="Times New Roman" w:hAnsi="Arial" w:cs="Arial"/>
          <w:bCs/>
          <w:kern w:val="1"/>
          <w:sz w:val="24"/>
          <w:szCs w:val="24"/>
        </w:rPr>
        <w:t>administrației</w:t>
      </w:r>
      <w:r w:rsidRPr="00322869">
        <w:rPr>
          <w:rFonts w:ascii="Arial" w:eastAsia="Times New Roman" w:hAnsi="Arial" w:cs="Arial"/>
          <w:bCs/>
          <w:kern w:val="1"/>
          <w:sz w:val="24"/>
          <w:szCs w:val="24"/>
        </w:rPr>
        <w:t xml:space="preserve"> penitenciare, </w:t>
      </w:r>
      <w:r w:rsidR="00FD5E5E" w:rsidRPr="00322869">
        <w:rPr>
          <w:rFonts w:ascii="Arial" w:eastAsia="Times New Roman" w:hAnsi="Arial" w:cs="Arial"/>
          <w:bCs/>
          <w:kern w:val="1"/>
          <w:sz w:val="24"/>
          <w:szCs w:val="24"/>
        </w:rPr>
        <w:t>indemnizațiile</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compensațiile</w:t>
      </w:r>
      <w:r w:rsidRPr="00322869">
        <w:rPr>
          <w:rFonts w:ascii="Arial" w:eastAsia="Times New Roman" w:hAnsi="Arial" w:cs="Arial"/>
          <w:bCs/>
          <w:kern w:val="1"/>
          <w:sz w:val="24"/>
          <w:szCs w:val="24"/>
        </w:rPr>
        <w:t xml:space="preserve">, primele, ajutoarele, </w:t>
      </w:r>
      <w:r w:rsidR="00FD5E5E" w:rsidRPr="00322869">
        <w:rPr>
          <w:rFonts w:ascii="Arial" w:eastAsia="Times New Roman" w:hAnsi="Arial" w:cs="Arial"/>
          <w:bCs/>
          <w:kern w:val="1"/>
          <w:sz w:val="24"/>
          <w:szCs w:val="24"/>
        </w:rPr>
        <w:t>plățile</w:t>
      </w:r>
      <w:r w:rsidRPr="00322869">
        <w:rPr>
          <w:rFonts w:ascii="Arial" w:eastAsia="Times New Roman" w:hAnsi="Arial" w:cs="Arial"/>
          <w:bCs/>
          <w:kern w:val="1"/>
          <w:sz w:val="24"/>
          <w:szCs w:val="24"/>
        </w:rPr>
        <w:t xml:space="preserve"> compensatorii, despăgubirile, </w:t>
      </w:r>
      <w:r w:rsidR="00FD5E5E" w:rsidRPr="00322869">
        <w:rPr>
          <w:rFonts w:ascii="Arial" w:eastAsia="Times New Roman" w:hAnsi="Arial" w:cs="Arial"/>
          <w:bCs/>
          <w:kern w:val="1"/>
          <w:sz w:val="24"/>
          <w:szCs w:val="24"/>
        </w:rPr>
        <w:t>compensațiile</w:t>
      </w:r>
      <w:r w:rsidRPr="00322869">
        <w:rPr>
          <w:rFonts w:ascii="Arial" w:eastAsia="Times New Roman" w:hAnsi="Arial" w:cs="Arial"/>
          <w:bCs/>
          <w:kern w:val="1"/>
          <w:sz w:val="24"/>
          <w:szCs w:val="24"/>
        </w:rPr>
        <w:t xml:space="preserve"> lunare pentru chirie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alte drepturi acordate potrivit actelor normative în vigoare, care nu fac parte din solda lunară brută/salariul lunar brut, se </w:t>
      </w:r>
      <w:r w:rsidR="00FD5E5E" w:rsidRPr="00322869">
        <w:rPr>
          <w:rFonts w:ascii="Arial" w:eastAsia="Times New Roman" w:hAnsi="Arial" w:cs="Arial"/>
          <w:bCs/>
          <w:kern w:val="1"/>
          <w:sz w:val="24"/>
          <w:szCs w:val="24"/>
        </w:rPr>
        <w:t>mențin</w:t>
      </w:r>
      <w:r w:rsidRPr="00322869">
        <w:rPr>
          <w:rFonts w:ascii="Arial" w:eastAsia="Times New Roman" w:hAnsi="Arial" w:cs="Arial"/>
          <w:bCs/>
          <w:kern w:val="1"/>
          <w:sz w:val="24"/>
          <w:szCs w:val="24"/>
        </w:rPr>
        <w:t xml:space="preserve"> la nivelul lunii decembrie 2018;</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 perioada 2019-2021, cuantumul </w:t>
      </w:r>
      <w:r w:rsidR="00FD5E5E" w:rsidRPr="00322869">
        <w:rPr>
          <w:rFonts w:ascii="Arial" w:eastAsia="Times New Roman" w:hAnsi="Arial" w:cs="Arial"/>
          <w:bCs/>
          <w:kern w:val="1"/>
          <w:sz w:val="24"/>
          <w:szCs w:val="24"/>
        </w:rPr>
        <w:t>compensației</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bănești</w:t>
      </w:r>
      <w:r w:rsidRPr="00322869">
        <w:rPr>
          <w:rFonts w:ascii="Arial" w:eastAsia="Times New Roman" w:hAnsi="Arial" w:cs="Arial"/>
          <w:bCs/>
          <w:kern w:val="1"/>
          <w:sz w:val="24"/>
          <w:szCs w:val="24"/>
        </w:rPr>
        <w:t xml:space="preserve">, respectiv al </w:t>
      </w:r>
      <w:r w:rsidR="00FD5E5E" w:rsidRPr="00322869">
        <w:rPr>
          <w:rFonts w:ascii="Arial" w:eastAsia="Times New Roman" w:hAnsi="Arial" w:cs="Arial"/>
          <w:bCs/>
          <w:kern w:val="1"/>
          <w:sz w:val="24"/>
          <w:szCs w:val="24"/>
        </w:rPr>
        <w:t>alocației</w:t>
      </w:r>
      <w:r w:rsidRPr="00322869">
        <w:rPr>
          <w:rFonts w:ascii="Arial" w:eastAsia="Times New Roman" w:hAnsi="Arial" w:cs="Arial"/>
          <w:bCs/>
          <w:kern w:val="1"/>
          <w:sz w:val="24"/>
          <w:szCs w:val="24"/>
        </w:rPr>
        <w:t xml:space="preserve"> valorice pentru drepturile de hrană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respectiv, valoarea financiară anuală a normelor de echipare, precum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valoarea financiară a drepturilor de echipament se </w:t>
      </w:r>
      <w:r w:rsidR="00FD5E5E" w:rsidRPr="00322869">
        <w:rPr>
          <w:rFonts w:ascii="Arial" w:eastAsia="Times New Roman" w:hAnsi="Arial" w:cs="Arial"/>
          <w:bCs/>
          <w:kern w:val="1"/>
          <w:sz w:val="24"/>
          <w:szCs w:val="24"/>
        </w:rPr>
        <w:t>mențin</w:t>
      </w:r>
      <w:r w:rsidRPr="00322869">
        <w:rPr>
          <w:rFonts w:ascii="Arial" w:eastAsia="Times New Roman" w:hAnsi="Arial" w:cs="Arial"/>
          <w:bCs/>
          <w:kern w:val="1"/>
          <w:sz w:val="24"/>
          <w:szCs w:val="24"/>
        </w:rPr>
        <w:t xml:space="preserve"> în plată la nivelul stabilit pentru luna decembrie 2018;</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 perioada 2019-2021 se </w:t>
      </w:r>
      <w:r w:rsidR="00FD5E5E" w:rsidRPr="00322869">
        <w:rPr>
          <w:rFonts w:ascii="Arial" w:eastAsia="Times New Roman" w:hAnsi="Arial" w:cs="Arial"/>
          <w:bCs/>
          <w:kern w:val="1"/>
          <w:sz w:val="24"/>
          <w:szCs w:val="24"/>
        </w:rPr>
        <w:t>mențin</w:t>
      </w:r>
      <w:r w:rsidRPr="00322869">
        <w:rPr>
          <w:rFonts w:ascii="Arial" w:eastAsia="Times New Roman" w:hAnsi="Arial" w:cs="Arial"/>
          <w:bCs/>
          <w:kern w:val="1"/>
          <w:sz w:val="24"/>
          <w:szCs w:val="24"/>
        </w:rPr>
        <w:t xml:space="preserve"> în plată la nivelul acordat/cuvenit pentru luna decembrie 2018 anumite </w:t>
      </w:r>
      <w:r w:rsidR="00FD5E5E" w:rsidRPr="00322869">
        <w:rPr>
          <w:rFonts w:ascii="Arial" w:eastAsia="Times New Roman" w:hAnsi="Arial" w:cs="Arial"/>
          <w:bCs/>
          <w:kern w:val="1"/>
          <w:sz w:val="24"/>
          <w:szCs w:val="24"/>
        </w:rPr>
        <w:t>indemnizații</w:t>
      </w:r>
      <w:r w:rsidRPr="00322869">
        <w:rPr>
          <w:rFonts w:ascii="Arial" w:eastAsia="Times New Roman" w:hAnsi="Arial" w:cs="Arial"/>
          <w:bCs/>
          <w:kern w:val="1"/>
          <w:sz w:val="24"/>
          <w:szCs w:val="24"/>
        </w:rPr>
        <w:t xml:space="preserve"> </w:t>
      </w:r>
      <w:r w:rsidR="00FD5E5E" w:rsidRPr="00322869">
        <w:rPr>
          <w:rFonts w:ascii="Arial" w:eastAsia="Times New Roman" w:hAnsi="Arial" w:cs="Arial"/>
          <w:bCs/>
          <w:kern w:val="1"/>
          <w:sz w:val="24"/>
          <w:szCs w:val="24"/>
        </w:rPr>
        <w:t>plătite</w:t>
      </w:r>
      <w:r w:rsidRPr="00322869">
        <w:rPr>
          <w:rFonts w:ascii="Arial" w:eastAsia="Times New Roman" w:hAnsi="Arial" w:cs="Arial"/>
          <w:bCs/>
          <w:kern w:val="1"/>
          <w:sz w:val="24"/>
          <w:szCs w:val="24"/>
        </w:rPr>
        <w:t xml:space="preserve"> unor persoane defavorizate cum ar fi: </w:t>
      </w:r>
      <w:r w:rsidR="00FD5E5E" w:rsidRPr="00322869">
        <w:rPr>
          <w:rFonts w:ascii="Arial" w:eastAsia="Times New Roman" w:hAnsi="Arial" w:cs="Arial"/>
          <w:bCs/>
          <w:kern w:val="1"/>
          <w:sz w:val="24"/>
          <w:szCs w:val="24"/>
        </w:rPr>
        <w:t>indemnizații</w:t>
      </w:r>
      <w:r w:rsidRPr="00322869">
        <w:rPr>
          <w:rFonts w:ascii="Arial" w:eastAsia="Times New Roman" w:hAnsi="Arial" w:cs="Arial"/>
          <w:bCs/>
          <w:kern w:val="1"/>
          <w:sz w:val="24"/>
          <w:szCs w:val="24"/>
        </w:rPr>
        <w:t xml:space="preserve"> pentru persoane persecutate politic și etnic, </w:t>
      </w:r>
      <w:r w:rsidR="00FD5E5E" w:rsidRPr="00322869">
        <w:rPr>
          <w:rFonts w:ascii="Arial" w:eastAsia="Times New Roman" w:hAnsi="Arial" w:cs="Arial"/>
          <w:bCs/>
          <w:kern w:val="1"/>
          <w:sz w:val="24"/>
          <w:szCs w:val="24"/>
        </w:rPr>
        <w:t>indemnizații</w:t>
      </w:r>
      <w:r w:rsidRPr="00322869">
        <w:rPr>
          <w:rFonts w:ascii="Arial" w:eastAsia="Times New Roman" w:hAnsi="Arial" w:cs="Arial"/>
          <w:bCs/>
          <w:kern w:val="1"/>
          <w:sz w:val="24"/>
          <w:szCs w:val="24"/>
        </w:rPr>
        <w:t xml:space="preserve"> membrii Academiei Române</w:t>
      </w:r>
      <w:r w:rsidR="00FD5E5E">
        <w:rPr>
          <w:rFonts w:ascii="Arial" w:eastAsia="Times New Roman" w:hAnsi="Arial" w:cs="Arial"/>
          <w:bCs/>
          <w:kern w:val="1"/>
          <w:sz w:val="24"/>
          <w:szCs w:val="24"/>
        </w:rPr>
        <w:t>.</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În perioada 2019-2021</w:t>
      </w:r>
      <w:r w:rsidR="00962D99">
        <w:rPr>
          <w:rFonts w:ascii="Arial" w:eastAsia="Times New Roman" w:hAnsi="Arial" w:cs="Arial"/>
          <w:bCs/>
          <w:kern w:val="1"/>
          <w:sz w:val="24"/>
          <w:szCs w:val="24"/>
        </w:rPr>
        <w:t xml:space="preserve"> </w:t>
      </w:r>
      <w:r w:rsidRPr="00322869">
        <w:rPr>
          <w:rFonts w:ascii="Arial" w:eastAsia="Times New Roman" w:hAnsi="Arial" w:cs="Arial"/>
          <w:bCs/>
          <w:kern w:val="1"/>
          <w:sz w:val="24"/>
          <w:szCs w:val="24"/>
        </w:rPr>
        <w:t xml:space="preserve">rentele viagere prevăzute la art. 64 din Legea educației fizice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sportului nr. 69/2000, cu modificările </w:t>
      </w:r>
      <w:r w:rsidR="00FD5E5E"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completările ulterioare, se acordă în cuantumul aflat în plată în luna decembrie 2018;</w:t>
      </w:r>
    </w:p>
    <w:p w:rsidR="009B633E" w:rsidRPr="00322869" w:rsidRDefault="009B633E" w:rsidP="00322869">
      <w:pPr>
        <w:keepNext/>
        <w:keepLines/>
        <w:shd w:val="clear" w:color="auto" w:fill="FFFFFF"/>
        <w:tabs>
          <w:tab w:val="left" w:pos="720"/>
          <w:tab w:val="left" w:pos="2127"/>
        </w:tabs>
        <w:spacing w:after="120" w:line="276" w:lineRule="auto"/>
        <w:ind w:firstLine="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ab/>
        <w:t>La stabilirea cheltuielilor de personal pe anul 2019 s-a avut în vedere continuarea aplicării unora dintre măsurile care vizează limitarea cheltuielilor aprobate în anii anteriori, astfel:</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munca suplimentară efectuată peste durata normală a timpului de lucru sau în zilele libere se va compensa numai cu timp liber, cu anumite </w:t>
      </w:r>
      <w:r w:rsidR="00ED5EC5" w:rsidRPr="00322869">
        <w:rPr>
          <w:rFonts w:ascii="Arial" w:eastAsia="Times New Roman" w:hAnsi="Arial" w:cs="Arial"/>
          <w:bCs/>
          <w:kern w:val="1"/>
          <w:sz w:val="24"/>
          <w:szCs w:val="24"/>
        </w:rPr>
        <w:t>excepții</w:t>
      </w:r>
      <w:r w:rsidRPr="00322869">
        <w:rPr>
          <w:rFonts w:ascii="Arial" w:eastAsia="Times New Roman" w:hAnsi="Arial" w:cs="Arial"/>
          <w:bCs/>
          <w:kern w:val="1"/>
          <w:sz w:val="24"/>
          <w:szCs w:val="24"/>
        </w:rPr>
        <w:t xml:space="preserve"> în cazul personalului din domeniile </w:t>
      </w:r>
      <w:r w:rsidR="00ED5EC5" w:rsidRPr="00322869">
        <w:rPr>
          <w:rFonts w:ascii="Arial" w:eastAsia="Times New Roman" w:hAnsi="Arial" w:cs="Arial"/>
          <w:bCs/>
          <w:kern w:val="1"/>
          <w:sz w:val="24"/>
          <w:szCs w:val="24"/>
        </w:rPr>
        <w:t>apărării</w:t>
      </w:r>
      <w:r w:rsidRPr="00322869">
        <w:rPr>
          <w:rFonts w:ascii="Arial" w:eastAsia="Times New Roman" w:hAnsi="Arial" w:cs="Arial"/>
          <w:bCs/>
          <w:kern w:val="1"/>
          <w:sz w:val="24"/>
          <w:szCs w:val="24"/>
        </w:rPr>
        <w:t xml:space="preserve">, </w:t>
      </w:r>
      <w:r w:rsidR="00ED5EC5" w:rsidRPr="00322869">
        <w:rPr>
          <w:rFonts w:ascii="Arial" w:eastAsia="Times New Roman" w:hAnsi="Arial" w:cs="Arial"/>
          <w:bCs/>
          <w:kern w:val="1"/>
          <w:sz w:val="24"/>
          <w:szCs w:val="24"/>
        </w:rPr>
        <w:t>siguranței</w:t>
      </w:r>
      <w:r w:rsidRPr="00322869">
        <w:rPr>
          <w:rFonts w:ascii="Arial" w:eastAsia="Times New Roman" w:hAnsi="Arial" w:cs="Arial"/>
          <w:bCs/>
          <w:kern w:val="1"/>
          <w:sz w:val="24"/>
          <w:szCs w:val="24"/>
        </w:rPr>
        <w:t xml:space="preserve"> si ordinii publice sau personalului cu statut special;</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 perioada 2019-2021, </w:t>
      </w:r>
      <w:r w:rsidR="00ED5EC5" w:rsidRPr="00322869">
        <w:rPr>
          <w:rFonts w:ascii="Arial" w:eastAsia="Times New Roman" w:hAnsi="Arial" w:cs="Arial"/>
          <w:bCs/>
          <w:kern w:val="1"/>
          <w:sz w:val="24"/>
          <w:szCs w:val="24"/>
        </w:rPr>
        <w:t>instituțiile</w:t>
      </w:r>
      <w:r w:rsidRPr="00322869">
        <w:rPr>
          <w:rFonts w:ascii="Arial" w:eastAsia="Times New Roman" w:hAnsi="Arial" w:cs="Arial"/>
          <w:bCs/>
          <w:kern w:val="1"/>
          <w:sz w:val="24"/>
          <w:szCs w:val="24"/>
        </w:rPr>
        <w:t xml:space="preserve"> </w:t>
      </w:r>
      <w:r w:rsidR="00ED5EC5"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w:t>
      </w:r>
      <w:r w:rsidR="00ED5EC5" w:rsidRPr="00322869">
        <w:rPr>
          <w:rFonts w:ascii="Arial" w:eastAsia="Times New Roman" w:hAnsi="Arial" w:cs="Arial"/>
          <w:bCs/>
          <w:kern w:val="1"/>
          <w:sz w:val="24"/>
          <w:szCs w:val="24"/>
        </w:rPr>
        <w:t>autoritățile</w:t>
      </w:r>
      <w:r w:rsidRPr="00322869">
        <w:rPr>
          <w:rFonts w:ascii="Arial" w:eastAsia="Times New Roman" w:hAnsi="Arial" w:cs="Arial"/>
          <w:bCs/>
          <w:kern w:val="1"/>
          <w:sz w:val="24"/>
          <w:szCs w:val="24"/>
        </w:rPr>
        <w:t xml:space="preserve"> publice nu acordă personalului din cadrul acestora premii, cu anumite </w:t>
      </w:r>
      <w:r w:rsidR="00ED5EC5" w:rsidRPr="00322869">
        <w:rPr>
          <w:rFonts w:ascii="Arial" w:eastAsia="Times New Roman" w:hAnsi="Arial" w:cs="Arial"/>
          <w:bCs/>
          <w:kern w:val="1"/>
          <w:sz w:val="24"/>
          <w:szCs w:val="24"/>
        </w:rPr>
        <w:t>excepții</w:t>
      </w:r>
      <w:r w:rsidRPr="00322869">
        <w:rPr>
          <w:rFonts w:ascii="Arial" w:eastAsia="Times New Roman" w:hAnsi="Arial" w:cs="Arial"/>
          <w:bCs/>
          <w:kern w:val="1"/>
          <w:sz w:val="24"/>
          <w:szCs w:val="24"/>
        </w:rPr>
        <w:t xml:space="preserve"> in cazul sportivilor si colectivelor tehnice, </w:t>
      </w:r>
      <w:r w:rsidR="00ED5EC5" w:rsidRPr="00322869">
        <w:rPr>
          <w:rFonts w:ascii="Arial" w:eastAsia="Times New Roman" w:hAnsi="Arial" w:cs="Arial"/>
          <w:bCs/>
          <w:kern w:val="1"/>
          <w:sz w:val="24"/>
          <w:szCs w:val="24"/>
        </w:rPr>
        <w:t>studenților</w:t>
      </w:r>
      <w:r w:rsidRPr="00322869">
        <w:rPr>
          <w:rFonts w:ascii="Arial" w:eastAsia="Times New Roman" w:hAnsi="Arial" w:cs="Arial"/>
          <w:bCs/>
          <w:kern w:val="1"/>
          <w:sz w:val="24"/>
          <w:szCs w:val="24"/>
        </w:rPr>
        <w:t xml:space="preserve">, elevilor </w:t>
      </w:r>
      <w:r w:rsidR="00ED5EC5" w:rsidRPr="00322869">
        <w:rPr>
          <w:rFonts w:ascii="Arial" w:eastAsia="Times New Roman" w:hAnsi="Arial" w:cs="Arial"/>
          <w:bCs/>
          <w:kern w:val="1"/>
          <w:sz w:val="24"/>
          <w:szCs w:val="24"/>
        </w:rPr>
        <w:t>și</w:t>
      </w:r>
      <w:r w:rsidRPr="00322869">
        <w:rPr>
          <w:rFonts w:ascii="Arial" w:eastAsia="Times New Roman" w:hAnsi="Arial" w:cs="Arial"/>
          <w:bCs/>
          <w:kern w:val="1"/>
          <w:sz w:val="24"/>
          <w:szCs w:val="24"/>
        </w:rPr>
        <w:t xml:space="preserve"> profesorilor;</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În perioada 2019-2021 nu se acordă ajutoarele sau, după caz, indemnizațiile la ieșirea la pensie, retragere, încetarea raporturilor de serviciu ori la trecerea în rezervă;</w:t>
      </w:r>
    </w:p>
    <w:p w:rsidR="009B633E" w:rsidRPr="00322869" w:rsidRDefault="009B633E" w:rsidP="004423E3">
      <w:pPr>
        <w:pStyle w:val="ListParagraph"/>
        <w:keepNext/>
        <w:keepLines/>
        <w:numPr>
          <w:ilvl w:val="0"/>
          <w:numId w:val="11"/>
        </w:numPr>
        <w:shd w:val="clear" w:color="auto" w:fill="FFFFFF"/>
        <w:tabs>
          <w:tab w:val="left" w:pos="1843"/>
          <w:tab w:val="left" w:pos="2127"/>
        </w:tabs>
        <w:spacing w:after="120" w:line="276" w:lineRule="auto"/>
        <w:ind w:left="1440" w:hanging="274"/>
        <w:contextualSpacing w:val="0"/>
        <w:textAlignment w:val="baseline"/>
        <w:rPr>
          <w:rFonts w:ascii="Arial" w:eastAsia="Times New Roman" w:hAnsi="Arial" w:cs="Arial"/>
          <w:bCs/>
          <w:kern w:val="1"/>
          <w:sz w:val="24"/>
          <w:szCs w:val="24"/>
        </w:rPr>
      </w:pPr>
      <w:r w:rsidRPr="00322869">
        <w:rPr>
          <w:rFonts w:ascii="Arial" w:eastAsia="Times New Roman" w:hAnsi="Arial" w:cs="Arial"/>
          <w:bCs/>
          <w:kern w:val="1"/>
          <w:sz w:val="24"/>
          <w:szCs w:val="24"/>
        </w:rPr>
        <w:t xml:space="preserve">În perioada 2019-2021 instituțiile și </w:t>
      </w:r>
      <w:r w:rsidR="00ED5EC5" w:rsidRPr="00322869">
        <w:rPr>
          <w:rFonts w:ascii="Arial" w:eastAsia="Times New Roman" w:hAnsi="Arial" w:cs="Arial"/>
          <w:bCs/>
          <w:kern w:val="1"/>
          <w:sz w:val="24"/>
          <w:szCs w:val="24"/>
        </w:rPr>
        <w:t>autoritățile</w:t>
      </w:r>
      <w:r w:rsidRPr="00322869">
        <w:rPr>
          <w:rFonts w:ascii="Arial" w:eastAsia="Times New Roman" w:hAnsi="Arial" w:cs="Arial"/>
          <w:bCs/>
          <w:kern w:val="1"/>
          <w:sz w:val="24"/>
          <w:szCs w:val="24"/>
        </w:rPr>
        <w:t xml:space="preserve"> publice nu acordă personalului bilete de valoare, cu excepția tichetelor de creșă reglementate de Legea 165/2018. </w:t>
      </w:r>
    </w:p>
    <w:p w:rsidR="006719EC" w:rsidRDefault="006719EC">
      <w:pPr>
        <w:rPr>
          <w:rFonts w:ascii="Arial" w:hAnsi="Arial" w:cs="Arial"/>
          <w:b/>
          <w:bCs/>
          <w:sz w:val="24"/>
          <w:szCs w:val="24"/>
        </w:rPr>
      </w:pPr>
      <w:r>
        <w:rPr>
          <w:rFonts w:ascii="Arial" w:hAnsi="Arial" w:cs="Arial"/>
          <w:b/>
          <w:bCs/>
          <w:sz w:val="24"/>
          <w:szCs w:val="24"/>
        </w:rPr>
        <w:br w:type="page"/>
      </w:r>
    </w:p>
    <w:p w:rsidR="006719EC" w:rsidRDefault="006719EC" w:rsidP="00ED5EC5">
      <w:pPr>
        <w:keepNext/>
        <w:keepLines/>
        <w:ind w:firstLine="680"/>
        <w:rPr>
          <w:rFonts w:ascii="Arial" w:hAnsi="Arial" w:cs="Arial"/>
          <w:b/>
          <w:bCs/>
          <w:sz w:val="24"/>
          <w:szCs w:val="24"/>
        </w:rPr>
      </w:pPr>
    </w:p>
    <w:p w:rsidR="00ED5EC5" w:rsidRDefault="00593AD9" w:rsidP="00ED5EC5">
      <w:pPr>
        <w:keepNext/>
        <w:keepLines/>
        <w:ind w:firstLine="680"/>
        <w:rPr>
          <w:rFonts w:ascii="Arial" w:hAnsi="Arial" w:cs="Arial"/>
          <w:b/>
          <w:bCs/>
          <w:sz w:val="24"/>
          <w:szCs w:val="24"/>
        </w:rPr>
      </w:pPr>
      <w:r w:rsidRPr="0035238C">
        <w:rPr>
          <w:rFonts w:ascii="Arial" w:hAnsi="Arial" w:cs="Arial"/>
          <w:b/>
          <w:bCs/>
          <w:sz w:val="24"/>
          <w:szCs w:val="24"/>
        </w:rPr>
        <w:t>Principalele m</w:t>
      </w:r>
      <w:r w:rsidR="007C4F03" w:rsidRPr="0035238C">
        <w:rPr>
          <w:rFonts w:ascii="Arial" w:hAnsi="Arial" w:cs="Arial"/>
          <w:b/>
          <w:bCs/>
          <w:sz w:val="24"/>
          <w:szCs w:val="24"/>
        </w:rPr>
        <w:t xml:space="preserve">ăsuri </w:t>
      </w:r>
      <w:r w:rsidRPr="0035238C">
        <w:rPr>
          <w:rFonts w:ascii="Arial" w:hAnsi="Arial" w:cs="Arial"/>
          <w:b/>
          <w:bCs/>
          <w:sz w:val="24"/>
          <w:szCs w:val="24"/>
        </w:rPr>
        <w:t>legislative ce vor sta la baza elaborării rectificării bugetare</w:t>
      </w:r>
      <w:r w:rsidR="00ED5EC5">
        <w:rPr>
          <w:rFonts w:ascii="Arial" w:hAnsi="Arial" w:cs="Arial"/>
          <w:b/>
          <w:bCs/>
          <w:sz w:val="24"/>
          <w:szCs w:val="24"/>
        </w:rPr>
        <w:t>:</w:t>
      </w:r>
    </w:p>
    <w:p w:rsidR="00ED5EC5" w:rsidRDefault="00ED5EC5" w:rsidP="00ED5EC5">
      <w:pPr>
        <w:keepNext/>
        <w:keepLines/>
        <w:ind w:firstLine="680"/>
        <w:rPr>
          <w:rFonts w:ascii="Arial" w:hAnsi="Arial" w:cs="Arial"/>
          <w:bCs/>
          <w:sz w:val="24"/>
          <w:szCs w:val="24"/>
        </w:rPr>
      </w:pPr>
    </w:p>
    <w:p w:rsidR="00593AD9" w:rsidRDefault="00DF66E3" w:rsidP="00ED5EC5">
      <w:pPr>
        <w:keepNext/>
        <w:keepLines/>
        <w:ind w:firstLine="680"/>
        <w:rPr>
          <w:rFonts w:ascii="Arial" w:hAnsi="Arial" w:cs="Arial"/>
          <w:bCs/>
          <w:sz w:val="24"/>
          <w:szCs w:val="24"/>
        </w:rPr>
      </w:pPr>
      <w:r w:rsidRPr="00ED5EC5">
        <w:rPr>
          <w:rFonts w:ascii="Arial" w:hAnsi="Arial" w:cs="Arial"/>
          <w:bCs/>
          <w:sz w:val="24"/>
          <w:szCs w:val="24"/>
        </w:rPr>
        <w:t>Pe partea de venituri</w:t>
      </w:r>
      <w:r w:rsidR="00593AD9" w:rsidRPr="00ED5EC5">
        <w:rPr>
          <w:rFonts w:ascii="Arial" w:hAnsi="Arial" w:cs="Arial"/>
          <w:bCs/>
          <w:sz w:val="24"/>
          <w:szCs w:val="24"/>
        </w:rPr>
        <w:t>:</w:t>
      </w:r>
    </w:p>
    <w:p w:rsidR="006719EC" w:rsidRDefault="006719EC" w:rsidP="00ED5EC5">
      <w:pPr>
        <w:keepNext/>
        <w:keepLines/>
        <w:ind w:firstLine="680"/>
        <w:rPr>
          <w:rFonts w:ascii="Arial" w:hAnsi="Arial" w:cs="Arial"/>
          <w:bCs/>
          <w:sz w:val="24"/>
          <w:szCs w:val="24"/>
        </w:rPr>
      </w:pPr>
    </w:p>
    <w:p w:rsidR="001F4C0B" w:rsidRPr="00E25A9F" w:rsidRDefault="00E25A9F" w:rsidP="00164927">
      <w:pPr>
        <w:numPr>
          <w:ilvl w:val="0"/>
          <w:numId w:val="28"/>
        </w:numPr>
        <w:spacing w:before="120" w:after="0"/>
        <w:rPr>
          <w:rFonts w:ascii="Arial" w:hAnsi="Arial" w:cs="Arial"/>
          <w:sz w:val="24"/>
          <w:szCs w:val="24"/>
        </w:rPr>
      </w:pPr>
      <w:r w:rsidRPr="00E25A9F">
        <w:rPr>
          <w:rFonts w:ascii="Arial" w:hAnsi="Arial" w:cs="Arial"/>
          <w:sz w:val="24"/>
          <w:szCs w:val="24"/>
        </w:rPr>
        <w:t>modificarea regimului fiscal aplicabil tichetelor cadou acordate în legătură cu o activitate dependentă (venituri din salarii și asimilate salariilor), în anumite situații și includerea acestora în baza de calcul al contribuțiilor sociale obligatorii</w:t>
      </w:r>
      <w:r w:rsidR="00D57688">
        <w:rPr>
          <w:rFonts w:ascii="Arial" w:hAnsi="Arial" w:cs="Arial"/>
          <w:sz w:val="24"/>
          <w:szCs w:val="24"/>
        </w:rPr>
        <w:t>;</w:t>
      </w:r>
      <w:r w:rsidRPr="00E25A9F">
        <w:rPr>
          <w:rFonts w:ascii="Arial" w:hAnsi="Arial" w:cs="Arial"/>
          <w:sz w:val="24"/>
          <w:szCs w:val="24"/>
        </w:rPr>
        <w:t xml:space="preserve"> </w:t>
      </w:r>
    </w:p>
    <w:p w:rsidR="00D33EB3" w:rsidRPr="00E25A9F" w:rsidRDefault="00E25A9F" w:rsidP="00E25A9F">
      <w:pPr>
        <w:numPr>
          <w:ilvl w:val="0"/>
          <w:numId w:val="28"/>
        </w:numPr>
        <w:spacing w:before="120" w:after="0"/>
        <w:rPr>
          <w:rFonts w:ascii="Arial" w:hAnsi="Arial" w:cs="Arial"/>
          <w:sz w:val="24"/>
          <w:szCs w:val="24"/>
        </w:rPr>
      </w:pPr>
      <w:r w:rsidRPr="00E25A9F">
        <w:rPr>
          <w:rFonts w:ascii="Arial" w:hAnsi="Arial" w:cs="Arial"/>
          <w:sz w:val="24"/>
          <w:szCs w:val="24"/>
        </w:rPr>
        <w:t>creșterea nivelului acciz</w:t>
      </w:r>
      <w:r w:rsidR="00D57688">
        <w:rPr>
          <w:rFonts w:ascii="Arial" w:hAnsi="Arial" w:cs="Arial"/>
          <w:sz w:val="24"/>
          <w:szCs w:val="24"/>
        </w:rPr>
        <w:t>ei totale pentru țigarete;</w:t>
      </w:r>
    </w:p>
    <w:p w:rsidR="001F4C0B" w:rsidRPr="00D33EB3" w:rsidRDefault="001F4C0B" w:rsidP="0066051B">
      <w:pPr>
        <w:numPr>
          <w:ilvl w:val="0"/>
          <w:numId w:val="28"/>
        </w:numPr>
        <w:spacing w:before="120" w:after="0"/>
        <w:rPr>
          <w:rFonts w:ascii="Arial" w:hAnsi="Arial" w:cs="Arial"/>
          <w:bCs/>
          <w:sz w:val="24"/>
          <w:szCs w:val="24"/>
        </w:rPr>
      </w:pPr>
      <w:r w:rsidRPr="00D33EB3">
        <w:rPr>
          <w:rFonts w:ascii="Arial" w:hAnsi="Arial" w:cs="Arial"/>
          <w:bCs/>
          <w:sz w:val="24"/>
          <w:szCs w:val="24"/>
        </w:rPr>
        <w:t>introducerea băuturilor răcoritoare cu un conținut ridicat de zaharuri în sfera produselor supuse accizelor nearmonizate</w:t>
      </w:r>
      <w:r w:rsidR="00441064">
        <w:rPr>
          <w:rFonts w:ascii="Arial" w:hAnsi="Arial" w:cs="Arial"/>
          <w:bCs/>
          <w:sz w:val="24"/>
          <w:szCs w:val="24"/>
        </w:rPr>
        <w:t>.</w:t>
      </w:r>
      <w:r w:rsidRPr="00D33EB3">
        <w:rPr>
          <w:rFonts w:ascii="Arial" w:hAnsi="Arial" w:cs="Arial"/>
          <w:bCs/>
          <w:sz w:val="24"/>
          <w:szCs w:val="24"/>
        </w:rPr>
        <w:t xml:space="preserve"> </w:t>
      </w:r>
    </w:p>
    <w:p w:rsidR="00207D12" w:rsidRPr="00207D12" w:rsidRDefault="00207D12" w:rsidP="00EB45BC">
      <w:pPr>
        <w:numPr>
          <w:ilvl w:val="0"/>
          <w:numId w:val="28"/>
        </w:numPr>
        <w:spacing w:before="120" w:after="0"/>
        <w:rPr>
          <w:rFonts w:ascii="Arial" w:hAnsi="Arial" w:cs="Arial"/>
          <w:sz w:val="24"/>
          <w:szCs w:val="24"/>
        </w:rPr>
      </w:pPr>
      <w:r w:rsidRPr="00207D12">
        <w:rPr>
          <w:rFonts w:ascii="Arial" w:hAnsi="Arial" w:cs="Arial"/>
          <w:sz w:val="24"/>
          <w:szCs w:val="24"/>
        </w:rPr>
        <w:t xml:space="preserve">instituirea unui mecanism de restructurare a obligațiilor bugetare ca mecanism alternativ </w:t>
      </w:r>
      <w:r w:rsidR="00D57688" w:rsidRPr="00207D12">
        <w:rPr>
          <w:rFonts w:ascii="Arial" w:hAnsi="Arial" w:cs="Arial"/>
          <w:sz w:val="24"/>
          <w:szCs w:val="24"/>
        </w:rPr>
        <w:t>față</w:t>
      </w:r>
      <w:r w:rsidRPr="00207D12">
        <w:rPr>
          <w:rFonts w:ascii="Arial" w:hAnsi="Arial" w:cs="Arial"/>
          <w:sz w:val="24"/>
          <w:szCs w:val="24"/>
        </w:rPr>
        <w:t xml:space="preserve"> de procedura de acordare a </w:t>
      </w:r>
      <w:r w:rsidR="00D57688" w:rsidRPr="00207D12">
        <w:rPr>
          <w:rFonts w:ascii="Arial" w:hAnsi="Arial" w:cs="Arial"/>
          <w:sz w:val="24"/>
          <w:szCs w:val="24"/>
        </w:rPr>
        <w:t>eșalonării</w:t>
      </w:r>
      <w:r w:rsidRPr="00207D12">
        <w:rPr>
          <w:rFonts w:ascii="Arial" w:hAnsi="Arial" w:cs="Arial"/>
          <w:sz w:val="24"/>
          <w:szCs w:val="24"/>
        </w:rPr>
        <w:t xml:space="preserve"> la plată, reglementată în Legea nr. 207/2015 privind Codul de procedură fiscală, cu modificările și completările ulterioare, prin care se estimează încasări suplimentare din recuperarea obligațiilor restante</w:t>
      </w:r>
      <w:r w:rsidR="00441064">
        <w:rPr>
          <w:rFonts w:ascii="Arial" w:hAnsi="Arial" w:cs="Arial"/>
          <w:sz w:val="24"/>
          <w:szCs w:val="24"/>
        </w:rPr>
        <w:t>.</w:t>
      </w:r>
      <w:r w:rsidRPr="00207D12">
        <w:rPr>
          <w:rFonts w:ascii="Arial" w:hAnsi="Arial" w:cs="Arial"/>
          <w:sz w:val="24"/>
          <w:szCs w:val="24"/>
        </w:rPr>
        <w:t xml:space="preserve"> </w:t>
      </w:r>
    </w:p>
    <w:p w:rsidR="00EB45BC" w:rsidRDefault="00207D12" w:rsidP="00335B91">
      <w:pPr>
        <w:numPr>
          <w:ilvl w:val="0"/>
          <w:numId w:val="28"/>
        </w:numPr>
        <w:spacing w:before="120" w:after="0"/>
        <w:rPr>
          <w:rFonts w:ascii="Arial" w:hAnsi="Arial" w:cs="Arial"/>
          <w:sz w:val="24"/>
          <w:szCs w:val="24"/>
        </w:rPr>
      </w:pPr>
      <w:r w:rsidRPr="00207D12">
        <w:rPr>
          <w:rFonts w:ascii="Arial" w:hAnsi="Arial" w:cs="Arial"/>
          <w:sz w:val="24"/>
          <w:szCs w:val="24"/>
        </w:rPr>
        <w:t>menținerea angajamentului ANAF de a colecta veniturile din TVA și accize la nivelul programat pentru semestrul II</w:t>
      </w:r>
      <w:r w:rsidR="00D57688">
        <w:rPr>
          <w:rFonts w:ascii="Arial" w:hAnsi="Arial" w:cs="Arial"/>
          <w:sz w:val="24"/>
          <w:szCs w:val="24"/>
        </w:rPr>
        <w:t>,</w:t>
      </w:r>
      <w:r w:rsidRPr="00207D12">
        <w:rPr>
          <w:rFonts w:ascii="Arial" w:hAnsi="Arial" w:cs="Arial"/>
          <w:sz w:val="24"/>
          <w:szCs w:val="24"/>
        </w:rPr>
        <w:t xml:space="preserve"> dar și reînnoirea angajamentului ANAF de a colecta venituri suplimentare prin intensificarea acțiunilor de îmbunătățire a colectării și reducerea evaziunii fiscale</w:t>
      </w:r>
      <w:r>
        <w:rPr>
          <w:rFonts w:ascii="Arial" w:hAnsi="Arial" w:cs="Arial"/>
          <w:sz w:val="24"/>
          <w:szCs w:val="24"/>
        </w:rPr>
        <w:t>.</w:t>
      </w:r>
    </w:p>
    <w:p w:rsidR="00441064" w:rsidRPr="00441064" w:rsidRDefault="00441064" w:rsidP="00441064">
      <w:pPr>
        <w:numPr>
          <w:ilvl w:val="0"/>
          <w:numId w:val="28"/>
        </w:numPr>
        <w:spacing w:before="120" w:after="0"/>
        <w:rPr>
          <w:rFonts w:ascii="Arial" w:hAnsi="Arial" w:cs="Arial"/>
          <w:sz w:val="24"/>
          <w:szCs w:val="24"/>
        </w:rPr>
      </w:pPr>
      <w:r w:rsidRPr="00441064">
        <w:rPr>
          <w:rFonts w:ascii="Arial" w:hAnsi="Arial" w:cs="Arial"/>
          <w:sz w:val="24"/>
          <w:szCs w:val="24"/>
        </w:rPr>
        <w:t>menținerea planului de realizare a veniturilor din dividende de la societăți și companii naționale</w:t>
      </w:r>
      <w:r w:rsidR="00D57688">
        <w:rPr>
          <w:rFonts w:ascii="Arial" w:hAnsi="Arial" w:cs="Arial"/>
          <w:sz w:val="24"/>
          <w:szCs w:val="24"/>
        </w:rPr>
        <w:t>,</w:t>
      </w:r>
      <w:r w:rsidRPr="00441064">
        <w:rPr>
          <w:rFonts w:ascii="Arial" w:hAnsi="Arial" w:cs="Arial"/>
          <w:sz w:val="24"/>
          <w:szCs w:val="24"/>
        </w:rPr>
        <w:t xml:space="preserve"> precum și de la regii autonome.</w:t>
      </w:r>
    </w:p>
    <w:p w:rsidR="00EB45BC" w:rsidRDefault="00EB45BC" w:rsidP="00EB45BC">
      <w:pPr>
        <w:spacing w:before="120" w:after="0"/>
        <w:ind w:left="360" w:firstLine="0"/>
        <w:rPr>
          <w:rFonts w:ascii="Arial" w:hAnsi="Arial" w:cs="Arial"/>
          <w:sz w:val="24"/>
          <w:szCs w:val="24"/>
        </w:rPr>
      </w:pPr>
    </w:p>
    <w:p w:rsidR="00D57688" w:rsidRDefault="00D57688">
      <w:pPr>
        <w:rPr>
          <w:rFonts w:ascii="Arial" w:hAnsi="Arial" w:cs="Arial"/>
          <w:sz w:val="24"/>
          <w:szCs w:val="24"/>
          <w:lang w:eastAsia="ro-RO"/>
        </w:rPr>
      </w:pPr>
      <w:r>
        <w:rPr>
          <w:rFonts w:ascii="Arial" w:hAnsi="Arial" w:cs="Arial"/>
          <w:sz w:val="24"/>
          <w:szCs w:val="24"/>
          <w:lang w:eastAsia="ro-RO"/>
        </w:rPr>
        <w:br w:type="page"/>
      </w:r>
    </w:p>
    <w:p w:rsidR="0035238C" w:rsidRPr="00ED5EC5" w:rsidRDefault="0035238C" w:rsidP="00ED5EC5">
      <w:pPr>
        <w:autoSpaceDE w:val="0"/>
        <w:spacing w:after="120" w:line="276" w:lineRule="auto"/>
        <w:ind w:right="142" w:firstLine="708"/>
        <w:rPr>
          <w:rFonts w:ascii="Arial" w:hAnsi="Arial" w:cs="Arial"/>
          <w:sz w:val="24"/>
          <w:szCs w:val="24"/>
          <w:lang w:eastAsia="ro-RO"/>
        </w:rPr>
      </w:pPr>
    </w:p>
    <w:p w:rsidR="00593AD9" w:rsidRPr="00857E54" w:rsidRDefault="001069C2" w:rsidP="00281576">
      <w:pPr>
        <w:keepNext/>
        <w:keepLines/>
        <w:ind w:firstLine="680"/>
        <w:jc w:val="center"/>
        <w:rPr>
          <w:rFonts w:ascii="Arial" w:hAnsi="Arial" w:cs="Arial"/>
          <w:b/>
          <w:bCs/>
          <w:sz w:val="24"/>
          <w:szCs w:val="24"/>
        </w:rPr>
      </w:pPr>
      <w:r w:rsidRPr="00857E54">
        <w:rPr>
          <w:rFonts w:ascii="Arial" w:hAnsi="Arial" w:cs="Arial"/>
          <w:b/>
          <w:bCs/>
          <w:sz w:val="24"/>
          <w:szCs w:val="24"/>
        </w:rPr>
        <w:t xml:space="preserve">Măsuri destinate îmbunătățirii nivelului de colectare a veniturilor bugetare avute în vedere de către Agenția Națională de Administrare Fiscală </w:t>
      </w:r>
    </w:p>
    <w:p w:rsidR="00684CFD" w:rsidRPr="00857E54" w:rsidRDefault="00684CFD" w:rsidP="00281576">
      <w:pPr>
        <w:keepNext/>
        <w:keepLines/>
        <w:ind w:firstLine="0"/>
        <w:rPr>
          <w:rFonts w:ascii="Arial" w:hAnsi="Arial" w:cs="Arial"/>
          <w:sz w:val="24"/>
          <w:szCs w:val="24"/>
        </w:rPr>
      </w:pPr>
    </w:p>
    <w:p w:rsidR="009B633E" w:rsidRPr="00322869" w:rsidRDefault="009B633E" w:rsidP="00322869">
      <w:pPr>
        <w:spacing w:line="276" w:lineRule="auto"/>
        <w:ind w:firstLine="680"/>
        <w:rPr>
          <w:rFonts w:ascii="Arial" w:hAnsi="Arial" w:cs="Arial"/>
          <w:sz w:val="24"/>
          <w:szCs w:val="24"/>
        </w:rPr>
      </w:pPr>
      <w:r w:rsidRPr="00322869">
        <w:rPr>
          <w:rFonts w:ascii="Arial" w:hAnsi="Arial" w:cs="Arial"/>
          <w:sz w:val="24"/>
          <w:szCs w:val="24"/>
        </w:rPr>
        <w:t>În vederea creșterii gradului de colectare Agenția Națională de Administrare Fiscală are în vedere</w:t>
      </w:r>
      <w:r w:rsidR="00322869">
        <w:rPr>
          <w:rFonts w:ascii="Arial" w:hAnsi="Arial" w:cs="Arial"/>
          <w:sz w:val="24"/>
          <w:szCs w:val="24"/>
        </w:rPr>
        <w:t>,</w:t>
      </w:r>
      <w:r w:rsidRPr="00322869">
        <w:rPr>
          <w:rFonts w:ascii="Arial" w:hAnsi="Arial" w:cs="Arial"/>
          <w:sz w:val="24"/>
          <w:szCs w:val="24"/>
        </w:rPr>
        <w:t xml:space="preserve"> </w:t>
      </w:r>
      <w:r w:rsidR="00322869">
        <w:rPr>
          <w:rFonts w:ascii="Arial" w:hAnsi="Arial" w:cs="Arial"/>
          <w:sz w:val="24"/>
          <w:szCs w:val="24"/>
        </w:rPr>
        <w:t xml:space="preserve">pentru anul 2019, </w:t>
      </w:r>
      <w:r w:rsidRPr="00322869">
        <w:rPr>
          <w:rFonts w:ascii="Arial" w:hAnsi="Arial" w:cs="Arial"/>
          <w:sz w:val="24"/>
          <w:szCs w:val="24"/>
        </w:rPr>
        <w:t>următoarele obiective:</w:t>
      </w:r>
    </w:p>
    <w:p w:rsidR="009B633E" w:rsidRPr="00322869" w:rsidRDefault="009B633E" w:rsidP="00322869">
      <w:pPr>
        <w:spacing w:line="276" w:lineRule="auto"/>
        <w:rPr>
          <w:rFonts w:ascii="Arial" w:hAnsi="Arial" w:cs="Arial"/>
          <w:sz w:val="24"/>
          <w:szCs w:val="24"/>
        </w:rPr>
      </w:pPr>
    </w:p>
    <w:p w:rsidR="009B633E" w:rsidRPr="00322869" w:rsidRDefault="009B633E" w:rsidP="004423E3">
      <w:pPr>
        <w:pStyle w:val="ListParagraph"/>
        <w:numPr>
          <w:ilvl w:val="0"/>
          <w:numId w:val="13"/>
        </w:numPr>
        <w:spacing w:after="120" w:line="276" w:lineRule="auto"/>
        <w:contextualSpacing w:val="0"/>
        <w:rPr>
          <w:rFonts w:ascii="Arial" w:hAnsi="Arial" w:cs="Arial"/>
          <w:b/>
          <w:sz w:val="24"/>
          <w:szCs w:val="24"/>
        </w:rPr>
      </w:pPr>
      <w:r w:rsidRPr="00322869">
        <w:rPr>
          <w:rFonts w:ascii="Arial" w:hAnsi="Arial" w:cs="Arial"/>
          <w:b/>
          <w:sz w:val="24"/>
          <w:szCs w:val="24"/>
        </w:rPr>
        <w:t>Simplificarea procedurilor de administrare fiscală pentru susținerea conformării voluntare la declararea obligațiilor fiscale, prin implementarea următoarelor acțiuni:</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Reducerea numărului de formulare și declarații la persoanele juridice</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Reducerea frecvenței de depunere a declarațiilor fiscale la persoane juridice</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Simplificarea declarației unice pentru persoanele fizice</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Depunerea electronică a tuturor declarațiilor fiscale</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 xml:space="preserve">Evaluarea calității serviciilor fiscale din perspectiva contribuabililor pe baza chestionarului de evaluare. In </w:t>
      </w:r>
      <w:r w:rsidR="00C27F72" w:rsidRPr="00322869">
        <w:rPr>
          <w:rFonts w:ascii="Arial" w:hAnsi="Arial" w:cs="Arial"/>
          <w:sz w:val="24"/>
          <w:szCs w:val="24"/>
        </w:rPr>
        <w:t>funcție</w:t>
      </w:r>
      <w:r w:rsidRPr="00322869">
        <w:rPr>
          <w:rFonts w:ascii="Arial" w:hAnsi="Arial" w:cs="Arial"/>
          <w:sz w:val="24"/>
          <w:szCs w:val="24"/>
        </w:rPr>
        <w:t xml:space="preserve"> de feedback-ul </w:t>
      </w:r>
      <w:r w:rsidR="00C27F72" w:rsidRPr="00322869">
        <w:rPr>
          <w:rFonts w:ascii="Arial" w:hAnsi="Arial" w:cs="Arial"/>
          <w:sz w:val="24"/>
          <w:szCs w:val="24"/>
        </w:rPr>
        <w:t>obținut</w:t>
      </w:r>
      <w:r w:rsidRPr="00322869">
        <w:rPr>
          <w:rFonts w:ascii="Arial" w:hAnsi="Arial" w:cs="Arial"/>
          <w:sz w:val="24"/>
          <w:szCs w:val="24"/>
        </w:rPr>
        <w:t>, se vor implementa măsuri de creșterea calității serviciilor</w:t>
      </w:r>
    </w:p>
    <w:p w:rsidR="009B633E" w:rsidRPr="00322869" w:rsidRDefault="009B633E" w:rsidP="004423E3">
      <w:pPr>
        <w:pStyle w:val="ListParagraph"/>
        <w:numPr>
          <w:ilvl w:val="0"/>
          <w:numId w:val="14"/>
        </w:numPr>
        <w:spacing w:after="120" w:line="276" w:lineRule="auto"/>
        <w:contextualSpacing w:val="0"/>
        <w:rPr>
          <w:rFonts w:ascii="Arial" w:hAnsi="Arial" w:cs="Arial"/>
          <w:sz w:val="24"/>
          <w:szCs w:val="24"/>
        </w:rPr>
      </w:pPr>
      <w:r w:rsidRPr="00322869">
        <w:rPr>
          <w:rFonts w:ascii="Arial" w:hAnsi="Arial" w:cs="Arial"/>
          <w:sz w:val="24"/>
          <w:szCs w:val="24"/>
        </w:rPr>
        <w:t>Acordarea de asistență din inițiativa organelor fiscale pe teme ce decurg din  constatări ale organelor de control din cadrul ANAF</w:t>
      </w:r>
    </w:p>
    <w:p w:rsidR="009B633E" w:rsidRPr="00322869" w:rsidRDefault="009B633E" w:rsidP="004423E3">
      <w:pPr>
        <w:pStyle w:val="ListParagraph"/>
        <w:numPr>
          <w:ilvl w:val="0"/>
          <w:numId w:val="13"/>
        </w:numPr>
        <w:spacing w:after="120" w:line="276" w:lineRule="auto"/>
        <w:contextualSpacing w:val="0"/>
        <w:rPr>
          <w:rFonts w:ascii="Arial" w:hAnsi="Arial" w:cs="Arial"/>
          <w:b/>
          <w:sz w:val="24"/>
          <w:szCs w:val="24"/>
        </w:rPr>
      </w:pPr>
      <w:r w:rsidRPr="00322869">
        <w:rPr>
          <w:rFonts w:ascii="Arial" w:hAnsi="Arial" w:cs="Arial"/>
          <w:b/>
          <w:sz w:val="24"/>
          <w:szCs w:val="24"/>
        </w:rPr>
        <w:t>Sprijinirea conformării la plata obligațiilor fiscale, prin implementarea următoarelor acțiuni:</w:t>
      </w:r>
    </w:p>
    <w:p w:rsidR="009B633E" w:rsidRPr="00322869" w:rsidRDefault="009B633E" w:rsidP="004423E3">
      <w:pPr>
        <w:pStyle w:val="ListParagraph"/>
        <w:numPr>
          <w:ilvl w:val="0"/>
          <w:numId w:val="15"/>
        </w:numPr>
        <w:spacing w:after="120" w:line="276" w:lineRule="auto"/>
        <w:contextualSpacing w:val="0"/>
        <w:rPr>
          <w:rFonts w:ascii="Arial" w:hAnsi="Arial" w:cs="Arial"/>
          <w:sz w:val="24"/>
          <w:szCs w:val="24"/>
        </w:rPr>
      </w:pPr>
      <w:r w:rsidRPr="00322869">
        <w:rPr>
          <w:rFonts w:ascii="Arial" w:hAnsi="Arial" w:cs="Arial"/>
          <w:sz w:val="24"/>
          <w:szCs w:val="24"/>
        </w:rPr>
        <w:t>Reglementarea restructurării obligațiilor bugetare restante și simplificarea în continuare a procedurilor de eșalonare la plată.</w:t>
      </w:r>
    </w:p>
    <w:p w:rsidR="009B633E" w:rsidRPr="00322869" w:rsidRDefault="009B633E" w:rsidP="004423E3">
      <w:pPr>
        <w:pStyle w:val="ListParagraph"/>
        <w:numPr>
          <w:ilvl w:val="0"/>
          <w:numId w:val="15"/>
        </w:numPr>
        <w:spacing w:after="120" w:line="276" w:lineRule="auto"/>
        <w:contextualSpacing w:val="0"/>
        <w:rPr>
          <w:rFonts w:ascii="Arial" w:hAnsi="Arial" w:cs="Arial"/>
          <w:sz w:val="24"/>
          <w:szCs w:val="24"/>
        </w:rPr>
      </w:pPr>
      <w:r w:rsidRPr="00322869">
        <w:rPr>
          <w:rFonts w:ascii="Arial" w:hAnsi="Arial" w:cs="Arial"/>
          <w:sz w:val="24"/>
          <w:szCs w:val="24"/>
        </w:rPr>
        <w:t xml:space="preserve">Implementarea unui sistem de supraveghere a debitorilor de către organele fiscale din subordinea ANAF cu privire la respectarea planului de </w:t>
      </w:r>
      <w:r w:rsidR="00C27F72" w:rsidRPr="00322869">
        <w:rPr>
          <w:rFonts w:ascii="Arial" w:hAnsi="Arial" w:cs="Arial"/>
          <w:sz w:val="24"/>
          <w:szCs w:val="24"/>
        </w:rPr>
        <w:t>restructurare</w:t>
      </w:r>
      <w:r w:rsidRPr="00322869">
        <w:rPr>
          <w:rFonts w:ascii="Arial" w:hAnsi="Arial" w:cs="Arial"/>
          <w:sz w:val="24"/>
          <w:szCs w:val="24"/>
        </w:rPr>
        <w:t xml:space="preserve"> fiscală</w:t>
      </w:r>
    </w:p>
    <w:p w:rsidR="009B633E" w:rsidRPr="00322869" w:rsidRDefault="009B633E" w:rsidP="004423E3">
      <w:pPr>
        <w:pStyle w:val="ListParagraph"/>
        <w:numPr>
          <w:ilvl w:val="0"/>
          <w:numId w:val="15"/>
        </w:numPr>
        <w:spacing w:after="120" w:line="276" w:lineRule="auto"/>
        <w:contextualSpacing w:val="0"/>
        <w:rPr>
          <w:rFonts w:ascii="Arial" w:hAnsi="Arial" w:cs="Arial"/>
          <w:sz w:val="24"/>
          <w:szCs w:val="24"/>
        </w:rPr>
      </w:pPr>
      <w:r w:rsidRPr="00322869">
        <w:rPr>
          <w:rFonts w:ascii="Arial" w:hAnsi="Arial" w:cs="Arial"/>
          <w:sz w:val="24"/>
          <w:szCs w:val="24"/>
        </w:rPr>
        <w:t xml:space="preserve">Acordarea de facilități fiscale la plata obligațiilor fiscale pentru bunii </w:t>
      </w:r>
      <w:r w:rsidR="00C27F72" w:rsidRPr="00322869">
        <w:rPr>
          <w:rFonts w:ascii="Arial" w:hAnsi="Arial" w:cs="Arial"/>
          <w:sz w:val="24"/>
          <w:szCs w:val="24"/>
        </w:rPr>
        <w:t>plătitori</w:t>
      </w:r>
    </w:p>
    <w:p w:rsidR="009B633E" w:rsidRPr="00322869" w:rsidRDefault="009B633E" w:rsidP="004423E3">
      <w:pPr>
        <w:pStyle w:val="ListParagraph"/>
        <w:numPr>
          <w:ilvl w:val="0"/>
          <w:numId w:val="15"/>
        </w:numPr>
        <w:spacing w:after="120" w:line="276" w:lineRule="auto"/>
        <w:contextualSpacing w:val="0"/>
        <w:rPr>
          <w:rFonts w:ascii="Arial" w:hAnsi="Arial" w:cs="Arial"/>
          <w:sz w:val="24"/>
          <w:szCs w:val="24"/>
        </w:rPr>
      </w:pPr>
      <w:r w:rsidRPr="00322869">
        <w:rPr>
          <w:rFonts w:ascii="Arial" w:hAnsi="Arial" w:cs="Arial"/>
          <w:sz w:val="24"/>
          <w:szCs w:val="24"/>
        </w:rPr>
        <w:t>Mediatizarea celor mai buni plătitori de impozite și taxe</w:t>
      </w:r>
    </w:p>
    <w:p w:rsidR="009B633E" w:rsidRPr="00322869" w:rsidRDefault="009B633E" w:rsidP="004423E3">
      <w:pPr>
        <w:pStyle w:val="ListParagraph"/>
        <w:numPr>
          <w:ilvl w:val="0"/>
          <w:numId w:val="13"/>
        </w:numPr>
        <w:spacing w:after="120" w:line="276" w:lineRule="auto"/>
        <w:contextualSpacing w:val="0"/>
        <w:rPr>
          <w:rFonts w:ascii="Arial" w:hAnsi="Arial" w:cs="Arial"/>
          <w:b/>
          <w:sz w:val="24"/>
          <w:szCs w:val="24"/>
        </w:rPr>
      </w:pPr>
      <w:r w:rsidRPr="00322869">
        <w:rPr>
          <w:rFonts w:ascii="Arial" w:hAnsi="Arial" w:cs="Arial"/>
          <w:b/>
          <w:sz w:val="24"/>
          <w:szCs w:val="24"/>
        </w:rPr>
        <w:t>Măsuri de prevenire și combatere a evaziunii fiscale</w:t>
      </w:r>
      <w:r w:rsidR="00322869">
        <w:rPr>
          <w:rFonts w:ascii="Arial" w:hAnsi="Arial" w:cs="Arial"/>
          <w:b/>
          <w:sz w:val="24"/>
          <w:szCs w:val="24"/>
        </w:rPr>
        <w:t xml:space="preserve">, </w:t>
      </w:r>
      <w:r w:rsidRPr="00322869">
        <w:rPr>
          <w:rFonts w:ascii="Arial" w:hAnsi="Arial" w:cs="Arial"/>
          <w:b/>
          <w:sz w:val="24"/>
          <w:szCs w:val="24"/>
        </w:rPr>
        <w:t>prin implementarea următoarelor acțiuni:</w:t>
      </w:r>
    </w:p>
    <w:p w:rsidR="009B633E" w:rsidRPr="00322869" w:rsidRDefault="009B633E" w:rsidP="004423E3">
      <w:pPr>
        <w:pStyle w:val="ListParagraph"/>
        <w:numPr>
          <w:ilvl w:val="0"/>
          <w:numId w:val="16"/>
        </w:numPr>
        <w:spacing w:after="120" w:line="276" w:lineRule="auto"/>
        <w:contextualSpacing w:val="0"/>
        <w:rPr>
          <w:rFonts w:ascii="Arial" w:hAnsi="Arial" w:cs="Arial"/>
          <w:sz w:val="24"/>
          <w:szCs w:val="24"/>
        </w:rPr>
      </w:pPr>
      <w:r w:rsidRPr="00322869">
        <w:rPr>
          <w:rFonts w:ascii="Arial" w:hAnsi="Arial" w:cs="Arial"/>
          <w:sz w:val="24"/>
          <w:szCs w:val="24"/>
        </w:rPr>
        <w:t>Inițierea inspecțiilor fiscale în concordanță cu planul BEPS (Base Erosion Profit Shifting) și directiva ATAD (Anti Tax Avoidance Directive) - reglementări europene și internaționale privind prevenirea și combaterea evaziunii fiscale</w:t>
      </w:r>
    </w:p>
    <w:p w:rsidR="009B633E" w:rsidRPr="00322869" w:rsidRDefault="009B633E" w:rsidP="004423E3">
      <w:pPr>
        <w:pStyle w:val="ListParagraph"/>
        <w:numPr>
          <w:ilvl w:val="0"/>
          <w:numId w:val="16"/>
        </w:numPr>
        <w:spacing w:after="120" w:line="276" w:lineRule="auto"/>
        <w:contextualSpacing w:val="0"/>
        <w:rPr>
          <w:rFonts w:ascii="Arial" w:hAnsi="Arial" w:cs="Arial"/>
          <w:sz w:val="24"/>
          <w:szCs w:val="24"/>
        </w:rPr>
      </w:pPr>
      <w:r w:rsidRPr="00322869">
        <w:rPr>
          <w:rFonts w:ascii="Arial" w:hAnsi="Arial" w:cs="Arial"/>
          <w:sz w:val="24"/>
          <w:szCs w:val="24"/>
        </w:rPr>
        <w:t xml:space="preserve">Identificarea la nivel național a persoanelor afiliate, inventarierea tranzacțiilor susceptibile a fi verificate în domeniul prețurilor de transfer și notificarea acestor contribuabili în scopul corectării/ rectificării declarațiilor </w:t>
      </w:r>
      <w:r w:rsidRPr="00322869">
        <w:rPr>
          <w:rFonts w:ascii="Arial" w:hAnsi="Arial" w:cs="Arial"/>
          <w:sz w:val="24"/>
          <w:szCs w:val="24"/>
        </w:rPr>
        <w:lastRenderedPageBreak/>
        <w:t>fiscale. Intensificarea verificărilor în acest domeniu, monitorizarea și evaluarea rezultatelor activității de inspecție fiscală</w:t>
      </w:r>
    </w:p>
    <w:p w:rsidR="009B633E" w:rsidRPr="00322869" w:rsidRDefault="009B633E" w:rsidP="004423E3">
      <w:pPr>
        <w:pStyle w:val="ListParagraph"/>
        <w:numPr>
          <w:ilvl w:val="0"/>
          <w:numId w:val="16"/>
        </w:numPr>
        <w:spacing w:after="120" w:line="276" w:lineRule="auto"/>
        <w:contextualSpacing w:val="0"/>
        <w:rPr>
          <w:rFonts w:ascii="Arial" w:hAnsi="Arial" w:cs="Arial"/>
          <w:sz w:val="24"/>
          <w:szCs w:val="24"/>
        </w:rPr>
      </w:pPr>
      <w:r w:rsidRPr="00322869">
        <w:rPr>
          <w:rFonts w:ascii="Arial" w:hAnsi="Arial" w:cs="Arial"/>
          <w:sz w:val="24"/>
          <w:szCs w:val="24"/>
        </w:rPr>
        <w:t>Introducerea în declarația 394 “</w:t>
      </w:r>
      <w:r w:rsidR="00C27F72" w:rsidRPr="00322869">
        <w:rPr>
          <w:rFonts w:ascii="Arial" w:hAnsi="Arial" w:cs="Arial"/>
          <w:sz w:val="24"/>
          <w:szCs w:val="24"/>
        </w:rPr>
        <w:t>Declarație</w:t>
      </w:r>
      <w:r w:rsidRPr="00322869">
        <w:rPr>
          <w:rFonts w:ascii="Arial" w:hAnsi="Arial" w:cs="Arial"/>
          <w:sz w:val="24"/>
          <w:szCs w:val="24"/>
        </w:rPr>
        <w:t xml:space="preserve"> informativă privind livrările/prestările </w:t>
      </w:r>
      <w:r w:rsidR="00C27F72" w:rsidRPr="00322869">
        <w:rPr>
          <w:rFonts w:ascii="Arial" w:hAnsi="Arial" w:cs="Arial"/>
          <w:sz w:val="24"/>
          <w:szCs w:val="24"/>
        </w:rPr>
        <w:t>și</w:t>
      </w:r>
      <w:r w:rsidRPr="00322869">
        <w:rPr>
          <w:rFonts w:ascii="Arial" w:hAnsi="Arial" w:cs="Arial"/>
          <w:sz w:val="24"/>
          <w:szCs w:val="24"/>
        </w:rPr>
        <w:t xml:space="preserve"> </w:t>
      </w:r>
      <w:r w:rsidR="00C27F72" w:rsidRPr="00322869">
        <w:rPr>
          <w:rFonts w:ascii="Arial" w:hAnsi="Arial" w:cs="Arial"/>
          <w:sz w:val="24"/>
          <w:szCs w:val="24"/>
        </w:rPr>
        <w:t>achizițiile</w:t>
      </w:r>
      <w:r w:rsidRPr="00322869">
        <w:rPr>
          <w:rFonts w:ascii="Arial" w:hAnsi="Arial" w:cs="Arial"/>
          <w:sz w:val="24"/>
          <w:szCs w:val="24"/>
        </w:rPr>
        <w:t xml:space="preserve"> efectuate pe teritoriul </w:t>
      </w:r>
      <w:r w:rsidR="00C27F72" w:rsidRPr="00322869">
        <w:rPr>
          <w:rFonts w:ascii="Arial" w:hAnsi="Arial" w:cs="Arial"/>
          <w:sz w:val="24"/>
          <w:szCs w:val="24"/>
        </w:rPr>
        <w:t>național</w:t>
      </w:r>
      <w:r w:rsidRPr="00322869">
        <w:rPr>
          <w:rFonts w:ascii="Arial" w:hAnsi="Arial" w:cs="Arial"/>
          <w:sz w:val="24"/>
          <w:szCs w:val="24"/>
        </w:rPr>
        <w:t>” a unei casete în vederea bifării tranzacțiilor cu persoanele afiliate.</w:t>
      </w:r>
    </w:p>
    <w:p w:rsidR="009B633E" w:rsidRPr="00322869" w:rsidRDefault="009B633E" w:rsidP="004423E3">
      <w:pPr>
        <w:pStyle w:val="ListParagraph"/>
        <w:numPr>
          <w:ilvl w:val="0"/>
          <w:numId w:val="16"/>
        </w:numPr>
        <w:spacing w:after="120" w:line="276" w:lineRule="auto"/>
        <w:contextualSpacing w:val="0"/>
        <w:rPr>
          <w:rFonts w:ascii="Arial" w:hAnsi="Arial" w:cs="Arial"/>
          <w:sz w:val="24"/>
          <w:szCs w:val="24"/>
        </w:rPr>
      </w:pPr>
      <w:r w:rsidRPr="00322869">
        <w:rPr>
          <w:rFonts w:ascii="Arial" w:hAnsi="Arial" w:cs="Arial"/>
          <w:sz w:val="24"/>
          <w:szCs w:val="24"/>
        </w:rPr>
        <w:t>Extinderea și îmbunătățirea tehnicilor de control electronic și implementarea "standard audit file for tax" (SAF-T). Implementarea  SAF-T  în sistem pilot la marii contribuabili</w:t>
      </w:r>
      <w:r w:rsidR="00322869" w:rsidRPr="00322869">
        <w:rPr>
          <w:rFonts w:ascii="Arial" w:hAnsi="Arial" w:cs="Arial"/>
          <w:sz w:val="24"/>
          <w:szCs w:val="24"/>
        </w:rPr>
        <w:t>.</w:t>
      </w:r>
    </w:p>
    <w:p w:rsidR="009B633E" w:rsidRPr="00322869" w:rsidRDefault="009B633E" w:rsidP="004423E3">
      <w:pPr>
        <w:pStyle w:val="ListParagraph"/>
        <w:numPr>
          <w:ilvl w:val="0"/>
          <w:numId w:val="13"/>
        </w:numPr>
        <w:spacing w:after="120" w:line="276" w:lineRule="auto"/>
        <w:contextualSpacing w:val="0"/>
        <w:rPr>
          <w:rFonts w:ascii="Arial" w:hAnsi="Arial" w:cs="Arial"/>
          <w:b/>
          <w:sz w:val="24"/>
          <w:szCs w:val="24"/>
        </w:rPr>
      </w:pPr>
      <w:r w:rsidRPr="00322869">
        <w:rPr>
          <w:rFonts w:ascii="Arial" w:hAnsi="Arial" w:cs="Arial"/>
          <w:b/>
          <w:sz w:val="24"/>
          <w:szCs w:val="24"/>
        </w:rPr>
        <w:t>Asigurarea unui tratament fiscal diferențiat în funcție de comportamentul fiscal al contribuabililor, prin implementarea următoarelor acțiuni:</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 xml:space="preserve">Armonizarea riscurilor identificate la nivelul </w:t>
      </w:r>
      <w:r w:rsidR="00C27F72" w:rsidRPr="00322869">
        <w:rPr>
          <w:rFonts w:ascii="Arial" w:hAnsi="Arial" w:cs="Arial"/>
          <w:sz w:val="24"/>
          <w:szCs w:val="24"/>
        </w:rPr>
        <w:t>activității</w:t>
      </w:r>
      <w:r w:rsidRPr="00322869">
        <w:rPr>
          <w:rFonts w:ascii="Arial" w:hAnsi="Arial" w:cs="Arial"/>
          <w:sz w:val="24"/>
          <w:szCs w:val="24"/>
        </w:rPr>
        <w:t xml:space="preserve"> de administrare fiscala, al </w:t>
      </w:r>
      <w:r w:rsidR="00C27F72" w:rsidRPr="00322869">
        <w:rPr>
          <w:rFonts w:ascii="Arial" w:hAnsi="Arial" w:cs="Arial"/>
          <w:sz w:val="24"/>
          <w:szCs w:val="24"/>
        </w:rPr>
        <w:t>activității</w:t>
      </w:r>
      <w:r w:rsidRPr="00322869">
        <w:rPr>
          <w:rFonts w:ascii="Arial" w:hAnsi="Arial" w:cs="Arial"/>
          <w:sz w:val="24"/>
          <w:szCs w:val="24"/>
        </w:rPr>
        <w:t xml:space="preserve"> de </w:t>
      </w:r>
      <w:r w:rsidR="00C27F72" w:rsidRPr="00322869">
        <w:rPr>
          <w:rFonts w:ascii="Arial" w:hAnsi="Arial" w:cs="Arial"/>
          <w:sz w:val="24"/>
          <w:szCs w:val="24"/>
        </w:rPr>
        <w:t>inspecție</w:t>
      </w:r>
      <w:r w:rsidRPr="00322869">
        <w:rPr>
          <w:rFonts w:ascii="Arial" w:hAnsi="Arial" w:cs="Arial"/>
          <w:sz w:val="24"/>
          <w:szCs w:val="24"/>
        </w:rPr>
        <w:t xml:space="preserve"> fiscala, respectiv al </w:t>
      </w:r>
      <w:r w:rsidR="00C27F72" w:rsidRPr="00322869">
        <w:rPr>
          <w:rFonts w:ascii="Arial" w:hAnsi="Arial" w:cs="Arial"/>
          <w:sz w:val="24"/>
          <w:szCs w:val="24"/>
        </w:rPr>
        <w:t>activității</w:t>
      </w:r>
      <w:r w:rsidRPr="00322869">
        <w:rPr>
          <w:rFonts w:ascii="Arial" w:hAnsi="Arial" w:cs="Arial"/>
          <w:sz w:val="24"/>
          <w:szCs w:val="24"/>
        </w:rPr>
        <w:t xml:space="preserve"> </w:t>
      </w:r>
      <w:r w:rsidR="00C27F72" w:rsidRPr="00322869">
        <w:rPr>
          <w:rFonts w:ascii="Arial" w:hAnsi="Arial" w:cs="Arial"/>
          <w:sz w:val="24"/>
          <w:szCs w:val="24"/>
        </w:rPr>
        <w:t>anti fraudei</w:t>
      </w:r>
      <w:r w:rsidRPr="00322869">
        <w:rPr>
          <w:rFonts w:ascii="Arial" w:hAnsi="Arial" w:cs="Arial"/>
          <w:sz w:val="24"/>
          <w:szCs w:val="24"/>
        </w:rPr>
        <w:t xml:space="preserve"> fiscale cu scopul </w:t>
      </w:r>
      <w:r w:rsidR="00C27F72" w:rsidRPr="00322869">
        <w:rPr>
          <w:rFonts w:ascii="Arial" w:hAnsi="Arial" w:cs="Arial"/>
          <w:sz w:val="24"/>
          <w:szCs w:val="24"/>
        </w:rPr>
        <w:t>creării</w:t>
      </w:r>
      <w:r w:rsidRPr="00322869">
        <w:rPr>
          <w:rFonts w:ascii="Arial" w:hAnsi="Arial" w:cs="Arial"/>
          <w:sz w:val="24"/>
          <w:szCs w:val="24"/>
        </w:rPr>
        <w:t xml:space="preserve"> unui profil unic de risc al contribuabilului, care va sta la baza </w:t>
      </w:r>
      <w:r w:rsidR="00C27F72" w:rsidRPr="00322869">
        <w:rPr>
          <w:rFonts w:ascii="Arial" w:hAnsi="Arial" w:cs="Arial"/>
          <w:sz w:val="24"/>
          <w:szCs w:val="24"/>
        </w:rPr>
        <w:t>direcțiilor</w:t>
      </w:r>
      <w:r w:rsidRPr="00322869">
        <w:rPr>
          <w:rFonts w:ascii="Arial" w:hAnsi="Arial" w:cs="Arial"/>
          <w:sz w:val="24"/>
          <w:szCs w:val="24"/>
        </w:rPr>
        <w:t xml:space="preserve"> de </w:t>
      </w:r>
      <w:r w:rsidR="00C27F72" w:rsidRPr="00322869">
        <w:rPr>
          <w:rFonts w:ascii="Arial" w:hAnsi="Arial" w:cs="Arial"/>
          <w:sz w:val="24"/>
          <w:szCs w:val="24"/>
        </w:rPr>
        <w:t>acțiune</w:t>
      </w:r>
      <w:r w:rsidRPr="00322869">
        <w:rPr>
          <w:rFonts w:ascii="Arial" w:hAnsi="Arial" w:cs="Arial"/>
          <w:sz w:val="24"/>
          <w:szCs w:val="24"/>
        </w:rPr>
        <w:t xml:space="preserve"> ale </w:t>
      </w:r>
      <w:r w:rsidR="00C27F72" w:rsidRPr="00322869">
        <w:rPr>
          <w:rFonts w:ascii="Arial" w:hAnsi="Arial" w:cs="Arial"/>
          <w:sz w:val="24"/>
          <w:szCs w:val="24"/>
        </w:rPr>
        <w:t>fiecărei</w:t>
      </w:r>
      <w:r w:rsidRPr="00322869">
        <w:rPr>
          <w:rFonts w:ascii="Arial" w:hAnsi="Arial" w:cs="Arial"/>
          <w:sz w:val="24"/>
          <w:szCs w:val="24"/>
        </w:rPr>
        <w:t xml:space="preserve"> structuri din cadrul ANAF</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Aplicarea graduală, în funcție de comportamentul contribuabililor, a unor masuri specifice de către organele fiscale:</w:t>
      </w:r>
    </w:p>
    <w:p w:rsidR="009B633E" w:rsidRPr="00322869" w:rsidRDefault="009B633E" w:rsidP="004423E3">
      <w:pPr>
        <w:pStyle w:val="ListParagraph"/>
        <w:numPr>
          <w:ilvl w:val="0"/>
          <w:numId w:val="18"/>
        </w:numPr>
        <w:spacing w:after="120" w:line="276" w:lineRule="auto"/>
        <w:contextualSpacing w:val="0"/>
        <w:rPr>
          <w:rFonts w:ascii="Arial" w:hAnsi="Arial" w:cs="Arial"/>
          <w:sz w:val="24"/>
          <w:szCs w:val="24"/>
        </w:rPr>
      </w:pPr>
      <w:r w:rsidRPr="00322869">
        <w:rPr>
          <w:rFonts w:ascii="Arial" w:hAnsi="Arial" w:cs="Arial"/>
          <w:sz w:val="24"/>
          <w:szCs w:val="24"/>
        </w:rPr>
        <w:t xml:space="preserve">notificarea contribuabililor cu privire la posibilele </w:t>
      </w:r>
      <w:r w:rsidR="00C27F72" w:rsidRPr="00322869">
        <w:rPr>
          <w:rFonts w:ascii="Arial" w:hAnsi="Arial" w:cs="Arial"/>
          <w:sz w:val="24"/>
          <w:szCs w:val="24"/>
        </w:rPr>
        <w:t>iregularități</w:t>
      </w:r>
      <w:r w:rsidRPr="00322869">
        <w:rPr>
          <w:rFonts w:ascii="Arial" w:hAnsi="Arial" w:cs="Arial"/>
          <w:sz w:val="24"/>
          <w:szCs w:val="24"/>
        </w:rPr>
        <w:t xml:space="preserve"> care ar putea conduce la stabilirea de </w:t>
      </w:r>
      <w:r w:rsidR="00C27F72" w:rsidRPr="00322869">
        <w:rPr>
          <w:rFonts w:ascii="Arial" w:hAnsi="Arial" w:cs="Arial"/>
          <w:sz w:val="24"/>
          <w:szCs w:val="24"/>
        </w:rPr>
        <w:t>diferențe</w:t>
      </w:r>
      <w:r w:rsidRPr="00322869">
        <w:rPr>
          <w:rFonts w:ascii="Arial" w:hAnsi="Arial" w:cs="Arial"/>
          <w:sz w:val="24"/>
          <w:szCs w:val="24"/>
        </w:rPr>
        <w:t xml:space="preserve"> de impozite si taxe </w:t>
      </w:r>
    </w:p>
    <w:p w:rsidR="009B633E" w:rsidRPr="00322869" w:rsidRDefault="009B633E" w:rsidP="004423E3">
      <w:pPr>
        <w:pStyle w:val="ListParagraph"/>
        <w:numPr>
          <w:ilvl w:val="0"/>
          <w:numId w:val="18"/>
        </w:numPr>
        <w:spacing w:after="120" w:line="276" w:lineRule="auto"/>
        <w:contextualSpacing w:val="0"/>
        <w:rPr>
          <w:rFonts w:ascii="Arial" w:hAnsi="Arial" w:cs="Arial"/>
          <w:sz w:val="24"/>
          <w:szCs w:val="24"/>
        </w:rPr>
      </w:pPr>
      <w:r w:rsidRPr="00322869">
        <w:rPr>
          <w:rFonts w:ascii="Arial" w:hAnsi="Arial" w:cs="Arial"/>
          <w:sz w:val="24"/>
          <w:szCs w:val="24"/>
        </w:rPr>
        <w:t xml:space="preserve">mediere </w:t>
      </w:r>
    </w:p>
    <w:p w:rsidR="009B633E" w:rsidRPr="00322869" w:rsidRDefault="009B633E" w:rsidP="004423E3">
      <w:pPr>
        <w:pStyle w:val="ListParagraph"/>
        <w:numPr>
          <w:ilvl w:val="0"/>
          <w:numId w:val="18"/>
        </w:numPr>
        <w:spacing w:after="120" w:line="276" w:lineRule="auto"/>
        <w:contextualSpacing w:val="0"/>
        <w:rPr>
          <w:rFonts w:ascii="Arial" w:hAnsi="Arial" w:cs="Arial"/>
          <w:sz w:val="24"/>
          <w:szCs w:val="24"/>
        </w:rPr>
      </w:pPr>
      <w:r w:rsidRPr="00322869">
        <w:rPr>
          <w:rFonts w:ascii="Arial" w:hAnsi="Arial" w:cs="Arial"/>
          <w:sz w:val="24"/>
          <w:szCs w:val="24"/>
        </w:rPr>
        <w:t xml:space="preserve">controlul inopinat </w:t>
      </w:r>
    </w:p>
    <w:p w:rsidR="009B633E" w:rsidRPr="00322869" w:rsidRDefault="009B633E" w:rsidP="004423E3">
      <w:pPr>
        <w:pStyle w:val="ListParagraph"/>
        <w:numPr>
          <w:ilvl w:val="0"/>
          <w:numId w:val="18"/>
        </w:numPr>
        <w:spacing w:after="120" w:line="276" w:lineRule="auto"/>
        <w:contextualSpacing w:val="0"/>
        <w:rPr>
          <w:rFonts w:ascii="Arial" w:hAnsi="Arial" w:cs="Arial"/>
          <w:sz w:val="24"/>
          <w:szCs w:val="24"/>
        </w:rPr>
      </w:pPr>
      <w:r w:rsidRPr="00322869">
        <w:rPr>
          <w:rFonts w:ascii="Arial" w:hAnsi="Arial" w:cs="Arial"/>
          <w:sz w:val="24"/>
          <w:szCs w:val="24"/>
        </w:rPr>
        <w:t xml:space="preserve">inspecție fiscală parțială </w:t>
      </w:r>
    </w:p>
    <w:p w:rsidR="009B633E" w:rsidRPr="00322869" w:rsidRDefault="009B633E" w:rsidP="004423E3">
      <w:pPr>
        <w:pStyle w:val="ListParagraph"/>
        <w:numPr>
          <w:ilvl w:val="0"/>
          <w:numId w:val="18"/>
        </w:numPr>
        <w:spacing w:after="120" w:line="276" w:lineRule="auto"/>
        <w:contextualSpacing w:val="0"/>
        <w:rPr>
          <w:rFonts w:ascii="Arial" w:hAnsi="Arial" w:cs="Arial"/>
          <w:sz w:val="24"/>
          <w:szCs w:val="24"/>
        </w:rPr>
      </w:pPr>
      <w:r w:rsidRPr="00322869">
        <w:rPr>
          <w:rFonts w:ascii="Arial" w:hAnsi="Arial" w:cs="Arial"/>
          <w:sz w:val="24"/>
          <w:szCs w:val="24"/>
        </w:rPr>
        <w:t>inspecție fiscală generală</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 xml:space="preserve">Transformarea </w:t>
      </w:r>
      <w:r w:rsidR="00C27F72" w:rsidRPr="00322869">
        <w:rPr>
          <w:rFonts w:ascii="Arial" w:hAnsi="Arial" w:cs="Arial"/>
          <w:sz w:val="24"/>
          <w:szCs w:val="24"/>
        </w:rPr>
        <w:t>executării</w:t>
      </w:r>
      <w:r w:rsidRPr="00322869">
        <w:rPr>
          <w:rFonts w:ascii="Arial" w:hAnsi="Arial" w:cs="Arial"/>
          <w:sz w:val="24"/>
          <w:szCs w:val="24"/>
        </w:rPr>
        <w:t xml:space="preserve"> silite în proces investigativ</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 xml:space="preserve">Consolidarea </w:t>
      </w:r>
      <w:r w:rsidR="00C27F72" w:rsidRPr="00322869">
        <w:rPr>
          <w:rFonts w:ascii="Arial" w:hAnsi="Arial" w:cs="Arial"/>
          <w:sz w:val="24"/>
          <w:szCs w:val="24"/>
        </w:rPr>
        <w:t>activității</w:t>
      </w:r>
      <w:r w:rsidRPr="00322869">
        <w:rPr>
          <w:rFonts w:ascii="Arial" w:hAnsi="Arial" w:cs="Arial"/>
          <w:sz w:val="24"/>
          <w:szCs w:val="24"/>
        </w:rPr>
        <w:t xml:space="preserve"> de asistenta reciproca la recuperare in materia </w:t>
      </w:r>
      <w:r w:rsidR="00C27F72" w:rsidRPr="00322869">
        <w:rPr>
          <w:rFonts w:ascii="Arial" w:hAnsi="Arial" w:cs="Arial"/>
          <w:sz w:val="24"/>
          <w:szCs w:val="24"/>
        </w:rPr>
        <w:t>creanțelor</w:t>
      </w:r>
      <w:r w:rsidRPr="00322869">
        <w:rPr>
          <w:rFonts w:ascii="Arial" w:hAnsi="Arial" w:cs="Arial"/>
          <w:sz w:val="24"/>
          <w:szCs w:val="24"/>
        </w:rPr>
        <w:t xml:space="preserve"> fiscale</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Revizuirea procedurii de rambursare TVA</w:t>
      </w:r>
    </w:p>
    <w:p w:rsidR="009B633E" w:rsidRPr="00322869"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Completarea legislației în domeniul insolvenței. Realizarea analizei de risc la contribuabilii pentru care se solicită deschiderea procedurii de insolvență, anterior pronunțării unei hotărâri a judecătorului sindic.</w:t>
      </w:r>
    </w:p>
    <w:p w:rsidR="009B633E" w:rsidRDefault="009B633E" w:rsidP="004423E3">
      <w:pPr>
        <w:pStyle w:val="ListParagraph"/>
        <w:numPr>
          <w:ilvl w:val="0"/>
          <w:numId w:val="17"/>
        </w:numPr>
        <w:spacing w:after="120" w:line="276" w:lineRule="auto"/>
        <w:contextualSpacing w:val="0"/>
        <w:rPr>
          <w:rFonts w:ascii="Arial" w:hAnsi="Arial" w:cs="Arial"/>
          <w:sz w:val="24"/>
          <w:szCs w:val="24"/>
        </w:rPr>
      </w:pPr>
      <w:r w:rsidRPr="00322869">
        <w:rPr>
          <w:rFonts w:ascii="Arial" w:hAnsi="Arial" w:cs="Arial"/>
          <w:sz w:val="24"/>
          <w:szCs w:val="24"/>
        </w:rPr>
        <w:t xml:space="preserve">Realizarea unui inventar al societăților comerciale din punct de vedere al situației financiare a acestora. Inventarul va avea drept obiectiv respectarea prevederilor Legii 31/1990 prin raportarea capitalului social la capitaluri proprii înregistrate conform bilanțurilor contabile depuse de contribuabil. Stabilirea prin lege a unui termen de 12 luni pentru majorarea capitalului social al </w:t>
      </w:r>
      <w:r w:rsidR="00C27F72" w:rsidRPr="00322869">
        <w:rPr>
          <w:rFonts w:ascii="Arial" w:hAnsi="Arial" w:cs="Arial"/>
          <w:sz w:val="24"/>
          <w:szCs w:val="24"/>
        </w:rPr>
        <w:t>societăților</w:t>
      </w:r>
      <w:r w:rsidRPr="00322869">
        <w:rPr>
          <w:rFonts w:ascii="Arial" w:hAnsi="Arial" w:cs="Arial"/>
          <w:sz w:val="24"/>
          <w:szCs w:val="24"/>
        </w:rPr>
        <w:t xml:space="preserve"> comerciale care înregistrează capitaluri proprii negative.</w:t>
      </w:r>
    </w:p>
    <w:p w:rsidR="00335B91" w:rsidRPr="00322869" w:rsidRDefault="00335B91" w:rsidP="00335B91">
      <w:pPr>
        <w:pStyle w:val="ListParagraph"/>
        <w:spacing w:after="120" w:line="276" w:lineRule="auto"/>
        <w:ind w:left="1083" w:firstLine="0"/>
        <w:contextualSpacing w:val="0"/>
        <w:rPr>
          <w:rFonts w:ascii="Arial" w:hAnsi="Arial" w:cs="Arial"/>
          <w:sz w:val="24"/>
          <w:szCs w:val="24"/>
        </w:rPr>
      </w:pPr>
    </w:p>
    <w:p w:rsidR="009B633E" w:rsidRPr="00322869" w:rsidRDefault="009B633E" w:rsidP="004423E3">
      <w:pPr>
        <w:pStyle w:val="ListParagraph"/>
        <w:numPr>
          <w:ilvl w:val="0"/>
          <w:numId w:val="13"/>
        </w:numPr>
        <w:spacing w:line="276" w:lineRule="auto"/>
        <w:rPr>
          <w:rFonts w:ascii="Arial" w:hAnsi="Arial" w:cs="Arial"/>
          <w:b/>
          <w:sz w:val="24"/>
          <w:szCs w:val="24"/>
        </w:rPr>
      </w:pPr>
      <w:r w:rsidRPr="00322869">
        <w:rPr>
          <w:rFonts w:ascii="Arial" w:hAnsi="Arial" w:cs="Arial"/>
          <w:b/>
          <w:sz w:val="24"/>
          <w:szCs w:val="24"/>
        </w:rPr>
        <w:lastRenderedPageBreak/>
        <w:t xml:space="preserve">ANAF o </w:t>
      </w:r>
      <w:r w:rsidR="00C27F72" w:rsidRPr="00322869">
        <w:rPr>
          <w:rFonts w:ascii="Arial" w:hAnsi="Arial" w:cs="Arial"/>
          <w:b/>
          <w:sz w:val="24"/>
          <w:szCs w:val="24"/>
        </w:rPr>
        <w:t>instituție</w:t>
      </w:r>
      <w:r w:rsidRPr="00322869">
        <w:rPr>
          <w:rFonts w:ascii="Arial" w:hAnsi="Arial" w:cs="Arial"/>
          <w:b/>
          <w:sz w:val="24"/>
          <w:szCs w:val="24"/>
        </w:rPr>
        <w:t xml:space="preserve"> eficientă și transparentă, prin implementarea următoarelor acțiuni:</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Evaluarea și revizuirea modului de funcționare a ANAF pe principiile eficienței și eficacității.</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Reformarea managementului și a sistemului de evaluare a performanței în contextul alocării juste a resurselor de către ANAF către organele fiscale subordonate.</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 xml:space="preserve">Implementarea unui nou sistem de </w:t>
      </w:r>
      <w:r w:rsidR="00C27F72" w:rsidRPr="00322869">
        <w:rPr>
          <w:rFonts w:ascii="Arial" w:hAnsi="Arial" w:cs="Arial"/>
          <w:sz w:val="24"/>
          <w:szCs w:val="24"/>
        </w:rPr>
        <w:t>pregătire</w:t>
      </w:r>
      <w:r w:rsidRPr="00322869">
        <w:rPr>
          <w:rFonts w:ascii="Arial" w:hAnsi="Arial" w:cs="Arial"/>
          <w:sz w:val="24"/>
          <w:szCs w:val="24"/>
        </w:rPr>
        <w:t xml:space="preserve"> profesionala a </w:t>
      </w:r>
      <w:r w:rsidR="00C27F72" w:rsidRPr="00322869">
        <w:rPr>
          <w:rFonts w:ascii="Arial" w:hAnsi="Arial" w:cs="Arial"/>
          <w:sz w:val="24"/>
          <w:szCs w:val="24"/>
        </w:rPr>
        <w:t>salariaților</w:t>
      </w:r>
      <w:r w:rsidRPr="00322869">
        <w:rPr>
          <w:rFonts w:ascii="Arial" w:hAnsi="Arial" w:cs="Arial"/>
          <w:sz w:val="24"/>
          <w:szCs w:val="24"/>
        </w:rPr>
        <w:t xml:space="preserve"> ANAF pentru asigurarea </w:t>
      </w:r>
      <w:r w:rsidR="00C27F72" w:rsidRPr="00322869">
        <w:rPr>
          <w:rFonts w:ascii="Arial" w:hAnsi="Arial" w:cs="Arial"/>
          <w:sz w:val="24"/>
          <w:szCs w:val="24"/>
        </w:rPr>
        <w:t>posibilității</w:t>
      </w:r>
      <w:r w:rsidRPr="00322869">
        <w:rPr>
          <w:rFonts w:ascii="Arial" w:hAnsi="Arial" w:cs="Arial"/>
          <w:sz w:val="24"/>
          <w:szCs w:val="24"/>
        </w:rPr>
        <w:t xml:space="preserve"> </w:t>
      </w:r>
      <w:r w:rsidR="00C27F72" w:rsidRPr="00322869">
        <w:rPr>
          <w:rFonts w:ascii="Arial" w:hAnsi="Arial" w:cs="Arial"/>
          <w:sz w:val="24"/>
          <w:szCs w:val="24"/>
        </w:rPr>
        <w:t>relocării</w:t>
      </w:r>
      <w:r w:rsidRPr="00322869">
        <w:rPr>
          <w:rFonts w:ascii="Arial" w:hAnsi="Arial" w:cs="Arial"/>
          <w:sz w:val="24"/>
          <w:szCs w:val="24"/>
        </w:rPr>
        <w:t xml:space="preserve"> resursei umane </w:t>
      </w:r>
      <w:r w:rsidR="00C27F72" w:rsidRPr="00322869">
        <w:rPr>
          <w:rFonts w:ascii="Arial" w:hAnsi="Arial" w:cs="Arial"/>
          <w:sz w:val="24"/>
          <w:szCs w:val="24"/>
        </w:rPr>
        <w:t>către</w:t>
      </w:r>
      <w:r w:rsidRPr="00322869">
        <w:rPr>
          <w:rFonts w:ascii="Arial" w:hAnsi="Arial" w:cs="Arial"/>
          <w:sz w:val="24"/>
          <w:szCs w:val="24"/>
        </w:rPr>
        <w:t xml:space="preserve"> domenii de activitate deficitare.</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Reproiectarea principalelor procese ale instituției.</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Migrarea contribuabililor persoane juridice pe baza centrală, cu sprijinul MFP – CNIF.</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Reorganizarea activității vamale și trecerea Direcției Generale Vamale în subordinea Ministerului Finanțelor Publice</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Revizuirea principiilor de organizare și funcționare a activității Direcției Generale de Antifraudă Fiscală</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Înființarea la nivelul aparatului propriu al ANAF al Direcției generale de analiză de risc</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Consolidarea Administrației fiscale pentru contribuabili nerezidenți și preluarea tuturor persoanelor fizice străine care au atribuit NIF în scopul prevenirii evaziunii fiscale pentru această categorie de contribuabili.</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Eficientizarea activității Direcției Generale de Administrare a Marilor Contribuabili.</w:t>
      </w:r>
    </w:p>
    <w:p w:rsidR="009B633E" w:rsidRPr="00322869" w:rsidRDefault="009B633E" w:rsidP="006E1E76">
      <w:pPr>
        <w:pStyle w:val="ListParagraph"/>
        <w:numPr>
          <w:ilvl w:val="0"/>
          <w:numId w:val="19"/>
        </w:numPr>
        <w:spacing w:after="120"/>
        <w:ind w:left="1077" w:hanging="357"/>
        <w:contextualSpacing w:val="0"/>
        <w:rPr>
          <w:rFonts w:ascii="Arial" w:hAnsi="Arial" w:cs="Arial"/>
          <w:sz w:val="24"/>
          <w:szCs w:val="24"/>
        </w:rPr>
      </w:pPr>
      <w:r w:rsidRPr="00322869">
        <w:rPr>
          <w:rFonts w:ascii="Arial" w:hAnsi="Arial" w:cs="Arial"/>
          <w:sz w:val="24"/>
          <w:szCs w:val="24"/>
        </w:rPr>
        <w:t>Reducerea numărului de Vicepreședinți de la 4 la 2, precum și redefinirea atribuțiilor acestora.</w:t>
      </w:r>
    </w:p>
    <w:p w:rsidR="006E1E76" w:rsidRDefault="006E1E76" w:rsidP="006E1E76">
      <w:pPr>
        <w:pStyle w:val="ListParagraph"/>
        <w:keepNext/>
        <w:keepLines/>
        <w:ind w:left="567" w:firstLine="0"/>
        <w:outlineLvl w:val="0"/>
        <w:rPr>
          <w:rFonts w:ascii="Arial" w:hAnsi="Arial" w:cs="Arial"/>
          <w:b/>
          <w:sz w:val="28"/>
          <w:szCs w:val="28"/>
        </w:rPr>
      </w:pPr>
      <w:bookmarkStart w:id="12" w:name="_Toc299543080"/>
      <w:bookmarkStart w:id="13" w:name="_Toc425320858"/>
      <w:bookmarkStart w:id="14" w:name="_Toc425428327"/>
      <w:bookmarkStart w:id="15" w:name="_Toc456256137"/>
      <w:bookmarkStart w:id="16" w:name="_Toc456256934"/>
      <w:bookmarkStart w:id="17" w:name="_Toc456257458"/>
      <w:bookmarkStart w:id="18" w:name="_Toc456258316"/>
      <w:bookmarkStart w:id="19" w:name="_Toc456258421"/>
      <w:bookmarkStart w:id="20" w:name="_Toc15024076"/>
    </w:p>
    <w:p w:rsidR="0056154D" w:rsidRPr="00AB33F7" w:rsidRDefault="00E3087D" w:rsidP="00281576">
      <w:pPr>
        <w:pStyle w:val="ListParagraph"/>
        <w:keepNext/>
        <w:keepLines/>
        <w:numPr>
          <w:ilvl w:val="0"/>
          <w:numId w:val="1"/>
        </w:numPr>
        <w:ind w:left="567" w:hanging="283"/>
        <w:outlineLvl w:val="0"/>
        <w:rPr>
          <w:rFonts w:ascii="Arial" w:hAnsi="Arial" w:cs="Arial"/>
          <w:b/>
          <w:sz w:val="28"/>
          <w:szCs w:val="28"/>
        </w:rPr>
      </w:pPr>
      <w:r w:rsidRPr="00AB33F7">
        <w:rPr>
          <w:rFonts w:ascii="Arial" w:hAnsi="Arial" w:cs="Arial"/>
          <w:b/>
          <w:sz w:val="28"/>
          <w:szCs w:val="28"/>
        </w:rPr>
        <w:t xml:space="preserve">Execuția bugetară pe </w:t>
      </w:r>
      <w:r w:rsidR="00BD4E32" w:rsidRPr="00AB33F7">
        <w:rPr>
          <w:rFonts w:ascii="Arial" w:hAnsi="Arial" w:cs="Arial"/>
          <w:b/>
          <w:sz w:val="28"/>
          <w:szCs w:val="28"/>
        </w:rPr>
        <w:t xml:space="preserve">primul semestru al </w:t>
      </w:r>
      <w:r w:rsidRPr="00AB33F7">
        <w:rPr>
          <w:rFonts w:ascii="Arial" w:hAnsi="Arial" w:cs="Arial"/>
          <w:b/>
          <w:sz w:val="28"/>
          <w:szCs w:val="28"/>
        </w:rPr>
        <w:t>anului</w:t>
      </w:r>
      <w:bookmarkEnd w:id="12"/>
      <w:bookmarkEnd w:id="13"/>
      <w:bookmarkEnd w:id="14"/>
      <w:bookmarkEnd w:id="15"/>
      <w:bookmarkEnd w:id="16"/>
      <w:bookmarkEnd w:id="17"/>
      <w:bookmarkEnd w:id="18"/>
      <w:bookmarkEnd w:id="19"/>
      <w:r w:rsidR="00D46822" w:rsidRPr="00AB33F7">
        <w:rPr>
          <w:rFonts w:ascii="Arial" w:hAnsi="Arial" w:cs="Arial"/>
          <w:b/>
          <w:sz w:val="28"/>
          <w:szCs w:val="28"/>
        </w:rPr>
        <w:t xml:space="preserve"> </w:t>
      </w:r>
      <w:r w:rsidR="00DD17E0" w:rsidRPr="00AB33F7">
        <w:rPr>
          <w:rFonts w:ascii="Arial" w:hAnsi="Arial" w:cs="Arial"/>
          <w:b/>
          <w:sz w:val="28"/>
          <w:szCs w:val="28"/>
        </w:rPr>
        <w:t>201</w:t>
      </w:r>
      <w:r w:rsidR="004D6D76" w:rsidRPr="00AB33F7">
        <w:rPr>
          <w:rFonts w:ascii="Arial" w:hAnsi="Arial" w:cs="Arial"/>
          <w:b/>
          <w:sz w:val="28"/>
          <w:szCs w:val="28"/>
        </w:rPr>
        <w:t>9</w:t>
      </w:r>
      <w:bookmarkEnd w:id="20"/>
    </w:p>
    <w:p w:rsidR="009D0987" w:rsidRPr="00857E54" w:rsidRDefault="009D0987" w:rsidP="00281576">
      <w:pPr>
        <w:pStyle w:val="ListParagraph"/>
        <w:keepNext/>
        <w:keepLines/>
        <w:ind w:left="567" w:firstLine="0"/>
        <w:outlineLvl w:val="0"/>
        <w:rPr>
          <w:rFonts w:cs="Arial"/>
          <w:b/>
          <w:sz w:val="28"/>
          <w:szCs w:val="28"/>
        </w:rPr>
      </w:pPr>
    </w:p>
    <w:p w:rsidR="004D6D76" w:rsidRPr="00C27F72" w:rsidRDefault="004D6D76" w:rsidP="00962D99">
      <w:pPr>
        <w:keepNext/>
        <w:keepLines/>
        <w:spacing w:line="276" w:lineRule="auto"/>
        <w:ind w:firstLine="680"/>
        <w:rPr>
          <w:rFonts w:ascii="Arial" w:hAnsi="Arial" w:cs="Arial"/>
          <w:sz w:val="24"/>
          <w:szCs w:val="24"/>
        </w:rPr>
      </w:pPr>
      <w:r w:rsidRPr="00C27F72">
        <w:rPr>
          <w:rFonts w:ascii="Arial" w:hAnsi="Arial" w:cs="Arial"/>
          <w:sz w:val="24"/>
          <w:szCs w:val="24"/>
        </w:rPr>
        <w:t xml:space="preserve">Conform datelor operative, execuția bugetului general consolidat pe primul semestru al anului 2019 (Anexa nr. 1 </w:t>
      </w:r>
      <w:r w:rsidR="00C27F72" w:rsidRPr="00C27F72">
        <w:rPr>
          <w:rFonts w:ascii="Arial" w:hAnsi="Arial" w:cs="Arial"/>
          <w:sz w:val="24"/>
          <w:szCs w:val="24"/>
        </w:rPr>
        <w:t>și</w:t>
      </w:r>
      <w:r w:rsidRPr="00C27F72">
        <w:rPr>
          <w:rFonts w:ascii="Arial" w:hAnsi="Arial" w:cs="Arial"/>
          <w:sz w:val="24"/>
          <w:szCs w:val="24"/>
        </w:rPr>
        <w:t xml:space="preserve"> Anexa nr. 2) s-a încheiat cu un </w:t>
      </w:r>
      <w:r w:rsidRPr="00C27F72">
        <w:rPr>
          <w:rFonts w:ascii="Arial" w:hAnsi="Arial" w:cs="Arial"/>
          <w:b/>
          <w:sz w:val="24"/>
          <w:szCs w:val="24"/>
        </w:rPr>
        <w:t>deficit de 19.960,4 milioane lei (1,94% din PIB)</w:t>
      </w:r>
      <w:r w:rsidRPr="00C27F72">
        <w:rPr>
          <w:rFonts w:ascii="Arial" w:hAnsi="Arial" w:cs="Arial"/>
          <w:sz w:val="24"/>
          <w:szCs w:val="24"/>
        </w:rPr>
        <w:t xml:space="preserve">, </w:t>
      </w:r>
      <w:r w:rsidR="00FE274F" w:rsidRPr="00C27F72">
        <w:rPr>
          <w:rFonts w:ascii="Arial" w:hAnsi="Arial" w:cs="Arial"/>
          <w:sz w:val="24"/>
          <w:szCs w:val="24"/>
        </w:rPr>
        <w:t xml:space="preserve">încadrându-se în ținta </w:t>
      </w:r>
      <w:r w:rsidR="00641476" w:rsidRPr="00C27F72">
        <w:rPr>
          <w:rFonts w:ascii="Arial" w:hAnsi="Arial" w:cs="Arial"/>
          <w:sz w:val="24"/>
          <w:szCs w:val="24"/>
        </w:rPr>
        <w:t xml:space="preserve">finală </w:t>
      </w:r>
      <w:r w:rsidR="00FE274F" w:rsidRPr="00C27F72">
        <w:rPr>
          <w:rFonts w:ascii="Arial" w:hAnsi="Arial" w:cs="Arial"/>
          <w:sz w:val="24"/>
          <w:szCs w:val="24"/>
        </w:rPr>
        <w:t>stabilită pentru semestrul I d</w:t>
      </w:r>
      <w:r w:rsidRPr="00C27F72">
        <w:rPr>
          <w:rFonts w:ascii="Arial" w:hAnsi="Arial" w:cs="Arial"/>
          <w:b/>
          <w:sz w:val="24"/>
          <w:szCs w:val="24"/>
        </w:rPr>
        <w:t>e 2,0% din PIB</w:t>
      </w:r>
      <w:r w:rsidRPr="00C27F72">
        <w:rPr>
          <w:rFonts w:ascii="Arial" w:hAnsi="Arial" w:cs="Arial"/>
          <w:sz w:val="24"/>
          <w:szCs w:val="24"/>
        </w:rPr>
        <w:t>.</w:t>
      </w:r>
    </w:p>
    <w:p w:rsidR="00354017" w:rsidRPr="00354017" w:rsidRDefault="006A029E" w:rsidP="00962D99">
      <w:pPr>
        <w:keepNext/>
        <w:keepLines/>
        <w:spacing w:line="276" w:lineRule="auto"/>
        <w:ind w:firstLine="680"/>
        <w:rPr>
          <w:rFonts w:ascii="Arial" w:hAnsi="Arial" w:cs="Arial"/>
          <w:sz w:val="24"/>
          <w:szCs w:val="24"/>
        </w:rPr>
      </w:pPr>
      <w:r w:rsidRPr="00C27F72">
        <w:rPr>
          <w:rFonts w:ascii="Arial" w:hAnsi="Arial" w:cs="Arial"/>
          <w:sz w:val="24"/>
          <w:szCs w:val="24"/>
        </w:rPr>
        <w:t>Întrucât</w:t>
      </w:r>
      <w:r w:rsidR="00641476" w:rsidRPr="00C27F72">
        <w:rPr>
          <w:rFonts w:ascii="Arial" w:hAnsi="Arial" w:cs="Arial"/>
          <w:sz w:val="24"/>
          <w:szCs w:val="24"/>
        </w:rPr>
        <w:t xml:space="preserve"> la momentul construcției bugetare</w:t>
      </w:r>
      <w:r w:rsidR="00BD7225" w:rsidRPr="00C27F72">
        <w:rPr>
          <w:rFonts w:ascii="Arial" w:hAnsi="Arial" w:cs="Arial"/>
          <w:sz w:val="24"/>
          <w:szCs w:val="24"/>
        </w:rPr>
        <w:t>,</w:t>
      </w:r>
      <w:r w:rsidR="00641476" w:rsidRPr="00C27F72">
        <w:rPr>
          <w:rFonts w:ascii="Arial" w:hAnsi="Arial" w:cs="Arial"/>
          <w:sz w:val="24"/>
          <w:szCs w:val="24"/>
        </w:rPr>
        <w:t xml:space="preserve"> procesul de emitere a deciziilor privind restituirea taxei auto </w:t>
      </w:r>
      <w:r w:rsidR="00BD7225" w:rsidRPr="00C27F72">
        <w:rPr>
          <w:rFonts w:ascii="Arial" w:hAnsi="Arial" w:cs="Arial"/>
          <w:sz w:val="24"/>
          <w:szCs w:val="24"/>
        </w:rPr>
        <w:t xml:space="preserve">nu </w:t>
      </w:r>
      <w:r w:rsidR="00641476" w:rsidRPr="00C27F72">
        <w:rPr>
          <w:rFonts w:ascii="Arial" w:hAnsi="Arial" w:cs="Arial"/>
          <w:sz w:val="24"/>
          <w:szCs w:val="24"/>
        </w:rPr>
        <w:t xml:space="preserve">era </w:t>
      </w:r>
      <w:r w:rsidRPr="00C27F72">
        <w:rPr>
          <w:rFonts w:ascii="Arial" w:hAnsi="Arial" w:cs="Arial"/>
          <w:sz w:val="24"/>
          <w:szCs w:val="24"/>
        </w:rPr>
        <w:t>încheiat</w:t>
      </w:r>
      <w:r w:rsidR="00641476" w:rsidRPr="00C27F72">
        <w:rPr>
          <w:rFonts w:ascii="Arial" w:hAnsi="Arial" w:cs="Arial"/>
          <w:sz w:val="24"/>
          <w:szCs w:val="24"/>
        </w:rPr>
        <w:t xml:space="preserve">, </w:t>
      </w:r>
      <w:r w:rsidR="009131FA" w:rsidRPr="00C27F72">
        <w:rPr>
          <w:rFonts w:ascii="Arial" w:hAnsi="Arial" w:cs="Arial"/>
          <w:sz w:val="24"/>
          <w:szCs w:val="24"/>
        </w:rPr>
        <w:t>î</w:t>
      </w:r>
      <w:r w:rsidR="00EA4B52" w:rsidRPr="00C27F72">
        <w:rPr>
          <w:rFonts w:ascii="Arial" w:hAnsi="Arial" w:cs="Arial"/>
          <w:sz w:val="24"/>
          <w:szCs w:val="24"/>
        </w:rPr>
        <w:t xml:space="preserve">n scopul evitării oricăror riscuri determinate de eventuala nerespectare a termenului de restituire integrală a sumelor aferente taxei auto, </w:t>
      </w:r>
      <w:r w:rsidR="00BD7225" w:rsidRPr="00C27F72">
        <w:rPr>
          <w:rFonts w:ascii="Arial" w:hAnsi="Arial" w:cs="Arial"/>
          <w:sz w:val="24"/>
          <w:szCs w:val="24"/>
        </w:rPr>
        <w:t xml:space="preserve">respectiv data de 30 iunie 2019, </w:t>
      </w:r>
      <w:r w:rsidR="00EA4B52" w:rsidRPr="00C27F72">
        <w:rPr>
          <w:rFonts w:ascii="Arial" w:hAnsi="Arial" w:cs="Arial"/>
          <w:sz w:val="24"/>
          <w:szCs w:val="24"/>
        </w:rPr>
        <w:t>ce ar fi condus la aplicarea de sancțiuni pecuniare în cadrul procedurii de infrigement, cu grave consecințe asupra bugetului de sta</w:t>
      </w:r>
      <w:r w:rsidR="00BD7225" w:rsidRPr="00C27F72">
        <w:rPr>
          <w:rFonts w:ascii="Arial" w:hAnsi="Arial" w:cs="Arial"/>
          <w:sz w:val="24"/>
          <w:szCs w:val="24"/>
        </w:rPr>
        <w:t xml:space="preserve">t, </w:t>
      </w:r>
      <w:r w:rsidR="00641476" w:rsidRPr="00C27F72">
        <w:rPr>
          <w:rFonts w:ascii="Arial" w:hAnsi="Arial" w:cs="Arial"/>
          <w:sz w:val="24"/>
          <w:szCs w:val="24"/>
        </w:rPr>
        <w:t>a fost necesar suplimentarea sumelo</w:t>
      </w:r>
      <w:r w:rsidR="00EA4B52" w:rsidRPr="00C27F72">
        <w:rPr>
          <w:rFonts w:ascii="Arial" w:hAnsi="Arial" w:cs="Arial"/>
          <w:sz w:val="24"/>
          <w:szCs w:val="24"/>
        </w:rPr>
        <w:t>r</w:t>
      </w:r>
      <w:r w:rsidRPr="00C27F72">
        <w:rPr>
          <w:rFonts w:ascii="Arial" w:hAnsi="Arial" w:cs="Arial"/>
          <w:sz w:val="24"/>
          <w:szCs w:val="24"/>
        </w:rPr>
        <w:t xml:space="preserve"> cu</w:t>
      </w:r>
      <w:r w:rsidR="00BD7225" w:rsidRPr="00C27F72">
        <w:rPr>
          <w:rFonts w:ascii="Arial" w:hAnsi="Arial" w:cs="Arial"/>
          <w:sz w:val="24"/>
          <w:szCs w:val="24"/>
        </w:rPr>
        <w:t xml:space="preserve"> ace</w:t>
      </w:r>
      <w:r w:rsidR="009131FA" w:rsidRPr="00C27F72">
        <w:rPr>
          <w:rFonts w:ascii="Arial" w:hAnsi="Arial" w:cs="Arial"/>
          <w:sz w:val="24"/>
          <w:szCs w:val="24"/>
        </w:rPr>
        <w:t>a</w:t>
      </w:r>
      <w:r w:rsidR="00BD7225" w:rsidRPr="00C27F72">
        <w:rPr>
          <w:rFonts w:ascii="Arial" w:hAnsi="Arial" w:cs="Arial"/>
          <w:sz w:val="24"/>
          <w:szCs w:val="24"/>
        </w:rPr>
        <w:t xml:space="preserve">stă </w:t>
      </w:r>
      <w:r w:rsidR="00641476" w:rsidRPr="00C27F72">
        <w:rPr>
          <w:rFonts w:ascii="Arial" w:hAnsi="Arial" w:cs="Arial"/>
          <w:sz w:val="24"/>
          <w:szCs w:val="24"/>
        </w:rPr>
        <w:t>destinație,</w:t>
      </w:r>
      <w:r w:rsidR="00BD7225" w:rsidRPr="00C27F72">
        <w:rPr>
          <w:rFonts w:ascii="Arial" w:hAnsi="Arial" w:cs="Arial"/>
          <w:sz w:val="24"/>
          <w:szCs w:val="24"/>
        </w:rPr>
        <w:t xml:space="preserve"> </w:t>
      </w:r>
      <w:r w:rsidR="00354017" w:rsidRPr="00C27F72">
        <w:rPr>
          <w:rFonts w:ascii="Arial" w:hAnsi="Arial" w:cs="Arial"/>
          <w:sz w:val="24"/>
          <w:szCs w:val="24"/>
        </w:rPr>
        <w:t>măsură ce a condus la modifi</w:t>
      </w:r>
      <w:r w:rsidR="00BD7225" w:rsidRPr="00C27F72">
        <w:rPr>
          <w:rFonts w:ascii="Arial" w:hAnsi="Arial" w:cs="Arial"/>
          <w:sz w:val="24"/>
          <w:szCs w:val="24"/>
        </w:rPr>
        <w:t xml:space="preserve">carea țintei </w:t>
      </w:r>
      <w:r w:rsidRPr="00C27F72">
        <w:rPr>
          <w:rFonts w:ascii="Arial" w:hAnsi="Arial" w:cs="Arial"/>
          <w:sz w:val="24"/>
          <w:szCs w:val="24"/>
        </w:rPr>
        <w:t>inițiale</w:t>
      </w:r>
      <w:r w:rsidR="00BD7225" w:rsidRPr="00C27F72">
        <w:rPr>
          <w:rFonts w:ascii="Arial" w:hAnsi="Arial" w:cs="Arial"/>
          <w:sz w:val="24"/>
          <w:szCs w:val="24"/>
        </w:rPr>
        <w:t xml:space="preserve"> de deficit </w:t>
      </w:r>
      <w:r w:rsidR="00354017" w:rsidRPr="00C27F72">
        <w:rPr>
          <w:rFonts w:ascii="Arial" w:hAnsi="Arial" w:cs="Arial"/>
          <w:sz w:val="24"/>
          <w:szCs w:val="24"/>
        </w:rPr>
        <w:t>a bugetului general consolidat</w:t>
      </w:r>
      <w:r w:rsidR="009131FA" w:rsidRPr="00C27F72">
        <w:rPr>
          <w:rFonts w:ascii="Arial" w:hAnsi="Arial" w:cs="Arial"/>
          <w:sz w:val="24"/>
          <w:szCs w:val="24"/>
        </w:rPr>
        <w:t xml:space="preserve"> </w:t>
      </w:r>
      <w:r w:rsidR="00BD7225" w:rsidRPr="00C27F72">
        <w:rPr>
          <w:rFonts w:ascii="Arial" w:hAnsi="Arial" w:cs="Arial"/>
          <w:sz w:val="24"/>
          <w:szCs w:val="24"/>
        </w:rPr>
        <w:t>pe semestrul I</w:t>
      </w:r>
      <w:r w:rsidR="00354017" w:rsidRPr="00C27F72">
        <w:rPr>
          <w:rFonts w:ascii="Arial" w:hAnsi="Arial" w:cs="Arial"/>
          <w:sz w:val="24"/>
          <w:szCs w:val="24"/>
        </w:rPr>
        <w:t xml:space="preserve">  de la 1,83% la 2,0%.</w:t>
      </w:r>
    </w:p>
    <w:p w:rsidR="004D6D76" w:rsidRPr="004D6D76" w:rsidRDefault="004D6D76" w:rsidP="00962D99">
      <w:pPr>
        <w:keepNext/>
        <w:keepLines/>
        <w:spacing w:line="276" w:lineRule="auto"/>
        <w:ind w:firstLine="680"/>
        <w:rPr>
          <w:rFonts w:ascii="Arial" w:hAnsi="Arial" w:cs="Arial"/>
          <w:sz w:val="24"/>
          <w:szCs w:val="24"/>
        </w:rPr>
      </w:pPr>
      <w:r w:rsidRPr="00B16B4E">
        <w:rPr>
          <w:rFonts w:ascii="Arial" w:hAnsi="Arial" w:cs="Arial"/>
          <w:b/>
          <w:sz w:val="24"/>
          <w:szCs w:val="24"/>
          <w:u w:val="single"/>
        </w:rPr>
        <w:t>Veniturile bugetului general consolidat</w:t>
      </w:r>
      <w:r w:rsidRPr="004D6D76">
        <w:rPr>
          <w:rFonts w:ascii="Arial" w:hAnsi="Arial" w:cs="Arial"/>
          <w:sz w:val="24"/>
          <w:szCs w:val="24"/>
        </w:rPr>
        <w:t xml:space="preserve"> au fost în sumă de </w:t>
      </w:r>
      <w:r w:rsidRPr="004D6D76">
        <w:rPr>
          <w:rFonts w:ascii="Arial" w:hAnsi="Arial" w:cs="Arial"/>
          <w:b/>
          <w:sz w:val="24"/>
          <w:szCs w:val="24"/>
        </w:rPr>
        <w:t>148.622,3 milioane lei</w:t>
      </w:r>
      <w:r w:rsidRPr="004D6D76">
        <w:rPr>
          <w:rFonts w:ascii="Arial" w:hAnsi="Arial" w:cs="Arial"/>
          <w:sz w:val="24"/>
          <w:szCs w:val="24"/>
        </w:rPr>
        <w:t xml:space="preserve">, cu 12,6% mai mari comparativ cu aceeași perioadă a anului precedent </w:t>
      </w:r>
      <w:r w:rsidR="00A40CBD" w:rsidRPr="004D6D76">
        <w:rPr>
          <w:rFonts w:ascii="Arial" w:hAnsi="Arial" w:cs="Arial"/>
          <w:sz w:val="24"/>
          <w:szCs w:val="24"/>
        </w:rPr>
        <w:t>și</w:t>
      </w:r>
      <w:r w:rsidRPr="004D6D76">
        <w:rPr>
          <w:rFonts w:ascii="Arial" w:hAnsi="Arial" w:cs="Arial"/>
          <w:sz w:val="24"/>
          <w:szCs w:val="24"/>
        </w:rPr>
        <w:t xml:space="preserve"> cu un grad de realizare al programului de încasări pe primul semestru de </w:t>
      </w:r>
      <w:r w:rsidRPr="004D6D76">
        <w:rPr>
          <w:rFonts w:ascii="Arial" w:hAnsi="Arial" w:cs="Arial"/>
          <w:b/>
          <w:sz w:val="24"/>
          <w:szCs w:val="24"/>
        </w:rPr>
        <w:t>9</w:t>
      </w:r>
      <w:r w:rsidR="00962D99">
        <w:rPr>
          <w:rFonts w:ascii="Arial" w:hAnsi="Arial" w:cs="Arial"/>
          <w:b/>
          <w:sz w:val="24"/>
          <w:szCs w:val="24"/>
        </w:rPr>
        <w:t>4</w:t>
      </w:r>
      <w:r w:rsidRPr="004D6D76">
        <w:rPr>
          <w:rFonts w:ascii="Arial" w:hAnsi="Arial" w:cs="Arial"/>
          <w:b/>
          <w:sz w:val="24"/>
          <w:szCs w:val="24"/>
        </w:rPr>
        <w:t>,3%</w:t>
      </w:r>
      <w:r w:rsidRPr="004D6D76">
        <w:rPr>
          <w:rFonts w:ascii="Arial" w:hAnsi="Arial" w:cs="Arial"/>
          <w:sz w:val="24"/>
          <w:szCs w:val="24"/>
        </w:rPr>
        <w:t xml:space="preserve">. </w:t>
      </w:r>
    </w:p>
    <w:p w:rsidR="004D6D76" w:rsidRPr="004D6D76" w:rsidRDefault="004D6D76" w:rsidP="00962D99">
      <w:pPr>
        <w:keepNext/>
        <w:keepLines/>
        <w:spacing w:line="276" w:lineRule="auto"/>
        <w:ind w:firstLine="680"/>
        <w:rPr>
          <w:rFonts w:ascii="Arial" w:hAnsi="Arial" w:cs="Arial"/>
          <w:sz w:val="24"/>
          <w:szCs w:val="24"/>
        </w:rPr>
      </w:pPr>
      <w:r w:rsidRPr="004D6D76">
        <w:rPr>
          <w:rFonts w:ascii="Arial" w:hAnsi="Arial" w:cs="Arial"/>
          <w:sz w:val="24"/>
          <w:szCs w:val="24"/>
        </w:rPr>
        <w:t>Veniturile bugetului general consolidat, ca procent în PIB, au crescut în perioada analizată cu 0,4 puncte procentuale comparativ cu aceeași perioadă a anului anterior de la 14,</w:t>
      </w:r>
      <w:r w:rsidR="00962D99">
        <w:rPr>
          <w:rFonts w:ascii="Arial" w:hAnsi="Arial" w:cs="Arial"/>
          <w:sz w:val="24"/>
          <w:szCs w:val="24"/>
        </w:rPr>
        <w:t>0</w:t>
      </w:r>
      <w:r w:rsidRPr="004D6D76">
        <w:rPr>
          <w:rFonts w:ascii="Arial" w:hAnsi="Arial" w:cs="Arial"/>
          <w:sz w:val="24"/>
          <w:szCs w:val="24"/>
        </w:rPr>
        <w:t>% în PIB în semestru I 2018 la 14,4% din PIB în semestrul I 2019.</w:t>
      </w:r>
    </w:p>
    <w:p w:rsidR="004D6D76" w:rsidRPr="004D6D76" w:rsidRDefault="004D6D76" w:rsidP="00962D99">
      <w:pPr>
        <w:keepNext/>
        <w:keepLines/>
        <w:spacing w:line="276" w:lineRule="auto"/>
        <w:ind w:firstLine="680"/>
        <w:rPr>
          <w:rFonts w:ascii="Arial" w:hAnsi="Arial" w:cs="Arial"/>
          <w:sz w:val="24"/>
          <w:szCs w:val="24"/>
        </w:rPr>
      </w:pPr>
      <w:r w:rsidRPr="004D6D76">
        <w:rPr>
          <w:rFonts w:ascii="Arial" w:hAnsi="Arial" w:cs="Arial"/>
          <w:b/>
          <w:sz w:val="24"/>
          <w:szCs w:val="24"/>
        </w:rPr>
        <w:t>Veniturile încasate din economia internă</w:t>
      </w:r>
      <w:r w:rsidRPr="004D6D76">
        <w:rPr>
          <w:rFonts w:ascii="Arial" w:hAnsi="Arial" w:cs="Arial"/>
          <w:sz w:val="24"/>
          <w:szCs w:val="24"/>
        </w:rPr>
        <w:t xml:space="preserve"> (fără fonduri de la Uniunea Europeană pre și post-aderare) au fost în sumă de 141.020,8 milioane lei (13,7% din PIB), cu </w:t>
      </w:r>
      <w:r w:rsidRPr="00962D99">
        <w:rPr>
          <w:rFonts w:ascii="Arial" w:hAnsi="Arial" w:cs="Arial"/>
          <w:b/>
          <w:sz w:val="24"/>
          <w:szCs w:val="24"/>
        </w:rPr>
        <w:t>12,7% mai mari</w:t>
      </w:r>
      <w:r w:rsidRPr="004D6D76">
        <w:rPr>
          <w:rFonts w:ascii="Arial" w:hAnsi="Arial" w:cs="Arial"/>
          <w:sz w:val="24"/>
          <w:szCs w:val="24"/>
        </w:rPr>
        <w:t xml:space="preserve"> comparativ cu încasările semestrului I 2018 </w:t>
      </w:r>
      <w:r w:rsidR="00A40CBD" w:rsidRPr="004D6D76">
        <w:rPr>
          <w:rFonts w:ascii="Arial" w:hAnsi="Arial" w:cs="Arial"/>
          <w:sz w:val="24"/>
          <w:szCs w:val="24"/>
        </w:rPr>
        <w:t>și</w:t>
      </w:r>
      <w:r w:rsidRPr="004D6D76">
        <w:rPr>
          <w:rFonts w:ascii="Arial" w:hAnsi="Arial" w:cs="Arial"/>
          <w:sz w:val="24"/>
          <w:szCs w:val="24"/>
        </w:rPr>
        <w:t xml:space="preserve"> un grad de realizare a programul</w:t>
      </w:r>
      <w:r w:rsidR="00C426B5">
        <w:rPr>
          <w:rFonts w:ascii="Arial" w:hAnsi="Arial" w:cs="Arial"/>
          <w:sz w:val="24"/>
          <w:szCs w:val="24"/>
        </w:rPr>
        <w:t>ui</w:t>
      </w:r>
      <w:r w:rsidRPr="004D6D76">
        <w:rPr>
          <w:rFonts w:ascii="Arial" w:hAnsi="Arial" w:cs="Arial"/>
          <w:sz w:val="24"/>
          <w:szCs w:val="24"/>
        </w:rPr>
        <w:t xml:space="preserve"> semestrial de </w:t>
      </w:r>
      <w:r w:rsidRPr="00962D99">
        <w:rPr>
          <w:rFonts w:ascii="Arial" w:hAnsi="Arial" w:cs="Arial"/>
          <w:b/>
          <w:sz w:val="24"/>
          <w:szCs w:val="24"/>
        </w:rPr>
        <w:t>96,8%</w:t>
      </w:r>
      <w:r w:rsidRPr="004D6D76">
        <w:rPr>
          <w:rFonts w:ascii="Arial" w:hAnsi="Arial" w:cs="Arial"/>
          <w:sz w:val="24"/>
          <w:szCs w:val="24"/>
        </w:rPr>
        <w:t xml:space="preserve">.  </w:t>
      </w:r>
    </w:p>
    <w:p w:rsidR="002E7CD9" w:rsidRDefault="004D6D76" w:rsidP="00962D99">
      <w:pPr>
        <w:keepNext/>
        <w:keepLines/>
        <w:spacing w:line="276" w:lineRule="auto"/>
        <w:ind w:firstLine="680"/>
        <w:rPr>
          <w:rFonts w:ascii="Arial" w:hAnsi="Arial" w:cs="Arial"/>
          <w:sz w:val="24"/>
          <w:szCs w:val="24"/>
        </w:rPr>
      </w:pPr>
      <w:r w:rsidRPr="004D6D76">
        <w:rPr>
          <w:rFonts w:ascii="Arial" w:hAnsi="Arial" w:cs="Arial"/>
          <w:sz w:val="24"/>
          <w:szCs w:val="24"/>
        </w:rPr>
        <w:t>Veniturile încasate din economia internă, ca procent în PIB, au crescut cu 0,4</w:t>
      </w:r>
      <w:r w:rsidR="00962D99">
        <w:rPr>
          <w:rFonts w:ascii="Arial" w:hAnsi="Arial" w:cs="Arial"/>
          <w:sz w:val="24"/>
          <w:szCs w:val="24"/>
        </w:rPr>
        <w:t xml:space="preserve"> </w:t>
      </w:r>
      <w:r w:rsidRPr="004D6D76">
        <w:rPr>
          <w:rFonts w:ascii="Arial" w:hAnsi="Arial" w:cs="Arial"/>
          <w:sz w:val="24"/>
          <w:szCs w:val="24"/>
        </w:rPr>
        <w:t>puncte procentuale de la 13,3% din PIB, cât au reprezentat în semestrul I 2018 la 13,7% din PIB în semestrul I 2019.</w:t>
      </w:r>
    </w:p>
    <w:p w:rsidR="007C4F03" w:rsidRPr="00857E54" w:rsidRDefault="004D6D76" w:rsidP="00281576">
      <w:pPr>
        <w:keepNext/>
        <w:keepLines/>
        <w:ind w:firstLine="0"/>
        <w:rPr>
          <w:bCs/>
        </w:rPr>
      </w:pPr>
      <w:r>
        <w:rPr>
          <w:bCs/>
          <w:noProof/>
          <w:lang w:val="en-US"/>
        </w:rPr>
        <w:lastRenderedPageBreak/>
        <w:drawing>
          <wp:inline distT="0" distB="0" distL="0" distR="0" wp14:anchorId="57E49981" wp14:editId="77E1D994">
            <wp:extent cx="5883275" cy="3060700"/>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3275" cy="3060700"/>
                    </a:xfrm>
                    <a:prstGeom prst="rect">
                      <a:avLst/>
                    </a:prstGeom>
                    <a:noFill/>
                  </pic:spPr>
                </pic:pic>
              </a:graphicData>
            </a:graphic>
          </wp:inline>
        </w:drawing>
      </w:r>
    </w:p>
    <w:p w:rsidR="00336A90" w:rsidRDefault="005275F7" w:rsidP="004D6D76">
      <w:pPr>
        <w:keepNext/>
        <w:keepLines/>
        <w:spacing w:before="240"/>
        <w:rPr>
          <w:rFonts w:cs="Arial"/>
          <w:b/>
          <w:bCs/>
          <w:sz w:val="24"/>
          <w:szCs w:val="24"/>
        </w:rPr>
      </w:pPr>
      <w:r w:rsidRPr="00857E54">
        <w:rPr>
          <w:rFonts w:cs="Arial"/>
          <w:b/>
          <w:bCs/>
          <w:sz w:val="24"/>
          <w:szCs w:val="24"/>
        </w:rPr>
        <w:tab/>
      </w:r>
      <w:r w:rsidR="00243CA2" w:rsidRPr="00857E54">
        <w:rPr>
          <w:rFonts w:cs="Arial"/>
          <w:b/>
          <w:bCs/>
          <w:sz w:val="24"/>
          <w:szCs w:val="24"/>
        </w:rPr>
        <w:tab/>
      </w:r>
    </w:p>
    <w:p w:rsidR="004D6D76" w:rsidRPr="004D6D76" w:rsidRDefault="004D6D76" w:rsidP="00336A90">
      <w:pPr>
        <w:keepNext/>
        <w:keepLines/>
        <w:spacing w:before="240"/>
        <w:ind w:firstLine="567"/>
        <w:rPr>
          <w:rFonts w:ascii="Arial" w:hAnsi="Arial" w:cs="Arial"/>
          <w:sz w:val="24"/>
          <w:szCs w:val="24"/>
        </w:rPr>
      </w:pPr>
      <w:r w:rsidRPr="004D6D76">
        <w:rPr>
          <w:rFonts w:ascii="Arial" w:hAnsi="Arial" w:cs="Arial"/>
          <w:b/>
          <w:bCs/>
          <w:sz w:val="24"/>
          <w:szCs w:val="24"/>
        </w:rPr>
        <w:t>Veniturile fiscale</w:t>
      </w:r>
      <w:r w:rsidRPr="004D6D76">
        <w:rPr>
          <w:rFonts w:ascii="Arial" w:hAnsi="Arial" w:cs="Arial"/>
          <w:sz w:val="24"/>
          <w:szCs w:val="24"/>
        </w:rPr>
        <w:t xml:space="preserve"> au fost în sumă de </w:t>
      </w:r>
      <w:r w:rsidRPr="004D6D76">
        <w:rPr>
          <w:rFonts w:ascii="Arial" w:hAnsi="Arial" w:cs="Arial"/>
          <w:b/>
          <w:sz w:val="24"/>
          <w:szCs w:val="24"/>
        </w:rPr>
        <w:t>72.484,4 milioane lei</w:t>
      </w:r>
      <w:r w:rsidRPr="004D6D76">
        <w:rPr>
          <w:rFonts w:ascii="Arial" w:hAnsi="Arial" w:cs="Arial"/>
          <w:sz w:val="24"/>
          <w:szCs w:val="24"/>
        </w:rPr>
        <w:t>, cu 6</w:t>
      </w:r>
      <w:r w:rsidR="00BA7EC0">
        <w:rPr>
          <w:rFonts w:ascii="Arial" w:hAnsi="Arial" w:cs="Arial"/>
          <w:sz w:val="24"/>
          <w:szCs w:val="24"/>
        </w:rPr>
        <w:t>,</w:t>
      </w:r>
      <w:r w:rsidRPr="004D6D76">
        <w:rPr>
          <w:rFonts w:ascii="Arial" w:hAnsi="Arial" w:cs="Arial"/>
          <w:sz w:val="24"/>
          <w:szCs w:val="24"/>
        </w:rPr>
        <w:t>7</w:t>
      </w:r>
      <w:r w:rsidRPr="004D6D76">
        <w:rPr>
          <w:rFonts w:ascii="Arial" w:hAnsi="Arial" w:cs="Arial"/>
          <w:bCs/>
          <w:sz w:val="24"/>
          <w:szCs w:val="24"/>
        </w:rPr>
        <w:t xml:space="preserve">% </w:t>
      </w:r>
      <w:r w:rsidRPr="004D6D76">
        <w:rPr>
          <w:rFonts w:ascii="Arial" w:hAnsi="Arial" w:cs="Arial"/>
          <w:sz w:val="24"/>
          <w:szCs w:val="24"/>
        </w:rPr>
        <w:t>mai mari comparativ cu perioada similară din anul precedent și s-au realizat în proporție de 95.7%.</w:t>
      </w:r>
    </w:p>
    <w:p w:rsidR="004D6D76" w:rsidRPr="004D6D76" w:rsidRDefault="004D6D76" w:rsidP="004D6D76">
      <w:pPr>
        <w:keepNext/>
        <w:keepLines/>
        <w:ind w:firstLine="567"/>
        <w:rPr>
          <w:rFonts w:ascii="Arial" w:hAnsi="Arial" w:cs="Arial"/>
          <w:sz w:val="24"/>
          <w:szCs w:val="24"/>
        </w:rPr>
      </w:pPr>
      <w:r w:rsidRPr="004D6D76">
        <w:rPr>
          <w:rFonts w:ascii="Arial" w:hAnsi="Arial" w:cs="Arial"/>
          <w:sz w:val="24"/>
          <w:szCs w:val="24"/>
        </w:rPr>
        <w:t>În structură</w:t>
      </w:r>
      <w:r w:rsidR="009904E3">
        <w:rPr>
          <w:rFonts w:ascii="Arial" w:hAnsi="Arial" w:cs="Arial"/>
          <w:sz w:val="24"/>
          <w:szCs w:val="24"/>
        </w:rPr>
        <w:t>,</w:t>
      </w:r>
      <w:r w:rsidRPr="004D6D76">
        <w:rPr>
          <w:rFonts w:ascii="Arial" w:hAnsi="Arial" w:cs="Arial"/>
          <w:sz w:val="24"/>
          <w:szCs w:val="24"/>
        </w:rPr>
        <w:t xml:space="preserve"> veniturile fiscale au avut următoarea evoluție:</w:t>
      </w:r>
    </w:p>
    <w:p w:rsidR="004D6D76" w:rsidRPr="004D6D76" w:rsidRDefault="004D6D76" w:rsidP="004D6D76">
      <w:pPr>
        <w:keepNext/>
        <w:keepLines/>
        <w:ind w:firstLine="567"/>
        <w:rPr>
          <w:rFonts w:ascii="Arial" w:hAnsi="Arial" w:cs="Arial"/>
          <w:sz w:val="24"/>
          <w:szCs w:val="24"/>
        </w:rPr>
      </w:pPr>
      <w:r w:rsidRPr="004D6D76">
        <w:rPr>
          <w:rFonts w:ascii="Arial" w:hAnsi="Arial" w:cs="Arial"/>
          <w:sz w:val="24"/>
          <w:szCs w:val="24"/>
        </w:rPr>
        <w:t>Încasările din</w:t>
      </w:r>
      <w:r w:rsidRPr="004D6D76">
        <w:rPr>
          <w:rFonts w:ascii="Arial" w:hAnsi="Arial" w:cs="Arial"/>
          <w:b/>
          <w:sz w:val="24"/>
          <w:szCs w:val="24"/>
        </w:rPr>
        <w:t xml:space="preserve"> impozitul pe profit </w:t>
      </w:r>
      <w:r w:rsidRPr="004D6D76">
        <w:rPr>
          <w:rFonts w:ascii="Arial" w:hAnsi="Arial" w:cs="Arial"/>
          <w:sz w:val="24"/>
          <w:szCs w:val="24"/>
        </w:rPr>
        <w:t xml:space="preserve">au fost cu 11,3% mai mari </w:t>
      </w:r>
      <w:r w:rsidRPr="004D6D76">
        <w:rPr>
          <w:rFonts w:ascii="Arial" w:hAnsi="Arial" w:cs="Arial"/>
          <w:bCs/>
          <w:sz w:val="24"/>
          <w:szCs w:val="24"/>
        </w:rPr>
        <w:t>comparativ cu aceeași perioadă a anului 2018</w:t>
      </w:r>
      <w:r w:rsidRPr="004D6D76">
        <w:rPr>
          <w:rFonts w:ascii="Arial" w:hAnsi="Arial" w:cs="Arial"/>
          <w:sz w:val="24"/>
          <w:szCs w:val="24"/>
        </w:rPr>
        <w:t xml:space="preserve">, în timp ce gradul de realizare al programului de încasări a fost de 97,9%. </w:t>
      </w:r>
    </w:p>
    <w:p w:rsidR="004D6D76" w:rsidRPr="004D6D76" w:rsidRDefault="004D6D76" w:rsidP="00BA7EC0">
      <w:pPr>
        <w:keepNext/>
        <w:keepLines/>
        <w:spacing w:after="120"/>
        <w:ind w:firstLine="562"/>
        <w:rPr>
          <w:rFonts w:ascii="Arial" w:hAnsi="Arial" w:cs="Arial"/>
          <w:sz w:val="24"/>
          <w:szCs w:val="24"/>
        </w:rPr>
      </w:pPr>
      <w:r w:rsidRPr="004D6D76">
        <w:rPr>
          <w:rFonts w:ascii="Arial" w:hAnsi="Arial" w:cs="Arial"/>
          <w:sz w:val="24"/>
          <w:szCs w:val="24"/>
        </w:rPr>
        <w:t>Evoluția încasărilor din impozitului pe profit la bugetul de stat, în structură, este următoarea:</w:t>
      </w:r>
    </w:p>
    <w:p w:rsidR="004D6D76" w:rsidRPr="004D6D76" w:rsidRDefault="004D6D76" w:rsidP="004423E3">
      <w:pPr>
        <w:numPr>
          <w:ilvl w:val="0"/>
          <w:numId w:val="20"/>
        </w:numPr>
        <w:tabs>
          <w:tab w:val="left" w:pos="900"/>
        </w:tabs>
        <w:suppressAutoHyphens/>
        <w:spacing w:after="0" w:line="276" w:lineRule="auto"/>
        <w:ind w:left="567" w:firstLine="153"/>
        <w:rPr>
          <w:rFonts w:ascii="Arial" w:eastAsia="SimSun" w:hAnsi="Arial" w:cs="Arial"/>
          <w:noProof/>
          <w:kern w:val="1"/>
          <w:lang w:eastAsia="ro-RO"/>
        </w:rPr>
      </w:pPr>
      <w:r w:rsidRPr="004D6D76">
        <w:rPr>
          <w:rFonts w:ascii="Arial" w:eastAsia="Times New Roman" w:hAnsi="Arial" w:cs="Arial"/>
          <w:b/>
          <w:noProof/>
          <w:sz w:val="24"/>
          <w:szCs w:val="24"/>
          <w:lang w:eastAsia="ro-RO"/>
        </w:rPr>
        <w:t>impozitul pe profit virat de agenții economici</w:t>
      </w:r>
      <w:r w:rsidRPr="004D6D76">
        <w:rPr>
          <w:rFonts w:ascii="Arial" w:eastAsia="Times New Roman" w:hAnsi="Arial" w:cs="Arial"/>
          <w:noProof/>
          <w:sz w:val="24"/>
          <w:szCs w:val="24"/>
          <w:vertAlign w:val="superscript"/>
          <w:lang w:eastAsia="ro-RO"/>
        </w:rPr>
        <w:footnoteReference w:id="1"/>
      </w:r>
      <w:r w:rsidRPr="004D6D76">
        <w:rPr>
          <w:rFonts w:ascii="Arial" w:eastAsia="Times New Roman" w:hAnsi="Arial" w:cs="Arial"/>
          <w:noProof/>
          <w:sz w:val="24"/>
          <w:szCs w:val="24"/>
          <w:lang w:eastAsia="ro-RO"/>
        </w:rPr>
        <w:t xml:space="preserve"> în semestrul I al anului curent prezintă o dinamică pozitivă comparativ cu același semestru al anului precedent, de +0,4 mld, lei (+6,4%), reprezentând un grad de realizare de 95,4% (-0,4 mld. lei) comparativ cu programul semestrial aferent</w:t>
      </w:r>
      <w:r w:rsidRPr="004D6D76">
        <w:rPr>
          <w:rFonts w:ascii="Arial" w:eastAsia="Times New Roman" w:hAnsi="Arial" w:cs="Arial"/>
          <w:sz w:val="24"/>
          <w:szCs w:val="24"/>
        </w:rPr>
        <w:t>.</w:t>
      </w:r>
    </w:p>
    <w:p w:rsidR="004D6D76" w:rsidRPr="004D6D76" w:rsidRDefault="004D6D76" w:rsidP="004D6D76">
      <w:pPr>
        <w:spacing w:after="0" w:line="276" w:lineRule="auto"/>
        <w:ind w:left="1701" w:firstLine="0"/>
        <w:contextualSpacing/>
        <w:rPr>
          <w:rFonts w:ascii="Arial" w:eastAsia="Times New Roman" w:hAnsi="Arial" w:cs="Arial"/>
          <w:noProof/>
          <w:sz w:val="24"/>
          <w:szCs w:val="24"/>
          <w:lang w:eastAsia="ro-RO"/>
        </w:rPr>
      </w:pPr>
    </w:p>
    <w:p w:rsidR="004D6D76" w:rsidRPr="004D6D76" w:rsidRDefault="004D6D76" w:rsidP="004423E3">
      <w:pPr>
        <w:numPr>
          <w:ilvl w:val="0"/>
          <w:numId w:val="20"/>
        </w:numPr>
        <w:tabs>
          <w:tab w:val="left" w:pos="900"/>
        </w:tabs>
        <w:suppressAutoHyphens/>
        <w:spacing w:after="0" w:line="276" w:lineRule="auto"/>
        <w:ind w:left="562" w:firstLine="158"/>
        <w:rPr>
          <w:rFonts w:ascii="Arial" w:eastAsia="Times New Roman" w:hAnsi="Arial" w:cs="Arial"/>
          <w:noProof/>
          <w:sz w:val="24"/>
          <w:szCs w:val="24"/>
          <w:lang w:eastAsia="ro-RO"/>
        </w:rPr>
      </w:pPr>
      <w:r w:rsidRPr="004D6D76">
        <w:rPr>
          <w:rFonts w:ascii="Arial" w:eastAsia="Times New Roman" w:hAnsi="Arial" w:cs="Arial"/>
          <w:b/>
          <w:noProof/>
          <w:sz w:val="24"/>
          <w:szCs w:val="24"/>
          <w:lang w:eastAsia="ro-RO"/>
        </w:rPr>
        <w:t>impozitul pe profit virat de băncile comerciale</w:t>
      </w:r>
      <w:r w:rsidRPr="004D6D76">
        <w:rPr>
          <w:rFonts w:ascii="Arial" w:eastAsia="Times New Roman" w:hAnsi="Arial" w:cs="Arial"/>
          <w:noProof/>
          <w:sz w:val="24"/>
          <w:szCs w:val="24"/>
          <w:vertAlign w:val="superscript"/>
          <w:lang w:eastAsia="ro-RO"/>
        </w:rPr>
        <w:footnoteReference w:id="2"/>
      </w:r>
      <w:r w:rsidRPr="004D6D76">
        <w:rPr>
          <w:rFonts w:ascii="Arial" w:eastAsia="Times New Roman" w:hAnsi="Arial" w:cs="Arial"/>
          <w:noProof/>
          <w:sz w:val="24"/>
          <w:szCs w:val="24"/>
          <w:lang w:eastAsia="ro-RO"/>
        </w:rPr>
        <w:t xml:space="preserve"> depăsește nivelul viramentelor din primul semestru al anului precedent cu +0,4 mld. lei (+94,3%), reprezentând un grad de de realizare de 129,9% (+0,2 mld. lei) comparativ cu programul semestrului I 2019.</w:t>
      </w:r>
    </w:p>
    <w:p w:rsidR="004D6D76" w:rsidRPr="004D6D76" w:rsidRDefault="004D6D76" w:rsidP="004D6D76">
      <w:pPr>
        <w:ind w:left="720"/>
        <w:contextualSpacing/>
        <w:rPr>
          <w:rFonts w:ascii="Calibri" w:eastAsia="Times New Roman" w:hAnsi="Calibri" w:cs="Times New Roman"/>
          <w:noProof/>
          <w:sz w:val="24"/>
          <w:szCs w:val="24"/>
          <w:lang w:eastAsia="ro-RO"/>
        </w:rPr>
      </w:pPr>
    </w:p>
    <w:p w:rsidR="004D6D76" w:rsidRPr="004D6D76" w:rsidRDefault="009904E3" w:rsidP="009904E3">
      <w:pPr>
        <w:suppressAutoHyphens/>
        <w:spacing w:after="0" w:line="276" w:lineRule="auto"/>
        <w:ind w:firstLine="357"/>
        <w:rPr>
          <w:rFonts w:ascii="Arial" w:hAnsi="Arial" w:cs="Arial"/>
          <w:bCs/>
          <w:sz w:val="24"/>
          <w:szCs w:val="24"/>
        </w:rPr>
      </w:pPr>
      <w:r>
        <w:rPr>
          <w:rFonts w:ascii="Arial" w:hAnsi="Arial" w:cs="Arial"/>
          <w:sz w:val="24"/>
          <w:szCs w:val="24"/>
        </w:rPr>
        <w:t xml:space="preserve">  </w:t>
      </w:r>
      <w:r w:rsidR="004D6D76" w:rsidRPr="004D6D76">
        <w:rPr>
          <w:rFonts w:ascii="Arial" w:hAnsi="Arial" w:cs="Arial"/>
          <w:sz w:val="24"/>
          <w:szCs w:val="24"/>
        </w:rPr>
        <w:t>Încasările din</w:t>
      </w:r>
      <w:r w:rsidR="004D6D76" w:rsidRPr="004D6D76">
        <w:rPr>
          <w:rFonts w:ascii="Arial" w:hAnsi="Arial" w:cs="Arial"/>
          <w:b/>
          <w:sz w:val="24"/>
          <w:szCs w:val="24"/>
        </w:rPr>
        <w:t xml:space="preserve"> impozitul pe venit </w:t>
      </w:r>
      <w:r w:rsidR="004D6D76" w:rsidRPr="004D6D76">
        <w:rPr>
          <w:rFonts w:ascii="Arial" w:hAnsi="Arial" w:cs="Arial"/>
          <w:sz w:val="24"/>
          <w:szCs w:val="24"/>
        </w:rPr>
        <w:t xml:space="preserve">au totalizat 11.067,3 milioane lei (1,1% din PIB), s-au realizat în proporție de 95,4%, înregistrând comparativ cu aceeași perioadă a anului precedent o scădere cu </w:t>
      </w:r>
      <w:r w:rsidR="004D6D76" w:rsidRPr="004D6D76">
        <w:rPr>
          <w:rFonts w:ascii="Arial" w:hAnsi="Arial" w:cs="Arial"/>
          <w:bCs/>
          <w:sz w:val="24"/>
          <w:szCs w:val="24"/>
        </w:rPr>
        <w:t>5</w:t>
      </w:r>
      <w:r w:rsidR="00BA7EC0">
        <w:rPr>
          <w:rFonts w:ascii="Arial" w:hAnsi="Arial" w:cs="Arial"/>
          <w:bCs/>
          <w:sz w:val="24"/>
          <w:szCs w:val="24"/>
        </w:rPr>
        <w:t>,</w:t>
      </w:r>
      <w:r w:rsidR="004D6D76" w:rsidRPr="004D6D76">
        <w:rPr>
          <w:rFonts w:ascii="Arial" w:hAnsi="Arial" w:cs="Arial"/>
          <w:bCs/>
          <w:sz w:val="24"/>
          <w:szCs w:val="24"/>
        </w:rPr>
        <w:t>2%.</w:t>
      </w:r>
    </w:p>
    <w:p w:rsidR="004D6D76" w:rsidRPr="004D6D76" w:rsidRDefault="004D6D76" w:rsidP="004D6D76">
      <w:pPr>
        <w:tabs>
          <w:tab w:val="left" w:pos="284"/>
        </w:tabs>
        <w:autoSpaceDE w:val="0"/>
        <w:autoSpaceDN w:val="0"/>
        <w:adjustRightInd w:val="0"/>
        <w:spacing w:after="120" w:line="276" w:lineRule="auto"/>
        <w:ind w:firstLine="567"/>
        <w:rPr>
          <w:rFonts w:ascii="Arial" w:eastAsia="Calibri" w:hAnsi="Arial" w:cs="Arial"/>
          <w:sz w:val="24"/>
          <w:szCs w:val="24"/>
        </w:rPr>
      </w:pPr>
      <w:r w:rsidRPr="004D6D76">
        <w:rPr>
          <w:rFonts w:ascii="Arial" w:eastAsia="Calibri" w:hAnsi="Arial" w:cs="Arial"/>
          <w:sz w:val="24"/>
          <w:szCs w:val="24"/>
        </w:rPr>
        <w:lastRenderedPageBreak/>
        <w:t>Comparativ cu aceeași perioadă a anului 2018, în luna ianuarie 2019 impozitul pe venit din salarii este mai mic cu 38,5%</w:t>
      </w:r>
      <w:r w:rsidRPr="004D6D76">
        <w:rPr>
          <w:rFonts w:ascii="Arial" w:eastAsia="Calibri" w:hAnsi="Arial" w:cs="Arial"/>
          <w:sz w:val="24"/>
          <w:szCs w:val="24"/>
          <w:vertAlign w:val="superscript"/>
        </w:rPr>
        <w:footnoteReference w:id="3"/>
      </w:r>
      <w:r w:rsidRPr="004D6D76">
        <w:rPr>
          <w:rFonts w:ascii="Arial" w:eastAsia="Calibri" w:hAnsi="Arial" w:cs="Arial"/>
          <w:sz w:val="24"/>
          <w:szCs w:val="24"/>
        </w:rPr>
        <w:t xml:space="preserve"> iar în perioada februarie-iunie 2019, când veniturile reflectă aceleași condiții legislative din anul anterior, încasările din impozit pe venit din salarii cresc cu 7,3%. Această creștere a fost influențată de </w:t>
      </w:r>
      <w:r w:rsidRPr="004D6D76">
        <w:rPr>
          <w:rFonts w:ascii="Arial" w:hAnsi="Arial" w:cs="Arial"/>
          <w:sz w:val="24"/>
          <w:szCs w:val="24"/>
        </w:rPr>
        <w:t>creșterea salariului minim brut garantat în plată de la 1950 lei la 2080 lei, respectiv 2350 lei pentru cei cu studii superioare</w:t>
      </w:r>
      <w:r w:rsidRPr="004D6D76">
        <w:rPr>
          <w:rFonts w:ascii="Arial" w:hAnsi="Arial" w:cs="Arial"/>
          <w:sz w:val="24"/>
          <w:szCs w:val="24"/>
          <w:vertAlign w:val="superscript"/>
        </w:rPr>
        <w:footnoteReference w:id="4"/>
      </w:r>
      <w:r w:rsidRPr="004D6D76">
        <w:rPr>
          <w:rFonts w:ascii="Arial" w:hAnsi="Arial" w:cs="Arial"/>
          <w:sz w:val="24"/>
          <w:szCs w:val="24"/>
        </w:rPr>
        <w:t xml:space="preserve"> precum și </w:t>
      </w:r>
      <w:r w:rsidRPr="004D6D76">
        <w:rPr>
          <w:rFonts w:ascii="Arial" w:eastAsia="Calibri" w:hAnsi="Arial" w:cs="Arial"/>
          <w:sz w:val="24"/>
          <w:szCs w:val="24"/>
        </w:rPr>
        <w:t xml:space="preserve">de trendul pozitiv al indicatorilor macroeconomici realizați, precum </w:t>
      </w:r>
      <w:r w:rsidRPr="004D6D76">
        <w:rPr>
          <w:rFonts w:ascii="Arial" w:hAnsi="Arial" w:cs="Arial"/>
          <w:sz w:val="24"/>
          <w:szCs w:val="24"/>
        </w:rPr>
        <w:t>creșterea numărului mediu de salariați cu 1,3% și a salariului mediu brut la nivelul economiei cu 14,4%</w:t>
      </w:r>
      <w:r w:rsidRPr="004D6D76">
        <w:rPr>
          <w:rFonts w:ascii="Arial" w:hAnsi="Arial" w:cs="Arial"/>
          <w:sz w:val="24"/>
          <w:szCs w:val="24"/>
          <w:vertAlign w:val="superscript"/>
        </w:rPr>
        <w:footnoteReference w:id="5"/>
      </w:r>
      <w:r w:rsidRPr="004D6D76">
        <w:rPr>
          <w:rFonts w:ascii="Arial" w:hAnsi="Arial" w:cs="Arial"/>
          <w:sz w:val="24"/>
          <w:szCs w:val="24"/>
        </w:rPr>
        <w:t xml:space="preserve">. O altă măsură legislativă, aplicată de la 1 ianuarie 2019, cu influență asupra încasărilor a fost </w:t>
      </w:r>
      <w:r w:rsidRPr="004D6D76">
        <w:rPr>
          <w:rFonts w:ascii="Arial" w:eastAsia="Calibri" w:hAnsi="Arial" w:cs="Arial"/>
          <w:sz w:val="24"/>
          <w:szCs w:val="24"/>
        </w:rPr>
        <w:t xml:space="preserve">majorarea salariului minim brut lunar la 3.000 lei pentru salariații din domeniul construcțiilor, însoțită de scutirea de la plata impozitului pe venitul din salarii și de o serie de scutiri de la plata contribuțiilor sociale. </w:t>
      </w:r>
    </w:p>
    <w:p w:rsidR="004D6D76" w:rsidRPr="004D6D76" w:rsidRDefault="004D6D76" w:rsidP="004D6D76">
      <w:pPr>
        <w:tabs>
          <w:tab w:val="left" w:pos="284"/>
        </w:tabs>
        <w:autoSpaceDE w:val="0"/>
        <w:autoSpaceDN w:val="0"/>
        <w:adjustRightInd w:val="0"/>
        <w:spacing w:after="120" w:line="276" w:lineRule="auto"/>
        <w:ind w:firstLine="567"/>
        <w:rPr>
          <w:rFonts w:ascii="Arial" w:hAnsi="Arial" w:cs="Arial"/>
          <w:sz w:val="24"/>
          <w:szCs w:val="24"/>
        </w:rPr>
      </w:pPr>
      <w:r w:rsidRPr="004D6D76">
        <w:rPr>
          <w:rFonts w:ascii="Arial" w:hAnsi="Arial" w:cs="Arial"/>
          <w:sz w:val="24"/>
          <w:szCs w:val="24"/>
        </w:rPr>
        <w:t xml:space="preserve">Încasările din impozitele </w:t>
      </w:r>
      <w:r w:rsidRPr="004D6D76">
        <w:rPr>
          <w:rFonts w:ascii="Arial" w:hAnsi="Arial" w:cs="Arial"/>
          <w:b/>
          <w:bCs/>
          <w:sz w:val="24"/>
          <w:szCs w:val="24"/>
        </w:rPr>
        <w:t xml:space="preserve">și taxele pe proprietate </w:t>
      </w:r>
      <w:r w:rsidRPr="004D6D76">
        <w:rPr>
          <w:rFonts w:ascii="Arial" w:hAnsi="Arial" w:cs="Arial"/>
          <w:bCs/>
          <w:sz w:val="24"/>
          <w:szCs w:val="24"/>
        </w:rPr>
        <w:t xml:space="preserve">au totalizat 4.066,0 milioane lei (0,4% din PIB) cu 7,2% mai mari </w:t>
      </w:r>
      <w:r w:rsidRPr="004D6D76">
        <w:rPr>
          <w:rFonts w:ascii="Arial" w:hAnsi="Arial" w:cs="Arial"/>
          <w:sz w:val="24"/>
          <w:szCs w:val="24"/>
        </w:rPr>
        <w:t xml:space="preserve">comparativ cu semestrul I al anului 2018, gradul de realizare al programului de încasări fiind de 96,7%. Încasările din impozite și taxe pe proprietate la bugetele locale au înregistrat o creștere cu 7,4% comparativ cu anul anterior. </w:t>
      </w:r>
    </w:p>
    <w:p w:rsidR="002F2E52" w:rsidRDefault="004D6D76" w:rsidP="002F2E52">
      <w:pPr>
        <w:tabs>
          <w:tab w:val="left" w:pos="284"/>
        </w:tabs>
        <w:autoSpaceDE w:val="0"/>
        <w:autoSpaceDN w:val="0"/>
        <w:adjustRightInd w:val="0"/>
        <w:spacing w:after="120" w:line="276" w:lineRule="auto"/>
        <w:ind w:firstLine="567"/>
        <w:rPr>
          <w:rFonts w:ascii="Arial" w:hAnsi="Arial" w:cs="Arial"/>
          <w:sz w:val="24"/>
          <w:szCs w:val="24"/>
        </w:rPr>
      </w:pPr>
      <w:r w:rsidRPr="004D6D76">
        <w:rPr>
          <w:rFonts w:ascii="Arial" w:hAnsi="Arial" w:cs="Arial"/>
          <w:sz w:val="24"/>
          <w:szCs w:val="24"/>
        </w:rPr>
        <w:t xml:space="preserve">Încasările din </w:t>
      </w:r>
      <w:r w:rsidRPr="004D6D76">
        <w:rPr>
          <w:rFonts w:ascii="Arial" w:hAnsi="Arial" w:cs="Arial"/>
          <w:b/>
          <w:bCs/>
          <w:sz w:val="24"/>
          <w:szCs w:val="24"/>
        </w:rPr>
        <w:t xml:space="preserve">taxa pe valoarea adăugată </w:t>
      </w:r>
      <w:r w:rsidR="0066051B">
        <w:rPr>
          <w:rFonts w:ascii="Arial" w:hAnsi="Arial" w:cs="Arial"/>
          <w:sz w:val="24"/>
          <w:szCs w:val="24"/>
        </w:rPr>
        <w:t>au totalizat 30.</w:t>
      </w:r>
      <w:r w:rsidRPr="004D6D76">
        <w:rPr>
          <w:rFonts w:ascii="Arial" w:hAnsi="Arial" w:cs="Arial"/>
          <w:sz w:val="24"/>
          <w:szCs w:val="24"/>
        </w:rPr>
        <w:t xml:space="preserve">144,6 milioane lei (2,9% din PIB) cu 12,6% mai mari comparativ cu cele înregistrate în aceeași perioadă a anului precedent, gradul de realizare al programului de încasări fiind de 91,5%. </w:t>
      </w:r>
    </w:p>
    <w:p w:rsidR="002F2E52" w:rsidRDefault="004D6D76" w:rsidP="002F2E52">
      <w:pPr>
        <w:tabs>
          <w:tab w:val="left" w:pos="284"/>
        </w:tabs>
        <w:autoSpaceDE w:val="0"/>
        <w:autoSpaceDN w:val="0"/>
        <w:adjustRightInd w:val="0"/>
        <w:spacing w:after="120" w:line="276" w:lineRule="auto"/>
        <w:ind w:firstLine="567"/>
        <w:rPr>
          <w:rFonts w:ascii="Arial" w:eastAsia="Times New Roman" w:hAnsi="Arial" w:cs="Arial"/>
          <w:sz w:val="24"/>
          <w:szCs w:val="24"/>
          <w:lang w:val="en-US"/>
        </w:rPr>
      </w:pPr>
      <w:r w:rsidRPr="004D6D76">
        <w:rPr>
          <w:rFonts w:ascii="Arial" w:hAnsi="Arial" w:cs="Arial"/>
          <w:sz w:val="24"/>
          <w:szCs w:val="24"/>
        </w:rPr>
        <w:t>Evoluția încasărilor din taxa pe valoarea adăugată a fost realizată pe fondul creșterii volumului cifrei de afaceri pentru comerțul cu amănuntul (cu excepția comerțului cu autovehicule şi motociclete), serie brută, cu 7,1% pe primele cinci luni ale anului 2019, comparativ cu perioada similară din 2018</w:t>
      </w:r>
      <w:r w:rsidRPr="004D6D76">
        <w:rPr>
          <w:rFonts w:ascii="Arial" w:eastAsia="Calibri" w:hAnsi="Arial" w:cs="Arial"/>
          <w:sz w:val="24"/>
          <w:szCs w:val="24"/>
        </w:rPr>
        <w:t xml:space="preserve"> datorită creșterii vânzărilor de produse nealimentare (10,1%), vânzărilor de produse alimentare, băuturi și tutun (4,8%) și comerțului cu amănuntul al carburanților pentru autovehicule în magazine specializate (6.6%)</w:t>
      </w:r>
      <w:r w:rsidRPr="004D6D76">
        <w:rPr>
          <w:rFonts w:ascii="Arial" w:eastAsia="Calibri" w:hAnsi="Arial" w:cs="Arial"/>
          <w:sz w:val="24"/>
          <w:szCs w:val="24"/>
          <w:vertAlign w:val="superscript"/>
        </w:rPr>
        <w:footnoteReference w:id="6"/>
      </w:r>
      <w:r w:rsidRPr="004D6D76">
        <w:rPr>
          <w:rFonts w:ascii="Arial" w:eastAsia="Calibri" w:hAnsi="Arial" w:cs="Arial"/>
          <w:sz w:val="24"/>
          <w:szCs w:val="24"/>
        </w:rPr>
        <w:t>.</w:t>
      </w:r>
      <w:r w:rsidRPr="004D6D76">
        <w:rPr>
          <w:rFonts w:ascii="Arial" w:eastAsia="Times New Roman" w:hAnsi="Arial" w:cs="Arial"/>
          <w:sz w:val="24"/>
          <w:szCs w:val="24"/>
          <w:lang w:val="en-US"/>
        </w:rPr>
        <w:t xml:space="preserve"> </w:t>
      </w:r>
    </w:p>
    <w:p w:rsidR="002F2E52" w:rsidRDefault="004D6D76" w:rsidP="002F2E52">
      <w:pPr>
        <w:tabs>
          <w:tab w:val="left" w:pos="284"/>
        </w:tabs>
        <w:autoSpaceDE w:val="0"/>
        <w:autoSpaceDN w:val="0"/>
        <w:adjustRightInd w:val="0"/>
        <w:spacing w:after="120" w:line="276" w:lineRule="auto"/>
        <w:ind w:firstLine="567"/>
        <w:rPr>
          <w:rFonts w:ascii="Arial" w:eastAsia="Calibri" w:hAnsi="Arial" w:cs="Arial"/>
          <w:sz w:val="24"/>
          <w:szCs w:val="24"/>
        </w:rPr>
      </w:pPr>
      <w:r w:rsidRPr="004D6D76">
        <w:rPr>
          <w:rFonts w:ascii="Arial" w:eastAsia="Calibri" w:hAnsi="Arial" w:cs="Arial"/>
          <w:sz w:val="24"/>
          <w:szCs w:val="24"/>
        </w:rPr>
        <w:t>Referitor la valoarea schimburilor extracomunitare de bunuri (Extra-UE28)</w:t>
      </w:r>
      <w:r w:rsidRPr="004D6D76">
        <w:rPr>
          <w:rFonts w:ascii="Arial" w:eastAsia="Calibri" w:hAnsi="Arial" w:cs="Arial"/>
          <w:sz w:val="24"/>
          <w:szCs w:val="24"/>
          <w:vertAlign w:val="superscript"/>
          <w:lang w:val="en-US"/>
        </w:rPr>
        <w:footnoteReference w:id="7"/>
      </w:r>
      <w:r w:rsidR="0067614C">
        <w:rPr>
          <w:rFonts w:ascii="Arial" w:eastAsia="Calibri" w:hAnsi="Arial" w:cs="Arial"/>
          <w:sz w:val="24"/>
          <w:szCs w:val="24"/>
        </w:rPr>
        <w:t xml:space="preserve"> </w:t>
      </w:r>
      <w:r w:rsidRPr="004D6D76">
        <w:rPr>
          <w:rFonts w:ascii="Arial" w:eastAsia="Calibri" w:hAnsi="Arial" w:cs="Arial"/>
          <w:sz w:val="24"/>
          <w:szCs w:val="24"/>
        </w:rPr>
        <w:t>aceasta a crescut cu 11,1% la importuri  și cu 3,9% la exporturi (la valori exprimate în lei) în primele cinci luni ale anului 2019 comparativ cu perioada similară a anului precedent.</w:t>
      </w:r>
    </w:p>
    <w:p w:rsidR="002F2E52" w:rsidRDefault="004D6D76" w:rsidP="002F2E52">
      <w:pPr>
        <w:tabs>
          <w:tab w:val="left" w:pos="284"/>
        </w:tabs>
        <w:autoSpaceDE w:val="0"/>
        <w:autoSpaceDN w:val="0"/>
        <w:adjustRightInd w:val="0"/>
        <w:spacing w:after="0" w:line="276" w:lineRule="auto"/>
        <w:ind w:firstLine="562"/>
        <w:rPr>
          <w:rFonts w:ascii="Arial" w:hAnsi="Arial" w:cs="Arial"/>
          <w:sz w:val="24"/>
          <w:szCs w:val="24"/>
        </w:rPr>
      </w:pPr>
      <w:r w:rsidRPr="004D6D76">
        <w:rPr>
          <w:rFonts w:ascii="Arial" w:hAnsi="Arial" w:cs="Arial"/>
          <w:sz w:val="24"/>
          <w:szCs w:val="24"/>
        </w:rPr>
        <w:t xml:space="preserve">Încasările din </w:t>
      </w:r>
      <w:r w:rsidRPr="004D6D76">
        <w:rPr>
          <w:rFonts w:ascii="Arial" w:hAnsi="Arial" w:cs="Arial"/>
          <w:b/>
          <w:sz w:val="24"/>
          <w:szCs w:val="24"/>
        </w:rPr>
        <w:t>accize</w:t>
      </w:r>
      <w:r w:rsidRPr="004D6D76">
        <w:rPr>
          <w:rFonts w:ascii="Arial" w:hAnsi="Arial" w:cs="Arial"/>
          <w:sz w:val="24"/>
          <w:szCs w:val="24"/>
        </w:rPr>
        <w:t xml:space="preserve"> au însumat 14.114,2 milioane lei (1,4% din PIB), situându-se cu 2,6% sub nivelul programat inițial, dar cu 7,5% mai mari comparativ cu  încasările din aceeași perioadă a anului precedent.</w:t>
      </w:r>
    </w:p>
    <w:p w:rsidR="004D6D76" w:rsidRPr="004D6D76" w:rsidRDefault="004D6D76" w:rsidP="002F2E52">
      <w:pPr>
        <w:tabs>
          <w:tab w:val="left" w:pos="284"/>
        </w:tabs>
        <w:autoSpaceDE w:val="0"/>
        <w:autoSpaceDN w:val="0"/>
        <w:adjustRightInd w:val="0"/>
        <w:spacing w:after="0" w:line="276" w:lineRule="auto"/>
        <w:ind w:firstLine="567"/>
        <w:rPr>
          <w:rFonts w:ascii="Arial" w:hAnsi="Arial" w:cs="Arial"/>
          <w:sz w:val="24"/>
          <w:szCs w:val="24"/>
        </w:rPr>
      </w:pPr>
      <w:r w:rsidRPr="004D6D76">
        <w:rPr>
          <w:rFonts w:ascii="Arial" w:hAnsi="Arial" w:cs="Arial"/>
          <w:sz w:val="24"/>
          <w:szCs w:val="24"/>
        </w:rPr>
        <w:t>Comparativ cu perioada similară din anul anterior, accizele din produse energetice au crescut cu 4,7%, pe fondul</w:t>
      </w:r>
      <w:r w:rsidRPr="004D6D76">
        <w:rPr>
          <w:rFonts w:ascii="Arial" w:eastAsia="Calibri" w:hAnsi="Arial" w:cs="Arial"/>
          <w:sz w:val="24"/>
          <w:szCs w:val="24"/>
        </w:rPr>
        <w:t xml:space="preserve"> creșterii în primele 5 luni ale anului 2019 a </w:t>
      </w:r>
      <w:r w:rsidRPr="004D6D76">
        <w:rPr>
          <w:rFonts w:ascii="Arial" w:eastAsia="Calibri" w:hAnsi="Arial" w:cs="Arial"/>
          <w:sz w:val="24"/>
          <w:szCs w:val="24"/>
        </w:rPr>
        <w:lastRenderedPageBreak/>
        <w:t>comerțului cu amănuntul al carburanților pentru autovehicule în magazine specializate  cu 6,6%</w:t>
      </w:r>
      <w:r w:rsidRPr="004D6D76">
        <w:rPr>
          <w:rFonts w:ascii="Arial" w:eastAsia="Calibri" w:hAnsi="Arial" w:cs="Arial"/>
          <w:sz w:val="24"/>
          <w:szCs w:val="24"/>
          <w:vertAlign w:val="superscript"/>
        </w:rPr>
        <w:footnoteReference w:id="8"/>
      </w:r>
      <w:r w:rsidRPr="004D6D76">
        <w:rPr>
          <w:rFonts w:ascii="Arial" w:eastAsia="Calibri" w:hAnsi="Arial" w:cs="Arial"/>
          <w:sz w:val="24"/>
          <w:szCs w:val="24"/>
        </w:rPr>
        <w:t xml:space="preserve"> iar </w:t>
      </w:r>
      <w:r w:rsidRPr="004D6D76">
        <w:rPr>
          <w:rFonts w:ascii="Arial" w:hAnsi="Arial" w:cs="Arial"/>
          <w:sz w:val="24"/>
          <w:szCs w:val="24"/>
        </w:rPr>
        <w:t>cele din tutun cu 23,5%, pe fondul creșterii nivelului accizelor la tutun la 01 ianuarie 2019.</w:t>
      </w:r>
    </w:p>
    <w:p w:rsidR="004D6D76" w:rsidRPr="004D6D76" w:rsidRDefault="004D6D76" w:rsidP="004D6D76">
      <w:pPr>
        <w:autoSpaceDE w:val="0"/>
        <w:autoSpaceDN w:val="0"/>
        <w:adjustRightInd w:val="0"/>
        <w:spacing w:after="120" w:line="276" w:lineRule="auto"/>
        <w:ind w:firstLine="680"/>
        <w:rPr>
          <w:rFonts w:ascii="Arial" w:hAnsi="Arial" w:cs="Arial"/>
          <w:sz w:val="24"/>
          <w:szCs w:val="24"/>
        </w:rPr>
      </w:pPr>
      <w:r w:rsidRPr="004D6D76">
        <w:rPr>
          <w:rFonts w:ascii="Arial" w:hAnsi="Arial" w:cs="Arial"/>
          <w:sz w:val="24"/>
          <w:szCs w:val="24"/>
        </w:rPr>
        <w:t xml:space="preserve">Încasările din </w:t>
      </w:r>
      <w:r w:rsidRPr="004D6D76">
        <w:rPr>
          <w:rFonts w:ascii="Arial" w:hAnsi="Arial" w:cs="Arial"/>
          <w:b/>
          <w:sz w:val="24"/>
          <w:szCs w:val="24"/>
        </w:rPr>
        <w:t xml:space="preserve">alte impozite și taxe pe bunuri și servicii </w:t>
      </w:r>
      <w:r w:rsidRPr="004D6D76">
        <w:rPr>
          <w:rFonts w:ascii="Arial" w:hAnsi="Arial" w:cs="Arial"/>
          <w:sz w:val="24"/>
          <w:szCs w:val="24"/>
        </w:rPr>
        <w:t>au însumat 2.312,1 milioane lei (0,2% din PIB) cu 26,0% mai mari comparativ cu aceeași perioadă a anului anterior, gradul de realizare al programului de încasări fiind de 100,7%. La bugetul de stat veniturile înregistrate la capitolul ”Alte impozite si taxe generale pe bunuri si servicii”, au crescut în primul trimestrul al anului 2019 față de aceeași perioadă a anului 2018 cu 20%, înregistrând un grad de realizare față de programul stabilit pentru această perioadă de 110,4%. Cea mai mare influență au avut-o încasările aferente „Impozitului pe veniturile suplimentare obținute ca urmare a dereglementării prețurilor din sectorul gazelor naturale” care au înregistrat o creștere cu 25% față de aceeași perioadă a anului trecut, creștere datorată modificării modalității de calcul</w:t>
      </w:r>
      <w:r w:rsidRPr="004D6D76">
        <w:rPr>
          <w:rFonts w:ascii="Arial" w:hAnsi="Arial" w:cs="Arial"/>
          <w:sz w:val="24"/>
          <w:szCs w:val="24"/>
          <w:vertAlign w:val="superscript"/>
        </w:rPr>
        <w:footnoteReference w:id="9"/>
      </w:r>
      <w:r w:rsidRPr="004D6D76">
        <w:rPr>
          <w:rFonts w:ascii="Arial" w:hAnsi="Arial" w:cs="Arial"/>
          <w:sz w:val="24"/>
          <w:szCs w:val="24"/>
        </w:rPr>
        <w:t xml:space="preserve"> a impozitului, prin introducerea procentului de 80% la venitul suplimentar aplicat pentru prețurile care depășesc 85 lei /MWh (grad de realizare de 113,4%).</w:t>
      </w:r>
    </w:p>
    <w:p w:rsidR="004D6D76" w:rsidRDefault="004D6D76" w:rsidP="004D6D76">
      <w:pPr>
        <w:autoSpaceDE w:val="0"/>
        <w:autoSpaceDN w:val="0"/>
        <w:adjustRightInd w:val="0"/>
        <w:spacing w:after="120" w:line="276" w:lineRule="auto"/>
        <w:ind w:firstLine="680"/>
        <w:rPr>
          <w:rFonts w:ascii="Arial" w:hAnsi="Arial" w:cs="Arial"/>
          <w:sz w:val="24"/>
          <w:szCs w:val="24"/>
        </w:rPr>
      </w:pPr>
      <w:r w:rsidRPr="004D6D76">
        <w:rPr>
          <w:rFonts w:ascii="Arial" w:hAnsi="Arial" w:cs="Arial"/>
          <w:sz w:val="24"/>
          <w:szCs w:val="24"/>
        </w:rPr>
        <w:t xml:space="preserve">Încasările din </w:t>
      </w:r>
      <w:r w:rsidRPr="004D6D76">
        <w:rPr>
          <w:rFonts w:ascii="Arial" w:hAnsi="Arial" w:cs="Arial"/>
          <w:b/>
          <w:sz w:val="24"/>
          <w:szCs w:val="24"/>
        </w:rPr>
        <w:t xml:space="preserve">impozitul pe comerțul exterior </w:t>
      </w:r>
      <w:r w:rsidR="006E1E76" w:rsidRPr="004D6D76">
        <w:rPr>
          <w:rFonts w:ascii="Arial" w:hAnsi="Arial" w:cs="Arial"/>
          <w:b/>
          <w:sz w:val="24"/>
          <w:szCs w:val="24"/>
        </w:rPr>
        <w:t>și</w:t>
      </w:r>
      <w:r w:rsidRPr="004D6D76">
        <w:rPr>
          <w:rFonts w:ascii="Arial" w:hAnsi="Arial" w:cs="Arial"/>
          <w:b/>
          <w:sz w:val="24"/>
          <w:szCs w:val="24"/>
        </w:rPr>
        <w:t xml:space="preserve"> tranzacțiile internaționale</w:t>
      </w:r>
      <w:r w:rsidRPr="004D6D76">
        <w:rPr>
          <w:rFonts w:ascii="Arial" w:hAnsi="Arial" w:cs="Arial"/>
          <w:sz w:val="24"/>
          <w:szCs w:val="24"/>
        </w:rPr>
        <w:t xml:space="preserve"> au crescut cu 15,4% comparativ aceeași perioadă a anului precedent, în condițiile în care importurile de bunuri din zona extra-comunitară au crescut cu 11,1%, în timp ce gradul de realizare al programului de încasări a fost de 104,4%.</w:t>
      </w:r>
    </w:p>
    <w:p w:rsidR="004D6D76" w:rsidRPr="004D6D76" w:rsidRDefault="004D6D76" w:rsidP="004D6D76">
      <w:pPr>
        <w:keepNext/>
        <w:keepLines/>
        <w:ind w:firstLine="680"/>
        <w:rPr>
          <w:rFonts w:ascii="Arial" w:hAnsi="Arial" w:cs="Arial"/>
          <w:sz w:val="24"/>
          <w:szCs w:val="24"/>
        </w:rPr>
      </w:pPr>
      <w:r w:rsidRPr="004D6D76">
        <w:rPr>
          <w:rFonts w:ascii="Arial" w:hAnsi="Arial" w:cs="Arial"/>
          <w:sz w:val="24"/>
          <w:szCs w:val="24"/>
        </w:rPr>
        <w:t xml:space="preserve">Încasările din </w:t>
      </w:r>
      <w:r w:rsidRPr="004D6D76">
        <w:rPr>
          <w:rFonts w:ascii="Arial" w:hAnsi="Arial" w:cs="Arial"/>
          <w:b/>
          <w:sz w:val="24"/>
          <w:szCs w:val="24"/>
        </w:rPr>
        <w:t xml:space="preserve">taxa pe utilizarea bunurilor, autorizarea utilizării bunurilor sau pe desfășurarea de activități </w:t>
      </w:r>
      <w:r w:rsidRPr="004D6D76">
        <w:rPr>
          <w:rFonts w:ascii="Arial" w:hAnsi="Arial" w:cs="Arial"/>
          <w:sz w:val="24"/>
          <w:szCs w:val="24"/>
        </w:rPr>
        <w:t>au înregistrat o sumă negativă de -93,9 milioane lei ca urmare a restituirilor aferente taxelor pe poluare pentru autovehicule.</w:t>
      </w:r>
    </w:p>
    <w:p w:rsidR="004D6D76" w:rsidRPr="004D6D76" w:rsidRDefault="004D6D76" w:rsidP="004D6D76">
      <w:pPr>
        <w:keepNext/>
        <w:keepLines/>
        <w:spacing w:line="276" w:lineRule="auto"/>
        <w:ind w:firstLine="680"/>
        <w:rPr>
          <w:rFonts w:ascii="Arial" w:hAnsi="Arial" w:cs="Arial"/>
          <w:sz w:val="24"/>
          <w:szCs w:val="24"/>
        </w:rPr>
      </w:pPr>
      <w:r w:rsidRPr="004D6D76">
        <w:rPr>
          <w:rFonts w:ascii="Arial" w:hAnsi="Arial" w:cs="Arial"/>
          <w:b/>
          <w:sz w:val="24"/>
          <w:szCs w:val="24"/>
        </w:rPr>
        <w:t>Contribuțiile de asigurări</w:t>
      </w:r>
      <w:r w:rsidRPr="004D6D76">
        <w:rPr>
          <w:rFonts w:ascii="Arial" w:hAnsi="Arial" w:cs="Arial"/>
          <w:sz w:val="24"/>
          <w:szCs w:val="24"/>
        </w:rPr>
        <w:t xml:space="preserve"> colectate la bugetul general consolidat au fost în sumă de 54.816,2 milioane lei (5,3% din PIB</w:t>
      </w:r>
      <w:r w:rsidRPr="003D45EA">
        <w:rPr>
          <w:rFonts w:ascii="Arial" w:hAnsi="Arial" w:cs="Arial"/>
          <w:sz w:val="24"/>
          <w:szCs w:val="24"/>
        </w:rPr>
        <w:t>),</w:t>
      </w:r>
      <w:r w:rsidRPr="003D45EA">
        <w:rPr>
          <w:rFonts w:ascii="Arial" w:hAnsi="Arial" w:cs="Arial"/>
          <w:b/>
          <w:sz w:val="24"/>
          <w:szCs w:val="24"/>
        </w:rPr>
        <w:t xml:space="preserve"> cu </w:t>
      </w:r>
      <w:r w:rsidRPr="003D45EA">
        <w:rPr>
          <w:rFonts w:ascii="Arial" w:hAnsi="Arial" w:cs="Arial"/>
          <w:b/>
          <w:bCs/>
          <w:sz w:val="24"/>
          <w:szCs w:val="24"/>
        </w:rPr>
        <w:t xml:space="preserve">17,1% </w:t>
      </w:r>
      <w:r w:rsidRPr="003D45EA">
        <w:rPr>
          <w:rFonts w:ascii="Arial" w:hAnsi="Arial" w:cs="Arial"/>
          <w:b/>
          <w:sz w:val="24"/>
          <w:szCs w:val="24"/>
        </w:rPr>
        <w:t>mai mari</w:t>
      </w:r>
      <w:r w:rsidRPr="004D6D76">
        <w:rPr>
          <w:rFonts w:ascii="Arial" w:hAnsi="Arial" w:cs="Arial"/>
          <w:sz w:val="24"/>
          <w:szCs w:val="24"/>
        </w:rPr>
        <w:t xml:space="preserve"> comparativ cu încasările înregistrate în aceeași perioadă a anului precedent, gradul de realizare al programului de încasări fiind de 95,9%. </w:t>
      </w:r>
    </w:p>
    <w:p w:rsidR="004D6D76" w:rsidRPr="004D6D76" w:rsidRDefault="004D6D76" w:rsidP="004D6D76">
      <w:pPr>
        <w:keepNext/>
        <w:keepLines/>
        <w:spacing w:line="276" w:lineRule="auto"/>
        <w:ind w:firstLine="680"/>
        <w:rPr>
          <w:rFonts w:ascii="Arial" w:eastAsia="Calibri" w:hAnsi="Arial" w:cs="Arial"/>
          <w:sz w:val="24"/>
          <w:szCs w:val="24"/>
        </w:rPr>
      </w:pPr>
      <w:r w:rsidRPr="004D6D76">
        <w:rPr>
          <w:rFonts w:ascii="Arial" w:hAnsi="Arial" w:cs="Arial"/>
          <w:sz w:val="24"/>
          <w:szCs w:val="24"/>
        </w:rPr>
        <w:t xml:space="preserve">Comparativ cu semestrul I 2018 s-au înregistrat creșteri ale încasărilor, atât în cazul </w:t>
      </w:r>
      <w:r w:rsidR="00F5526A">
        <w:rPr>
          <w:rFonts w:ascii="Arial" w:eastAsia="Calibri" w:hAnsi="Arial" w:cs="Arial"/>
          <w:sz w:val="24"/>
          <w:szCs w:val="24"/>
        </w:rPr>
        <w:t>bugetului de stat (+48,5</w:t>
      </w:r>
      <w:r w:rsidRPr="004D6D76">
        <w:rPr>
          <w:rFonts w:ascii="Arial" w:eastAsia="Calibri" w:hAnsi="Arial" w:cs="Arial"/>
          <w:sz w:val="24"/>
          <w:szCs w:val="24"/>
        </w:rPr>
        <w:t xml:space="preserve">%, ca urmare a modificării legislative privind cota e distribuire la bugetul de stat a contribuției asiguratorii pentru muncă de la 20% în anul 2018 la 48% în anul 2019) cât și în cazul </w:t>
      </w:r>
      <w:r w:rsidRPr="004D6D76">
        <w:rPr>
          <w:rFonts w:ascii="Arial" w:hAnsi="Arial" w:cs="Arial"/>
          <w:sz w:val="24"/>
          <w:szCs w:val="24"/>
        </w:rPr>
        <w:t>bugetului asigurărilor sociale de stat (+17,9%), a bugetului asigurărilor pentru șomaj (+2,9%) și a bugetului fondului național unic de asigurări sociale de sănătate (+10,6%).</w:t>
      </w:r>
      <w:r w:rsidRPr="004D6D76">
        <w:rPr>
          <w:rFonts w:ascii="Arial" w:eastAsia="Calibri" w:hAnsi="Arial" w:cs="Arial"/>
          <w:sz w:val="24"/>
          <w:szCs w:val="24"/>
        </w:rPr>
        <w:t xml:space="preserve"> </w:t>
      </w:r>
    </w:p>
    <w:p w:rsidR="004D6D76" w:rsidRPr="004D6D76" w:rsidRDefault="004D6D76" w:rsidP="004D6D76">
      <w:pPr>
        <w:autoSpaceDE w:val="0"/>
        <w:autoSpaceDN w:val="0"/>
        <w:adjustRightInd w:val="0"/>
        <w:spacing w:after="120" w:line="276" w:lineRule="auto"/>
        <w:ind w:firstLine="567"/>
        <w:rPr>
          <w:rFonts w:ascii="Arial" w:eastAsia="Calibri" w:hAnsi="Arial" w:cs="Arial"/>
          <w:kern w:val="1"/>
          <w:sz w:val="24"/>
          <w:szCs w:val="24"/>
        </w:rPr>
      </w:pPr>
      <w:r w:rsidRPr="004D6D76">
        <w:rPr>
          <w:rFonts w:ascii="Arial" w:eastAsia="Calibri" w:hAnsi="Arial" w:cs="Arial"/>
          <w:kern w:val="1"/>
          <w:sz w:val="24"/>
          <w:szCs w:val="24"/>
        </w:rPr>
        <w:t>Dinamica pozitivă  a veniturilor din contribuții sociale realizate pe semestrul I al anului 2019 a fost influențată, ca și în cazul impozitului pe venit, de aceeași indicatori macroeconomici realizați (numărul mediu de salariați și salariul mediu brut la nivelul economiei) și de majorarea salariului minim brut garantat în plată diferențiat pe studii și pentru salariații din domeniul construcțiilor.</w:t>
      </w:r>
    </w:p>
    <w:p w:rsidR="004D6D76" w:rsidRPr="004D6D76" w:rsidRDefault="004D6D76" w:rsidP="004D6D76">
      <w:pPr>
        <w:keepNext/>
        <w:keepLines/>
        <w:tabs>
          <w:tab w:val="left" w:pos="851"/>
        </w:tabs>
        <w:spacing w:line="276" w:lineRule="auto"/>
        <w:ind w:firstLine="680"/>
        <w:rPr>
          <w:rFonts w:ascii="Arial" w:hAnsi="Arial" w:cs="Arial"/>
          <w:sz w:val="24"/>
          <w:szCs w:val="24"/>
        </w:rPr>
      </w:pPr>
      <w:r w:rsidRPr="004D6D76">
        <w:rPr>
          <w:rFonts w:ascii="Arial" w:hAnsi="Arial" w:cs="Arial"/>
          <w:sz w:val="24"/>
          <w:szCs w:val="24"/>
        </w:rPr>
        <w:lastRenderedPageBreak/>
        <w:t xml:space="preserve"> Comparativ cu programul semestrial încasările din contribuțiile de asigurări au fost superioare programului de încasări în cazul bugetului asigurărilor pentru șomaj </w:t>
      </w:r>
      <w:r w:rsidRPr="00FD6874">
        <w:rPr>
          <w:rFonts w:ascii="Arial" w:hAnsi="Arial" w:cs="Arial"/>
          <w:sz w:val="24"/>
          <w:szCs w:val="24"/>
        </w:rPr>
        <w:t>(109,7%)</w:t>
      </w:r>
      <w:r w:rsidR="00A5281E" w:rsidRPr="00FD6874">
        <w:rPr>
          <w:rFonts w:ascii="Arial" w:hAnsi="Arial" w:cs="Arial"/>
          <w:sz w:val="24"/>
          <w:szCs w:val="24"/>
        </w:rPr>
        <w:t>,</w:t>
      </w:r>
      <w:r w:rsidRPr="00FD6874">
        <w:rPr>
          <w:rFonts w:ascii="Arial" w:hAnsi="Arial" w:cs="Arial"/>
          <w:sz w:val="24"/>
          <w:szCs w:val="24"/>
        </w:rPr>
        <w:t xml:space="preserve"> în timp </w:t>
      </w:r>
      <w:r w:rsidR="003D45EA" w:rsidRPr="00FD6874">
        <w:rPr>
          <w:rFonts w:ascii="Arial" w:hAnsi="Arial" w:cs="Arial"/>
          <w:sz w:val="24"/>
          <w:szCs w:val="24"/>
        </w:rPr>
        <w:t xml:space="preserve">ce </w:t>
      </w:r>
      <w:r w:rsidRPr="00FD6874">
        <w:rPr>
          <w:rFonts w:ascii="Arial" w:hAnsi="Arial" w:cs="Arial"/>
          <w:sz w:val="24"/>
          <w:szCs w:val="24"/>
        </w:rPr>
        <w:t>în cazul bugetului de stat (97,3%),</w:t>
      </w:r>
      <w:r w:rsidR="00FD6874" w:rsidRPr="00FD6874">
        <w:rPr>
          <w:rFonts w:ascii="Arial" w:hAnsi="Arial" w:cs="Arial"/>
          <w:sz w:val="24"/>
          <w:szCs w:val="24"/>
        </w:rPr>
        <w:t xml:space="preserve"> a</w:t>
      </w:r>
      <w:r w:rsidRPr="00FD6874">
        <w:rPr>
          <w:rFonts w:ascii="Arial" w:hAnsi="Arial" w:cs="Arial"/>
          <w:sz w:val="24"/>
          <w:szCs w:val="24"/>
        </w:rPr>
        <w:t xml:space="preserve"> bugetului asigurărilor sociale de stat (95,0%) și a bugetului fondului național unic de asigurări sociale de sănătate (96,6%) încasările s-au situat sub nivelul programat.</w:t>
      </w:r>
    </w:p>
    <w:p w:rsidR="003D45EA" w:rsidRDefault="004D6D76" w:rsidP="003D45EA">
      <w:pPr>
        <w:suppressAutoHyphens/>
        <w:autoSpaceDE w:val="0"/>
        <w:autoSpaceDN w:val="0"/>
        <w:adjustRightInd w:val="0"/>
        <w:spacing w:after="0" w:line="276" w:lineRule="auto"/>
        <w:ind w:firstLine="680"/>
        <w:rPr>
          <w:rFonts w:ascii="Arial" w:eastAsia="Calibri" w:hAnsi="Arial" w:cs="Arial"/>
          <w:kern w:val="1"/>
          <w:sz w:val="24"/>
          <w:szCs w:val="24"/>
        </w:rPr>
      </w:pPr>
      <w:r w:rsidRPr="004D6D76">
        <w:rPr>
          <w:rFonts w:ascii="Arial" w:eastAsia="Calibri" w:hAnsi="Arial" w:cs="Arial"/>
          <w:kern w:val="1"/>
          <w:sz w:val="24"/>
          <w:szCs w:val="24"/>
        </w:rPr>
        <w:t>Nerealizarea contribuțiilor sociale din această perioadă cu 2,3 miliarde lei, se datorează atât măsurilor legislative noi aplicate salariaților din domeniul construcțiilor</w:t>
      </w:r>
      <w:r w:rsidRPr="004D6D76">
        <w:rPr>
          <w:rFonts w:ascii="Arial" w:eastAsia="Calibri" w:hAnsi="Arial" w:cs="Arial"/>
          <w:kern w:val="1"/>
          <w:sz w:val="24"/>
          <w:szCs w:val="24"/>
          <w:vertAlign w:val="superscript"/>
        </w:rPr>
        <w:footnoteReference w:id="10"/>
      </w:r>
      <w:r w:rsidRPr="004D6D76">
        <w:rPr>
          <w:rFonts w:ascii="Arial" w:eastAsia="Calibri" w:hAnsi="Arial" w:cs="Arial"/>
          <w:kern w:val="1"/>
          <w:sz w:val="24"/>
          <w:szCs w:val="24"/>
        </w:rPr>
        <w:t xml:space="preserve">, a prorogării  termenului prevăzut pentru depunerea </w:t>
      </w:r>
      <w:r w:rsidR="006E1E76" w:rsidRPr="004D6D76">
        <w:rPr>
          <w:rFonts w:ascii="Arial" w:eastAsia="Calibri" w:hAnsi="Arial" w:cs="Arial"/>
          <w:kern w:val="1"/>
          <w:sz w:val="24"/>
          <w:szCs w:val="24"/>
        </w:rPr>
        <w:t>Declarației</w:t>
      </w:r>
      <w:r w:rsidRPr="004D6D76">
        <w:rPr>
          <w:rFonts w:ascii="Arial" w:eastAsia="Calibri" w:hAnsi="Arial" w:cs="Arial"/>
          <w:kern w:val="1"/>
          <w:sz w:val="24"/>
          <w:szCs w:val="24"/>
        </w:rPr>
        <w:t xml:space="preserve"> unice privind impozitul pe venit </w:t>
      </w:r>
      <w:r w:rsidR="006E1E76" w:rsidRPr="004D6D76">
        <w:rPr>
          <w:rFonts w:ascii="Arial" w:eastAsia="Calibri" w:hAnsi="Arial" w:cs="Arial"/>
          <w:kern w:val="1"/>
          <w:sz w:val="24"/>
          <w:szCs w:val="24"/>
        </w:rPr>
        <w:t>și</w:t>
      </w:r>
      <w:r w:rsidRPr="004D6D76">
        <w:rPr>
          <w:rFonts w:ascii="Arial" w:eastAsia="Calibri" w:hAnsi="Arial" w:cs="Arial"/>
          <w:kern w:val="1"/>
          <w:sz w:val="24"/>
          <w:szCs w:val="24"/>
        </w:rPr>
        <w:t xml:space="preserve"> </w:t>
      </w:r>
      <w:r w:rsidR="006E1E76" w:rsidRPr="004D6D76">
        <w:rPr>
          <w:rFonts w:ascii="Arial" w:eastAsia="Calibri" w:hAnsi="Arial" w:cs="Arial"/>
          <w:kern w:val="1"/>
          <w:sz w:val="24"/>
          <w:szCs w:val="24"/>
        </w:rPr>
        <w:t>contribuțiile</w:t>
      </w:r>
      <w:r w:rsidRPr="004D6D76">
        <w:rPr>
          <w:rFonts w:ascii="Arial" w:eastAsia="Calibri" w:hAnsi="Arial" w:cs="Arial"/>
          <w:kern w:val="1"/>
          <w:sz w:val="24"/>
          <w:szCs w:val="24"/>
        </w:rPr>
        <w:t xml:space="preserve"> sociale datorate de persoanele fizice</w:t>
      </w:r>
      <w:r w:rsidRPr="004D6D76">
        <w:rPr>
          <w:rFonts w:ascii="Arial" w:eastAsia="Calibri" w:hAnsi="Arial" w:cs="Arial"/>
          <w:kern w:val="24"/>
          <w:sz w:val="24"/>
          <w:szCs w:val="24"/>
          <w:vertAlign w:val="superscript"/>
        </w:rPr>
        <w:footnoteReference w:id="11"/>
      </w:r>
      <w:r w:rsidRPr="004D6D76">
        <w:rPr>
          <w:rFonts w:ascii="Arial" w:eastAsia="Calibri" w:hAnsi="Arial" w:cs="Arial"/>
          <w:kern w:val="1"/>
          <w:sz w:val="24"/>
          <w:szCs w:val="24"/>
        </w:rPr>
        <w:t xml:space="preserve"> de  la 15 martie inclusiv, până la data de 31 iulie 2019, cât și a scăderii colectării datoriilor curente.</w:t>
      </w:r>
    </w:p>
    <w:p w:rsidR="003D45EA" w:rsidRDefault="004D6D76" w:rsidP="003D45EA">
      <w:pPr>
        <w:suppressAutoHyphens/>
        <w:autoSpaceDE w:val="0"/>
        <w:autoSpaceDN w:val="0"/>
        <w:adjustRightInd w:val="0"/>
        <w:spacing w:after="0" w:line="276" w:lineRule="auto"/>
        <w:ind w:firstLine="680"/>
        <w:rPr>
          <w:rFonts w:ascii="Arial" w:hAnsi="Arial" w:cs="Arial"/>
          <w:sz w:val="24"/>
          <w:szCs w:val="24"/>
        </w:rPr>
      </w:pPr>
      <w:r w:rsidRPr="004D6D76">
        <w:rPr>
          <w:rFonts w:ascii="Arial" w:hAnsi="Arial" w:cs="Arial"/>
          <w:b/>
          <w:bCs/>
          <w:sz w:val="24"/>
          <w:szCs w:val="24"/>
        </w:rPr>
        <w:t xml:space="preserve">Veniturile nefiscale </w:t>
      </w:r>
      <w:r w:rsidRPr="004D6D76">
        <w:rPr>
          <w:rFonts w:ascii="Arial" w:hAnsi="Arial" w:cs="Arial"/>
          <w:sz w:val="24"/>
          <w:szCs w:val="24"/>
        </w:rPr>
        <w:t xml:space="preserve">încasate în primul semestru al anului 2019 au totalizat 13.346,2 milioane lei (1,3% din PIB), cu 9,0% peste programul de încasări aferent semestrului I și cu 28,1% mai mari comparativ cu încasările semestrul I 2018. </w:t>
      </w:r>
    </w:p>
    <w:p w:rsidR="003D45EA" w:rsidRDefault="004D6D76" w:rsidP="003D45EA">
      <w:pPr>
        <w:suppressAutoHyphens/>
        <w:autoSpaceDE w:val="0"/>
        <w:autoSpaceDN w:val="0"/>
        <w:adjustRightInd w:val="0"/>
        <w:spacing w:after="0" w:line="276" w:lineRule="auto"/>
        <w:ind w:firstLine="680"/>
        <w:rPr>
          <w:rFonts w:ascii="Arial" w:hAnsi="Arial" w:cs="Arial"/>
          <w:sz w:val="24"/>
          <w:szCs w:val="24"/>
        </w:rPr>
      </w:pPr>
      <w:r w:rsidRPr="004D6D76">
        <w:rPr>
          <w:rFonts w:ascii="Arial" w:hAnsi="Arial" w:cs="Arial"/>
          <w:sz w:val="24"/>
          <w:szCs w:val="24"/>
        </w:rPr>
        <w:t>Evoluția pozitivă a încasărilor în cazul veniturilor nefiscale, comparativ cu programul de încasări, s-a datorat</w:t>
      </w:r>
      <w:r w:rsidR="00A5281E">
        <w:rPr>
          <w:rFonts w:ascii="Arial" w:hAnsi="Arial" w:cs="Arial"/>
          <w:sz w:val="24"/>
          <w:szCs w:val="24"/>
        </w:rPr>
        <w:t>,</w:t>
      </w:r>
      <w:r w:rsidRPr="004D6D76">
        <w:rPr>
          <w:rFonts w:ascii="Arial" w:hAnsi="Arial" w:cs="Arial"/>
          <w:sz w:val="24"/>
          <w:szCs w:val="24"/>
        </w:rPr>
        <w:t xml:space="preserve"> în principal</w:t>
      </w:r>
      <w:r w:rsidR="00A5281E">
        <w:rPr>
          <w:rFonts w:ascii="Arial" w:hAnsi="Arial" w:cs="Arial"/>
          <w:sz w:val="24"/>
          <w:szCs w:val="24"/>
        </w:rPr>
        <w:t>,</w:t>
      </w:r>
      <w:r w:rsidRPr="004D6D76">
        <w:rPr>
          <w:rFonts w:ascii="Arial" w:hAnsi="Arial" w:cs="Arial"/>
          <w:sz w:val="24"/>
          <w:szCs w:val="24"/>
        </w:rPr>
        <w:t xml:space="preserve"> creșterii înregistrate în cazul veniturilor din proprietate și </w:t>
      </w:r>
      <w:r w:rsidR="00A5281E">
        <w:rPr>
          <w:rFonts w:ascii="Arial" w:hAnsi="Arial" w:cs="Arial"/>
          <w:sz w:val="24"/>
          <w:szCs w:val="24"/>
        </w:rPr>
        <w:t xml:space="preserve">a </w:t>
      </w:r>
      <w:r w:rsidRPr="004D6D76">
        <w:rPr>
          <w:rFonts w:ascii="Arial" w:hAnsi="Arial" w:cs="Arial"/>
          <w:sz w:val="24"/>
          <w:szCs w:val="24"/>
        </w:rPr>
        <w:t>veniturilor din dobânzi la bugetul de stat.</w:t>
      </w:r>
    </w:p>
    <w:p w:rsidR="004D6D76" w:rsidRPr="004D6D76" w:rsidRDefault="004D6D76" w:rsidP="003D45EA">
      <w:pPr>
        <w:suppressAutoHyphens/>
        <w:autoSpaceDE w:val="0"/>
        <w:autoSpaceDN w:val="0"/>
        <w:adjustRightInd w:val="0"/>
        <w:spacing w:after="0" w:line="276" w:lineRule="auto"/>
        <w:ind w:firstLine="680"/>
        <w:rPr>
          <w:rFonts w:ascii="Arial" w:hAnsi="Arial" w:cs="Arial"/>
          <w:sz w:val="24"/>
          <w:szCs w:val="24"/>
        </w:rPr>
      </w:pPr>
      <w:r w:rsidRPr="003D45EA">
        <w:rPr>
          <w:rFonts w:ascii="Arial" w:hAnsi="Arial" w:cs="Arial"/>
          <w:b/>
          <w:sz w:val="24"/>
          <w:szCs w:val="24"/>
        </w:rPr>
        <w:t>Sumele rambursate de Uniunea Europeană</w:t>
      </w:r>
      <w:r w:rsidRPr="004D6D76">
        <w:rPr>
          <w:rFonts w:ascii="Arial" w:hAnsi="Arial" w:cs="Arial"/>
          <w:sz w:val="24"/>
          <w:szCs w:val="24"/>
        </w:rPr>
        <w:t xml:space="preserve"> în contul plăților efectuate și donații au totalizat 7.601,5 milioane lei (0,7% din PIB), cu 9,9% mai mari comparati</w:t>
      </w:r>
      <w:r>
        <w:rPr>
          <w:rFonts w:ascii="Arial" w:hAnsi="Arial" w:cs="Arial"/>
          <w:sz w:val="24"/>
          <w:szCs w:val="24"/>
        </w:rPr>
        <w:t>v</w:t>
      </w:r>
      <w:r w:rsidRPr="004D6D76">
        <w:rPr>
          <w:rFonts w:ascii="Arial" w:hAnsi="Arial" w:cs="Arial"/>
          <w:sz w:val="24"/>
          <w:szCs w:val="24"/>
        </w:rPr>
        <w:t xml:space="preserve"> cu semestrul I 2018. </w:t>
      </w:r>
    </w:p>
    <w:p w:rsidR="004D6D76" w:rsidRPr="004D6D76" w:rsidRDefault="004D6D76" w:rsidP="003D45EA">
      <w:pPr>
        <w:spacing w:line="276" w:lineRule="auto"/>
        <w:ind w:right="-57" w:firstLine="720"/>
        <w:rPr>
          <w:rFonts w:ascii="Arial" w:hAnsi="Arial" w:cs="Arial"/>
          <w:sz w:val="24"/>
          <w:szCs w:val="24"/>
        </w:rPr>
      </w:pPr>
      <w:r w:rsidRPr="00B16B4E">
        <w:rPr>
          <w:rFonts w:ascii="Arial" w:hAnsi="Arial" w:cs="Arial"/>
          <w:b/>
          <w:bCs/>
          <w:sz w:val="24"/>
          <w:szCs w:val="24"/>
          <w:u w:val="single"/>
        </w:rPr>
        <w:t>Cheltuielile bugetului general consolidat</w:t>
      </w:r>
      <w:r w:rsidRPr="004D6D76">
        <w:rPr>
          <w:rFonts w:ascii="Arial" w:hAnsi="Arial" w:cs="Arial"/>
          <w:b/>
          <w:bCs/>
          <w:sz w:val="24"/>
          <w:szCs w:val="24"/>
        </w:rPr>
        <w:t xml:space="preserve"> </w:t>
      </w:r>
      <w:r w:rsidRPr="004D6D76">
        <w:rPr>
          <w:rFonts w:ascii="Arial" w:hAnsi="Arial" w:cs="Arial"/>
          <w:sz w:val="24"/>
          <w:szCs w:val="24"/>
        </w:rPr>
        <w:t xml:space="preserve">în sumă de </w:t>
      </w:r>
      <w:r w:rsidRPr="004D6D76">
        <w:rPr>
          <w:rFonts w:ascii="Arial" w:hAnsi="Arial" w:cs="Arial"/>
          <w:b/>
          <w:sz w:val="24"/>
          <w:szCs w:val="24"/>
        </w:rPr>
        <w:t>168.582,7 milioane  lei (16,4% din PIB)</w:t>
      </w:r>
      <w:r w:rsidRPr="004D6D76">
        <w:rPr>
          <w:rFonts w:ascii="Arial" w:hAnsi="Arial" w:cs="Arial"/>
          <w:sz w:val="24"/>
          <w:szCs w:val="24"/>
        </w:rPr>
        <w:t>, au crescut în termeni nominali cu 14,7% față de aceeași perioadă a anului precedent, gradul de realizare al acestora fiind de 94,6%.</w:t>
      </w:r>
    </w:p>
    <w:p w:rsidR="004D6D76" w:rsidRPr="004D6D76" w:rsidRDefault="004D6D76" w:rsidP="002F2E52">
      <w:pPr>
        <w:spacing w:line="276" w:lineRule="auto"/>
        <w:ind w:right="-57" w:firstLine="720"/>
        <w:rPr>
          <w:rFonts w:ascii="Arial" w:hAnsi="Arial" w:cs="Arial"/>
          <w:bCs/>
          <w:sz w:val="24"/>
          <w:szCs w:val="24"/>
        </w:rPr>
      </w:pPr>
      <w:r w:rsidRPr="004D6D76">
        <w:rPr>
          <w:rFonts w:ascii="Arial" w:hAnsi="Arial" w:cs="Arial"/>
          <w:bCs/>
          <w:sz w:val="24"/>
          <w:szCs w:val="24"/>
        </w:rPr>
        <w:t>Acestea, ca pondere în PIB, au înregistrat o creștere cu 0,8 puncte procentuale de la 15,6% din PIB în semestrul I 2018 la 16,4% din PIB în semestrul I 2019.</w:t>
      </w:r>
    </w:p>
    <w:p w:rsidR="0044034D" w:rsidRDefault="004D6D76" w:rsidP="004D6D76">
      <w:pPr>
        <w:ind w:right="-57" w:firstLine="0"/>
        <w:rPr>
          <w:rFonts w:ascii="Arial" w:hAnsi="Arial" w:cs="Arial"/>
          <w:bCs/>
          <w:sz w:val="24"/>
          <w:szCs w:val="24"/>
        </w:rPr>
      </w:pPr>
      <w:r>
        <w:rPr>
          <w:rFonts w:ascii="Arial" w:hAnsi="Arial" w:cs="Arial"/>
          <w:bCs/>
          <w:noProof/>
          <w:sz w:val="24"/>
          <w:szCs w:val="24"/>
          <w:lang w:val="en-US"/>
        </w:rPr>
        <w:drawing>
          <wp:inline distT="0" distB="0" distL="0" distR="0" wp14:anchorId="60B7BC51" wp14:editId="03C0472C">
            <wp:extent cx="5765269" cy="2891790"/>
            <wp:effectExtent l="0" t="0" r="698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4816" cy="2916642"/>
                    </a:xfrm>
                    <a:prstGeom prst="rect">
                      <a:avLst/>
                    </a:prstGeom>
                    <a:noFill/>
                  </pic:spPr>
                </pic:pic>
              </a:graphicData>
            </a:graphic>
          </wp:inline>
        </w:drawing>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b/>
          <w:sz w:val="24"/>
          <w:szCs w:val="24"/>
        </w:rPr>
        <w:lastRenderedPageBreak/>
        <w:t>Cheltuielile de personal</w:t>
      </w:r>
      <w:r w:rsidRPr="004D6D76">
        <w:rPr>
          <w:rFonts w:ascii="Arial" w:hAnsi="Arial" w:cs="Arial"/>
          <w:bCs/>
          <w:sz w:val="24"/>
          <w:szCs w:val="24"/>
        </w:rPr>
        <w:t xml:space="preserve"> au fost în sumă de 50.999,7 milioane lei în creștere cu 23,4% comparativ cu semestru I 2018, fiind realizate în proporție de 98,9%. </w:t>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bCs/>
          <w:sz w:val="24"/>
          <w:szCs w:val="24"/>
        </w:rPr>
        <w:t>Cheltuielile de personal, ca procent în PIB, au crescut cu 0,5 puncte procentuale de la 4,4% din PIB cât au fost în semestrul I 2018 la 4,9 % din PIB în semestrul I 2019.</w:t>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bCs/>
          <w:sz w:val="24"/>
          <w:szCs w:val="24"/>
        </w:rPr>
        <w:t xml:space="preserve">Creșterea cheltuielilor de personal comparativ cu semestrul I 2018 a fost determinată de majorarea salariilor în sectorul bugetar ca urmare a aplicării Legii cadru nr.153/2017, privind salarizarea personalului plătit din fonduri publice, precum și creșterea salariul de bază minim brut pe țară garantat în plată. </w:t>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b/>
          <w:bCs/>
          <w:sz w:val="24"/>
          <w:szCs w:val="24"/>
        </w:rPr>
        <w:t xml:space="preserve">Cheltuielile cu bunuri şi servicii </w:t>
      </w:r>
      <w:r w:rsidRPr="004D6D76">
        <w:rPr>
          <w:rFonts w:ascii="Arial" w:hAnsi="Arial" w:cs="Arial"/>
          <w:bCs/>
          <w:sz w:val="24"/>
          <w:szCs w:val="24"/>
        </w:rPr>
        <w:t xml:space="preserve">au totalizat 21.858,6 milioane lei în creștere cu 13,4% față de aceeași perioadă a anului precedent şi s-au realizat în proporție de 102,1%. Depășirea nivelului estimat în cazul cheltuielilor cu bunuri și servicii s-a datorat creșterilor față de nivelul programat la bugetele locale (+8,7%). </w:t>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bCs/>
          <w:sz w:val="24"/>
          <w:szCs w:val="24"/>
        </w:rPr>
        <w:t xml:space="preserve">Creșterea cheltuielilor cu bunuri și servicii comparativ cu semestrul I 2018 la bugetul de stat a fost de 37,6% fiind determinată de asigurarea sumelor necesare </w:t>
      </w:r>
      <w:r w:rsidR="006E1E76" w:rsidRPr="004D6D76">
        <w:rPr>
          <w:rFonts w:ascii="Arial" w:hAnsi="Arial" w:cs="Arial"/>
          <w:bCs/>
          <w:sz w:val="24"/>
          <w:szCs w:val="24"/>
        </w:rPr>
        <w:t>deținerii</w:t>
      </w:r>
      <w:r w:rsidRPr="004D6D76">
        <w:rPr>
          <w:rFonts w:ascii="Arial" w:hAnsi="Arial" w:cs="Arial"/>
          <w:bCs/>
          <w:sz w:val="24"/>
          <w:szCs w:val="24"/>
        </w:rPr>
        <w:t xml:space="preserve"> </w:t>
      </w:r>
      <w:r w:rsidR="006E1E76" w:rsidRPr="004D6D76">
        <w:rPr>
          <w:rFonts w:ascii="Arial" w:hAnsi="Arial" w:cs="Arial"/>
          <w:bCs/>
          <w:sz w:val="24"/>
          <w:szCs w:val="24"/>
        </w:rPr>
        <w:t>Președinției</w:t>
      </w:r>
      <w:r w:rsidRPr="004D6D76">
        <w:rPr>
          <w:rFonts w:ascii="Arial" w:hAnsi="Arial" w:cs="Arial"/>
          <w:bCs/>
          <w:sz w:val="24"/>
          <w:szCs w:val="24"/>
        </w:rPr>
        <w:t xml:space="preserve"> Consiliului Uniunii Europene de către România în semestrul I 2019, precum </w:t>
      </w:r>
      <w:r w:rsidR="006E1E76" w:rsidRPr="004D6D76">
        <w:rPr>
          <w:rFonts w:ascii="Arial" w:hAnsi="Arial" w:cs="Arial"/>
          <w:bCs/>
          <w:sz w:val="24"/>
          <w:szCs w:val="24"/>
        </w:rPr>
        <w:t>și</w:t>
      </w:r>
      <w:r w:rsidRPr="004D6D76">
        <w:rPr>
          <w:rFonts w:ascii="Arial" w:hAnsi="Arial" w:cs="Arial"/>
          <w:bCs/>
          <w:sz w:val="24"/>
          <w:szCs w:val="24"/>
        </w:rPr>
        <w:t xml:space="preserve"> de încetarea </w:t>
      </w:r>
      <w:r w:rsidR="006E1E76" w:rsidRPr="004D6D76">
        <w:rPr>
          <w:rFonts w:ascii="Arial" w:hAnsi="Arial" w:cs="Arial"/>
          <w:bCs/>
          <w:sz w:val="24"/>
          <w:szCs w:val="24"/>
        </w:rPr>
        <w:t>aplicabilității</w:t>
      </w:r>
      <w:r w:rsidRPr="004D6D76">
        <w:rPr>
          <w:rFonts w:ascii="Arial" w:hAnsi="Arial" w:cs="Arial"/>
          <w:bCs/>
          <w:sz w:val="24"/>
          <w:szCs w:val="24"/>
        </w:rPr>
        <w:t xml:space="preserve"> OUG nr.90/2017 ce prevedea </w:t>
      </w:r>
      <w:r w:rsidR="006E1E76" w:rsidRPr="004D6D76">
        <w:rPr>
          <w:rFonts w:ascii="Arial" w:hAnsi="Arial" w:cs="Arial"/>
          <w:bCs/>
          <w:sz w:val="24"/>
          <w:szCs w:val="24"/>
        </w:rPr>
        <w:t>restricții</w:t>
      </w:r>
      <w:r w:rsidRPr="004D6D76">
        <w:rPr>
          <w:rFonts w:ascii="Arial" w:hAnsi="Arial" w:cs="Arial"/>
          <w:bCs/>
          <w:sz w:val="24"/>
          <w:szCs w:val="24"/>
        </w:rPr>
        <w:t xml:space="preserve"> fiscal-bugetare.</w:t>
      </w:r>
    </w:p>
    <w:p w:rsidR="004D6D76" w:rsidRPr="004D6D76" w:rsidRDefault="004D6D76" w:rsidP="004D6D76">
      <w:pPr>
        <w:spacing w:line="276" w:lineRule="auto"/>
        <w:ind w:right="-57" w:firstLine="720"/>
        <w:rPr>
          <w:rFonts w:ascii="Arial" w:hAnsi="Arial" w:cs="Arial"/>
          <w:bCs/>
          <w:sz w:val="24"/>
          <w:szCs w:val="24"/>
        </w:rPr>
      </w:pPr>
      <w:r w:rsidRPr="004D6D76">
        <w:rPr>
          <w:rFonts w:ascii="Arial" w:hAnsi="Arial" w:cs="Arial"/>
          <w:sz w:val="24"/>
          <w:szCs w:val="24"/>
        </w:rPr>
        <w:t>Cheltui</w:t>
      </w:r>
      <w:r w:rsidRPr="004D6D76">
        <w:rPr>
          <w:rFonts w:ascii="Arial" w:hAnsi="Arial" w:cs="Arial"/>
          <w:bCs/>
          <w:sz w:val="24"/>
          <w:szCs w:val="24"/>
        </w:rPr>
        <w:t xml:space="preserve">elile cu </w:t>
      </w:r>
      <w:r w:rsidRPr="004D6D76">
        <w:rPr>
          <w:rFonts w:ascii="Arial" w:hAnsi="Arial" w:cs="Arial"/>
          <w:b/>
          <w:bCs/>
          <w:sz w:val="24"/>
          <w:szCs w:val="24"/>
        </w:rPr>
        <w:t xml:space="preserve">dobânzile </w:t>
      </w:r>
      <w:r w:rsidRPr="004D6D76">
        <w:rPr>
          <w:rFonts w:ascii="Arial" w:hAnsi="Arial" w:cs="Arial"/>
          <w:sz w:val="24"/>
          <w:szCs w:val="24"/>
        </w:rPr>
        <w:t xml:space="preserve">au înregistrat o creștere </w:t>
      </w:r>
      <w:r w:rsidRPr="004D6D76">
        <w:rPr>
          <w:rFonts w:ascii="Arial" w:hAnsi="Arial" w:cs="Arial"/>
          <w:bCs/>
          <w:sz w:val="24"/>
          <w:szCs w:val="24"/>
        </w:rPr>
        <w:t>cu 9,7% comparativ cu primul semestru al anului 2018, gradul de realizare pe semestrul I 2019 fiind de 91,8%.</w:t>
      </w:r>
    </w:p>
    <w:p w:rsidR="004D6D76" w:rsidRPr="004D6D76" w:rsidRDefault="004D6D76" w:rsidP="004D6D76">
      <w:pPr>
        <w:keepNext/>
        <w:keepLines/>
        <w:spacing w:line="276" w:lineRule="auto"/>
        <w:ind w:firstLine="680"/>
        <w:rPr>
          <w:rFonts w:ascii="Arial" w:hAnsi="Arial" w:cs="Arial"/>
          <w:bCs/>
          <w:sz w:val="24"/>
          <w:szCs w:val="24"/>
        </w:rPr>
      </w:pPr>
      <w:r w:rsidRPr="004D6D76">
        <w:rPr>
          <w:rFonts w:ascii="Arial" w:hAnsi="Arial" w:cs="Arial"/>
          <w:bCs/>
          <w:sz w:val="24"/>
          <w:szCs w:val="24"/>
        </w:rPr>
        <w:t xml:space="preserve">Cheltuielile cu </w:t>
      </w:r>
      <w:r w:rsidRPr="004D6D76">
        <w:rPr>
          <w:rFonts w:ascii="Arial" w:hAnsi="Arial" w:cs="Arial"/>
          <w:b/>
          <w:bCs/>
          <w:sz w:val="24"/>
          <w:szCs w:val="24"/>
        </w:rPr>
        <w:t xml:space="preserve">subvențiile </w:t>
      </w:r>
      <w:r w:rsidRPr="004D6D76">
        <w:rPr>
          <w:rFonts w:ascii="Arial" w:hAnsi="Arial" w:cs="Arial"/>
          <w:bCs/>
          <w:sz w:val="24"/>
          <w:szCs w:val="24"/>
        </w:rPr>
        <w:t>au însumat 3.844,3 milioane lei (0,4% din PIB) cu 2,8% mai mari comparativ cu aceeași perioadă a anului anterior, gradul de realizare  fiind de 91,9%.</w:t>
      </w:r>
    </w:p>
    <w:p w:rsidR="004D6D76" w:rsidRPr="004D6D76" w:rsidRDefault="004D6D76" w:rsidP="004D6D76">
      <w:pPr>
        <w:keepNext/>
        <w:keepLines/>
        <w:spacing w:before="120" w:line="276" w:lineRule="auto"/>
        <w:ind w:firstLine="680"/>
        <w:rPr>
          <w:rFonts w:ascii="Arial" w:hAnsi="Arial" w:cs="Arial"/>
          <w:bCs/>
          <w:sz w:val="24"/>
          <w:szCs w:val="24"/>
        </w:rPr>
      </w:pPr>
      <w:r w:rsidRPr="004D6D76">
        <w:rPr>
          <w:rFonts w:ascii="Arial" w:hAnsi="Arial" w:cs="Arial"/>
          <w:bCs/>
          <w:sz w:val="24"/>
          <w:szCs w:val="24"/>
        </w:rPr>
        <w:t xml:space="preserve">Cheltuielile cu </w:t>
      </w:r>
      <w:r w:rsidRPr="004D6D76">
        <w:rPr>
          <w:rFonts w:ascii="Arial" w:hAnsi="Arial" w:cs="Arial"/>
          <w:b/>
          <w:bCs/>
          <w:sz w:val="24"/>
          <w:szCs w:val="24"/>
        </w:rPr>
        <w:t>asistența socială</w:t>
      </w:r>
      <w:r w:rsidRPr="004D6D76">
        <w:rPr>
          <w:rFonts w:ascii="Arial" w:hAnsi="Arial" w:cs="Arial"/>
          <w:bCs/>
          <w:sz w:val="24"/>
          <w:szCs w:val="24"/>
        </w:rPr>
        <w:t xml:space="preserve"> au înregistrat o creștere de 11,4% comparativ cu primul semestru al anului 2018 </w:t>
      </w:r>
      <w:r w:rsidR="006E1E76" w:rsidRPr="004D6D76">
        <w:rPr>
          <w:rFonts w:ascii="Arial" w:hAnsi="Arial" w:cs="Arial"/>
          <w:bCs/>
          <w:sz w:val="24"/>
          <w:szCs w:val="24"/>
        </w:rPr>
        <w:t>și</w:t>
      </w:r>
      <w:r w:rsidRPr="004D6D76">
        <w:rPr>
          <w:rFonts w:ascii="Arial" w:hAnsi="Arial" w:cs="Arial"/>
          <w:bCs/>
          <w:sz w:val="24"/>
          <w:szCs w:val="24"/>
        </w:rPr>
        <w:t xml:space="preserve"> au fost realizate în proporție de 99,4% față de </w:t>
      </w:r>
      <w:r w:rsidRPr="009961AE">
        <w:rPr>
          <w:rFonts w:ascii="Arial" w:hAnsi="Arial" w:cs="Arial"/>
          <w:bCs/>
          <w:sz w:val="24"/>
          <w:szCs w:val="24"/>
        </w:rPr>
        <w:t>estimarea pentru primul semestru.</w:t>
      </w:r>
      <w:r w:rsidRPr="004D6D76">
        <w:rPr>
          <w:rFonts w:ascii="Arial" w:hAnsi="Arial" w:cs="Arial"/>
          <w:bCs/>
          <w:sz w:val="24"/>
          <w:szCs w:val="24"/>
        </w:rPr>
        <w:t xml:space="preserve"> </w:t>
      </w:r>
    </w:p>
    <w:p w:rsidR="002F2E52" w:rsidRDefault="004D6D76" w:rsidP="002F2E52">
      <w:pPr>
        <w:spacing w:before="240" w:line="276" w:lineRule="auto"/>
        <w:ind w:firstLine="720"/>
        <w:contextualSpacing/>
        <w:rPr>
          <w:rFonts w:ascii="Arial" w:hAnsi="Arial" w:cs="Arial"/>
          <w:bCs/>
          <w:sz w:val="24"/>
          <w:szCs w:val="24"/>
        </w:rPr>
      </w:pPr>
      <w:r w:rsidRPr="004D6D76">
        <w:rPr>
          <w:rFonts w:ascii="Arial" w:hAnsi="Arial" w:cs="Arial"/>
          <w:bCs/>
          <w:sz w:val="24"/>
          <w:szCs w:val="24"/>
        </w:rPr>
        <w:t>Evoluția cheltuielilor cu asistența socială comparativ cu aceeași perioadă a anului precedent a fost influențată, în principal, de majorarea punctului de pensie cu 10% de la 1 iulie 2018, ajungând de la 1.000 lei la 1.100 lei,</w:t>
      </w:r>
      <w:r w:rsidRPr="004D6D76">
        <w:rPr>
          <w:rFonts w:ascii="Arial" w:hAnsi="Arial" w:cs="Arial"/>
          <w:sz w:val="24"/>
          <w:szCs w:val="24"/>
          <w:lang w:val="fr-FR" w:eastAsia="ro-RO"/>
        </w:rPr>
        <w:t xml:space="preserve"> </w:t>
      </w:r>
      <w:r w:rsidRPr="004D6D76">
        <w:rPr>
          <w:rFonts w:ascii="Arial" w:hAnsi="Arial" w:cs="Arial"/>
          <w:bCs/>
          <w:sz w:val="24"/>
          <w:szCs w:val="24"/>
        </w:rPr>
        <w:t>de creșterea nivelului îndemnizației sociale pentru pensionari de la 520 lei la 640 lei, precum și de majorarea alocațiilor pentru copii.</w:t>
      </w:r>
    </w:p>
    <w:p w:rsidR="002F2E52" w:rsidRDefault="004D6D76" w:rsidP="002F2E52">
      <w:pPr>
        <w:spacing w:before="240" w:line="276" w:lineRule="auto"/>
        <w:ind w:firstLine="720"/>
        <w:contextualSpacing/>
        <w:rPr>
          <w:rFonts w:ascii="Arial" w:eastAsia="Arial" w:hAnsi="Arial" w:cs="Arial"/>
          <w:sz w:val="24"/>
          <w:szCs w:val="24"/>
          <w:shd w:val="clear" w:color="auto" w:fill="FFFFFF"/>
        </w:rPr>
      </w:pPr>
      <w:r w:rsidRPr="004D6D76">
        <w:rPr>
          <w:rFonts w:ascii="Arial" w:eastAsia="Arial" w:hAnsi="Arial" w:cs="Arial"/>
          <w:sz w:val="24"/>
          <w:szCs w:val="24"/>
          <w:shd w:val="clear" w:color="auto" w:fill="FFFFFF"/>
        </w:rPr>
        <w:t xml:space="preserve">Cheltuielile cu </w:t>
      </w:r>
      <w:r w:rsidRPr="004D6D76">
        <w:rPr>
          <w:rFonts w:ascii="Arial" w:eastAsia="Arial" w:hAnsi="Arial" w:cs="Arial"/>
          <w:b/>
          <w:sz w:val="24"/>
          <w:szCs w:val="24"/>
          <w:shd w:val="clear" w:color="auto" w:fill="FFFFFF"/>
        </w:rPr>
        <w:t>alte transferuri</w:t>
      </w:r>
      <w:r w:rsidRPr="004D6D76">
        <w:rPr>
          <w:rFonts w:ascii="Arial" w:eastAsia="Arial" w:hAnsi="Arial" w:cs="Arial"/>
          <w:sz w:val="24"/>
          <w:szCs w:val="24"/>
          <w:shd w:val="clear" w:color="auto" w:fill="FFFFFF"/>
        </w:rPr>
        <w:t xml:space="preserve"> au fost în sumă de 8.064,3 milioane lei (0,8% din PIB) au fost cu 19,8% mai mari decât plățile efectuate în semestrul I 2018. Comparativ cu nivelul programat a se efectua pe primul trimestru cheltuielile cu alte transferuri s-au efectuat în proporție de 97%.</w:t>
      </w:r>
    </w:p>
    <w:p w:rsidR="002F2E52" w:rsidRDefault="004D6D76" w:rsidP="002F2E52">
      <w:pPr>
        <w:spacing w:before="240" w:line="276" w:lineRule="auto"/>
        <w:ind w:firstLine="720"/>
        <w:contextualSpacing/>
        <w:rPr>
          <w:rFonts w:ascii="Arial" w:hAnsi="Arial" w:cs="Arial"/>
          <w:bCs/>
          <w:sz w:val="24"/>
          <w:szCs w:val="24"/>
        </w:rPr>
      </w:pPr>
      <w:r w:rsidRPr="004D6D76">
        <w:rPr>
          <w:rFonts w:ascii="Arial" w:hAnsi="Arial" w:cs="Arial"/>
          <w:bCs/>
          <w:sz w:val="24"/>
          <w:szCs w:val="24"/>
        </w:rPr>
        <w:t xml:space="preserve">Cheltuielile pentru </w:t>
      </w:r>
      <w:r w:rsidRPr="004D6D76">
        <w:rPr>
          <w:rFonts w:ascii="Arial" w:hAnsi="Arial" w:cs="Arial"/>
          <w:b/>
          <w:bCs/>
          <w:sz w:val="24"/>
          <w:szCs w:val="24"/>
        </w:rPr>
        <w:t>investiții</w:t>
      </w:r>
      <w:r w:rsidRPr="004D6D76">
        <w:rPr>
          <w:rFonts w:ascii="Arial" w:hAnsi="Arial" w:cs="Arial"/>
          <w:bCs/>
          <w:sz w:val="24"/>
          <w:szCs w:val="24"/>
        </w:rPr>
        <w:t>, care includ cheltuielile de capital, precum și cele aferente programelor de dezvoltare finanțate din surse interne și externe, au însumat 12.330,2</w:t>
      </w:r>
      <w:r w:rsidRPr="004D6D76">
        <w:rPr>
          <w:rFonts w:ascii="Arial" w:hAnsi="Arial" w:cs="Arial"/>
          <w:b/>
          <w:bCs/>
          <w:sz w:val="24"/>
          <w:szCs w:val="24"/>
        </w:rPr>
        <w:t xml:space="preserve"> </w:t>
      </w:r>
      <w:r w:rsidRPr="004D6D76">
        <w:rPr>
          <w:rFonts w:ascii="Arial" w:hAnsi="Arial" w:cs="Arial"/>
          <w:bCs/>
          <w:sz w:val="24"/>
          <w:szCs w:val="24"/>
        </w:rPr>
        <w:t>milioane lei, respectiv 1,2% din PIB, cu 35,5% mai mari decât cele aferente semestrului I 2018.</w:t>
      </w:r>
    </w:p>
    <w:p w:rsidR="004D6D76" w:rsidRDefault="004D6D76" w:rsidP="002F2E52">
      <w:pPr>
        <w:spacing w:before="240" w:line="276" w:lineRule="auto"/>
        <w:ind w:firstLine="720"/>
        <w:contextualSpacing/>
        <w:rPr>
          <w:rFonts w:ascii="Arial" w:hAnsi="Arial" w:cs="Arial"/>
          <w:sz w:val="24"/>
          <w:szCs w:val="24"/>
        </w:rPr>
      </w:pPr>
      <w:r w:rsidRPr="004D6D76">
        <w:rPr>
          <w:rFonts w:ascii="Arial" w:hAnsi="Arial" w:cs="Arial"/>
          <w:sz w:val="24"/>
          <w:szCs w:val="24"/>
        </w:rPr>
        <w:t xml:space="preserve">La sfârșitul primului semestru a.c. se înregistrează un </w:t>
      </w:r>
      <w:r w:rsidRPr="004D6D76">
        <w:rPr>
          <w:rFonts w:ascii="Arial" w:hAnsi="Arial" w:cs="Arial"/>
          <w:b/>
          <w:bCs/>
          <w:sz w:val="24"/>
          <w:szCs w:val="24"/>
        </w:rPr>
        <w:t xml:space="preserve">deficit primar </w:t>
      </w:r>
      <w:r w:rsidRPr="004D6D76">
        <w:rPr>
          <w:rFonts w:ascii="Arial" w:hAnsi="Arial" w:cs="Arial"/>
          <w:bCs/>
          <w:sz w:val="24"/>
          <w:szCs w:val="24"/>
        </w:rPr>
        <w:t>(soldul bugetar exclusiv cheltuielile cu dobânzile)</w:t>
      </w:r>
      <w:r w:rsidRPr="004D6D76">
        <w:rPr>
          <w:rFonts w:ascii="Arial" w:hAnsi="Arial" w:cs="Arial"/>
          <w:sz w:val="24"/>
          <w:szCs w:val="24"/>
        </w:rPr>
        <w:t xml:space="preserve"> de </w:t>
      </w:r>
      <w:r w:rsidR="004E6286">
        <w:rPr>
          <w:rFonts w:ascii="Arial" w:hAnsi="Arial" w:cs="Arial"/>
          <w:sz w:val="24"/>
          <w:szCs w:val="24"/>
        </w:rPr>
        <w:t>1,2</w:t>
      </w:r>
      <w:r w:rsidRPr="004D6D76">
        <w:rPr>
          <w:rFonts w:ascii="Arial" w:hAnsi="Arial" w:cs="Arial"/>
          <w:sz w:val="24"/>
          <w:szCs w:val="24"/>
        </w:rPr>
        <w:t>% din PIB față de un deficit primar prevăzut pentru această perioadă de 1,</w:t>
      </w:r>
      <w:r w:rsidR="004E6286">
        <w:rPr>
          <w:rFonts w:ascii="Arial" w:hAnsi="Arial" w:cs="Arial"/>
          <w:sz w:val="24"/>
          <w:szCs w:val="24"/>
        </w:rPr>
        <w:t>1</w:t>
      </w:r>
      <w:r w:rsidRPr="004D6D76">
        <w:rPr>
          <w:rFonts w:ascii="Arial" w:hAnsi="Arial" w:cs="Arial"/>
          <w:sz w:val="24"/>
          <w:szCs w:val="24"/>
        </w:rPr>
        <w:t>% din PIB.</w:t>
      </w:r>
    </w:p>
    <w:tbl>
      <w:tblPr>
        <w:tblW w:w="8400" w:type="dxa"/>
        <w:tblLook w:val="04A0" w:firstRow="1" w:lastRow="0" w:firstColumn="1" w:lastColumn="0" w:noHBand="0" w:noVBand="1"/>
      </w:tblPr>
      <w:tblGrid>
        <w:gridCol w:w="920"/>
        <w:gridCol w:w="4060"/>
        <w:gridCol w:w="1140"/>
        <w:gridCol w:w="1161"/>
        <w:gridCol w:w="1140"/>
      </w:tblGrid>
      <w:tr w:rsidR="00D23A20" w:rsidRPr="00D23A20" w:rsidTr="00D23A20">
        <w:trPr>
          <w:trHeight w:val="30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lastRenderedPageBreak/>
              <w:t> </w:t>
            </w:r>
          </w:p>
        </w:tc>
        <w:tc>
          <w:tcPr>
            <w:tcW w:w="406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r>
      <w:tr w:rsidR="00D23A20" w:rsidRPr="00D23A20" w:rsidTr="00D23A20">
        <w:trPr>
          <w:trHeight w:val="30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7480" w:type="dxa"/>
            <w:gridSpan w:val="4"/>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center"/>
              <w:rPr>
                <w:rFonts w:ascii="Calibri" w:eastAsia="Times New Roman" w:hAnsi="Calibri" w:cs="Calibri"/>
                <w:color w:val="000000"/>
                <w:lang w:eastAsia="ro-RO"/>
              </w:rPr>
            </w:pPr>
            <w:r w:rsidRPr="00D23A20">
              <w:rPr>
                <w:rFonts w:ascii="Calibri" w:eastAsia="Times New Roman" w:hAnsi="Calibri" w:cs="Calibri"/>
                <w:color w:val="000000"/>
                <w:lang w:eastAsia="ro-RO"/>
              </w:rPr>
              <w:t>Plafoane privind soldul bugetar pe principalele bugete componente 2019</w:t>
            </w:r>
          </w:p>
        </w:tc>
      </w:tr>
      <w:tr w:rsidR="00D23A20" w:rsidRPr="00D23A20" w:rsidTr="00D23A20">
        <w:trPr>
          <w:trHeight w:val="31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double" w:sz="6" w:space="0" w:color="auto"/>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double" w:sz="6" w:space="0" w:color="auto"/>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double" w:sz="6" w:space="0" w:color="auto"/>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1140" w:type="dxa"/>
            <w:tcBorders>
              <w:top w:val="nil"/>
              <w:left w:val="nil"/>
              <w:bottom w:val="double" w:sz="6" w:space="0" w:color="auto"/>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r>
      <w:tr w:rsidR="00D23A20" w:rsidRPr="00D23A20" w:rsidTr="00D23A20">
        <w:trPr>
          <w:trHeight w:val="79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double" w:sz="6" w:space="0" w:color="auto"/>
              <w:right w:val="nil"/>
            </w:tcBorders>
            <w:shd w:val="clear" w:color="EBF1DE" w:fill="DCE6F1"/>
            <w:noWrap/>
            <w:vAlign w:val="bottom"/>
            <w:hideMark/>
          </w:tcPr>
          <w:p w:rsidR="00D23A20" w:rsidRPr="00D23A20" w:rsidRDefault="00D23A20" w:rsidP="00D23A20">
            <w:pPr>
              <w:spacing w:after="0"/>
              <w:ind w:firstLine="0"/>
              <w:jc w:val="left"/>
              <w:rPr>
                <w:rFonts w:ascii="Arial" w:eastAsia="Times New Roman" w:hAnsi="Arial" w:cs="Arial"/>
                <w:b/>
                <w:bCs/>
                <w:color w:val="000000"/>
                <w:sz w:val="20"/>
                <w:szCs w:val="20"/>
                <w:lang w:eastAsia="ro-RO"/>
              </w:rPr>
            </w:pPr>
            <w:r w:rsidRPr="00D23A20">
              <w:rPr>
                <w:rFonts w:ascii="Arial" w:eastAsia="Times New Roman" w:hAnsi="Arial" w:cs="Arial"/>
                <w:b/>
                <w:bCs/>
                <w:color w:val="000000"/>
                <w:sz w:val="20"/>
                <w:szCs w:val="20"/>
                <w:lang w:eastAsia="ro-RO"/>
              </w:rPr>
              <w:t> </w:t>
            </w:r>
          </w:p>
        </w:tc>
        <w:tc>
          <w:tcPr>
            <w:tcW w:w="1140" w:type="dxa"/>
            <w:tcBorders>
              <w:top w:val="nil"/>
              <w:left w:val="nil"/>
              <w:bottom w:val="double" w:sz="6" w:space="0" w:color="auto"/>
              <w:right w:val="nil"/>
            </w:tcBorders>
            <w:shd w:val="clear" w:color="EBF1DE" w:fill="DCE6F1"/>
            <w:vAlign w:val="center"/>
            <w:hideMark/>
          </w:tcPr>
          <w:p w:rsidR="00D23A20" w:rsidRPr="00D23A20" w:rsidRDefault="00D23A20" w:rsidP="00D23A20">
            <w:pPr>
              <w:spacing w:after="0"/>
              <w:ind w:firstLine="0"/>
              <w:jc w:val="center"/>
              <w:rPr>
                <w:rFonts w:ascii="Arial" w:eastAsia="Times New Roman" w:hAnsi="Arial" w:cs="Arial"/>
                <w:b/>
                <w:bCs/>
                <w:color w:val="000000"/>
                <w:sz w:val="20"/>
                <w:szCs w:val="20"/>
                <w:lang w:eastAsia="ro-RO"/>
              </w:rPr>
            </w:pPr>
            <w:r w:rsidRPr="00D23A20">
              <w:rPr>
                <w:rFonts w:ascii="Arial" w:eastAsia="Times New Roman" w:hAnsi="Arial" w:cs="Arial"/>
                <w:b/>
                <w:bCs/>
                <w:color w:val="000000"/>
                <w:sz w:val="20"/>
                <w:szCs w:val="20"/>
                <w:lang w:eastAsia="ro-RO"/>
              </w:rPr>
              <w:t>Buget iniţial</w:t>
            </w:r>
          </w:p>
        </w:tc>
        <w:tc>
          <w:tcPr>
            <w:tcW w:w="1140" w:type="dxa"/>
            <w:tcBorders>
              <w:top w:val="nil"/>
              <w:left w:val="nil"/>
              <w:bottom w:val="double" w:sz="6" w:space="0" w:color="auto"/>
              <w:right w:val="nil"/>
            </w:tcBorders>
            <w:shd w:val="clear" w:color="EBF1DE" w:fill="DCE6F1"/>
            <w:vAlign w:val="center"/>
            <w:hideMark/>
          </w:tcPr>
          <w:p w:rsidR="00D23A20" w:rsidRPr="00D23A20" w:rsidRDefault="00D23A20" w:rsidP="00D23A20">
            <w:pPr>
              <w:spacing w:after="0"/>
              <w:ind w:firstLine="0"/>
              <w:jc w:val="center"/>
              <w:rPr>
                <w:rFonts w:ascii="Arial" w:eastAsia="Times New Roman" w:hAnsi="Arial" w:cs="Arial"/>
                <w:b/>
                <w:bCs/>
                <w:color w:val="000000"/>
                <w:sz w:val="20"/>
                <w:szCs w:val="20"/>
                <w:lang w:eastAsia="ro-RO"/>
              </w:rPr>
            </w:pPr>
            <w:r w:rsidRPr="00D23A20">
              <w:rPr>
                <w:rFonts w:ascii="Arial" w:eastAsia="Times New Roman" w:hAnsi="Arial" w:cs="Arial"/>
                <w:b/>
                <w:bCs/>
                <w:color w:val="000000"/>
                <w:sz w:val="20"/>
                <w:szCs w:val="20"/>
                <w:lang w:eastAsia="ro-RO"/>
              </w:rPr>
              <w:t>Realizări semestrul I 2019</w:t>
            </w:r>
          </w:p>
        </w:tc>
        <w:tc>
          <w:tcPr>
            <w:tcW w:w="1140" w:type="dxa"/>
            <w:tcBorders>
              <w:top w:val="nil"/>
              <w:left w:val="nil"/>
              <w:bottom w:val="double" w:sz="6" w:space="0" w:color="auto"/>
              <w:right w:val="nil"/>
            </w:tcBorders>
            <w:shd w:val="clear" w:color="EBF1DE" w:fill="DCE6F1"/>
            <w:vAlign w:val="center"/>
            <w:hideMark/>
          </w:tcPr>
          <w:p w:rsidR="00D23A20" w:rsidRPr="00D23A20" w:rsidRDefault="00D23A20" w:rsidP="00D23A20">
            <w:pPr>
              <w:spacing w:after="0"/>
              <w:ind w:firstLine="0"/>
              <w:jc w:val="center"/>
              <w:rPr>
                <w:rFonts w:ascii="Arial" w:eastAsia="Times New Roman" w:hAnsi="Arial" w:cs="Arial"/>
                <w:b/>
                <w:bCs/>
                <w:color w:val="000000"/>
                <w:sz w:val="20"/>
                <w:szCs w:val="20"/>
                <w:lang w:eastAsia="ro-RO"/>
              </w:rPr>
            </w:pPr>
            <w:r w:rsidRPr="00D23A20">
              <w:rPr>
                <w:rFonts w:ascii="Arial" w:eastAsia="Times New Roman" w:hAnsi="Arial" w:cs="Arial"/>
                <w:b/>
                <w:bCs/>
                <w:color w:val="000000"/>
                <w:sz w:val="20"/>
                <w:szCs w:val="20"/>
                <w:lang w:eastAsia="ro-RO"/>
              </w:rPr>
              <w:t>Estimări 2019</w:t>
            </w:r>
          </w:p>
        </w:tc>
      </w:tr>
      <w:tr w:rsidR="00D23A20" w:rsidRPr="00D23A20" w:rsidTr="00D23A20">
        <w:trPr>
          <w:trHeight w:val="31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 general consolidat (% din PIB)</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-2,76%</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-1,94%</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-2,76%</w:t>
            </w:r>
          </w:p>
        </w:tc>
      </w:tr>
      <w:tr w:rsidR="00D23A20" w:rsidRPr="00D23A20" w:rsidTr="00D23A20">
        <w:trPr>
          <w:trHeight w:val="51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primar al bugetului general consolidat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-14.838,6</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-11.879,6</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-15.045,5</w:t>
            </w:r>
          </w:p>
        </w:tc>
      </w:tr>
      <w:tr w:rsidR="00D23A20" w:rsidRPr="00D23A20" w:rsidTr="00D23A20">
        <w:trPr>
          <w:trHeight w:val="42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 general consolidat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 xml:space="preserve">-28.248,7 </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-19.960,4</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-28.455,6</w:t>
            </w:r>
          </w:p>
        </w:tc>
      </w:tr>
      <w:tr w:rsidR="00D23A20" w:rsidRPr="00D23A20" w:rsidTr="00D23A20">
        <w:trPr>
          <w:trHeight w:val="30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 de stat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-38.287,3</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-19.186,9</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-36.322,2</w:t>
            </w:r>
          </w:p>
        </w:tc>
      </w:tr>
      <w:tr w:rsidR="00D23A20" w:rsidRPr="00D23A20" w:rsidTr="00D23A20">
        <w:trPr>
          <w:trHeight w:val="37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 asigurari sociale de stat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2.951,2</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-1.370,0</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55,0</w:t>
            </w:r>
          </w:p>
        </w:tc>
      </w:tr>
      <w:tr w:rsidR="00D23A20" w:rsidRPr="00D23A20" w:rsidTr="00D23A20">
        <w:trPr>
          <w:trHeight w:val="52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bugetul fondului pentru asigurari de sanatate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73,8</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-1.968,3</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118,9</w:t>
            </w:r>
          </w:p>
        </w:tc>
      </w:tr>
      <w:tr w:rsidR="00D23A20" w:rsidRPr="00D23A20" w:rsidTr="00D23A20">
        <w:trPr>
          <w:trHeight w:val="360"/>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nil"/>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bugetul fondului pentru somaj (mil. lei)</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 xml:space="preserve">1.207,4 </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685,9</w:t>
            </w:r>
          </w:p>
        </w:tc>
        <w:tc>
          <w:tcPr>
            <w:tcW w:w="1140" w:type="dxa"/>
            <w:tcBorders>
              <w:top w:val="nil"/>
              <w:left w:val="nil"/>
              <w:bottom w:val="nil"/>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1.386,7</w:t>
            </w:r>
          </w:p>
        </w:tc>
      </w:tr>
      <w:tr w:rsidR="00D23A20" w:rsidRPr="00D23A20" w:rsidTr="00D23A20">
        <w:trPr>
          <w:trHeight w:val="525"/>
        </w:trPr>
        <w:tc>
          <w:tcPr>
            <w:tcW w:w="920" w:type="dxa"/>
            <w:tcBorders>
              <w:top w:val="nil"/>
              <w:left w:val="nil"/>
              <w:bottom w:val="nil"/>
              <w:right w:val="nil"/>
            </w:tcBorders>
            <w:shd w:val="clear" w:color="000000" w:fill="FFFFFF"/>
            <w:noWrap/>
            <w:vAlign w:val="bottom"/>
            <w:hideMark/>
          </w:tcPr>
          <w:p w:rsidR="00D23A20" w:rsidRPr="00D23A20" w:rsidRDefault="00D23A20" w:rsidP="00D23A20">
            <w:pPr>
              <w:spacing w:after="0"/>
              <w:ind w:firstLine="0"/>
              <w:jc w:val="left"/>
              <w:rPr>
                <w:rFonts w:ascii="Calibri" w:eastAsia="Times New Roman" w:hAnsi="Calibri" w:cs="Calibri"/>
                <w:color w:val="000000"/>
                <w:lang w:eastAsia="ro-RO"/>
              </w:rPr>
            </w:pPr>
            <w:r w:rsidRPr="00D23A20">
              <w:rPr>
                <w:rFonts w:ascii="Calibri" w:eastAsia="Times New Roman" w:hAnsi="Calibri" w:cs="Calibri"/>
                <w:color w:val="000000"/>
                <w:lang w:eastAsia="ro-RO"/>
              </w:rPr>
              <w:t> </w:t>
            </w:r>
          </w:p>
        </w:tc>
        <w:tc>
          <w:tcPr>
            <w:tcW w:w="4060" w:type="dxa"/>
            <w:tcBorders>
              <w:top w:val="nil"/>
              <w:left w:val="nil"/>
              <w:bottom w:val="double" w:sz="6" w:space="0" w:color="auto"/>
              <w:right w:val="nil"/>
            </w:tcBorders>
            <w:shd w:val="clear" w:color="000000" w:fill="FFFFFF"/>
            <w:vAlign w:val="center"/>
            <w:hideMark/>
          </w:tcPr>
          <w:p w:rsidR="00D23A20" w:rsidRPr="00D23A20" w:rsidRDefault="00D23A20" w:rsidP="00D23A20">
            <w:pPr>
              <w:spacing w:after="0"/>
              <w:ind w:firstLine="0"/>
              <w:jc w:val="lef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Sold bugetul institutiilor finante din venituri proprii (mil. lei)</w:t>
            </w:r>
          </w:p>
        </w:tc>
        <w:tc>
          <w:tcPr>
            <w:tcW w:w="1140" w:type="dxa"/>
            <w:tcBorders>
              <w:top w:val="nil"/>
              <w:left w:val="nil"/>
              <w:bottom w:val="double" w:sz="6" w:space="0" w:color="auto"/>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1.528,6</w:t>
            </w:r>
          </w:p>
        </w:tc>
        <w:tc>
          <w:tcPr>
            <w:tcW w:w="1140" w:type="dxa"/>
            <w:tcBorders>
              <w:top w:val="nil"/>
              <w:left w:val="nil"/>
              <w:bottom w:val="double" w:sz="6" w:space="0" w:color="auto"/>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color w:val="000000"/>
                <w:sz w:val="20"/>
                <w:szCs w:val="20"/>
                <w:lang w:eastAsia="ro-RO"/>
              </w:rPr>
            </w:pPr>
            <w:r w:rsidRPr="00D23A20">
              <w:rPr>
                <w:rFonts w:ascii="Arial" w:eastAsia="Times New Roman" w:hAnsi="Arial" w:cs="Arial"/>
                <w:color w:val="000000"/>
                <w:sz w:val="20"/>
                <w:szCs w:val="20"/>
                <w:lang w:eastAsia="ro-RO"/>
              </w:rPr>
              <w:t>1.228,0</w:t>
            </w:r>
          </w:p>
        </w:tc>
        <w:tc>
          <w:tcPr>
            <w:tcW w:w="1140" w:type="dxa"/>
            <w:tcBorders>
              <w:top w:val="nil"/>
              <w:left w:val="nil"/>
              <w:bottom w:val="double" w:sz="6" w:space="0" w:color="auto"/>
              <w:right w:val="nil"/>
            </w:tcBorders>
            <w:shd w:val="clear" w:color="000000" w:fill="FFFFFF"/>
            <w:noWrap/>
            <w:vAlign w:val="center"/>
            <w:hideMark/>
          </w:tcPr>
          <w:p w:rsidR="00D23A20" w:rsidRPr="00D23A20" w:rsidRDefault="00D23A20" w:rsidP="00D23A20">
            <w:pPr>
              <w:spacing w:after="0"/>
              <w:ind w:firstLine="0"/>
              <w:jc w:val="right"/>
              <w:rPr>
                <w:rFonts w:ascii="Arial" w:eastAsia="Times New Roman" w:hAnsi="Arial" w:cs="Arial"/>
                <w:sz w:val="20"/>
                <w:szCs w:val="20"/>
                <w:lang w:eastAsia="ro-RO"/>
              </w:rPr>
            </w:pPr>
            <w:r w:rsidRPr="00D23A20">
              <w:rPr>
                <w:rFonts w:ascii="Arial" w:eastAsia="Times New Roman" w:hAnsi="Arial" w:cs="Arial"/>
                <w:sz w:val="20"/>
                <w:szCs w:val="20"/>
                <w:lang w:eastAsia="ro-RO"/>
              </w:rPr>
              <w:t>1.852,7</w:t>
            </w:r>
          </w:p>
        </w:tc>
      </w:tr>
    </w:tbl>
    <w:p w:rsidR="008C3835" w:rsidRDefault="008C3835" w:rsidP="00AC4DFB">
      <w:pPr>
        <w:spacing w:before="240" w:line="276" w:lineRule="auto"/>
        <w:ind w:firstLine="0"/>
        <w:contextualSpacing/>
        <w:rPr>
          <w:rFonts w:ascii="Arial" w:hAnsi="Arial" w:cs="Arial"/>
          <w:sz w:val="24"/>
          <w:szCs w:val="24"/>
        </w:rPr>
      </w:pPr>
    </w:p>
    <w:p w:rsidR="008C3835" w:rsidRDefault="008C3835" w:rsidP="002F2E52">
      <w:pPr>
        <w:spacing w:before="240" w:line="276" w:lineRule="auto"/>
        <w:ind w:firstLine="720"/>
        <w:contextualSpacing/>
        <w:rPr>
          <w:rFonts w:ascii="Arial" w:hAnsi="Arial" w:cs="Arial"/>
          <w:sz w:val="24"/>
          <w:szCs w:val="24"/>
        </w:rPr>
      </w:pPr>
    </w:p>
    <w:p w:rsidR="008C3835" w:rsidRPr="004D6D76" w:rsidRDefault="008C3835" w:rsidP="002F2E52">
      <w:pPr>
        <w:spacing w:before="240" w:line="276" w:lineRule="auto"/>
        <w:ind w:firstLine="720"/>
        <w:contextualSpacing/>
        <w:rPr>
          <w:rFonts w:ascii="Arial" w:hAnsi="Arial" w:cs="Arial"/>
          <w:sz w:val="24"/>
          <w:szCs w:val="24"/>
        </w:rPr>
      </w:pPr>
    </w:p>
    <w:p w:rsidR="00E01344" w:rsidRDefault="00E707FE" w:rsidP="004D6D76">
      <w:pPr>
        <w:keepNext/>
        <w:keepLines/>
        <w:ind w:firstLine="0"/>
        <w:rPr>
          <w:rFonts w:ascii="Arial" w:eastAsia="Times New Roman" w:hAnsi="Arial" w:cs="Arial"/>
          <w:b/>
          <w:bCs/>
          <w:lang w:eastAsia="ro-RO"/>
        </w:rPr>
      </w:pPr>
      <w:r w:rsidRPr="00E707FE">
        <w:rPr>
          <w:noProof/>
          <w:lang w:val="en-US"/>
        </w:rPr>
        <w:drawing>
          <wp:inline distT="0" distB="0" distL="0" distR="0">
            <wp:extent cx="5847907" cy="20091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6601" cy="2012127"/>
                    </a:xfrm>
                    <a:prstGeom prst="rect">
                      <a:avLst/>
                    </a:prstGeom>
                    <a:noFill/>
                    <a:ln>
                      <a:noFill/>
                    </a:ln>
                  </pic:spPr>
                </pic:pic>
              </a:graphicData>
            </a:graphic>
          </wp:inline>
        </w:drawing>
      </w:r>
    </w:p>
    <w:p w:rsidR="004D6D76" w:rsidRDefault="004D6D76" w:rsidP="00281576">
      <w:pPr>
        <w:keepNext/>
        <w:keepLines/>
        <w:ind w:firstLine="284"/>
        <w:rPr>
          <w:rFonts w:ascii="Arial" w:hAnsi="Arial" w:cs="Arial"/>
          <w:b/>
          <w:sz w:val="24"/>
          <w:szCs w:val="24"/>
        </w:rPr>
      </w:pPr>
    </w:p>
    <w:p w:rsidR="004D6D76" w:rsidRPr="004D6D76" w:rsidRDefault="004D6D76" w:rsidP="004D6D76">
      <w:pPr>
        <w:keepNext/>
        <w:keepLines/>
        <w:spacing w:line="276" w:lineRule="auto"/>
        <w:ind w:firstLine="708"/>
        <w:rPr>
          <w:rFonts w:ascii="Arial" w:hAnsi="Arial" w:cs="Arial"/>
          <w:sz w:val="24"/>
          <w:szCs w:val="24"/>
        </w:rPr>
      </w:pPr>
      <w:r w:rsidRPr="004D6D76">
        <w:rPr>
          <w:rFonts w:ascii="Arial" w:hAnsi="Arial" w:cs="Arial"/>
          <w:b/>
          <w:sz w:val="24"/>
          <w:szCs w:val="24"/>
        </w:rPr>
        <w:t>Stocul plăților restante</w:t>
      </w:r>
      <w:r w:rsidRPr="004D6D76">
        <w:rPr>
          <w:rFonts w:ascii="Arial" w:hAnsi="Arial" w:cs="Arial"/>
          <w:sz w:val="24"/>
          <w:szCs w:val="24"/>
        </w:rPr>
        <w:t xml:space="preserve"> raportate la data de 30 iunie 2019 a fost în sumă totală de </w:t>
      </w:r>
      <w:r w:rsidR="00E707FE">
        <w:rPr>
          <w:rFonts w:ascii="Arial" w:hAnsi="Arial" w:cs="Arial"/>
          <w:sz w:val="24"/>
          <w:szCs w:val="24"/>
        </w:rPr>
        <w:t>936,7</w:t>
      </w:r>
      <w:r w:rsidRPr="004D6D76">
        <w:rPr>
          <w:rFonts w:ascii="Arial" w:hAnsi="Arial" w:cs="Arial"/>
          <w:sz w:val="24"/>
          <w:szCs w:val="24"/>
        </w:rPr>
        <w:t xml:space="preserve"> milioane lei, cu </w:t>
      </w:r>
      <w:r w:rsidR="00E707FE">
        <w:rPr>
          <w:rFonts w:ascii="Arial" w:hAnsi="Arial" w:cs="Arial"/>
          <w:sz w:val="24"/>
          <w:szCs w:val="24"/>
        </w:rPr>
        <w:t>29,1</w:t>
      </w:r>
      <w:r w:rsidRPr="004D6D76">
        <w:rPr>
          <w:rFonts w:ascii="Arial" w:hAnsi="Arial" w:cs="Arial"/>
          <w:sz w:val="24"/>
          <w:szCs w:val="24"/>
        </w:rPr>
        <w:t>% peste nivelul înregistrat la data de 30 iunie 2018, pe fondul creșterii plăților restante în administrația locală cu 34,9%. La nivelul administrație centrale s-a înregistrat o diminuare a plăților restante cu 6,2% comparativ cu semestrul I 2018.</w:t>
      </w:r>
    </w:p>
    <w:p w:rsidR="007C4F03" w:rsidRPr="004E6286" w:rsidRDefault="004D6D76" w:rsidP="004E6286">
      <w:pPr>
        <w:keepNext/>
        <w:keepLines/>
        <w:spacing w:line="276" w:lineRule="auto"/>
        <w:ind w:firstLine="567"/>
        <w:rPr>
          <w:rFonts w:ascii="Arial" w:hAnsi="Arial" w:cs="Arial"/>
          <w:b/>
          <w:sz w:val="24"/>
          <w:szCs w:val="24"/>
        </w:rPr>
      </w:pPr>
      <w:r w:rsidRPr="004E6286">
        <w:rPr>
          <w:rFonts w:ascii="Arial" w:hAnsi="Arial" w:cs="Arial"/>
          <w:b/>
          <w:sz w:val="24"/>
          <w:szCs w:val="24"/>
        </w:rPr>
        <w:t>Arieratele</w:t>
      </w:r>
      <w:r w:rsidRPr="004E6286">
        <w:rPr>
          <w:rFonts w:ascii="Arial" w:hAnsi="Arial" w:cs="Arial"/>
          <w:sz w:val="24"/>
          <w:szCs w:val="24"/>
        </w:rPr>
        <w:t xml:space="preserve"> (plățile restante peste 90 de zile) înregistrate la data de 30 iunie 2019 au fost în sumă de 180,5 milioane lei, în scădere cu 22,5% comparativ cu cele înregistrate la data de 30 iunie 2018 pe fondul reducerii arieratelor atât în administrația locală, cât și la nivelul administrației centrale. Arieratele din administrația locală au reprezentat 86,7% din totalul arieratelor înregistrate la 30 iunie 2019.</w:t>
      </w:r>
      <w:r w:rsidR="008A700D" w:rsidRPr="00857E54">
        <w:br w:type="page"/>
      </w:r>
    </w:p>
    <w:p w:rsidR="00155F43" w:rsidRPr="00AB33F7" w:rsidRDefault="00C43AD2" w:rsidP="00281576">
      <w:pPr>
        <w:pStyle w:val="ListParagraph"/>
        <w:keepNext/>
        <w:keepLines/>
        <w:ind w:left="567"/>
        <w:outlineLvl w:val="0"/>
        <w:rPr>
          <w:rFonts w:ascii="Arial" w:hAnsi="Arial" w:cs="Arial"/>
          <w:b/>
          <w:sz w:val="28"/>
          <w:szCs w:val="28"/>
        </w:rPr>
      </w:pPr>
      <w:bookmarkStart w:id="21" w:name="_Toc15024077"/>
      <w:r w:rsidRPr="00AB33F7">
        <w:rPr>
          <w:rFonts w:ascii="Arial" w:hAnsi="Arial" w:cs="Arial"/>
          <w:b/>
          <w:sz w:val="28"/>
          <w:szCs w:val="28"/>
        </w:rPr>
        <w:lastRenderedPageBreak/>
        <w:t xml:space="preserve">IV. Finanțarea deficitului bugetar </w:t>
      </w:r>
      <w:r w:rsidR="00E771E4" w:rsidRPr="00AB33F7">
        <w:rPr>
          <w:rFonts w:ascii="Arial" w:hAnsi="Arial" w:cs="Arial"/>
          <w:b/>
          <w:sz w:val="28"/>
          <w:szCs w:val="28"/>
        </w:rPr>
        <w:t>și</w:t>
      </w:r>
      <w:r w:rsidRPr="00AB33F7">
        <w:rPr>
          <w:rFonts w:ascii="Arial" w:hAnsi="Arial" w:cs="Arial"/>
          <w:b/>
          <w:sz w:val="28"/>
          <w:szCs w:val="28"/>
        </w:rPr>
        <w:t xml:space="preserve"> datoria publică</w:t>
      </w:r>
      <w:bookmarkEnd w:id="21"/>
    </w:p>
    <w:p w:rsidR="007C4F03" w:rsidRPr="004423E3" w:rsidRDefault="007C4F03" w:rsidP="00450537">
      <w:pPr>
        <w:keepNext/>
        <w:keepLines/>
        <w:spacing w:before="120" w:after="100" w:afterAutospacing="1"/>
        <w:ind w:firstLine="0"/>
        <w:rPr>
          <w:rFonts w:ascii="Arial" w:hAnsi="Arial" w:cs="Arial"/>
          <w:b/>
          <w:sz w:val="24"/>
          <w:szCs w:val="24"/>
        </w:rPr>
      </w:pPr>
      <w:bookmarkStart w:id="22" w:name="RANGE!B1:I9"/>
      <w:bookmarkEnd w:id="22"/>
      <w:r w:rsidRPr="004423E3">
        <w:rPr>
          <w:rFonts w:ascii="Arial" w:hAnsi="Arial" w:cs="Arial"/>
          <w:b/>
          <w:sz w:val="24"/>
          <w:szCs w:val="24"/>
        </w:rPr>
        <w:t>IV.1 Datoria publică</w:t>
      </w:r>
    </w:p>
    <w:p w:rsidR="004423E3" w:rsidRPr="004423E3" w:rsidRDefault="004423E3" w:rsidP="004423E3">
      <w:pPr>
        <w:widowControl w:val="0"/>
        <w:spacing w:after="120" w:line="276" w:lineRule="auto"/>
        <w:ind w:firstLine="708"/>
        <w:rPr>
          <w:rFonts w:ascii="Arial" w:eastAsia="Calibri" w:hAnsi="Arial" w:cs="Arial"/>
          <w:sz w:val="24"/>
          <w:szCs w:val="24"/>
        </w:rPr>
      </w:pPr>
      <w:r w:rsidRPr="004423E3">
        <w:rPr>
          <w:rFonts w:ascii="Arial" w:eastAsia="Calibri" w:hAnsi="Arial" w:cs="Arial"/>
          <w:sz w:val="24"/>
          <w:szCs w:val="24"/>
        </w:rPr>
        <w:t xml:space="preserve">Datoria guvernamentală conform metodologiei UE s-a situat la data de 31 mai 2019 la un nivel de 35,1% din PIB comparativ cu nivelul de 35,0% din PIB, cât s-a înregistrat la sfârșitul anului 2018, sub plafonul de 40% din PIB stabilit prin </w:t>
      </w:r>
      <w:r w:rsidRPr="004423E3">
        <w:rPr>
          <w:rFonts w:ascii="Arial" w:eastAsia="MS Mincho" w:hAnsi="Arial" w:cs="Arial"/>
          <w:noProof/>
          <w:sz w:val="24"/>
          <w:szCs w:val="24"/>
          <w:lang w:eastAsia="ja-JP"/>
        </w:rPr>
        <w:t xml:space="preserve">Ordonanța de urgență a Guvernului nr.14/2019 </w:t>
      </w:r>
      <w:r w:rsidRPr="004423E3">
        <w:rPr>
          <w:rFonts w:ascii="Arial" w:eastAsia="Calibri" w:hAnsi="Arial" w:cs="Arial"/>
          <w:noProof/>
          <w:sz w:val="24"/>
          <w:szCs w:val="24"/>
          <w:lang w:eastAsia="ro-RO"/>
        </w:rPr>
        <w:t>pentru aprobarea plafoanelor unor indicatori specificaţi în cadrul fiscal-bugetar pe anul 2019</w:t>
      </w:r>
    </w:p>
    <w:p w:rsidR="004423E3" w:rsidRPr="004423E3" w:rsidRDefault="004423E3" w:rsidP="004423E3">
      <w:pPr>
        <w:widowControl w:val="0"/>
        <w:spacing w:after="120" w:line="276" w:lineRule="auto"/>
        <w:ind w:firstLine="708"/>
        <w:rPr>
          <w:rFonts w:ascii="Arial" w:eastAsia="Calibri" w:hAnsi="Arial" w:cs="Arial"/>
          <w:sz w:val="24"/>
          <w:szCs w:val="24"/>
        </w:rPr>
      </w:pPr>
      <w:r w:rsidRPr="004423E3">
        <w:rPr>
          <w:rFonts w:ascii="Arial" w:eastAsia="Calibri" w:hAnsi="Arial" w:cs="Arial"/>
          <w:sz w:val="24"/>
          <w:szCs w:val="24"/>
        </w:rPr>
        <w:t xml:space="preserve">Din datoria </w:t>
      </w:r>
      <w:r w:rsidR="00E771E4" w:rsidRPr="004423E3">
        <w:rPr>
          <w:rFonts w:ascii="Arial" w:eastAsia="Calibri" w:hAnsi="Arial" w:cs="Arial"/>
          <w:sz w:val="24"/>
          <w:szCs w:val="24"/>
        </w:rPr>
        <w:t>guvernamentală</w:t>
      </w:r>
      <w:r w:rsidRPr="004423E3">
        <w:rPr>
          <w:rFonts w:ascii="Arial" w:eastAsia="Calibri" w:hAnsi="Arial" w:cs="Arial"/>
          <w:sz w:val="24"/>
          <w:szCs w:val="24"/>
        </w:rPr>
        <w:t xml:space="preserve">, la 31 mai 2019, datoria internă a reprezentat  18,2 % din PIB, iar datoria externă a fost de 16,9 % din PIB. </w:t>
      </w:r>
    </w:p>
    <w:p w:rsidR="004423E3" w:rsidRPr="004423E3" w:rsidRDefault="004423E3" w:rsidP="004423E3">
      <w:pPr>
        <w:widowControl w:val="0"/>
        <w:spacing w:after="120" w:line="276" w:lineRule="auto"/>
        <w:ind w:firstLine="708"/>
        <w:rPr>
          <w:rFonts w:ascii="Arial" w:eastAsia="Calibri" w:hAnsi="Arial" w:cs="Arial"/>
          <w:bCs/>
          <w:sz w:val="24"/>
          <w:szCs w:val="24"/>
        </w:rPr>
      </w:pPr>
      <w:r w:rsidRPr="004423E3">
        <w:rPr>
          <w:rFonts w:ascii="Arial" w:eastAsia="Calibri" w:hAnsi="Arial" w:cs="Arial"/>
          <w:bCs/>
          <w:sz w:val="24"/>
          <w:szCs w:val="24"/>
        </w:rPr>
        <w:t>Conform datelor publicate de EUROSTAT,</w:t>
      </w:r>
      <w:r w:rsidRPr="004423E3">
        <w:rPr>
          <w:rFonts w:ascii="Arial" w:eastAsia="Calibri" w:hAnsi="Arial" w:cs="Arial"/>
          <w:bCs/>
          <w:sz w:val="24"/>
          <w:szCs w:val="24"/>
          <w:vertAlign w:val="superscript"/>
        </w:rPr>
        <w:footnoteReference w:id="12"/>
      </w:r>
      <w:r w:rsidRPr="004423E3">
        <w:rPr>
          <w:rFonts w:ascii="Arial" w:eastAsia="Calibri" w:hAnsi="Arial" w:cs="Arial"/>
          <w:bCs/>
          <w:sz w:val="24"/>
          <w:szCs w:val="24"/>
        </w:rPr>
        <w:t xml:space="preserve"> </w:t>
      </w:r>
      <w:r w:rsidRPr="004423E3">
        <w:rPr>
          <w:rFonts w:ascii="Arial" w:eastAsia="Times New Roman" w:hAnsi="Arial" w:cs="Arial"/>
          <w:color w:val="000000"/>
          <w:sz w:val="24"/>
          <w:szCs w:val="24"/>
        </w:rPr>
        <w:t xml:space="preserve">la sfârșitul lui 2018, </w:t>
      </w:r>
      <w:r w:rsidRPr="004423E3">
        <w:rPr>
          <w:rFonts w:ascii="Arial" w:eastAsia="Calibri" w:hAnsi="Arial" w:cs="Arial"/>
          <w:bCs/>
          <w:sz w:val="24"/>
          <w:szCs w:val="24"/>
        </w:rPr>
        <w:t xml:space="preserve">România (35,0% din PIB) s-a situat pe locul 7 între statele membre UE cu cel mai scăzut nivel de îndatorare după Estonia (8,4% din PIB), Luxemburg (21,4% din PIB), Bulgaria (22,6% din PIB) , Republica Cehă (32,7% din PIB), Danemarca (34,1% din PIB) si Lituania (34,2% din PIB), sub media datoriei publice guvernamentale pentru zona euro (EA 19) (85,1% din PIB), dar </w:t>
      </w:r>
      <w:r w:rsidR="00E771E4" w:rsidRPr="004423E3">
        <w:rPr>
          <w:rFonts w:ascii="Arial" w:eastAsia="Calibri" w:hAnsi="Arial" w:cs="Arial"/>
          <w:bCs/>
          <w:sz w:val="24"/>
          <w:szCs w:val="24"/>
        </w:rPr>
        <w:t>și</w:t>
      </w:r>
      <w:r w:rsidRPr="004423E3">
        <w:rPr>
          <w:rFonts w:ascii="Arial" w:eastAsia="Calibri" w:hAnsi="Arial" w:cs="Arial"/>
          <w:bCs/>
          <w:sz w:val="24"/>
          <w:szCs w:val="24"/>
        </w:rPr>
        <w:t xml:space="preserve"> sub media datoriei guvernamentale pentru UE28 (80% din PIB).</w:t>
      </w:r>
    </w:p>
    <w:p w:rsidR="004423E3" w:rsidRDefault="004423E3" w:rsidP="004423E3">
      <w:pPr>
        <w:widowControl w:val="0"/>
        <w:spacing w:after="120" w:line="276" w:lineRule="auto"/>
        <w:ind w:firstLine="708"/>
        <w:rPr>
          <w:rFonts w:ascii="Arial" w:eastAsia="Calibri" w:hAnsi="Arial" w:cs="Arial"/>
          <w:bCs/>
          <w:sz w:val="24"/>
          <w:szCs w:val="24"/>
        </w:rPr>
      </w:pPr>
      <w:r w:rsidRPr="004423E3">
        <w:rPr>
          <w:rFonts w:ascii="Arial" w:eastAsia="Calibri" w:hAnsi="Arial" w:cs="Arial"/>
          <w:bCs/>
          <w:sz w:val="24"/>
          <w:szCs w:val="24"/>
        </w:rPr>
        <w:t>Un număr de 14 state membre au înregistrat, la finele anului 2018, un nivel al datoriei publice guvernamentale în PIB de peste 60% din PIB cele mai  ridicate niveluri înregistrându-se în Grecia (181,1%), Italia (132,2%), Portugalia (121,5%), Belgia (102,0%) și Spania (97,1%).</w:t>
      </w:r>
    </w:p>
    <w:p w:rsidR="007C4F03" w:rsidRDefault="007C4F03" w:rsidP="004423E3">
      <w:pPr>
        <w:widowControl w:val="0"/>
        <w:spacing w:after="120" w:line="276" w:lineRule="auto"/>
        <w:ind w:firstLine="0"/>
        <w:rPr>
          <w:rFonts w:ascii="Arial" w:hAnsi="Arial" w:cs="Arial"/>
          <w:b/>
          <w:sz w:val="24"/>
          <w:szCs w:val="24"/>
        </w:rPr>
      </w:pPr>
      <w:r w:rsidRPr="00857E54">
        <w:rPr>
          <w:rFonts w:ascii="Arial" w:hAnsi="Arial" w:cs="Arial"/>
          <w:b/>
          <w:sz w:val="24"/>
          <w:szCs w:val="24"/>
        </w:rPr>
        <w:t>IV.2 Finanțarea deficitului bugetar</w:t>
      </w:r>
    </w:p>
    <w:p w:rsidR="004423E3" w:rsidRPr="004423E3" w:rsidRDefault="004423E3" w:rsidP="004423E3">
      <w:pPr>
        <w:spacing w:after="0" w:line="276" w:lineRule="auto"/>
        <w:ind w:firstLine="708"/>
        <w:rPr>
          <w:rFonts w:ascii="Arial" w:eastAsia="Calibri" w:hAnsi="Arial" w:cs="Arial"/>
          <w:color w:val="000000"/>
          <w:sz w:val="24"/>
          <w:szCs w:val="24"/>
          <w:lang w:eastAsia="ro-RO"/>
        </w:rPr>
      </w:pPr>
      <w:r w:rsidRPr="004423E3">
        <w:rPr>
          <w:rFonts w:ascii="Arial" w:eastAsia="MS Mincho" w:hAnsi="Arial" w:cs="Arial"/>
          <w:sz w:val="24"/>
          <w:szCs w:val="24"/>
          <w:lang w:eastAsia="ja-JP"/>
        </w:rPr>
        <w:t xml:space="preserve">Finanțarea deficitului bugetar pentru semestrul I, 2019 s-a realizat în principal din surse interne prin emisiuni de titluri de stat lansate pe piața internă și în completare din surse externe. Sursele necesare refinanțării datoriei publice guvernamentale s-au asigurat de pe piețele pe care s-au emis aceste datorii </w:t>
      </w:r>
      <w:r w:rsidR="00E771E4" w:rsidRPr="004423E3">
        <w:rPr>
          <w:rFonts w:ascii="Arial" w:eastAsia="MS Mincho" w:hAnsi="Arial" w:cs="Arial"/>
          <w:sz w:val="24"/>
          <w:szCs w:val="24"/>
          <w:lang w:eastAsia="ja-JP"/>
        </w:rPr>
        <w:t>și</w:t>
      </w:r>
      <w:r w:rsidRPr="004423E3">
        <w:rPr>
          <w:rFonts w:ascii="Arial" w:eastAsia="MS Mincho" w:hAnsi="Arial" w:cs="Arial"/>
          <w:sz w:val="24"/>
          <w:szCs w:val="24"/>
          <w:lang w:eastAsia="ja-JP"/>
        </w:rPr>
        <w:t xml:space="preserve"> din rezerva financiară în valută la dispoziția MFP.</w:t>
      </w:r>
    </w:p>
    <w:p w:rsidR="004423E3" w:rsidRPr="004423E3" w:rsidRDefault="004423E3" w:rsidP="004423E3">
      <w:pPr>
        <w:autoSpaceDE w:val="0"/>
        <w:autoSpaceDN w:val="0"/>
        <w:adjustRightInd w:val="0"/>
        <w:spacing w:after="0" w:line="276" w:lineRule="auto"/>
        <w:ind w:firstLine="360"/>
        <w:rPr>
          <w:rFonts w:ascii="Arial" w:eastAsia="MS Mincho" w:hAnsi="Arial" w:cs="Arial"/>
          <w:sz w:val="24"/>
          <w:szCs w:val="24"/>
          <w:lang w:eastAsia="ja-JP"/>
        </w:rPr>
      </w:pPr>
    </w:p>
    <w:p w:rsidR="004423E3" w:rsidRPr="004423E3" w:rsidRDefault="004423E3" w:rsidP="004423E3">
      <w:pPr>
        <w:autoSpaceDE w:val="0"/>
        <w:autoSpaceDN w:val="0"/>
        <w:adjustRightInd w:val="0"/>
        <w:spacing w:after="0" w:line="276" w:lineRule="auto"/>
        <w:ind w:firstLine="708"/>
        <w:rPr>
          <w:rFonts w:ascii="Arial" w:eastAsia="Calibri" w:hAnsi="Arial" w:cs="Arial"/>
          <w:sz w:val="24"/>
          <w:szCs w:val="24"/>
          <w:lang w:eastAsia="ro-RO"/>
        </w:rPr>
      </w:pPr>
      <w:r w:rsidRPr="004423E3">
        <w:rPr>
          <w:rFonts w:ascii="Arial" w:eastAsia="MS Mincho" w:hAnsi="Arial" w:cs="Arial"/>
          <w:sz w:val="24"/>
          <w:szCs w:val="24"/>
          <w:lang w:eastAsia="ja-JP"/>
        </w:rPr>
        <w:t xml:space="preserve">Instrumentele de datorie în semestrul I 2019 pentru finanțarea deficitului bugetar </w:t>
      </w:r>
      <w:r w:rsidR="00E771E4" w:rsidRPr="004423E3">
        <w:rPr>
          <w:rFonts w:ascii="Arial" w:eastAsia="MS Mincho" w:hAnsi="Arial" w:cs="Arial"/>
          <w:sz w:val="24"/>
          <w:szCs w:val="24"/>
          <w:lang w:eastAsia="ja-JP"/>
        </w:rPr>
        <w:t>și</w:t>
      </w:r>
      <w:r w:rsidRPr="004423E3">
        <w:rPr>
          <w:rFonts w:ascii="Arial" w:eastAsia="MS Mincho" w:hAnsi="Arial" w:cs="Arial"/>
          <w:sz w:val="24"/>
          <w:szCs w:val="24"/>
          <w:lang w:eastAsia="ja-JP"/>
        </w:rPr>
        <w:t xml:space="preserve"> refinanțarea datoriei publice au fost următoarele:</w:t>
      </w:r>
      <w:r w:rsidRPr="004423E3">
        <w:rPr>
          <w:rFonts w:ascii="Arial" w:eastAsia="Calibri" w:hAnsi="Arial" w:cs="Arial"/>
          <w:sz w:val="24"/>
          <w:szCs w:val="24"/>
          <w:lang w:eastAsia="ro-RO"/>
        </w:rPr>
        <w:t xml:space="preserve"> </w:t>
      </w:r>
    </w:p>
    <w:p w:rsidR="004423E3" w:rsidRPr="004423E3" w:rsidRDefault="004423E3" w:rsidP="004423E3">
      <w:pPr>
        <w:autoSpaceDE w:val="0"/>
        <w:autoSpaceDN w:val="0"/>
        <w:adjustRightInd w:val="0"/>
        <w:spacing w:after="0" w:line="276" w:lineRule="auto"/>
        <w:ind w:firstLine="0"/>
        <w:rPr>
          <w:rFonts w:ascii="Symbol" w:eastAsia="Calibri" w:hAnsi="Symbol" w:cs="Symbol"/>
          <w:sz w:val="24"/>
          <w:szCs w:val="24"/>
          <w:lang w:eastAsia="ro-RO"/>
        </w:rPr>
      </w:pPr>
    </w:p>
    <w:p w:rsidR="004423E3" w:rsidRPr="004423E3" w:rsidRDefault="004423E3" w:rsidP="004423E3">
      <w:pPr>
        <w:numPr>
          <w:ilvl w:val="0"/>
          <w:numId w:val="22"/>
        </w:numPr>
        <w:suppressAutoHyphens/>
        <w:spacing w:after="0" w:line="276" w:lineRule="auto"/>
        <w:jc w:val="left"/>
        <w:rPr>
          <w:rFonts w:ascii="Arial" w:eastAsia="Times New Roman" w:hAnsi="Arial" w:cs="Arial"/>
          <w:sz w:val="24"/>
          <w:szCs w:val="24"/>
          <w:u w:val="single"/>
          <w:lang w:eastAsia="zh-CN"/>
        </w:rPr>
      </w:pPr>
      <w:r w:rsidRPr="004423E3">
        <w:rPr>
          <w:rFonts w:ascii="Arial" w:eastAsia="Times New Roman" w:hAnsi="Arial" w:cs="Arial"/>
          <w:sz w:val="24"/>
          <w:szCs w:val="24"/>
          <w:u w:val="single"/>
          <w:lang w:eastAsia="zh-CN"/>
        </w:rPr>
        <w:t xml:space="preserve">De pe piața internă : </w:t>
      </w:r>
    </w:p>
    <w:p w:rsidR="004423E3" w:rsidRPr="004423E3" w:rsidRDefault="004423E3" w:rsidP="00DC4AB9">
      <w:pPr>
        <w:numPr>
          <w:ilvl w:val="1"/>
          <w:numId w:val="22"/>
        </w:numPr>
        <w:suppressAutoHyphens/>
        <w:spacing w:after="120" w:line="276" w:lineRule="auto"/>
        <w:jc w:val="left"/>
        <w:rPr>
          <w:rFonts w:ascii="Arial" w:eastAsia="Times New Roman" w:hAnsi="Arial" w:cs="Arial"/>
          <w:sz w:val="24"/>
          <w:szCs w:val="24"/>
          <w:lang w:eastAsia="zh-CN"/>
        </w:rPr>
      </w:pPr>
      <w:r w:rsidRPr="004423E3">
        <w:rPr>
          <w:rFonts w:ascii="Arial" w:eastAsia="Times New Roman" w:hAnsi="Arial" w:cs="Arial"/>
          <w:sz w:val="24"/>
          <w:szCs w:val="24"/>
          <w:lang w:eastAsia="zh-CN"/>
        </w:rPr>
        <w:t>Licitații de titluri de stat pe piața interbancară</w:t>
      </w:r>
      <w:r w:rsidRPr="004423E3">
        <w:rPr>
          <w:rFonts w:ascii="Arial" w:eastAsia="Times New Roman" w:hAnsi="Arial" w:cs="Arial"/>
          <w:sz w:val="24"/>
          <w:szCs w:val="24"/>
          <w:lang w:val="en-US" w:eastAsia="zh-CN"/>
        </w:rPr>
        <w:t xml:space="preserve">: </w:t>
      </w:r>
      <w:r w:rsidRPr="004423E3">
        <w:rPr>
          <w:rFonts w:ascii="Arial" w:eastAsia="Times New Roman" w:hAnsi="Arial" w:cs="Arial"/>
          <w:sz w:val="24"/>
          <w:szCs w:val="24"/>
          <w:lang w:eastAsia="zh-CN"/>
        </w:rPr>
        <w:t>a fost adjudecată suma de 21,8 mld. lei și respectiv 506,7 mil. euro, reprezentând un total de aproximativ 24,2 mld lei, din care:</w:t>
      </w:r>
    </w:p>
    <w:p w:rsidR="004423E3" w:rsidRPr="004423E3" w:rsidRDefault="004423E3" w:rsidP="004423E3">
      <w:pPr>
        <w:numPr>
          <w:ilvl w:val="1"/>
          <w:numId w:val="21"/>
        </w:numPr>
        <w:suppressAutoHyphens/>
        <w:spacing w:after="0" w:line="276" w:lineRule="auto"/>
        <w:jc w:val="left"/>
        <w:rPr>
          <w:rFonts w:ascii="Arial" w:eastAsia="Times New Roman" w:hAnsi="Arial" w:cs="Arial"/>
          <w:sz w:val="24"/>
          <w:szCs w:val="24"/>
          <w:lang w:eastAsia="zh-CN"/>
        </w:rPr>
      </w:pPr>
      <w:r w:rsidRPr="004423E3">
        <w:rPr>
          <w:rFonts w:ascii="Arial" w:eastAsia="Times New Roman" w:hAnsi="Arial" w:cs="Arial"/>
          <w:sz w:val="24"/>
          <w:szCs w:val="24"/>
          <w:lang w:eastAsia="zh-CN"/>
        </w:rPr>
        <w:t>2,8% - emisiuni de certificate de trezorerie cu discont cu maturitate de până la 12 luni și emisiuni de obligațiuni de tip benchmark cu maturități reziduale până la 1 an;</w:t>
      </w:r>
    </w:p>
    <w:p w:rsidR="004423E3" w:rsidRPr="004423E3" w:rsidRDefault="004423E3" w:rsidP="004423E3">
      <w:pPr>
        <w:numPr>
          <w:ilvl w:val="1"/>
          <w:numId w:val="21"/>
        </w:numPr>
        <w:suppressAutoHyphens/>
        <w:spacing w:after="0" w:line="276" w:lineRule="auto"/>
        <w:jc w:val="left"/>
        <w:rPr>
          <w:rFonts w:ascii="Arial" w:eastAsia="Times New Roman" w:hAnsi="Arial" w:cs="Arial"/>
          <w:sz w:val="24"/>
          <w:szCs w:val="24"/>
          <w:lang w:eastAsia="zh-CN"/>
        </w:rPr>
      </w:pPr>
      <w:r w:rsidRPr="004423E3">
        <w:rPr>
          <w:rFonts w:ascii="Arial" w:eastAsia="Times New Roman" w:hAnsi="Arial" w:cs="Arial"/>
          <w:sz w:val="24"/>
          <w:szCs w:val="24"/>
          <w:lang w:eastAsia="zh-CN"/>
        </w:rPr>
        <w:lastRenderedPageBreak/>
        <w:t xml:space="preserve">50,3% - emisiuni de obligațiuni de tip benchmark cu maturități reziduale între 1 și 5 ani; și </w:t>
      </w:r>
    </w:p>
    <w:p w:rsidR="004423E3" w:rsidRPr="004423E3" w:rsidRDefault="004423E3" w:rsidP="004423E3">
      <w:pPr>
        <w:numPr>
          <w:ilvl w:val="1"/>
          <w:numId w:val="21"/>
        </w:numPr>
        <w:suppressAutoHyphens/>
        <w:spacing w:after="0" w:line="276" w:lineRule="auto"/>
        <w:jc w:val="left"/>
        <w:rPr>
          <w:rFonts w:ascii="Arial" w:eastAsia="Times New Roman" w:hAnsi="Arial" w:cs="Arial"/>
          <w:sz w:val="24"/>
          <w:szCs w:val="24"/>
          <w:lang w:eastAsia="zh-CN"/>
        </w:rPr>
      </w:pPr>
      <w:r w:rsidRPr="004423E3">
        <w:rPr>
          <w:rFonts w:ascii="Arial" w:eastAsia="Times New Roman" w:hAnsi="Arial" w:cs="Arial"/>
          <w:sz w:val="24"/>
          <w:szCs w:val="24"/>
          <w:lang w:eastAsia="zh-CN"/>
        </w:rPr>
        <w:t>46,9% - emisiuni de obligațiuni de tip benchmark cu maturități reziduale între 5 și 13 ani.</w:t>
      </w:r>
    </w:p>
    <w:p w:rsidR="004423E3" w:rsidRPr="004423E3" w:rsidRDefault="004423E3" w:rsidP="004423E3">
      <w:pPr>
        <w:suppressAutoHyphens/>
        <w:spacing w:after="0" w:line="276" w:lineRule="auto"/>
        <w:ind w:left="1440" w:firstLine="0"/>
        <w:rPr>
          <w:rFonts w:ascii="Arial" w:eastAsia="Times New Roman" w:hAnsi="Arial" w:cs="Arial"/>
          <w:sz w:val="24"/>
          <w:szCs w:val="24"/>
          <w:lang w:eastAsia="zh-CN"/>
        </w:rPr>
      </w:pPr>
    </w:p>
    <w:p w:rsidR="004423E3" w:rsidRPr="004423E3" w:rsidRDefault="004423E3" w:rsidP="004423E3">
      <w:pPr>
        <w:numPr>
          <w:ilvl w:val="1"/>
          <w:numId w:val="22"/>
        </w:numPr>
        <w:suppressAutoHyphens/>
        <w:spacing w:after="0" w:line="276" w:lineRule="auto"/>
        <w:jc w:val="left"/>
        <w:rPr>
          <w:rFonts w:ascii="Arial" w:eastAsia="Times New Roman" w:hAnsi="Arial" w:cs="Arial"/>
          <w:sz w:val="24"/>
          <w:szCs w:val="24"/>
          <w:lang w:eastAsia="zh-CN"/>
        </w:rPr>
      </w:pPr>
      <w:r w:rsidRPr="004423E3">
        <w:rPr>
          <w:rFonts w:ascii="Arial" w:eastAsia="Times New Roman" w:hAnsi="Arial" w:cs="Arial"/>
          <w:sz w:val="24"/>
          <w:szCs w:val="24"/>
          <w:lang w:eastAsia="zh-CN"/>
        </w:rPr>
        <w:t>Titluri de stat pentru populație: în semestrul I 2019 au fost lansate 19 emisiuni de titluri de stat destinate populației prin programul TEZAUR,  cu maturități cuprinse între 1 și  5 ani, totalizând 2 mld. lei.</w:t>
      </w:r>
    </w:p>
    <w:p w:rsidR="004423E3" w:rsidRPr="004423E3" w:rsidRDefault="004423E3" w:rsidP="004423E3">
      <w:pPr>
        <w:suppressAutoHyphens/>
        <w:spacing w:after="0" w:line="276" w:lineRule="auto"/>
        <w:ind w:firstLine="0"/>
        <w:rPr>
          <w:rFonts w:ascii="Arial" w:eastAsia="Times New Roman" w:hAnsi="Arial" w:cs="Arial"/>
          <w:sz w:val="24"/>
          <w:szCs w:val="24"/>
          <w:lang w:eastAsia="zh-CN"/>
        </w:rPr>
      </w:pPr>
    </w:p>
    <w:p w:rsidR="004423E3" w:rsidRPr="004423E3" w:rsidRDefault="004423E3" w:rsidP="004423E3">
      <w:pPr>
        <w:suppressAutoHyphens/>
        <w:spacing w:after="0" w:line="276" w:lineRule="auto"/>
        <w:ind w:left="720" w:firstLine="0"/>
        <w:rPr>
          <w:rFonts w:ascii="Arial" w:eastAsia="Times New Roman" w:hAnsi="Arial" w:cs="Arial"/>
          <w:lang w:eastAsia="zh-CN"/>
        </w:rPr>
      </w:pPr>
    </w:p>
    <w:p w:rsidR="004423E3" w:rsidRPr="004423E3" w:rsidRDefault="004423E3" w:rsidP="004423E3">
      <w:pPr>
        <w:numPr>
          <w:ilvl w:val="0"/>
          <w:numId w:val="22"/>
        </w:numPr>
        <w:suppressAutoHyphens/>
        <w:spacing w:after="0" w:line="276" w:lineRule="auto"/>
        <w:jc w:val="left"/>
        <w:rPr>
          <w:rFonts w:ascii="Arial" w:eastAsia="Times New Roman" w:hAnsi="Arial" w:cs="Arial"/>
          <w:sz w:val="24"/>
          <w:szCs w:val="24"/>
          <w:lang w:val="it-IT" w:eastAsia="zh-CN"/>
        </w:rPr>
      </w:pPr>
      <w:r w:rsidRPr="004423E3">
        <w:rPr>
          <w:rFonts w:ascii="Arial" w:eastAsia="Times New Roman" w:hAnsi="Arial" w:cs="Arial"/>
          <w:sz w:val="24"/>
          <w:szCs w:val="24"/>
          <w:u w:val="single"/>
          <w:lang w:eastAsia="zh-CN"/>
        </w:rPr>
        <w:t>De pe piața externă a</w:t>
      </w:r>
      <w:r w:rsidRPr="004423E3">
        <w:rPr>
          <w:rFonts w:ascii="Arial" w:eastAsia="Times New Roman" w:hAnsi="Arial" w:cs="Arial"/>
          <w:sz w:val="24"/>
          <w:szCs w:val="24"/>
          <w:lang w:val="it-IT" w:eastAsia="zh-CN"/>
        </w:rPr>
        <w:t xml:space="preserve"> fost atrasă suma de 3 mld. EUR, printr-o emisiune în trei tranșe de euroobligațiuni, în data de 3 aprilie 2019, astfel</w:t>
      </w:r>
      <w:r w:rsidRPr="004423E3">
        <w:rPr>
          <w:rFonts w:ascii="Arial" w:eastAsia="Times New Roman" w:hAnsi="Arial" w:cs="Arial"/>
          <w:sz w:val="24"/>
          <w:szCs w:val="24"/>
          <w:lang w:val="en-US" w:eastAsia="zh-CN"/>
        </w:rPr>
        <w:t>:</w:t>
      </w:r>
      <w:r w:rsidRPr="004423E3">
        <w:rPr>
          <w:rFonts w:ascii="Arial" w:eastAsia="Times New Roman" w:hAnsi="Arial" w:cs="Arial"/>
          <w:sz w:val="24"/>
          <w:szCs w:val="24"/>
          <w:lang w:val="it-IT" w:eastAsia="zh-CN"/>
        </w:rPr>
        <w:t xml:space="preserve"> </w:t>
      </w:r>
    </w:p>
    <w:p w:rsidR="004423E3" w:rsidRPr="004423E3" w:rsidRDefault="004423E3" w:rsidP="00DC4AB9">
      <w:pPr>
        <w:numPr>
          <w:ilvl w:val="0"/>
          <w:numId w:val="23"/>
        </w:numPr>
        <w:suppressAutoHyphens/>
        <w:spacing w:before="120" w:after="120" w:line="276" w:lineRule="auto"/>
        <w:ind w:firstLine="360"/>
        <w:jc w:val="left"/>
        <w:rPr>
          <w:rFonts w:ascii="Arial" w:eastAsia="Times New Roman" w:hAnsi="Arial" w:cs="Arial"/>
          <w:sz w:val="24"/>
          <w:szCs w:val="24"/>
          <w:lang w:val="it-IT" w:eastAsia="zh-CN"/>
        </w:rPr>
      </w:pPr>
      <w:r w:rsidRPr="004423E3">
        <w:rPr>
          <w:rFonts w:ascii="Arial" w:eastAsia="Times New Roman" w:hAnsi="Arial" w:cs="Arial"/>
          <w:sz w:val="24"/>
          <w:szCs w:val="24"/>
          <w:lang w:val="it-IT" w:eastAsia="zh-CN"/>
        </w:rPr>
        <w:t xml:space="preserve">1,15 miliarde EUR cu scadență de 7 ani și dobândă de 2,00% pe an; </w:t>
      </w:r>
    </w:p>
    <w:p w:rsidR="004423E3" w:rsidRPr="004423E3" w:rsidRDefault="004423E3" w:rsidP="00DC4AB9">
      <w:pPr>
        <w:numPr>
          <w:ilvl w:val="0"/>
          <w:numId w:val="23"/>
        </w:numPr>
        <w:suppressAutoHyphens/>
        <w:spacing w:before="120" w:after="120" w:line="276" w:lineRule="auto"/>
        <w:ind w:firstLine="360"/>
        <w:jc w:val="left"/>
        <w:rPr>
          <w:rFonts w:ascii="Arial" w:eastAsia="Times New Roman" w:hAnsi="Arial" w:cs="Arial"/>
          <w:sz w:val="24"/>
          <w:szCs w:val="24"/>
          <w:lang w:val="it-IT" w:eastAsia="zh-CN"/>
        </w:rPr>
      </w:pPr>
      <w:r w:rsidRPr="004423E3">
        <w:rPr>
          <w:rFonts w:ascii="Arial" w:eastAsia="Times New Roman" w:hAnsi="Arial" w:cs="Arial"/>
          <w:sz w:val="24"/>
          <w:szCs w:val="24"/>
          <w:lang w:val="it-IT" w:eastAsia="zh-CN"/>
        </w:rPr>
        <w:t>500 milioane EUR cu scadență de 15 ani și dobândă de 3,50% pe an</w:t>
      </w:r>
      <w:r w:rsidRPr="004423E3">
        <w:rPr>
          <w:rFonts w:ascii="Arial" w:eastAsia="Times New Roman" w:hAnsi="Arial" w:cs="Arial"/>
          <w:sz w:val="24"/>
          <w:szCs w:val="24"/>
          <w:lang w:val="en-US" w:eastAsia="zh-CN"/>
        </w:rPr>
        <w:t>;</w:t>
      </w:r>
      <w:r w:rsidRPr="004423E3">
        <w:rPr>
          <w:rFonts w:ascii="Arial" w:eastAsia="Times New Roman" w:hAnsi="Arial" w:cs="Arial"/>
          <w:sz w:val="24"/>
          <w:szCs w:val="24"/>
          <w:lang w:val="it-IT" w:eastAsia="zh-CN"/>
        </w:rPr>
        <w:t xml:space="preserve"> </w:t>
      </w:r>
    </w:p>
    <w:p w:rsidR="004423E3" w:rsidRPr="004423E3" w:rsidRDefault="004423E3" w:rsidP="00DC4AB9">
      <w:pPr>
        <w:numPr>
          <w:ilvl w:val="0"/>
          <w:numId w:val="23"/>
        </w:numPr>
        <w:suppressAutoHyphens/>
        <w:spacing w:before="120" w:after="120" w:line="276" w:lineRule="auto"/>
        <w:ind w:firstLine="360"/>
        <w:jc w:val="left"/>
        <w:rPr>
          <w:rFonts w:ascii="Arial" w:eastAsia="Times New Roman" w:hAnsi="Arial" w:cs="Arial"/>
          <w:sz w:val="24"/>
          <w:szCs w:val="24"/>
          <w:lang w:val="it-IT" w:eastAsia="zh-CN"/>
        </w:rPr>
      </w:pPr>
      <w:r w:rsidRPr="004423E3">
        <w:rPr>
          <w:rFonts w:ascii="Arial" w:eastAsia="Times New Roman" w:hAnsi="Arial" w:cs="Arial"/>
          <w:sz w:val="24"/>
          <w:szCs w:val="24"/>
          <w:lang w:val="it-IT" w:eastAsia="zh-CN"/>
        </w:rPr>
        <w:t>1,35 miliarde EUR cu scadență de 30 ani și dobândă de 4,657% pe an;</w:t>
      </w:r>
    </w:p>
    <w:p w:rsidR="004423E3" w:rsidRPr="004423E3" w:rsidRDefault="004423E3" w:rsidP="004423E3">
      <w:pPr>
        <w:suppressAutoHyphens/>
        <w:spacing w:before="120" w:after="120" w:line="276" w:lineRule="auto"/>
        <w:ind w:firstLine="0"/>
        <w:rPr>
          <w:rFonts w:ascii="Arial" w:eastAsia="Times New Roman" w:hAnsi="Arial" w:cs="Arial"/>
          <w:sz w:val="24"/>
          <w:szCs w:val="24"/>
          <w:lang w:val="it-IT" w:eastAsia="zh-CN"/>
        </w:rPr>
      </w:pPr>
    </w:p>
    <w:p w:rsidR="004423E3" w:rsidRPr="004423E3" w:rsidRDefault="004423E3" w:rsidP="00C60107">
      <w:pPr>
        <w:suppressAutoHyphens/>
        <w:spacing w:before="120" w:after="120" w:line="276" w:lineRule="auto"/>
        <w:ind w:firstLine="708"/>
        <w:rPr>
          <w:rFonts w:ascii="Arial" w:eastAsia="Times New Roman" w:hAnsi="Arial" w:cs="Arial"/>
          <w:sz w:val="24"/>
          <w:szCs w:val="24"/>
          <w:lang w:val="it-IT" w:eastAsia="zh-CN"/>
        </w:rPr>
      </w:pPr>
      <w:r w:rsidRPr="004423E3">
        <w:rPr>
          <w:rFonts w:ascii="Arial" w:eastAsia="Times New Roman" w:hAnsi="Arial" w:cs="Arial"/>
          <w:sz w:val="24"/>
          <w:szCs w:val="24"/>
          <w:lang w:val="it-IT" w:eastAsia="zh-CN"/>
        </w:rPr>
        <w:t xml:space="preserve">Procesul de finanțare externă în primul semestru al anului 2019 a avut în vedere asigurarea prezenţei constante a României pe pieţele externe de capital în condiţii de cost avantajoase pentru România, diversificarea bazei de investitori și consolidarea rezervei financiare în valută la dispoziţia Trezoreriei Statului la un nivel care să acopere aproximativ 4 luni din necesarul brut de finanţare. </w:t>
      </w:r>
    </w:p>
    <w:p w:rsidR="004423E3" w:rsidRPr="004423E3" w:rsidRDefault="004423E3" w:rsidP="004423E3">
      <w:pPr>
        <w:suppressAutoHyphens/>
        <w:spacing w:before="120" w:after="120" w:line="276" w:lineRule="auto"/>
        <w:ind w:firstLine="708"/>
        <w:rPr>
          <w:rFonts w:ascii="Arial" w:eastAsia="Times New Roman" w:hAnsi="Arial" w:cs="Arial"/>
          <w:sz w:val="24"/>
          <w:szCs w:val="24"/>
          <w:lang w:val="it-IT" w:eastAsia="zh-CN"/>
        </w:rPr>
      </w:pPr>
      <w:r w:rsidRPr="004423E3">
        <w:rPr>
          <w:rFonts w:ascii="Arial" w:eastAsia="Times New Roman" w:hAnsi="Arial" w:cs="Arial"/>
          <w:b/>
          <w:sz w:val="24"/>
          <w:szCs w:val="24"/>
          <w:lang w:val="it-IT" w:eastAsia="zh-CN"/>
        </w:rPr>
        <w:t>Garanțiile guvernamentale</w:t>
      </w:r>
      <w:r w:rsidRPr="004423E3">
        <w:rPr>
          <w:rFonts w:ascii="Arial" w:eastAsia="Times New Roman" w:hAnsi="Arial" w:cs="Arial"/>
          <w:sz w:val="24"/>
          <w:szCs w:val="24"/>
          <w:lang w:val="it-IT" w:eastAsia="zh-CN"/>
        </w:rPr>
        <w:t xml:space="preserve"> acordate de Ministerul Finanțelor Publice în primele 5 luni ale anului 2019 au fost în valoare de aproximativ 568 mil. lei, în limita plafonului de 8.000 mil. lei stabilit prin stabilit Ordonanța de urgență a Guvernului nr. 14/2019 pentru aprobarea plafoanelor unor indicatori specificaţi în cadrul fiscal-bugetar pe anul 2019.</w:t>
      </w:r>
    </w:p>
    <w:p w:rsidR="004423E3" w:rsidRPr="004423E3" w:rsidRDefault="004423E3" w:rsidP="004423E3">
      <w:pPr>
        <w:suppressAutoHyphens/>
        <w:spacing w:before="100" w:beforeAutospacing="1" w:after="100" w:afterAutospacing="1" w:line="276" w:lineRule="auto"/>
        <w:ind w:firstLine="0"/>
        <w:rPr>
          <w:rFonts w:ascii="Arial" w:eastAsia="MS Mincho" w:hAnsi="Arial" w:cs="Arial"/>
          <w:sz w:val="24"/>
          <w:szCs w:val="24"/>
          <w:lang w:eastAsia="ja-JP"/>
        </w:rPr>
      </w:pPr>
      <w:r w:rsidRPr="004423E3">
        <w:rPr>
          <w:rFonts w:ascii="Arial" w:eastAsia="Calibri" w:hAnsi="Arial" w:cs="Arial"/>
          <w:b/>
          <w:bCs/>
          <w:sz w:val="24"/>
          <w:szCs w:val="24"/>
        </w:rPr>
        <w:t>IV.3 Datoria publică locală</w:t>
      </w:r>
    </w:p>
    <w:p w:rsidR="00DC4AB9" w:rsidRDefault="004423E3" w:rsidP="004423E3">
      <w:pPr>
        <w:suppressAutoHyphens/>
        <w:spacing w:before="100" w:beforeAutospacing="1" w:after="100" w:afterAutospacing="1" w:line="276" w:lineRule="auto"/>
        <w:ind w:firstLine="708"/>
        <w:rPr>
          <w:rFonts w:ascii="Arial" w:eastAsia="MS Mincho" w:hAnsi="Arial" w:cs="Arial"/>
          <w:noProof/>
          <w:sz w:val="24"/>
          <w:szCs w:val="24"/>
          <w:lang w:eastAsia="ja-JP"/>
        </w:rPr>
      </w:pPr>
      <w:r w:rsidRPr="004423E3">
        <w:rPr>
          <w:rFonts w:ascii="Arial" w:eastAsia="MS Mincho" w:hAnsi="Arial" w:cs="Arial"/>
          <w:noProof/>
          <w:sz w:val="24"/>
          <w:szCs w:val="24"/>
          <w:lang w:eastAsia="ja-JP"/>
        </w:rPr>
        <w:t xml:space="preserve">În ceea ce privește tragerile autorizate pentru a fi efectuate în anul 2019 din finanțările rambursabile contractate sau care urmau să fie contractate de către unitățile/subdiviziunile administrativ-teritoriale, acestea sunt în valoare de 1.200,00 milioane lei, nefiind depășit plafonul anual de 1.200 milioane lei, aprobat prin </w:t>
      </w:r>
      <w:r w:rsidRPr="004423E3">
        <w:rPr>
          <w:rFonts w:ascii="Arial" w:eastAsia="MS Mincho" w:hAnsi="Arial" w:cs="Arial"/>
          <w:i/>
          <w:noProof/>
          <w:sz w:val="24"/>
          <w:szCs w:val="24"/>
          <w:lang w:eastAsia="ja-JP"/>
        </w:rPr>
        <w:t xml:space="preserve">Ordonanța de urgență a Guvernului nr. 14/2019 </w:t>
      </w:r>
      <w:r w:rsidRPr="004423E3">
        <w:rPr>
          <w:rFonts w:ascii="Arial" w:eastAsia="Calibri" w:hAnsi="Arial" w:cs="Arial"/>
          <w:i/>
          <w:noProof/>
          <w:sz w:val="24"/>
          <w:szCs w:val="24"/>
          <w:lang w:eastAsia="ro-RO"/>
        </w:rPr>
        <w:t>pentru aprobarea plafoanelor unor indicatori specificaţi în cadrul fiscal-bugetar pe anul 2019</w:t>
      </w:r>
      <w:r w:rsidRPr="004423E3">
        <w:rPr>
          <w:rFonts w:ascii="Arial" w:eastAsia="MS Mincho" w:hAnsi="Arial" w:cs="Arial"/>
          <w:noProof/>
          <w:sz w:val="24"/>
          <w:szCs w:val="24"/>
          <w:lang w:eastAsia="ja-JP"/>
        </w:rPr>
        <w:t xml:space="preserve"> şi </w:t>
      </w:r>
      <w:r w:rsidRPr="004423E3">
        <w:rPr>
          <w:rFonts w:ascii="Arial" w:eastAsia="MS Mincho" w:hAnsi="Arial" w:cs="Arial"/>
          <w:i/>
          <w:noProof/>
          <w:sz w:val="24"/>
          <w:szCs w:val="24"/>
          <w:lang w:eastAsia="ja-JP"/>
        </w:rPr>
        <w:t>Hotărârea Guvernului nr. 925/2018 privind aprobarea limitelor anuale, aferente anilor 2019, 2020 și 2021, pentru finanţările rambursabile care pot fi contractate şi pentru tragerile din finanţările rambursabile contractate sau care urmează a fi contractate de unităţile/subdiviziunile administrativ-teritoriale</w:t>
      </w:r>
      <w:r w:rsidRPr="004423E3">
        <w:rPr>
          <w:rFonts w:ascii="Arial" w:eastAsia="MS Mincho" w:hAnsi="Arial" w:cs="Arial"/>
          <w:noProof/>
          <w:sz w:val="24"/>
          <w:szCs w:val="24"/>
          <w:lang w:eastAsia="ja-JP"/>
        </w:rPr>
        <w:t xml:space="preserve">. </w:t>
      </w:r>
    </w:p>
    <w:p w:rsidR="004423E3" w:rsidRPr="004423E3" w:rsidRDefault="004423E3" w:rsidP="004423E3">
      <w:pPr>
        <w:suppressAutoHyphens/>
        <w:spacing w:before="100" w:beforeAutospacing="1" w:after="100" w:afterAutospacing="1" w:line="276" w:lineRule="auto"/>
        <w:ind w:firstLine="708"/>
        <w:rPr>
          <w:rFonts w:ascii="Arial" w:eastAsia="MS Mincho" w:hAnsi="Arial" w:cs="Arial"/>
          <w:noProof/>
          <w:sz w:val="24"/>
          <w:szCs w:val="24"/>
          <w:lang w:eastAsia="ja-JP"/>
        </w:rPr>
      </w:pPr>
      <w:r w:rsidRPr="004423E3">
        <w:rPr>
          <w:rFonts w:ascii="Arial" w:eastAsia="MS Mincho" w:hAnsi="Arial" w:cs="Arial"/>
          <w:noProof/>
          <w:sz w:val="24"/>
          <w:szCs w:val="24"/>
          <w:lang w:eastAsia="ja-JP"/>
        </w:rPr>
        <w:t xml:space="preserve">Finanțările rambursabile autorizate în semestrul I al anului 2019 pentru a fi contractate de unitățile/subdiviziunile administrativ-teritoriale pentru realizarea de </w:t>
      </w:r>
      <w:r w:rsidRPr="004423E3">
        <w:rPr>
          <w:rFonts w:ascii="Arial" w:eastAsia="MS Mincho" w:hAnsi="Arial" w:cs="Arial"/>
          <w:noProof/>
          <w:sz w:val="24"/>
          <w:szCs w:val="24"/>
          <w:lang w:eastAsia="ja-JP"/>
        </w:rPr>
        <w:lastRenderedPageBreak/>
        <w:t>investiții publice de interes local au fost în valoare de cca. 763,9 milioane lei, în limita plafonului de 1.200 milioane lei stabilit prin OUG nr. 14/2019. De asemenea, au fost autorizate finanțări rambursabile, în sumă totală de cca.314 milioane lei, pentru a fi contractate de unitățile/subdiviziunile administrativ-teritoriale în vederea prefinanțării și/sau cofinanțării de proiecte care beneficiază de fonduri externe nerambursabile de la Uniunea Europeană.</w:t>
      </w:r>
    </w:p>
    <w:p w:rsidR="004423E3" w:rsidRDefault="004423E3" w:rsidP="00C60107">
      <w:pPr>
        <w:suppressAutoHyphens/>
        <w:spacing w:before="100" w:beforeAutospacing="1" w:after="100" w:afterAutospacing="1" w:line="276" w:lineRule="auto"/>
        <w:ind w:firstLine="708"/>
        <w:rPr>
          <w:rFonts w:ascii="Arial" w:eastAsia="MS Mincho" w:hAnsi="Arial" w:cs="Arial"/>
          <w:noProof/>
          <w:sz w:val="24"/>
          <w:szCs w:val="24"/>
          <w:lang w:eastAsia="ja-JP"/>
        </w:rPr>
      </w:pPr>
      <w:r w:rsidRPr="004423E3">
        <w:rPr>
          <w:rFonts w:ascii="Arial" w:eastAsia="MS Mincho" w:hAnsi="Arial" w:cs="Arial"/>
          <w:noProof/>
          <w:sz w:val="24"/>
          <w:szCs w:val="24"/>
          <w:lang w:eastAsia="ja-JP"/>
        </w:rPr>
        <w:t>În semestrul I al anului 2019, a fost autorizată contractarea de către Municipiul București a unui împrumut</w:t>
      </w:r>
      <w:r w:rsidRPr="004423E3">
        <w:rPr>
          <w:rFonts w:ascii="Arial" w:eastAsia="Calibri" w:hAnsi="Arial" w:cs="Arial"/>
          <w:sz w:val="24"/>
          <w:szCs w:val="24"/>
          <w:lang w:eastAsia="ro-RO"/>
        </w:rPr>
        <w:t xml:space="preserve"> </w:t>
      </w:r>
      <w:r w:rsidRPr="004423E3">
        <w:rPr>
          <w:rFonts w:ascii="Arial" w:eastAsia="MS Mincho" w:hAnsi="Arial" w:cs="Arial"/>
          <w:noProof/>
          <w:sz w:val="24"/>
          <w:szCs w:val="24"/>
          <w:lang w:eastAsia="ja-JP"/>
        </w:rPr>
        <w:t xml:space="preserve">din venituri din privatizare, înregistrate în contul curent general al Trezoreriei Statului, în sumă de 462,7 milioane lei, pentru plata subvențiilor restante aferente furnizării energiei termice către populație, în baza art. I din </w:t>
      </w:r>
      <w:r w:rsidRPr="004423E3">
        <w:rPr>
          <w:rFonts w:ascii="Arial" w:eastAsia="MS Mincho" w:hAnsi="Arial" w:cs="Arial"/>
          <w:i/>
          <w:noProof/>
          <w:sz w:val="24"/>
          <w:szCs w:val="24"/>
          <w:lang w:eastAsia="ja-JP"/>
        </w:rPr>
        <w:t>Ordonanța de urgență a Guvernului nr. 35/2019 pentru adoptarea unor măsuri fiscal-bugetare privind acordarea unor împrumuturi din Trezoreria Statului şi pentru modificarea şi completarea unor acte normative</w:t>
      </w:r>
      <w:r w:rsidRPr="004423E3">
        <w:rPr>
          <w:rFonts w:ascii="Arial" w:eastAsia="MS Mincho" w:hAnsi="Arial" w:cs="Arial"/>
          <w:noProof/>
          <w:sz w:val="24"/>
          <w:szCs w:val="24"/>
          <w:lang w:eastAsia="ja-JP"/>
        </w:rPr>
        <w:t>.</w:t>
      </w:r>
    </w:p>
    <w:p w:rsidR="00C60107" w:rsidRDefault="00C60107" w:rsidP="004423E3">
      <w:pPr>
        <w:suppressAutoHyphens/>
        <w:spacing w:before="100" w:beforeAutospacing="1" w:after="100" w:afterAutospacing="1" w:line="276" w:lineRule="auto"/>
        <w:ind w:firstLine="0"/>
        <w:rPr>
          <w:rFonts w:ascii="Arial" w:eastAsia="MS Mincho" w:hAnsi="Arial" w:cs="Arial"/>
          <w:noProof/>
          <w:sz w:val="24"/>
          <w:szCs w:val="24"/>
          <w:lang w:eastAsia="ja-JP"/>
        </w:rPr>
      </w:pPr>
    </w:p>
    <w:p w:rsidR="007D49B8" w:rsidRDefault="00C60107"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r w:rsidRPr="00C60107">
        <w:rPr>
          <w:rFonts w:ascii="Arial" w:eastAsia="MS Mincho" w:hAnsi="Arial" w:cs="Arial"/>
          <w:b/>
          <w:noProof/>
          <w:sz w:val="24"/>
          <w:szCs w:val="24"/>
          <w:lang w:eastAsia="ja-JP"/>
        </w:rPr>
        <w:tab/>
      </w: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7D49B8" w:rsidRDefault="007D49B8" w:rsidP="00C60107">
      <w:pPr>
        <w:suppressAutoHyphens/>
        <w:spacing w:before="100" w:beforeAutospacing="1" w:after="100" w:afterAutospacing="1" w:line="276" w:lineRule="auto"/>
        <w:ind w:firstLine="0"/>
        <w:rPr>
          <w:rFonts w:ascii="Arial" w:eastAsia="MS Mincho" w:hAnsi="Arial" w:cs="Arial"/>
          <w:b/>
          <w:noProof/>
          <w:sz w:val="24"/>
          <w:szCs w:val="24"/>
          <w:lang w:eastAsia="ja-JP"/>
        </w:rPr>
      </w:pPr>
    </w:p>
    <w:p w:rsidR="00C60107" w:rsidRPr="00AB33F7" w:rsidRDefault="007D49B8" w:rsidP="00C43AD2">
      <w:pPr>
        <w:pStyle w:val="Heading1"/>
        <w:rPr>
          <w:rFonts w:ascii="Arial" w:eastAsia="MS Mincho" w:hAnsi="Arial" w:cs="Arial"/>
          <w:b/>
          <w:noProof/>
          <w:color w:val="auto"/>
          <w:sz w:val="28"/>
          <w:szCs w:val="28"/>
          <w:lang w:eastAsia="ja-JP"/>
        </w:rPr>
      </w:pPr>
      <w:bookmarkStart w:id="23" w:name="_Toc15024078"/>
      <w:r w:rsidRPr="00C43AD2">
        <w:rPr>
          <w:rFonts w:ascii="Arial" w:eastAsia="MS Mincho" w:hAnsi="Arial" w:cs="Arial"/>
          <w:b/>
          <w:noProof/>
          <w:color w:val="auto"/>
          <w:sz w:val="24"/>
          <w:szCs w:val="24"/>
          <w:lang w:eastAsia="ja-JP"/>
        </w:rPr>
        <w:lastRenderedPageBreak/>
        <w:t xml:space="preserve">V. </w:t>
      </w:r>
      <w:r w:rsidR="00C60107" w:rsidRPr="00AB33F7">
        <w:rPr>
          <w:rFonts w:ascii="Arial" w:eastAsia="MS Mincho" w:hAnsi="Arial" w:cs="Arial"/>
          <w:b/>
          <w:noProof/>
          <w:color w:val="auto"/>
          <w:sz w:val="28"/>
          <w:szCs w:val="28"/>
          <w:lang w:eastAsia="ja-JP"/>
        </w:rPr>
        <w:t>Absorbția fondurilor externe nerambursabile</w:t>
      </w:r>
      <w:bookmarkEnd w:id="23"/>
    </w:p>
    <w:p w:rsidR="00C60107" w:rsidRPr="00C60107" w:rsidRDefault="00C60107" w:rsidP="007D49B8">
      <w:pPr>
        <w:suppressAutoHyphens/>
        <w:spacing w:before="100" w:beforeAutospacing="1" w:after="100" w:afterAutospacing="1" w:line="276" w:lineRule="auto"/>
        <w:ind w:firstLine="708"/>
        <w:rPr>
          <w:rFonts w:ascii="Arial" w:eastAsia="MS Mincho" w:hAnsi="Arial" w:cs="Arial"/>
          <w:noProof/>
          <w:sz w:val="24"/>
          <w:szCs w:val="24"/>
          <w:lang w:eastAsia="ja-JP"/>
        </w:rPr>
      </w:pPr>
      <w:r w:rsidRPr="00C60107">
        <w:rPr>
          <w:rFonts w:ascii="Arial" w:eastAsia="MS Mincho" w:hAnsi="Arial" w:cs="Arial"/>
          <w:b/>
          <w:noProof/>
          <w:sz w:val="24"/>
          <w:szCs w:val="24"/>
          <w:lang w:eastAsia="ja-JP"/>
        </w:rPr>
        <w:t>Sumele primite de România de la bugetul UE</w:t>
      </w:r>
      <w:r w:rsidRPr="00C60107">
        <w:rPr>
          <w:rFonts w:ascii="Arial" w:eastAsia="MS Mincho" w:hAnsi="Arial" w:cs="Arial"/>
          <w:noProof/>
          <w:sz w:val="24"/>
          <w:szCs w:val="24"/>
          <w:lang w:eastAsia="ja-JP"/>
        </w:rPr>
        <w:t xml:space="preserve">, în primul semestru al anului 2019, sunt în sumă de 3.526,88 milioane euro. </w:t>
      </w:r>
    </w:p>
    <w:p w:rsidR="00C60107" w:rsidRPr="00C60107" w:rsidRDefault="00C60107" w:rsidP="007D49B8">
      <w:pPr>
        <w:suppressAutoHyphens/>
        <w:spacing w:before="100" w:beforeAutospacing="1" w:after="100" w:afterAutospacing="1" w:line="276" w:lineRule="auto"/>
        <w:ind w:firstLine="708"/>
        <w:rPr>
          <w:rFonts w:ascii="Arial" w:eastAsia="MS Mincho" w:hAnsi="Arial" w:cs="Arial"/>
          <w:noProof/>
          <w:sz w:val="24"/>
          <w:szCs w:val="24"/>
          <w:lang w:eastAsia="ja-JP"/>
        </w:rPr>
      </w:pPr>
      <w:r w:rsidRPr="00C60107">
        <w:rPr>
          <w:rFonts w:ascii="Arial" w:eastAsia="MS Mincho" w:hAnsi="Arial" w:cs="Arial"/>
          <w:noProof/>
          <w:sz w:val="24"/>
          <w:szCs w:val="24"/>
          <w:lang w:eastAsia="ja-JP"/>
        </w:rPr>
        <w:t xml:space="preserve">Avansurile primite din CFM 2014-2020 în primele 6 luni ale anului 2019 sunt </w:t>
      </w:r>
      <w:r w:rsidR="000E6911">
        <w:rPr>
          <w:rFonts w:ascii="Arial" w:eastAsia="MS Mincho" w:hAnsi="Arial" w:cs="Arial"/>
          <w:noProof/>
          <w:sz w:val="24"/>
          <w:szCs w:val="24"/>
          <w:lang w:eastAsia="ja-JP"/>
        </w:rPr>
        <w:t xml:space="preserve">în sumă </w:t>
      </w:r>
      <w:r w:rsidRPr="00C60107">
        <w:rPr>
          <w:rFonts w:ascii="Arial" w:eastAsia="MS Mincho" w:hAnsi="Arial" w:cs="Arial"/>
          <w:noProof/>
          <w:sz w:val="24"/>
          <w:szCs w:val="24"/>
          <w:lang w:eastAsia="ja-JP"/>
        </w:rPr>
        <w:t xml:space="preserve">de 282,86 milioane euro (90,09%), iar rambursările (inclusiv sumele primite din FEGA) sunt </w:t>
      </w:r>
      <w:r w:rsidR="000E6911">
        <w:rPr>
          <w:rFonts w:ascii="Arial" w:eastAsia="MS Mincho" w:hAnsi="Arial" w:cs="Arial"/>
          <w:noProof/>
          <w:sz w:val="24"/>
          <w:szCs w:val="24"/>
          <w:lang w:eastAsia="ja-JP"/>
        </w:rPr>
        <w:t xml:space="preserve">în sumă </w:t>
      </w:r>
      <w:r w:rsidRPr="00C60107">
        <w:rPr>
          <w:rFonts w:ascii="Arial" w:eastAsia="MS Mincho" w:hAnsi="Arial" w:cs="Arial"/>
          <w:noProof/>
          <w:sz w:val="24"/>
          <w:szCs w:val="24"/>
          <w:lang w:eastAsia="ja-JP"/>
        </w:rPr>
        <w:t>de 3.209,32 milioane euro (47,90%).</w:t>
      </w:r>
    </w:p>
    <w:p w:rsidR="00C60107" w:rsidRPr="00C60107" w:rsidRDefault="00C60107" w:rsidP="007D49B8">
      <w:pPr>
        <w:suppressAutoHyphens/>
        <w:spacing w:before="100" w:beforeAutospacing="1" w:after="100" w:afterAutospacing="1" w:line="276" w:lineRule="auto"/>
        <w:ind w:firstLine="708"/>
        <w:rPr>
          <w:rFonts w:ascii="Arial" w:eastAsia="MS Mincho" w:hAnsi="Arial" w:cs="Arial"/>
          <w:noProof/>
          <w:sz w:val="24"/>
          <w:szCs w:val="24"/>
          <w:lang w:eastAsia="ja-JP"/>
        </w:rPr>
      </w:pPr>
      <w:r w:rsidRPr="00C60107">
        <w:rPr>
          <w:rFonts w:ascii="Arial" w:eastAsia="MS Mincho" w:hAnsi="Arial" w:cs="Arial"/>
          <w:noProof/>
          <w:sz w:val="24"/>
          <w:szCs w:val="24"/>
          <w:lang w:eastAsia="ja-JP"/>
        </w:rPr>
        <w:t xml:space="preserve">Din punct de vedere al absorbţiei, cele mai bune rezultate au fost înregistrate de FEGA prin intermediul căruia au fost atrase 1.702,93 milioane euro (82,87%), urmată de fondurile structurale și de coeziune (FSC) cu 1.285,30 milioane euro (38,79%). </w:t>
      </w:r>
    </w:p>
    <w:p w:rsidR="00C60107" w:rsidRPr="004423E3" w:rsidRDefault="00C60107" w:rsidP="007D49B8">
      <w:pPr>
        <w:suppressAutoHyphens/>
        <w:spacing w:before="100" w:beforeAutospacing="1" w:after="100" w:afterAutospacing="1" w:line="276" w:lineRule="auto"/>
        <w:ind w:firstLine="708"/>
        <w:rPr>
          <w:rFonts w:ascii="Arial" w:eastAsia="MS Mincho" w:hAnsi="Arial" w:cs="Arial"/>
          <w:noProof/>
          <w:sz w:val="24"/>
          <w:szCs w:val="24"/>
          <w:lang w:eastAsia="ja-JP"/>
        </w:rPr>
      </w:pPr>
      <w:r w:rsidRPr="00C60107">
        <w:rPr>
          <w:rFonts w:ascii="Arial" w:eastAsia="MS Mincho" w:hAnsi="Arial" w:cs="Arial"/>
          <w:noProof/>
          <w:sz w:val="24"/>
          <w:szCs w:val="24"/>
          <w:lang w:eastAsia="ja-JP"/>
        </w:rPr>
        <w:t>În ceea ce privește încasările cumulate din ambele CFM, fonduri structurale și de coeziune – FSC se situează pe primul loc cu 22.672,52 milioane euro, urmate de plățile directe către fermieri, acordate din Fondul European pentru Garantare Agricolă - FEGA cu 14.143,81 milioane euro.</w:t>
      </w:r>
    </w:p>
    <w:p w:rsidR="004423E3" w:rsidRDefault="007C4F03" w:rsidP="004423E3">
      <w:pPr>
        <w:keepNext/>
        <w:keepLines/>
        <w:ind w:firstLine="426"/>
        <w:rPr>
          <w:rFonts w:cs="Arial"/>
          <w:sz w:val="24"/>
          <w:szCs w:val="24"/>
        </w:rPr>
      </w:pPr>
      <w:r w:rsidRPr="00857E54">
        <w:rPr>
          <w:rFonts w:cs="Arial"/>
          <w:sz w:val="24"/>
          <w:szCs w:val="24"/>
        </w:rPr>
        <w:tab/>
      </w:r>
      <w:bookmarkStart w:id="24" w:name="_Toc425320862"/>
      <w:bookmarkStart w:id="25" w:name="_Toc456256938"/>
      <w:bookmarkStart w:id="26" w:name="_Toc456257462"/>
      <w:bookmarkStart w:id="27" w:name="_Toc456258320"/>
      <w:bookmarkStart w:id="28" w:name="_Toc456258425"/>
    </w:p>
    <w:tbl>
      <w:tblPr>
        <w:tblW w:w="8898" w:type="dxa"/>
        <w:tblLook w:val="04A0" w:firstRow="1" w:lastRow="0" w:firstColumn="1" w:lastColumn="0" w:noHBand="0" w:noVBand="1"/>
      </w:tblPr>
      <w:tblGrid>
        <w:gridCol w:w="4950"/>
        <w:gridCol w:w="927"/>
        <w:gridCol w:w="917"/>
        <w:gridCol w:w="927"/>
        <w:gridCol w:w="1171"/>
        <w:gridCol w:w="6"/>
      </w:tblGrid>
      <w:tr w:rsidR="00C60107" w:rsidRPr="00A90310" w:rsidTr="00C43AD2">
        <w:trPr>
          <w:gridAfter w:val="1"/>
          <w:wAfter w:w="6" w:type="dxa"/>
          <w:trHeight w:val="480"/>
        </w:trPr>
        <w:tc>
          <w:tcPr>
            <w:tcW w:w="8892" w:type="dxa"/>
            <w:gridSpan w:val="5"/>
            <w:tcBorders>
              <w:top w:val="nil"/>
              <w:left w:val="nil"/>
              <w:bottom w:val="nil"/>
              <w:right w:val="nil"/>
            </w:tcBorders>
            <w:shd w:val="clear" w:color="000000" w:fill="FFFFFF"/>
            <w:vAlign w:val="center"/>
            <w:hideMark/>
          </w:tcPr>
          <w:p w:rsidR="00C60107" w:rsidRPr="000E6911" w:rsidRDefault="00C60107" w:rsidP="00C43AD2">
            <w:pPr>
              <w:spacing w:after="0"/>
              <w:ind w:firstLine="0"/>
              <w:jc w:val="center"/>
              <w:rPr>
                <w:rFonts w:ascii="Arial" w:eastAsia="Times New Roman" w:hAnsi="Arial" w:cs="Arial"/>
                <w:b/>
                <w:bCs/>
                <w:sz w:val="24"/>
                <w:szCs w:val="24"/>
                <w:lang w:val="en-US"/>
              </w:rPr>
            </w:pPr>
            <w:r w:rsidRPr="000E6911">
              <w:rPr>
                <w:rFonts w:ascii="Arial" w:eastAsia="Times New Roman" w:hAnsi="Arial" w:cs="Arial"/>
                <w:b/>
                <w:bCs/>
                <w:sz w:val="24"/>
                <w:szCs w:val="24"/>
                <w:lang w:val="en-US"/>
              </w:rPr>
              <w:t>Evoluţia fluxurilor financiare dintre România şi Uniunea Europeană</w:t>
            </w:r>
          </w:p>
        </w:tc>
      </w:tr>
      <w:tr w:rsidR="00C60107" w:rsidRPr="00A90310" w:rsidTr="00C43AD2">
        <w:trPr>
          <w:gridAfter w:val="1"/>
          <w:wAfter w:w="6" w:type="dxa"/>
          <w:trHeight w:val="300"/>
        </w:trPr>
        <w:tc>
          <w:tcPr>
            <w:tcW w:w="8892" w:type="dxa"/>
            <w:gridSpan w:val="5"/>
            <w:tcBorders>
              <w:top w:val="nil"/>
              <w:left w:val="nil"/>
              <w:bottom w:val="nil"/>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 BALANŢA FINANCIARĂ NETĂ)</w:t>
            </w:r>
          </w:p>
        </w:tc>
      </w:tr>
      <w:tr w:rsidR="00C60107" w:rsidRPr="00A90310" w:rsidTr="00C43AD2">
        <w:trPr>
          <w:gridAfter w:val="1"/>
          <w:wAfter w:w="6" w:type="dxa"/>
          <w:trHeight w:val="300"/>
        </w:trPr>
        <w:tc>
          <w:tcPr>
            <w:tcW w:w="8892" w:type="dxa"/>
            <w:gridSpan w:val="5"/>
            <w:tcBorders>
              <w:top w:val="nil"/>
              <w:left w:val="nil"/>
              <w:bottom w:val="nil"/>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la 30.06.2019</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Sume primite în CFM</w:t>
            </w:r>
            <w:r w:rsidRPr="00A90310">
              <w:rPr>
                <w:rFonts w:ascii="Arial" w:eastAsia="Times New Roman" w:hAnsi="Arial" w:cs="Arial"/>
                <w:b/>
                <w:bCs/>
                <w:sz w:val="18"/>
                <w:szCs w:val="18"/>
                <w:vertAlign w:val="superscript"/>
                <w:lang w:val="en-US"/>
              </w:rPr>
              <w:t>*)</w:t>
            </w:r>
            <w:r w:rsidRPr="00A90310">
              <w:rPr>
                <w:rFonts w:ascii="Arial" w:eastAsia="Times New Roman" w:hAnsi="Arial" w:cs="Arial"/>
                <w:b/>
                <w:bCs/>
                <w:sz w:val="18"/>
                <w:szCs w:val="18"/>
                <w:lang w:val="en-US"/>
              </w:rPr>
              <w:t xml:space="preserve"> 2007-2013</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r>
      <w:tr w:rsidR="00C60107" w:rsidRPr="00A90310" w:rsidTr="00C43AD2">
        <w:trPr>
          <w:trHeight w:val="1635"/>
        </w:trPr>
        <w:tc>
          <w:tcPr>
            <w:tcW w:w="4950"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Denumire</w:t>
            </w:r>
          </w:p>
        </w:tc>
        <w:tc>
          <w:tcPr>
            <w:tcW w:w="927"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Estimări 2019</w:t>
            </w:r>
          </w:p>
        </w:tc>
        <w:tc>
          <w:tcPr>
            <w:tcW w:w="1844" w:type="dxa"/>
            <w:gridSpan w:val="2"/>
            <w:tcBorders>
              <w:top w:val="double" w:sz="6" w:space="0" w:color="auto"/>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2019        (execuţia la 30.06.2019)</w:t>
            </w:r>
          </w:p>
        </w:tc>
        <w:tc>
          <w:tcPr>
            <w:tcW w:w="1177" w:type="dxa"/>
            <w:gridSpan w:val="2"/>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2007-2019 (execuţia la 30.06.2019)</w:t>
            </w:r>
          </w:p>
        </w:tc>
      </w:tr>
      <w:tr w:rsidR="00C60107" w:rsidRPr="00A90310" w:rsidTr="00C43AD2">
        <w:trPr>
          <w:trHeight w:val="28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1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w:t>
            </w:r>
          </w:p>
        </w:tc>
        <w:tc>
          <w:tcPr>
            <w:tcW w:w="1177" w:type="dxa"/>
            <w:gridSpan w:val="2"/>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r>
      <w:tr w:rsidR="00C60107" w:rsidRPr="00A90310" w:rsidTr="00C43AD2">
        <w:trPr>
          <w:trHeight w:val="435"/>
        </w:trPr>
        <w:tc>
          <w:tcPr>
            <w:tcW w:w="4950"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I. SUME PRIMITE DE LA BUGETUL UE </w:t>
            </w:r>
            <w:r w:rsidRPr="00A90310">
              <w:rPr>
                <w:rFonts w:ascii="Arial" w:eastAsia="Times New Roman" w:hAnsi="Arial" w:cs="Arial"/>
                <w:sz w:val="18"/>
                <w:szCs w:val="18"/>
                <w:lang w:val="en-US"/>
              </w:rPr>
              <w:t>(A+B)</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34,71</w:t>
            </w:r>
          </w:p>
        </w:tc>
        <w:tc>
          <w:tcPr>
            <w:tcW w:w="91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34,71</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100,00%</w:t>
            </w:r>
          </w:p>
        </w:tc>
        <w:tc>
          <w:tcPr>
            <w:tcW w:w="1177" w:type="dxa"/>
            <w:gridSpan w:val="2"/>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37.107,37</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A. Fonduri de pre-aderare</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26,19</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26,19</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100,00%</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2.744,39</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 xml:space="preserve">B. Fonduri post-aderare, </w:t>
            </w:r>
            <w:r w:rsidRPr="00A90310">
              <w:rPr>
                <w:rFonts w:ascii="Arial" w:eastAsia="Times New Roman" w:hAnsi="Arial" w:cs="Arial"/>
                <w:i/>
                <w:iCs/>
                <w:sz w:val="18"/>
                <w:szCs w:val="18"/>
                <w:lang w:val="en-US"/>
              </w:rPr>
              <w:t xml:space="preserve">din care: </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8,52</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8,52</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100,00%</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34.362,98</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 xml:space="preserve">i) </w:t>
            </w:r>
            <w:r w:rsidRPr="00A90310">
              <w:rPr>
                <w:rFonts w:ascii="Arial" w:eastAsia="Times New Roman" w:hAnsi="Arial" w:cs="Arial"/>
                <w:sz w:val="18"/>
                <w:szCs w:val="18"/>
                <w:lang w:val="en-US"/>
              </w:rPr>
              <w:t xml:space="preserve">Avansuri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4.217,08</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ii)</w:t>
            </w:r>
            <w:r w:rsidRPr="00A90310">
              <w:rPr>
                <w:rFonts w:ascii="Arial" w:eastAsia="Times New Roman" w:hAnsi="Arial" w:cs="Arial"/>
                <w:b/>
                <w:bCs/>
                <w:sz w:val="18"/>
                <w:szCs w:val="18"/>
                <w:lang w:val="en-US"/>
              </w:rPr>
              <w:t xml:space="preserve"> </w:t>
            </w:r>
            <w:r w:rsidRPr="00A90310">
              <w:rPr>
                <w:rFonts w:ascii="Arial" w:eastAsia="Times New Roman" w:hAnsi="Arial" w:cs="Arial"/>
                <w:sz w:val="18"/>
                <w:szCs w:val="18"/>
                <w:lang w:val="en-US"/>
              </w:rPr>
              <w:t>Rambursari (inclusiv FEGA)</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8,51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8,51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30.145,90</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B1. Fonduri structurale si de coeziune (FSC), </w:t>
            </w:r>
            <w:r w:rsidRPr="00A90310">
              <w:rPr>
                <w:rFonts w:ascii="Arial" w:eastAsia="Times New Roman" w:hAnsi="Arial" w:cs="Arial"/>
                <w:sz w:val="18"/>
                <w:szCs w:val="18"/>
                <w:lang w:val="en-US"/>
              </w:rPr>
              <w:t>din care:</w:t>
            </w:r>
            <w:r w:rsidRPr="00A90310">
              <w:rPr>
                <w:rFonts w:ascii="Arial" w:eastAsia="Times New Roman" w:hAnsi="Arial" w:cs="Arial"/>
                <w:b/>
                <w:bCs/>
                <w:sz w:val="18"/>
                <w:szCs w:val="18"/>
                <w:lang w:val="en-US"/>
              </w:rPr>
              <w:t xml:space="preserve">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8,51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8,51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17.262,77</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a)</w:t>
            </w:r>
            <w:r w:rsidRPr="00A90310">
              <w:rPr>
                <w:rFonts w:ascii="Arial" w:eastAsia="Times New Roman" w:hAnsi="Arial" w:cs="Arial"/>
                <w:sz w:val="18"/>
                <w:szCs w:val="18"/>
                <w:lang w:val="en-US"/>
              </w:rPr>
              <w:t xml:space="preserve"> Avansuri din FSC</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2.125,81</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b)</w:t>
            </w:r>
            <w:r w:rsidRPr="00A90310">
              <w:rPr>
                <w:rFonts w:ascii="Arial" w:eastAsia="Times New Roman" w:hAnsi="Arial" w:cs="Arial"/>
                <w:sz w:val="18"/>
                <w:szCs w:val="18"/>
                <w:lang w:val="en-US"/>
              </w:rPr>
              <w:t xml:space="preserve"> Rambursari din FSC</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8,51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8,51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15.136,96</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B2. Fonduri pentru dezvoltare rurala si pescuit (FEADR+FEP), </w:t>
            </w:r>
            <w:r w:rsidRPr="00A90310">
              <w:rPr>
                <w:rFonts w:ascii="Arial" w:eastAsia="Times New Roman" w:hAnsi="Arial" w:cs="Arial"/>
                <w:sz w:val="18"/>
                <w:szCs w:val="18"/>
                <w:lang w:val="en-US"/>
              </w:rPr>
              <w:t xml:space="preserve">din care: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7.734,02</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lastRenderedPageBreak/>
              <w:t>a)</w:t>
            </w:r>
            <w:r w:rsidRPr="00A90310">
              <w:rPr>
                <w:rFonts w:ascii="Arial" w:eastAsia="Times New Roman" w:hAnsi="Arial" w:cs="Arial"/>
                <w:sz w:val="18"/>
                <w:szCs w:val="18"/>
                <w:lang w:val="en-US"/>
              </w:rPr>
              <w:t xml:space="preserve"> Avansuri (FEADR+FEP)</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593,88</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b)</w:t>
            </w:r>
            <w:r w:rsidRPr="00A90310">
              <w:rPr>
                <w:rFonts w:ascii="Arial" w:eastAsia="Times New Roman" w:hAnsi="Arial" w:cs="Arial"/>
                <w:sz w:val="18"/>
                <w:szCs w:val="18"/>
                <w:lang w:val="en-US"/>
              </w:rPr>
              <w:t xml:space="preserve"> Rambursari  (FEADR+FEP)</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7.140,15</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B3. Fondul European pentru Garantare Agricola (FEGA)</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7.658,82</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B4. Altele (post-aderare), </w:t>
            </w:r>
            <w:r w:rsidRPr="00A90310">
              <w:rPr>
                <w:rFonts w:ascii="Arial" w:eastAsia="Times New Roman" w:hAnsi="Arial" w:cs="Arial"/>
                <w:sz w:val="18"/>
                <w:szCs w:val="18"/>
                <w:lang w:val="en-US"/>
              </w:rPr>
              <w:t xml:space="preserve">din care: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0,01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1.707,37</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 xml:space="preserve">a) </w:t>
            </w:r>
            <w:r w:rsidRPr="00A90310">
              <w:rPr>
                <w:rFonts w:ascii="Arial" w:eastAsia="Times New Roman" w:hAnsi="Arial" w:cs="Arial"/>
                <w:sz w:val="18"/>
                <w:szCs w:val="18"/>
                <w:lang w:val="en-US"/>
              </w:rPr>
              <w:t xml:space="preserve">Avansuri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1.497,40</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b)</w:t>
            </w:r>
            <w:r w:rsidRPr="00A90310">
              <w:rPr>
                <w:rFonts w:ascii="Arial" w:eastAsia="Times New Roman" w:hAnsi="Arial" w:cs="Arial"/>
                <w:b/>
                <w:bCs/>
                <w:sz w:val="18"/>
                <w:szCs w:val="18"/>
                <w:lang w:val="en-US"/>
              </w:rPr>
              <w:t xml:space="preserve"> </w:t>
            </w:r>
            <w:r w:rsidRPr="00A90310">
              <w:rPr>
                <w:rFonts w:ascii="Arial" w:eastAsia="Times New Roman" w:hAnsi="Arial" w:cs="Arial"/>
                <w:sz w:val="18"/>
                <w:szCs w:val="18"/>
                <w:lang w:val="en-US"/>
              </w:rPr>
              <w:t>Rambursari</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1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0,00%</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209,97</w:t>
            </w:r>
          </w:p>
        </w:tc>
      </w:tr>
      <w:tr w:rsidR="00C60107" w:rsidRPr="00A90310" w:rsidTr="00C43AD2">
        <w:trPr>
          <w:trHeight w:val="435"/>
        </w:trPr>
        <w:tc>
          <w:tcPr>
            <w:tcW w:w="4950" w:type="dxa"/>
            <w:vMerge w:val="restart"/>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 </w:t>
            </w:r>
          </w:p>
        </w:tc>
        <w:tc>
          <w:tcPr>
            <w:tcW w:w="927" w:type="dxa"/>
            <w:vMerge w:val="restart"/>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vMerge w:val="restart"/>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vMerge w:val="restart"/>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vMerge w:val="restart"/>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r>
      <w:tr w:rsidR="00C60107" w:rsidRPr="00A90310" w:rsidTr="00C43AD2">
        <w:trPr>
          <w:trHeight w:val="435"/>
        </w:trPr>
        <w:tc>
          <w:tcPr>
            <w:tcW w:w="4950" w:type="dxa"/>
            <w:vMerge/>
            <w:tcBorders>
              <w:top w:val="nil"/>
              <w:left w:val="nil"/>
              <w:bottom w:val="nil"/>
              <w:right w:val="nil"/>
            </w:tcBorders>
            <w:vAlign w:val="center"/>
            <w:hideMark/>
          </w:tcPr>
          <w:p w:rsidR="00C60107" w:rsidRPr="00A90310" w:rsidRDefault="00C60107" w:rsidP="00C43AD2">
            <w:pPr>
              <w:spacing w:after="0"/>
              <w:ind w:firstLine="0"/>
              <w:jc w:val="left"/>
              <w:rPr>
                <w:rFonts w:ascii="Arial" w:eastAsia="Times New Roman" w:hAnsi="Arial" w:cs="Arial"/>
                <w:sz w:val="18"/>
                <w:szCs w:val="18"/>
                <w:lang w:val="en-US"/>
              </w:rPr>
            </w:pPr>
          </w:p>
        </w:tc>
        <w:tc>
          <w:tcPr>
            <w:tcW w:w="927" w:type="dxa"/>
            <w:vMerge/>
            <w:tcBorders>
              <w:top w:val="nil"/>
              <w:left w:val="nil"/>
              <w:bottom w:val="nil"/>
              <w:right w:val="nil"/>
            </w:tcBorders>
            <w:vAlign w:val="center"/>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p>
        </w:tc>
        <w:tc>
          <w:tcPr>
            <w:tcW w:w="917" w:type="dxa"/>
            <w:vMerge/>
            <w:tcBorders>
              <w:top w:val="nil"/>
              <w:left w:val="nil"/>
              <w:bottom w:val="nil"/>
              <w:right w:val="nil"/>
            </w:tcBorders>
            <w:vAlign w:val="center"/>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p>
        </w:tc>
        <w:tc>
          <w:tcPr>
            <w:tcW w:w="927" w:type="dxa"/>
            <w:vMerge/>
            <w:tcBorders>
              <w:top w:val="nil"/>
              <w:left w:val="nil"/>
              <w:bottom w:val="nil"/>
              <w:right w:val="nil"/>
            </w:tcBorders>
            <w:vAlign w:val="center"/>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p>
        </w:tc>
        <w:tc>
          <w:tcPr>
            <w:tcW w:w="1177" w:type="dxa"/>
            <w:gridSpan w:val="2"/>
            <w:vMerge/>
            <w:tcBorders>
              <w:top w:val="nil"/>
              <w:left w:val="nil"/>
              <w:bottom w:val="nil"/>
              <w:right w:val="nil"/>
            </w:tcBorders>
            <w:vAlign w:val="center"/>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Sume primite în CFM 2014-2020</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r>
      <w:tr w:rsidR="00C60107" w:rsidRPr="00A90310" w:rsidTr="00C43AD2">
        <w:trPr>
          <w:trHeight w:val="1425"/>
        </w:trPr>
        <w:tc>
          <w:tcPr>
            <w:tcW w:w="4950"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Denumire</w:t>
            </w:r>
          </w:p>
        </w:tc>
        <w:tc>
          <w:tcPr>
            <w:tcW w:w="927"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Estimări 2019</w:t>
            </w:r>
          </w:p>
        </w:tc>
        <w:tc>
          <w:tcPr>
            <w:tcW w:w="1844" w:type="dxa"/>
            <w:gridSpan w:val="2"/>
            <w:tcBorders>
              <w:top w:val="double" w:sz="6" w:space="0" w:color="auto"/>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2019        (execuţia la 30.06.2019)</w:t>
            </w:r>
          </w:p>
        </w:tc>
        <w:tc>
          <w:tcPr>
            <w:tcW w:w="1177" w:type="dxa"/>
            <w:gridSpan w:val="2"/>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2007-2019 (execuţia la 30.06.2019)</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1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w:t>
            </w:r>
          </w:p>
        </w:tc>
        <w:tc>
          <w:tcPr>
            <w:tcW w:w="1177" w:type="dxa"/>
            <w:gridSpan w:val="2"/>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r>
      <w:tr w:rsidR="00C60107" w:rsidRPr="00A90310" w:rsidTr="00C43AD2">
        <w:trPr>
          <w:trHeight w:val="435"/>
        </w:trPr>
        <w:tc>
          <w:tcPr>
            <w:tcW w:w="4950"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I. SUME PRIMITE DE LA BUGETUL UE </w:t>
            </w:r>
            <w:r w:rsidRPr="00A90310">
              <w:rPr>
                <w:rFonts w:ascii="Arial" w:eastAsia="Times New Roman" w:hAnsi="Arial" w:cs="Arial"/>
                <w:sz w:val="18"/>
                <w:szCs w:val="18"/>
                <w:lang w:val="en-US"/>
              </w:rPr>
              <w:t>(A+B+C+D)</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7.014,68</w:t>
            </w:r>
          </w:p>
        </w:tc>
        <w:tc>
          <w:tcPr>
            <w:tcW w:w="91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3.492,18</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49,78%</w:t>
            </w:r>
          </w:p>
        </w:tc>
        <w:tc>
          <w:tcPr>
            <w:tcW w:w="1177" w:type="dxa"/>
            <w:gridSpan w:val="2"/>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16.549,85</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 xml:space="preserve">i) </w:t>
            </w:r>
            <w:r w:rsidRPr="00A90310">
              <w:rPr>
                <w:rFonts w:ascii="Arial" w:eastAsia="Times New Roman" w:hAnsi="Arial" w:cs="Arial"/>
                <w:sz w:val="18"/>
                <w:szCs w:val="18"/>
                <w:lang w:val="en-US"/>
              </w:rPr>
              <w:t xml:space="preserve">Avansuri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313,98</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282,86</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90,09%</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2.220,01</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ii)</w:t>
            </w:r>
            <w:r w:rsidRPr="00A90310">
              <w:rPr>
                <w:rFonts w:ascii="Arial" w:eastAsia="Times New Roman" w:hAnsi="Arial" w:cs="Arial"/>
                <w:b/>
                <w:bCs/>
                <w:sz w:val="18"/>
                <w:szCs w:val="18"/>
                <w:lang w:val="en-US"/>
              </w:rPr>
              <w:t xml:space="preserve"> </w:t>
            </w:r>
            <w:r w:rsidRPr="00A90310">
              <w:rPr>
                <w:rFonts w:ascii="Arial" w:eastAsia="Times New Roman" w:hAnsi="Arial" w:cs="Arial"/>
                <w:sz w:val="18"/>
                <w:szCs w:val="18"/>
                <w:lang w:val="en-US"/>
              </w:rPr>
              <w:t>Rambursari (inclusiv FEGA)</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6.700,70</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3.209,32</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47,90%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14.329,84</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A. Fonduri structurale si de coeziune (FSC), </w:t>
            </w:r>
            <w:r w:rsidRPr="00A90310">
              <w:rPr>
                <w:rFonts w:ascii="Arial" w:eastAsia="Times New Roman" w:hAnsi="Arial" w:cs="Arial"/>
                <w:sz w:val="18"/>
                <w:szCs w:val="18"/>
                <w:lang w:val="en-US"/>
              </w:rPr>
              <w:t>din care:</w:t>
            </w:r>
            <w:r w:rsidRPr="00A90310">
              <w:rPr>
                <w:rFonts w:ascii="Arial" w:eastAsia="Times New Roman" w:hAnsi="Arial" w:cs="Arial"/>
                <w:b/>
                <w:bCs/>
                <w:sz w:val="18"/>
                <w:szCs w:val="18"/>
                <w:lang w:val="en-US"/>
              </w:rPr>
              <w:t xml:space="preserve"> </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3.313,45</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1.285,30</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38,79%</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5.409,75</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a)</w:t>
            </w:r>
            <w:r w:rsidRPr="00A90310">
              <w:rPr>
                <w:rFonts w:ascii="Arial" w:eastAsia="Times New Roman" w:hAnsi="Arial" w:cs="Arial"/>
                <w:sz w:val="18"/>
                <w:szCs w:val="18"/>
                <w:lang w:val="en-US"/>
              </w:rPr>
              <w:t xml:space="preserve"> Avansuri din FSC</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283,47</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272,34</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96,07%</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1.814,41</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b)</w:t>
            </w:r>
            <w:r w:rsidRPr="00A90310">
              <w:rPr>
                <w:rFonts w:ascii="Arial" w:eastAsia="Times New Roman" w:hAnsi="Arial" w:cs="Arial"/>
                <w:sz w:val="18"/>
                <w:szCs w:val="18"/>
                <w:lang w:val="en-US"/>
              </w:rPr>
              <w:t xml:space="preserve"> Rambursari din FSC</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3.029,98</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1.012,96</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33,43%</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3.595,34</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B. Fonduri pentru dezvoltare rurala si pescuit (FEADR+FEPAM), </w:t>
            </w:r>
            <w:r w:rsidRPr="00A90310">
              <w:rPr>
                <w:rFonts w:ascii="Arial" w:eastAsia="Times New Roman" w:hAnsi="Arial" w:cs="Arial"/>
                <w:sz w:val="18"/>
                <w:szCs w:val="18"/>
                <w:lang w:val="en-US"/>
              </w:rPr>
              <w:t>din care:</w:t>
            </w:r>
            <w:r w:rsidRPr="00A90310">
              <w:rPr>
                <w:rFonts w:ascii="Arial" w:eastAsia="Times New Roman" w:hAnsi="Arial" w:cs="Arial"/>
                <w:b/>
                <w:bCs/>
                <w:sz w:val="18"/>
                <w:szCs w:val="18"/>
                <w:lang w:val="en-US"/>
              </w:rPr>
              <w:t xml:space="preserve"> </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1.452,90</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406,47</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27,98%</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3.812,06</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a)</w:t>
            </w:r>
            <w:r w:rsidRPr="00A90310">
              <w:rPr>
                <w:rFonts w:ascii="Arial" w:eastAsia="Times New Roman" w:hAnsi="Arial" w:cs="Arial"/>
                <w:sz w:val="18"/>
                <w:szCs w:val="18"/>
                <w:lang w:val="en-US"/>
              </w:rPr>
              <w:t xml:space="preserve"> Avansuri (FEADR+FEPAM)</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1,86</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1,86</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337,67</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b)</w:t>
            </w:r>
            <w:r w:rsidRPr="00A90310">
              <w:rPr>
                <w:rFonts w:ascii="Arial" w:eastAsia="Times New Roman" w:hAnsi="Arial" w:cs="Arial"/>
                <w:sz w:val="18"/>
                <w:szCs w:val="18"/>
                <w:lang w:val="en-US"/>
              </w:rPr>
              <w:t xml:space="preserve"> Rambursari  (FEADR+FEPAM)</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1.451,04</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404,61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27,88%</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3.474,39</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C. Fondul European pentru Garantare Agricola (FEGA)</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2.055,05</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1.702,93</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82,87%</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6.484,99</w:t>
            </w:r>
          </w:p>
        </w:tc>
      </w:tr>
      <w:tr w:rsidR="00C60107" w:rsidRPr="00A90310" w:rsidTr="00C43AD2">
        <w:trPr>
          <w:trHeight w:val="435"/>
        </w:trPr>
        <w:tc>
          <w:tcPr>
            <w:tcW w:w="4950" w:type="dxa"/>
            <w:tcBorders>
              <w:top w:val="nil"/>
              <w:left w:val="nil"/>
              <w:bottom w:val="nil"/>
              <w:right w:val="nil"/>
            </w:tcBorders>
            <w:shd w:val="clear" w:color="000000" w:fill="E2EFDA"/>
            <w:vAlign w:val="center"/>
            <w:hideMark/>
          </w:tcPr>
          <w:p w:rsidR="00C60107" w:rsidRPr="00A90310" w:rsidRDefault="00C60107" w:rsidP="00C43AD2">
            <w:pPr>
              <w:spacing w:after="0"/>
              <w:ind w:firstLineChars="100" w:firstLine="18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D. Altele (post-aderare), </w:t>
            </w:r>
            <w:r w:rsidRPr="00A90310">
              <w:rPr>
                <w:rFonts w:ascii="Arial" w:eastAsia="Times New Roman" w:hAnsi="Arial" w:cs="Arial"/>
                <w:sz w:val="18"/>
                <w:szCs w:val="18"/>
                <w:lang w:val="en-US"/>
              </w:rPr>
              <w:t xml:space="preserve">din care: </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193,28</w:t>
            </w:r>
          </w:p>
        </w:tc>
        <w:tc>
          <w:tcPr>
            <w:tcW w:w="91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97,48</w:t>
            </w:r>
          </w:p>
        </w:tc>
        <w:tc>
          <w:tcPr>
            <w:tcW w:w="927" w:type="dxa"/>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50,43%</w:t>
            </w:r>
          </w:p>
        </w:tc>
        <w:tc>
          <w:tcPr>
            <w:tcW w:w="1177" w:type="dxa"/>
            <w:gridSpan w:val="2"/>
            <w:tcBorders>
              <w:top w:val="nil"/>
              <w:left w:val="nil"/>
              <w:bottom w:val="nil"/>
              <w:right w:val="nil"/>
            </w:tcBorders>
            <w:shd w:val="clear" w:color="000000" w:fill="E2EFDA"/>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843,05</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 xml:space="preserve">a) </w:t>
            </w:r>
            <w:r w:rsidRPr="00A90310">
              <w:rPr>
                <w:rFonts w:ascii="Arial" w:eastAsia="Times New Roman" w:hAnsi="Arial" w:cs="Arial"/>
                <w:sz w:val="18"/>
                <w:szCs w:val="18"/>
                <w:lang w:val="en-US"/>
              </w:rPr>
              <w:t xml:space="preserve">Avansuri </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28,64</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8,66</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30,22%</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67,93</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Chars="300" w:firstLine="540"/>
              <w:jc w:val="left"/>
              <w:rPr>
                <w:rFonts w:ascii="Arial" w:eastAsia="Times New Roman" w:hAnsi="Arial" w:cs="Arial"/>
                <w:b/>
                <w:bCs/>
                <w:i/>
                <w:iCs/>
                <w:sz w:val="18"/>
                <w:szCs w:val="18"/>
                <w:lang w:val="en-US"/>
              </w:rPr>
            </w:pPr>
            <w:r w:rsidRPr="00A90310">
              <w:rPr>
                <w:rFonts w:ascii="Arial" w:eastAsia="Times New Roman" w:hAnsi="Arial" w:cs="Arial"/>
                <w:b/>
                <w:bCs/>
                <w:i/>
                <w:iCs/>
                <w:sz w:val="18"/>
                <w:szCs w:val="18"/>
                <w:lang w:val="en-US"/>
              </w:rPr>
              <w:t>b)</w:t>
            </w:r>
            <w:r w:rsidRPr="00A90310">
              <w:rPr>
                <w:rFonts w:ascii="Arial" w:eastAsia="Times New Roman" w:hAnsi="Arial" w:cs="Arial"/>
                <w:b/>
                <w:bCs/>
                <w:sz w:val="18"/>
                <w:szCs w:val="18"/>
                <w:lang w:val="en-US"/>
              </w:rPr>
              <w:t xml:space="preserve"> </w:t>
            </w:r>
            <w:r w:rsidRPr="00A90310">
              <w:rPr>
                <w:rFonts w:ascii="Arial" w:eastAsia="Times New Roman" w:hAnsi="Arial" w:cs="Arial"/>
                <w:sz w:val="18"/>
                <w:szCs w:val="18"/>
                <w:lang w:val="en-US"/>
              </w:rPr>
              <w:t>Rambursari</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164,64</w:t>
            </w:r>
          </w:p>
        </w:tc>
        <w:tc>
          <w:tcPr>
            <w:tcW w:w="91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88,82</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53,95%</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775,12</w:t>
            </w:r>
          </w:p>
        </w:tc>
      </w:tr>
      <w:tr w:rsidR="00C60107" w:rsidRPr="00A90310" w:rsidTr="00C43AD2">
        <w:trPr>
          <w:trHeight w:val="435"/>
        </w:trPr>
        <w:tc>
          <w:tcPr>
            <w:tcW w:w="4950" w:type="dxa"/>
            <w:tcBorders>
              <w:top w:val="nil"/>
              <w:left w:val="nil"/>
              <w:bottom w:val="nil"/>
              <w:right w:val="nil"/>
            </w:tcBorders>
            <w:shd w:val="clear" w:color="000000" w:fill="FFFFFF"/>
            <w:noWrap/>
            <w:vAlign w:val="bottom"/>
            <w:hideMark/>
          </w:tcPr>
          <w:p w:rsidR="00C60107"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Default="00C43AD2" w:rsidP="00C43AD2">
            <w:pPr>
              <w:spacing w:after="0"/>
              <w:ind w:firstLine="0"/>
              <w:jc w:val="left"/>
              <w:rPr>
                <w:rFonts w:ascii="Times New Roman" w:eastAsia="Times New Roman" w:hAnsi="Times New Roman" w:cs="Times New Roman"/>
                <w:sz w:val="20"/>
                <w:szCs w:val="20"/>
                <w:lang w:val="en-US"/>
              </w:rPr>
            </w:pPr>
          </w:p>
          <w:p w:rsidR="00C43AD2" w:rsidRPr="00A90310" w:rsidRDefault="00C43AD2" w:rsidP="00C43AD2">
            <w:pPr>
              <w:spacing w:after="0"/>
              <w:ind w:firstLine="0"/>
              <w:jc w:val="left"/>
              <w:rPr>
                <w:rFonts w:ascii="Times New Roman" w:eastAsia="Times New Roman" w:hAnsi="Times New Roman" w:cs="Times New Roman"/>
                <w:sz w:val="20"/>
                <w:szCs w:val="20"/>
                <w:lang w:val="en-US"/>
              </w:rPr>
            </w:pP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lastRenderedPageBreak/>
              <w:t>Sume plătite în perioada 2007-2019</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r>
      <w:tr w:rsidR="00C60107" w:rsidRPr="00A90310" w:rsidTr="00C43AD2">
        <w:trPr>
          <w:trHeight w:val="1080"/>
        </w:trPr>
        <w:tc>
          <w:tcPr>
            <w:tcW w:w="4950"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Denumire</w:t>
            </w:r>
          </w:p>
        </w:tc>
        <w:tc>
          <w:tcPr>
            <w:tcW w:w="927"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Estimări 2019</w:t>
            </w:r>
          </w:p>
        </w:tc>
        <w:tc>
          <w:tcPr>
            <w:tcW w:w="1844" w:type="dxa"/>
            <w:gridSpan w:val="2"/>
            <w:tcBorders>
              <w:top w:val="double" w:sz="6" w:space="0" w:color="auto"/>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2019        (execuţia la 30.06.2019)</w:t>
            </w:r>
          </w:p>
        </w:tc>
        <w:tc>
          <w:tcPr>
            <w:tcW w:w="1177" w:type="dxa"/>
            <w:gridSpan w:val="2"/>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2007-2019 (execuţia la 30.06.2019)</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1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w:t>
            </w:r>
          </w:p>
        </w:tc>
        <w:tc>
          <w:tcPr>
            <w:tcW w:w="1177" w:type="dxa"/>
            <w:gridSpan w:val="2"/>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r>
      <w:tr w:rsidR="00C60107" w:rsidRPr="00A90310" w:rsidTr="00C43AD2">
        <w:trPr>
          <w:trHeight w:val="435"/>
        </w:trPr>
        <w:tc>
          <w:tcPr>
            <w:tcW w:w="4950"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II. SUME PLATITE CATRE BUGETUL UE</w:t>
            </w:r>
          </w:p>
        </w:tc>
        <w:tc>
          <w:tcPr>
            <w:tcW w:w="927"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1.739,41</w:t>
            </w:r>
          </w:p>
        </w:tc>
        <w:tc>
          <w:tcPr>
            <w:tcW w:w="917"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1.216,85</w:t>
            </w:r>
          </w:p>
        </w:tc>
        <w:tc>
          <w:tcPr>
            <w:tcW w:w="927"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69,96%</w:t>
            </w:r>
          </w:p>
        </w:tc>
        <w:tc>
          <w:tcPr>
            <w:tcW w:w="1177" w:type="dxa"/>
            <w:gridSpan w:val="2"/>
            <w:tcBorders>
              <w:top w:val="nil"/>
              <w:left w:val="nil"/>
              <w:bottom w:val="nil"/>
              <w:right w:val="nil"/>
            </w:tcBorders>
            <w:shd w:val="clear" w:color="000000" w:fill="DDEBF7"/>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18.176,65</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C. Contributia României la bugetul UE</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1.699,88</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1.201,01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70,65%</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17.746,52</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D. Alte contribuții</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39,53</w:t>
            </w:r>
          </w:p>
        </w:tc>
        <w:tc>
          <w:tcPr>
            <w:tcW w:w="91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15,84</w:t>
            </w:r>
          </w:p>
        </w:tc>
        <w:tc>
          <w:tcPr>
            <w:tcW w:w="927" w:type="dxa"/>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40,06%</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430,13</w:t>
            </w:r>
          </w:p>
        </w:tc>
      </w:tr>
      <w:tr w:rsidR="00C60107" w:rsidRPr="00A90310" w:rsidTr="00C43AD2">
        <w:trPr>
          <w:trHeight w:val="435"/>
        </w:trPr>
        <w:tc>
          <w:tcPr>
            <w:tcW w:w="4950"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SOLD - CFM 2007-2013 + CFM 2014-2020</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double" w:sz="6" w:space="0" w:color="auto"/>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double" w:sz="6" w:space="0" w:color="auto"/>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r>
      <w:tr w:rsidR="00C60107" w:rsidRPr="00A90310" w:rsidTr="00C43AD2">
        <w:trPr>
          <w:trHeight w:val="1080"/>
        </w:trPr>
        <w:tc>
          <w:tcPr>
            <w:tcW w:w="4950"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Denumire</w:t>
            </w:r>
          </w:p>
        </w:tc>
        <w:tc>
          <w:tcPr>
            <w:tcW w:w="927" w:type="dxa"/>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Estimări 2019</w:t>
            </w:r>
          </w:p>
        </w:tc>
        <w:tc>
          <w:tcPr>
            <w:tcW w:w="1844" w:type="dxa"/>
            <w:gridSpan w:val="2"/>
            <w:tcBorders>
              <w:top w:val="double" w:sz="6" w:space="0" w:color="auto"/>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2019        (execuţia la 30.06.2019)</w:t>
            </w:r>
          </w:p>
        </w:tc>
        <w:tc>
          <w:tcPr>
            <w:tcW w:w="1177" w:type="dxa"/>
            <w:gridSpan w:val="2"/>
            <w:tcBorders>
              <w:top w:val="nil"/>
              <w:left w:val="nil"/>
              <w:bottom w:val="single" w:sz="4"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Realizat 2007-2019 (execuţia la 30.06.2019)</w:t>
            </w:r>
          </w:p>
        </w:tc>
      </w:tr>
      <w:tr w:rsidR="00C60107" w:rsidRPr="00A90310" w:rsidTr="00C43AD2">
        <w:trPr>
          <w:trHeight w:val="435"/>
        </w:trPr>
        <w:tc>
          <w:tcPr>
            <w:tcW w:w="4950"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1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c>
          <w:tcPr>
            <w:tcW w:w="927" w:type="dxa"/>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w:t>
            </w:r>
          </w:p>
        </w:tc>
        <w:tc>
          <w:tcPr>
            <w:tcW w:w="1177" w:type="dxa"/>
            <w:gridSpan w:val="2"/>
            <w:tcBorders>
              <w:top w:val="nil"/>
              <w:left w:val="nil"/>
              <w:bottom w:val="double" w:sz="6" w:space="0" w:color="auto"/>
              <w:right w:val="nil"/>
            </w:tcBorders>
            <w:shd w:val="clear" w:color="000000" w:fill="FFFFFF"/>
            <w:vAlign w:val="center"/>
            <w:hideMark/>
          </w:tcPr>
          <w:p w:rsidR="00C60107" w:rsidRPr="00A90310" w:rsidRDefault="00C60107" w:rsidP="00C43AD2">
            <w:pPr>
              <w:spacing w:after="0"/>
              <w:ind w:firstLine="0"/>
              <w:jc w:val="center"/>
              <w:rPr>
                <w:rFonts w:ascii="Arial" w:eastAsia="Times New Roman" w:hAnsi="Arial" w:cs="Arial"/>
                <w:b/>
                <w:bCs/>
                <w:sz w:val="18"/>
                <w:szCs w:val="18"/>
                <w:lang w:val="en-US"/>
              </w:rPr>
            </w:pPr>
            <w:r w:rsidRPr="00A90310">
              <w:rPr>
                <w:rFonts w:ascii="Arial" w:eastAsia="Times New Roman" w:hAnsi="Arial" w:cs="Arial"/>
                <w:b/>
                <w:bCs/>
                <w:sz w:val="18"/>
                <w:szCs w:val="18"/>
                <w:lang w:val="en-US"/>
              </w:rPr>
              <w:t>mil. euro</w:t>
            </w:r>
          </w:p>
        </w:tc>
      </w:tr>
      <w:tr w:rsidR="00C60107" w:rsidRPr="00A90310" w:rsidTr="00C43AD2">
        <w:trPr>
          <w:trHeight w:val="435"/>
        </w:trPr>
        <w:tc>
          <w:tcPr>
            <w:tcW w:w="4950"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 xml:space="preserve">I. SUME PRIMITE DE LA BUGETUL UE </w:t>
            </w:r>
            <w:r w:rsidRPr="00A90310">
              <w:rPr>
                <w:rFonts w:ascii="Arial" w:eastAsia="Times New Roman" w:hAnsi="Arial" w:cs="Arial"/>
                <w:sz w:val="18"/>
                <w:szCs w:val="18"/>
                <w:lang w:val="en-US"/>
              </w:rPr>
              <w:t>(A+B)</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7.049,39</w:t>
            </w:r>
          </w:p>
        </w:tc>
        <w:tc>
          <w:tcPr>
            <w:tcW w:w="91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3.526,88</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50,03%</w:t>
            </w:r>
          </w:p>
        </w:tc>
        <w:tc>
          <w:tcPr>
            <w:tcW w:w="1177" w:type="dxa"/>
            <w:gridSpan w:val="2"/>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53.657,22</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sz w:val="18"/>
                <w:szCs w:val="18"/>
                <w:lang w:val="en-US"/>
              </w:rPr>
            </w:pPr>
            <w:r w:rsidRPr="00A90310">
              <w:rPr>
                <w:rFonts w:ascii="Arial" w:eastAsia="Times New Roman" w:hAnsi="Arial" w:cs="Arial"/>
                <w:sz w:val="18"/>
                <w:szCs w:val="18"/>
                <w:lang w:val="en-US"/>
              </w:rPr>
              <w:t>A. SUME PRIMITE DE LA BUGETUL UE din CFM 2007-2013</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34,71</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34,71</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100,00%</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37.107,37</w:t>
            </w:r>
          </w:p>
        </w:tc>
      </w:tr>
      <w:tr w:rsidR="00C60107" w:rsidRPr="00A90310" w:rsidTr="00C43AD2">
        <w:trPr>
          <w:trHeight w:val="435"/>
        </w:trPr>
        <w:tc>
          <w:tcPr>
            <w:tcW w:w="4950" w:type="dxa"/>
            <w:tcBorders>
              <w:top w:val="nil"/>
              <w:left w:val="nil"/>
              <w:bottom w:val="nil"/>
              <w:right w:val="nil"/>
            </w:tcBorders>
            <w:shd w:val="clear" w:color="000000" w:fill="FFFFFF"/>
            <w:vAlign w:val="center"/>
            <w:hideMark/>
          </w:tcPr>
          <w:p w:rsidR="00C60107" w:rsidRPr="00A90310" w:rsidRDefault="00C60107" w:rsidP="00C43AD2">
            <w:pPr>
              <w:spacing w:after="0"/>
              <w:ind w:firstLineChars="100" w:firstLine="180"/>
              <w:jc w:val="left"/>
              <w:rPr>
                <w:rFonts w:ascii="Arial" w:eastAsia="Times New Roman" w:hAnsi="Arial" w:cs="Arial"/>
                <w:sz w:val="18"/>
                <w:szCs w:val="18"/>
                <w:lang w:val="en-US"/>
              </w:rPr>
            </w:pPr>
            <w:r w:rsidRPr="00A90310">
              <w:rPr>
                <w:rFonts w:ascii="Arial" w:eastAsia="Times New Roman" w:hAnsi="Arial" w:cs="Arial"/>
                <w:sz w:val="18"/>
                <w:szCs w:val="18"/>
                <w:lang w:val="en-US"/>
              </w:rPr>
              <w:t>B. SUME PRIMITE DE LA BUGETUL UE din CFM 2014-2020</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7.014,68</w:t>
            </w:r>
          </w:p>
        </w:tc>
        <w:tc>
          <w:tcPr>
            <w:tcW w:w="91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3.492,18</w:t>
            </w:r>
          </w:p>
        </w:tc>
        <w:tc>
          <w:tcPr>
            <w:tcW w:w="927"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49,78%</w:t>
            </w:r>
          </w:p>
        </w:tc>
        <w:tc>
          <w:tcPr>
            <w:tcW w:w="1177" w:type="dxa"/>
            <w:gridSpan w:val="2"/>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right"/>
              <w:rPr>
                <w:rFonts w:ascii="Arial" w:eastAsia="Times New Roman" w:hAnsi="Arial" w:cs="Arial"/>
                <w:sz w:val="18"/>
                <w:szCs w:val="18"/>
                <w:lang w:val="en-US"/>
              </w:rPr>
            </w:pPr>
            <w:r w:rsidRPr="00A90310">
              <w:rPr>
                <w:rFonts w:ascii="Arial" w:eastAsia="Times New Roman" w:hAnsi="Arial" w:cs="Arial"/>
                <w:sz w:val="18"/>
                <w:szCs w:val="18"/>
                <w:lang w:val="en-US"/>
              </w:rPr>
              <w:t>16.549,85</w:t>
            </w:r>
          </w:p>
        </w:tc>
      </w:tr>
      <w:tr w:rsidR="00C60107" w:rsidRPr="00A90310" w:rsidTr="00C43AD2">
        <w:trPr>
          <w:trHeight w:val="435"/>
        </w:trPr>
        <w:tc>
          <w:tcPr>
            <w:tcW w:w="4950"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II. SUME PLATITE CATRE BUGETUL UE</w:t>
            </w:r>
          </w:p>
        </w:tc>
        <w:tc>
          <w:tcPr>
            <w:tcW w:w="927" w:type="dxa"/>
            <w:tcBorders>
              <w:top w:val="nil"/>
              <w:left w:val="nil"/>
              <w:bottom w:val="nil"/>
              <w:right w:val="nil"/>
            </w:tcBorders>
            <w:shd w:val="clear" w:color="000000" w:fill="DDEBF7"/>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1.739,41</w:t>
            </w:r>
          </w:p>
        </w:tc>
        <w:tc>
          <w:tcPr>
            <w:tcW w:w="91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1.216,85</w:t>
            </w:r>
          </w:p>
        </w:tc>
        <w:tc>
          <w:tcPr>
            <w:tcW w:w="927" w:type="dxa"/>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69,96%</w:t>
            </w:r>
          </w:p>
        </w:tc>
        <w:tc>
          <w:tcPr>
            <w:tcW w:w="1177" w:type="dxa"/>
            <w:gridSpan w:val="2"/>
            <w:tcBorders>
              <w:top w:val="nil"/>
              <w:left w:val="nil"/>
              <w:bottom w:val="nil"/>
              <w:right w:val="nil"/>
            </w:tcBorders>
            <w:shd w:val="clear" w:color="000000" w:fill="DDEBF7"/>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18.176,65</w:t>
            </w:r>
          </w:p>
        </w:tc>
      </w:tr>
      <w:tr w:rsidR="00C60107" w:rsidRPr="00A90310" w:rsidTr="00C43AD2">
        <w:trPr>
          <w:trHeight w:val="435"/>
        </w:trPr>
        <w:tc>
          <w:tcPr>
            <w:tcW w:w="4950" w:type="dxa"/>
            <w:tcBorders>
              <w:top w:val="nil"/>
              <w:left w:val="nil"/>
              <w:bottom w:val="double" w:sz="6" w:space="0" w:color="auto"/>
              <w:right w:val="nil"/>
            </w:tcBorders>
            <w:shd w:val="clear" w:color="000000" w:fill="FFF2CC"/>
            <w:vAlign w:val="center"/>
            <w:hideMark/>
          </w:tcPr>
          <w:p w:rsidR="00C60107" w:rsidRPr="00A90310" w:rsidRDefault="00C60107" w:rsidP="00C43AD2">
            <w:pPr>
              <w:spacing w:after="0"/>
              <w:ind w:firstLine="0"/>
              <w:jc w:val="left"/>
              <w:rPr>
                <w:rFonts w:ascii="Arial" w:eastAsia="Times New Roman" w:hAnsi="Arial" w:cs="Arial"/>
                <w:b/>
                <w:bCs/>
                <w:sz w:val="18"/>
                <w:szCs w:val="18"/>
                <w:lang w:val="en-US"/>
              </w:rPr>
            </w:pPr>
            <w:r w:rsidRPr="00A90310">
              <w:rPr>
                <w:rFonts w:ascii="Arial" w:eastAsia="Times New Roman" w:hAnsi="Arial" w:cs="Arial"/>
                <w:b/>
                <w:bCs/>
                <w:sz w:val="18"/>
                <w:szCs w:val="18"/>
                <w:lang w:val="en-US"/>
              </w:rPr>
              <w:t>III. SOLDUL FLUXURILOR = I - II</w:t>
            </w:r>
          </w:p>
        </w:tc>
        <w:tc>
          <w:tcPr>
            <w:tcW w:w="927" w:type="dxa"/>
            <w:tcBorders>
              <w:top w:val="nil"/>
              <w:left w:val="nil"/>
              <w:bottom w:val="double" w:sz="6" w:space="0" w:color="auto"/>
              <w:right w:val="nil"/>
            </w:tcBorders>
            <w:shd w:val="clear" w:color="000000" w:fill="FFF2CC"/>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5.309,98</w:t>
            </w:r>
          </w:p>
        </w:tc>
        <w:tc>
          <w:tcPr>
            <w:tcW w:w="917" w:type="dxa"/>
            <w:tcBorders>
              <w:top w:val="nil"/>
              <w:left w:val="nil"/>
              <w:bottom w:val="double" w:sz="6" w:space="0" w:color="auto"/>
              <w:right w:val="nil"/>
            </w:tcBorders>
            <w:shd w:val="clear" w:color="000000" w:fill="FFF2CC"/>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2.310,04</w:t>
            </w:r>
          </w:p>
        </w:tc>
        <w:tc>
          <w:tcPr>
            <w:tcW w:w="927" w:type="dxa"/>
            <w:tcBorders>
              <w:top w:val="nil"/>
              <w:left w:val="nil"/>
              <w:bottom w:val="double" w:sz="6" w:space="0" w:color="auto"/>
              <w:right w:val="nil"/>
            </w:tcBorders>
            <w:shd w:val="clear" w:color="000000" w:fill="FFF2CC"/>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43,50%</w:t>
            </w:r>
          </w:p>
        </w:tc>
        <w:tc>
          <w:tcPr>
            <w:tcW w:w="1177" w:type="dxa"/>
            <w:gridSpan w:val="2"/>
            <w:tcBorders>
              <w:top w:val="nil"/>
              <w:left w:val="nil"/>
              <w:bottom w:val="double" w:sz="6" w:space="0" w:color="auto"/>
              <w:right w:val="nil"/>
            </w:tcBorders>
            <w:shd w:val="clear" w:color="000000" w:fill="FFF2CC"/>
            <w:noWrap/>
            <w:vAlign w:val="center"/>
            <w:hideMark/>
          </w:tcPr>
          <w:p w:rsidR="00C60107" w:rsidRPr="00A90310" w:rsidRDefault="00C60107" w:rsidP="00C43AD2">
            <w:pPr>
              <w:spacing w:after="0"/>
              <w:ind w:firstLine="0"/>
              <w:jc w:val="right"/>
              <w:rPr>
                <w:rFonts w:ascii="Arial" w:eastAsia="Times New Roman" w:hAnsi="Arial" w:cs="Arial"/>
                <w:b/>
                <w:bCs/>
                <w:sz w:val="18"/>
                <w:szCs w:val="18"/>
                <w:lang w:val="en-US"/>
              </w:rPr>
            </w:pPr>
            <w:r w:rsidRPr="00A90310">
              <w:rPr>
                <w:rFonts w:ascii="Arial" w:eastAsia="Times New Roman" w:hAnsi="Arial" w:cs="Arial"/>
                <w:b/>
                <w:bCs/>
                <w:sz w:val="18"/>
                <w:szCs w:val="18"/>
                <w:lang w:val="en-US"/>
              </w:rPr>
              <w:t>35.480,58</w:t>
            </w:r>
          </w:p>
        </w:tc>
      </w:tr>
      <w:tr w:rsidR="00C60107" w:rsidRPr="00A90310" w:rsidTr="00C43AD2">
        <w:trPr>
          <w:trHeight w:val="435"/>
        </w:trPr>
        <w:tc>
          <w:tcPr>
            <w:tcW w:w="4950" w:type="dxa"/>
            <w:tcBorders>
              <w:top w:val="nil"/>
              <w:left w:val="nil"/>
              <w:bottom w:val="nil"/>
              <w:right w:val="nil"/>
            </w:tcBorders>
            <w:shd w:val="clear" w:color="000000" w:fill="FFFFFF"/>
            <w:noWrap/>
            <w:vAlign w:val="center"/>
            <w:hideMark/>
          </w:tcPr>
          <w:p w:rsidR="00C60107" w:rsidRPr="00A90310" w:rsidRDefault="00C60107" w:rsidP="00C43AD2">
            <w:pPr>
              <w:spacing w:after="0"/>
              <w:ind w:firstLine="0"/>
              <w:jc w:val="left"/>
              <w:rPr>
                <w:rFonts w:ascii="Arial" w:eastAsia="Times New Roman" w:hAnsi="Arial" w:cs="Arial"/>
                <w:sz w:val="18"/>
                <w:szCs w:val="18"/>
                <w:lang w:val="en-US"/>
              </w:rPr>
            </w:pPr>
            <w:r w:rsidRPr="00A90310">
              <w:rPr>
                <w:rFonts w:ascii="Arial" w:eastAsia="Times New Roman" w:hAnsi="Arial" w:cs="Arial"/>
                <w:sz w:val="18"/>
                <w:szCs w:val="18"/>
                <w:lang w:val="en-US"/>
              </w:rPr>
              <w:t>*) Cadrul financiar multianual</w:t>
            </w: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1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927" w:type="dxa"/>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c>
          <w:tcPr>
            <w:tcW w:w="1177" w:type="dxa"/>
            <w:gridSpan w:val="2"/>
            <w:tcBorders>
              <w:top w:val="nil"/>
              <w:left w:val="nil"/>
              <w:bottom w:val="nil"/>
              <w:right w:val="nil"/>
            </w:tcBorders>
            <w:shd w:val="clear" w:color="000000" w:fill="FFFFFF"/>
            <w:noWrap/>
            <w:vAlign w:val="bottom"/>
            <w:hideMark/>
          </w:tcPr>
          <w:p w:rsidR="00C60107" w:rsidRPr="00A90310" w:rsidRDefault="00C60107" w:rsidP="00C43AD2">
            <w:pPr>
              <w:spacing w:after="0"/>
              <w:ind w:firstLine="0"/>
              <w:jc w:val="left"/>
              <w:rPr>
                <w:rFonts w:ascii="Times New Roman" w:eastAsia="Times New Roman" w:hAnsi="Times New Roman" w:cs="Times New Roman"/>
                <w:sz w:val="20"/>
                <w:szCs w:val="20"/>
                <w:lang w:val="en-US"/>
              </w:rPr>
            </w:pPr>
            <w:r w:rsidRPr="00A90310">
              <w:rPr>
                <w:rFonts w:ascii="Times New Roman" w:eastAsia="Times New Roman" w:hAnsi="Times New Roman" w:cs="Times New Roman"/>
                <w:sz w:val="20"/>
                <w:szCs w:val="20"/>
                <w:lang w:val="en-US"/>
              </w:rPr>
              <w:t> </w:t>
            </w:r>
          </w:p>
        </w:tc>
      </w:tr>
    </w:tbl>
    <w:p w:rsidR="00DE5842" w:rsidRDefault="00DE5842" w:rsidP="00C60107">
      <w:pPr>
        <w:pStyle w:val="Heading1"/>
        <w:ind w:left="369" w:firstLine="708"/>
        <w:rPr>
          <w:rFonts w:ascii="Arial" w:hAnsi="Arial" w:cs="Arial"/>
          <w:b/>
          <w:color w:val="auto"/>
          <w:sz w:val="28"/>
          <w:szCs w:val="28"/>
        </w:rPr>
      </w:pPr>
      <w:bookmarkStart w:id="29" w:name="_Toc15024079"/>
    </w:p>
    <w:p w:rsidR="00DE5842" w:rsidRPr="00DE5842" w:rsidRDefault="00DE5842" w:rsidP="00DE5842"/>
    <w:p w:rsidR="00C60107" w:rsidRPr="00E706A0" w:rsidRDefault="00C60107" w:rsidP="00C60107">
      <w:pPr>
        <w:pStyle w:val="Heading1"/>
        <w:ind w:left="369" w:firstLine="708"/>
        <w:rPr>
          <w:rFonts w:ascii="Arial" w:hAnsi="Arial" w:cs="Arial"/>
          <w:b/>
          <w:color w:val="auto"/>
          <w:sz w:val="28"/>
          <w:szCs w:val="28"/>
        </w:rPr>
      </w:pPr>
      <w:r w:rsidRPr="00E706A0">
        <w:rPr>
          <w:rFonts w:ascii="Arial" w:hAnsi="Arial" w:cs="Arial"/>
          <w:b/>
          <w:color w:val="auto"/>
          <w:sz w:val="28"/>
          <w:szCs w:val="28"/>
        </w:rPr>
        <w:lastRenderedPageBreak/>
        <w:t>Concluzii</w:t>
      </w:r>
      <w:bookmarkEnd w:id="29"/>
    </w:p>
    <w:p w:rsidR="00552F13" w:rsidRPr="004431AC" w:rsidRDefault="00552F13" w:rsidP="00552F13">
      <w:pPr>
        <w:pStyle w:val="ListParagraph"/>
        <w:keepNext/>
        <w:keepLines/>
        <w:numPr>
          <w:ilvl w:val="1"/>
          <w:numId w:val="2"/>
        </w:numPr>
        <w:spacing w:before="240" w:after="0" w:line="276" w:lineRule="auto"/>
        <w:ind w:left="1434" w:hanging="357"/>
        <w:contextualSpacing w:val="0"/>
        <w:rPr>
          <w:rFonts w:ascii="Arial" w:eastAsia="Times New Roman" w:hAnsi="Arial" w:cs="Arial"/>
          <w:sz w:val="24"/>
          <w:szCs w:val="24"/>
        </w:rPr>
      </w:pPr>
      <w:r w:rsidRPr="004431AC">
        <w:rPr>
          <w:rFonts w:ascii="Arial" w:eastAsia="Times New Roman" w:hAnsi="Arial" w:cs="Arial"/>
          <w:sz w:val="24"/>
          <w:szCs w:val="24"/>
        </w:rPr>
        <w:t xml:space="preserve">În primul trimestru din anul 2019, economia românească </w:t>
      </w:r>
      <w:r w:rsidR="00E771E4" w:rsidRPr="004431AC">
        <w:rPr>
          <w:rFonts w:ascii="Arial" w:eastAsia="Times New Roman" w:hAnsi="Arial" w:cs="Arial"/>
          <w:sz w:val="24"/>
          <w:szCs w:val="24"/>
        </w:rPr>
        <w:t>și</w:t>
      </w:r>
      <w:r w:rsidRPr="004431AC">
        <w:rPr>
          <w:rFonts w:ascii="Arial" w:eastAsia="Times New Roman" w:hAnsi="Arial" w:cs="Arial"/>
          <w:sz w:val="24"/>
          <w:szCs w:val="24"/>
        </w:rPr>
        <w:t xml:space="preserve">-a continuat ritmul susținut de creștere început în anul 2013 într-o dinamică accelerată </w:t>
      </w:r>
      <w:r w:rsidR="00E771E4" w:rsidRPr="004431AC">
        <w:rPr>
          <w:rFonts w:ascii="Arial" w:eastAsia="Times New Roman" w:hAnsi="Arial" w:cs="Arial"/>
          <w:sz w:val="24"/>
          <w:szCs w:val="24"/>
        </w:rPr>
        <w:t>față</w:t>
      </w:r>
      <w:r w:rsidRPr="004431AC">
        <w:rPr>
          <w:rFonts w:ascii="Arial" w:eastAsia="Times New Roman" w:hAnsi="Arial" w:cs="Arial"/>
          <w:sz w:val="24"/>
          <w:szCs w:val="24"/>
        </w:rPr>
        <w:t xml:space="preserve"> de </w:t>
      </w:r>
      <w:r w:rsidR="00E771E4" w:rsidRPr="004431AC">
        <w:rPr>
          <w:rFonts w:ascii="Arial" w:eastAsia="Times New Roman" w:hAnsi="Arial" w:cs="Arial"/>
          <w:sz w:val="24"/>
          <w:szCs w:val="24"/>
        </w:rPr>
        <w:t>evoluțiile</w:t>
      </w:r>
      <w:r w:rsidRPr="004431AC">
        <w:rPr>
          <w:rFonts w:ascii="Arial" w:eastAsia="Times New Roman" w:hAnsi="Arial" w:cs="Arial"/>
          <w:sz w:val="24"/>
          <w:szCs w:val="24"/>
        </w:rPr>
        <w:t xml:space="preserve"> din anul 2018. PIB s-a majorat cu 5,0% în termeni reali comparativ cu trimestrul I din 2018, acest avans situând România printre statele membre UE cu cel mai ridicat ritm de creștere.</w:t>
      </w:r>
    </w:p>
    <w:p w:rsidR="00C60107" w:rsidRPr="00857E54" w:rsidRDefault="00C60107" w:rsidP="00C275C5">
      <w:pPr>
        <w:pStyle w:val="ListParagraph"/>
        <w:keepNext/>
        <w:keepLines/>
        <w:numPr>
          <w:ilvl w:val="1"/>
          <w:numId w:val="2"/>
        </w:numPr>
        <w:spacing w:before="240" w:after="120" w:line="276" w:lineRule="auto"/>
        <w:contextualSpacing w:val="0"/>
        <w:rPr>
          <w:rFonts w:ascii="Arial" w:eastAsia="Times New Roman" w:hAnsi="Arial" w:cs="Arial"/>
          <w:sz w:val="24"/>
          <w:szCs w:val="24"/>
        </w:rPr>
      </w:pPr>
      <w:r w:rsidRPr="00857E54">
        <w:rPr>
          <w:rFonts w:ascii="Arial" w:eastAsia="Times New Roman" w:hAnsi="Arial" w:cs="Arial"/>
          <w:sz w:val="24"/>
          <w:szCs w:val="24"/>
        </w:rPr>
        <w:t>Soldul bugetului general consolidat la semestrul I 201</w:t>
      </w:r>
      <w:r w:rsidR="00552F13">
        <w:rPr>
          <w:rFonts w:ascii="Arial" w:eastAsia="Times New Roman" w:hAnsi="Arial" w:cs="Arial"/>
          <w:sz w:val="24"/>
          <w:szCs w:val="24"/>
        </w:rPr>
        <w:t>9</w:t>
      </w:r>
      <w:r w:rsidRPr="00857E54">
        <w:rPr>
          <w:rFonts w:ascii="Arial" w:eastAsia="Times New Roman" w:hAnsi="Arial" w:cs="Arial"/>
          <w:sz w:val="24"/>
          <w:szCs w:val="24"/>
        </w:rPr>
        <w:t xml:space="preserve"> s-a încadrat în ținta stabilită.</w:t>
      </w:r>
    </w:p>
    <w:p w:rsidR="00C60107" w:rsidRPr="00DE5842" w:rsidRDefault="00DE5842" w:rsidP="00962D99">
      <w:pPr>
        <w:pStyle w:val="ListParagraph"/>
        <w:keepNext/>
        <w:keepLines/>
        <w:widowControl w:val="0"/>
        <w:numPr>
          <w:ilvl w:val="1"/>
          <w:numId w:val="2"/>
        </w:numPr>
        <w:spacing w:before="240" w:after="120" w:line="276" w:lineRule="auto"/>
        <w:ind w:left="1434" w:hanging="357"/>
        <w:contextualSpacing w:val="0"/>
        <w:rPr>
          <w:rFonts w:ascii="Arial" w:hAnsi="Arial" w:cs="Arial"/>
          <w:sz w:val="24"/>
          <w:szCs w:val="24"/>
        </w:rPr>
      </w:pPr>
      <w:r w:rsidRPr="00DE5842">
        <w:rPr>
          <w:rFonts w:ascii="Arial" w:hAnsi="Arial" w:cs="Arial"/>
          <w:sz w:val="24"/>
          <w:szCs w:val="24"/>
        </w:rPr>
        <w:t xml:space="preserve">Datoria guvernamentală conform metodologiei UE s-a situat la data de 31 mai 2019 la un nivel de 35,1% din PIB comparativ cu nivelul de 35,0% din PIB, cât s-a înregistrat la sfârșitul anului 2018, sub plafonul de 40% din PIB stabilit prin </w:t>
      </w:r>
      <w:r w:rsidRPr="00DE5842">
        <w:rPr>
          <w:rFonts w:ascii="Arial" w:eastAsia="MS Mincho" w:hAnsi="Arial" w:cs="Arial"/>
          <w:noProof/>
          <w:sz w:val="24"/>
          <w:szCs w:val="24"/>
          <w:lang w:eastAsia="ja-JP"/>
        </w:rPr>
        <w:t xml:space="preserve">Ordonanța de urgență a Guvernului nr. 14/2019 </w:t>
      </w:r>
      <w:r w:rsidRPr="00DE5842">
        <w:rPr>
          <w:rFonts w:ascii="Arial" w:hAnsi="Arial" w:cs="Arial"/>
          <w:noProof/>
          <w:sz w:val="24"/>
          <w:szCs w:val="24"/>
          <w:lang w:eastAsia="ro-RO"/>
        </w:rPr>
        <w:t>pentru aprobarea plafoanelor unor indicatori specificaţi în cadrul fiscal-bugetar pe anul 2019</w:t>
      </w:r>
      <w:r w:rsidR="00C60107" w:rsidRPr="00DE5842">
        <w:rPr>
          <w:rFonts w:ascii="Arial" w:hAnsi="Arial" w:cs="Arial"/>
          <w:sz w:val="24"/>
          <w:szCs w:val="24"/>
        </w:rPr>
        <w:t>Veniturile bugetului general consolidat au fost superioare încasărilor din perioada similară a anului anterior, atât în termeni nominali cât și ca raport în PIB.</w:t>
      </w:r>
    </w:p>
    <w:p w:rsidR="00C60107" w:rsidRPr="00992663" w:rsidRDefault="00254FAB" w:rsidP="00C275C5">
      <w:pPr>
        <w:pStyle w:val="ListParagraph"/>
        <w:keepNext/>
        <w:keepLines/>
        <w:numPr>
          <w:ilvl w:val="1"/>
          <w:numId w:val="2"/>
        </w:numPr>
        <w:spacing w:before="240" w:after="120" w:line="276" w:lineRule="auto"/>
        <w:contextualSpacing w:val="0"/>
        <w:rPr>
          <w:rFonts w:ascii="Arial" w:eastAsia="Times New Roman" w:hAnsi="Arial" w:cs="Arial"/>
          <w:sz w:val="24"/>
          <w:szCs w:val="24"/>
        </w:rPr>
      </w:pPr>
      <w:r w:rsidRPr="00992663">
        <w:rPr>
          <w:rFonts w:ascii="Arial" w:eastAsia="Times New Roman" w:hAnsi="Arial" w:cs="Arial"/>
          <w:sz w:val="24"/>
          <w:szCs w:val="24"/>
        </w:rPr>
        <w:t>Absorbția</w:t>
      </w:r>
      <w:r w:rsidR="00C60107" w:rsidRPr="00992663">
        <w:rPr>
          <w:rFonts w:ascii="Arial" w:eastAsia="Times New Roman" w:hAnsi="Arial" w:cs="Arial"/>
          <w:sz w:val="24"/>
          <w:szCs w:val="24"/>
        </w:rPr>
        <w:t xml:space="preserve"> fondurilor externe nerambursabile reprezintă una dintre </w:t>
      </w:r>
      <w:r w:rsidRPr="00992663">
        <w:rPr>
          <w:rFonts w:ascii="Arial" w:eastAsia="Times New Roman" w:hAnsi="Arial" w:cs="Arial"/>
          <w:sz w:val="24"/>
          <w:szCs w:val="24"/>
        </w:rPr>
        <w:t>prioritățile</w:t>
      </w:r>
      <w:r w:rsidR="00C60107" w:rsidRPr="00992663">
        <w:rPr>
          <w:rFonts w:ascii="Arial" w:eastAsia="Times New Roman" w:hAnsi="Arial" w:cs="Arial"/>
          <w:sz w:val="24"/>
          <w:szCs w:val="24"/>
        </w:rPr>
        <w:t xml:space="preserve"> Guvernului României. Alocarea </w:t>
      </w:r>
      <w:r w:rsidRPr="00992663">
        <w:rPr>
          <w:rFonts w:ascii="Arial" w:eastAsia="Times New Roman" w:hAnsi="Arial" w:cs="Arial"/>
          <w:sz w:val="24"/>
          <w:szCs w:val="24"/>
        </w:rPr>
        <w:t>substanțială</w:t>
      </w:r>
      <w:r w:rsidR="00C60107" w:rsidRPr="00992663">
        <w:rPr>
          <w:rFonts w:ascii="Arial" w:eastAsia="Times New Roman" w:hAnsi="Arial" w:cs="Arial"/>
          <w:sz w:val="24"/>
          <w:szCs w:val="24"/>
        </w:rPr>
        <w:t xml:space="preserve"> de fonduri din partea Uniunii Europene trebuie valorificată optim, reprezentând un element central al </w:t>
      </w:r>
      <w:r w:rsidRPr="00992663">
        <w:rPr>
          <w:rFonts w:ascii="Arial" w:eastAsia="Times New Roman" w:hAnsi="Arial" w:cs="Arial"/>
          <w:sz w:val="24"/>
          <w:szCs w:val="24"/>
        </w:rPr>
        <w:t>sustenabilității</w:t>
      </w:r>
      <w:r w:rsidR="00C60107" w:rsidRPr="00992663">
        <w:rPr>
          <w:rFonts w:ascii="Arial" w:eastAsia="Times New Roman" w:hAnsi="Arial" w:cs="Arial"/>
          <w:sz w:val="24"/>
          <w:szCs w:val="24"/>
        </w:rPr>
        <w:t xml:space="preserve"> bugetare prin prisma strategiei </w:t>
      </w:r>
      <w:r w:rsidRPr="00992663">
        <w:rPr>
          <w:rFonts w:ascii="Arial" w:eastAsia="Times New Roman" w:hAnsi="Arial" w:cs="Arial"/>
          <w:sz w:val="24"/>
          <w:szCs w:val="24"/>
        </w:rPr>
        <w:t>investiționale</w:t>
      </w:r>
      <w:r w:rsidR="00C60107" w:rsidRPr="00992663">
        <w:rPr>
          <w:rFonts w:ascii="Arial" w:eastAsia="Times New Roman" w:hAnsi="Arial" w:cs="Arial"/>
          <w:sz w:val="24"/>
          <w:szCs w:val="24"/>
        </w:rPr>
        <w:t xml:space="preserve"> </w:t>
      </w:r>
      <w:r w:rsidRPr="00992663">
        <w:rPr>
          <w:rFonts w:ascii="Arial" w:eastAsia="Times New Roman" w:hAnsi="Arial" w:cs="Arial"/>
          <w:sz w:val="24"/>
          <w:szCs w:val="24"/>
        </w:rPr>
        <w:t>și</w:t>
      </w:r>
      <w:r w:rsidR="00C60107" w:rsidRPr="00992663">
        <w:rPr>
          <w:rFonts w:ascii="Arial" w:eastAsia="Times New Roman" w:hAnsi="Arial" w:cs="Arial"/>
          <w:sz w:val="24"/>
          <w:szCs w:val="24"/>
        </w:rPr>
        <w:t xml:space="preserve"> a caracterului nerambursabil al acestor fonduri. În acest sens, considerăm că ordonatorii principali de credite trebuie să acorde o atenție deosebită și să întreprindă toate eforturile în vederea utilizării creditelor bugetare alocate cu această destinație.</w:t>
      </w:r>
    </w:p>
    <w:p w:rsidR="00C60107" w:rsidRPr="00857E54" w:rsidRDefault="00C60107" w:rsidP="00C275C5">
      <w:pPr>
        <w:pStyle w:val="ListParagraph"/>
        <w:keepNext/>
        <w:keepLines/>
        <w:numPr>
          <w:ilvl w:val="0"/>
          <w:numId w:val="2"/>
        </w:numPr>
        <w:spacing w:before="240" w:after="120" w:line="276" w:lineRule="auto"/>
        <w:ind w:left="1418" w:hanging="284"/>
        <w:contextualSpacing w:val="0"/>
        <w:rPr>
          <w:rFonts w:ascii="Arial" w:hAnsi="Arial" w:cs="Arial"/>
          <w:sz w:val="24"/>
          <w:szCs w:val="24"/>
        </w:rPr>
      </w:pPr>
      <w:r w:rsidRPr="00857E54">
        <w:rPr>
          <w:rFonts w:ascii="Arial" w:hAnsi="Arial" w:cs="Arial"/>
          <w:sz w:val="24"/>
          <w:szCs w:val="24"/>
        </w:rPr>
        <w:t xml:space="preserve">Cheltuielile bugetului general consolidat au fost cu </w:t>
      </w:r>
      <w:r w:rsidR="00DE5842">
        <w:rPr>
          <w:rFonts w:ascii="Arial" w:hAnsi="Arial" w:cs="Arial"/>
          <w:sz w:val="24"/>
          <w:szCs w:val="24"/>
        </w:rPr>
        <w:t>14,7</w:t>
      </w:r>
      <w:r w:rsidRPr="00857E54">
        <w:rPr>
          <w:rFonts w:ascii="Arial" w:hAnsi="Arial" w:cs="Arial"/>
          <w:sz w:val="24"/>
          <w:szCs w:val="24"/>
        </w:rPr>
        <w:t>% mai mari comparativ cu aceeași perioadă a anului anterior</w:t>
      </w:r>
      <w:r>
        <w:rPr>
          <w:rFonts w:ascii="Arial" w:hAnsi="Arial" w:cs="Arial"/>
          <w:sz w:val="24"/>
          <w:szCs w:val="24"/>
        </w:rPr>
        <w:t>,</w:t>
      </w:r>
      <w:r w:rsidRPr="00857E54">
        <w:rPr>
          <w:rFonts w:ascii="Arial" w:hAnsi="Arial" w:cs="Arial"/>
          <w:sz w:val="24"/>
          <w:szCs w:val="24"/>
        </w:rPr>
        <w:t xml:space="preserve"> situându-se sub nivelul programat.</w:t>
      </w:r>
    </w:p>
    <w:p w:rsidR="00C60107" w:rsidRPr="00857E54" w:rsidRDefault="00C60107" w:rsidP="00C275C5">
      <w:pPr>
        <w:pStyle w:val="ListParagraph"/>
        <w:keepNext/>
        <w:keepLines/>
        <w:numPr>
          <w:ilvl w:val="0"/>
          <w:numId w:val="2"/>
        </w:numPr>
        <w:spacing w:before="240" w:after="120" w:line="276" w:lineRule="auto"/>
        <w:ind w:left="1418" w:hanging="284"/>
        <w:contextualSpacing w:val="0"/>
        <w:rPr>
          <w:rFonts w:ascii="Arial" w:hAnsi="Arial" w:cs="Arial"/>
          <w:sz w:val="24"/>
          <w:szCs w:val="24"/>
        </w:rPr>
      </w:pPr>
      <w:r w:rsidRPr="00857E54">
        <w:rPr>
          <w:rFonts w:ascii="Arial" w:hAnsi="Arial" w:cs="Arial"/>
          <w:sz w:val="24"/>
          <w:szCs w:val="24"/>
        </w:rPr>
        <w:t xml:space="preserve">Cheltuielile efectuate pentru investiții au fost </w:t>
      </w:r>
      <w:r w:rsidRPr="00857E54">
        <w:rPr>
          <w:rFonts w:ascii="Arial" w:hAnsi="Arial" w:cs="Arial"/>
          <w:bCs/>
          <w:sz w:val="24"/>
          <w:szCs w:val="24"/>
        </w:rPr>
        <w:t xml:space="preserve">cu </w:t>
      </w:r>
      <w:r w:rsidR="00DE5842">
        <w:rPr>
          <w:rFonts w:ascii="Arial" w:hAnsi="Arial" w:cs="Arial"/>
          <w:bCs/>
          <w:sz w:val="24"/>
          <w:szCs w:val="24"/>
        </w:rPr>
        <w:t>35,5</w:t>
      </w:r>
      <w:r w:rsidRPr="00857E54">
        <w:rPr>
          <w:rFonts w:ascii="Arial" w:hAnsi="Arial" w:cs="Arial"/>
          <w:bCs/>
          <w:sz w:val="24"/>
          <w:szCs w:val="24"/>
        </w:rPr>
        <w:t>% mai mari decât cele aferente semestrului I 201</w:t>
      </w:r>
      <w:r w:rsidR="00DE5842">
        <w:rPr>
          <w:rFonts w:ascii="Arial" w:hAnsi="Arial" w:cs="Arial"/>
          <w:bCs/>
          <w:sz w:val="24"/>
          <w:szCs w:val="24"/>
        </w:rPr>
        <w:t>8</w:t>
      </w:r>
      <w:r w:rsidRPr="00857E54">
        <w:rPr>
          <w:rFonts w:ascii="Arial" w:hAnsi="Arial" w:cs="Arial"/>
          <w:bCs/>
          <w:sz w:val="24"/>
          <w:szCs w:val="24"/>
        </w:rPr>
        <w:t>.</w:t>
      </w:r>
    </w:p>
    <w:p w:rsidR="00C60107" w:rsidRPr="00857E54" w:rsidRDefault="00C60107" w:rsidP="00C275C5">
      <w:pPr>
        <w:pStyle w:val="ListParagraph"/>
        <w:keepNext/>
        <w:keepLines/>
        <w:numPr>
          <w:ilvl w:val="0"/>
          <w:numId w:val="2"/>
        </w:numPr>
        <w:spacing w:after="120" w:line="276" w:lineRule="auto"/>
        <w:ind w:left="1418" w:hanging="284"/>
        <w:contextualSpacing w:val="0"/>
        <w:rPr>
          <w:rFonts w:ascii="Arial" w:hAnsi="Arial" w:cs="Arial"/>
          <w:sz w:val="24"/>
          <w:szCs w:val="24"/>
        </w:rPr>
      </w:pPr>
      <w:r w:rsidRPr="00857E54">
        <w:rPr>
          <w:rFonts w:ascii="Arial" w:hAnsi="Arial" w:cs="Arial"/>
          <w:sz w:val="24"/>
          <w:szCs w:val="24"/>
        </w:rPr>
        <w:t xml:space="preserve">Extrapolând trendul veniturilor și al cheltuielilor potrivit datelor operative și luând în calcul măsurile suplimentare care au fost aprobate după adoptarea legilor bugetare anuale, estimăm că deficitul bugetar anual se va menține în țintă inițială de </w:t>
      </w:r>
      <w:r w:rsidRPr="008850D6">
        <w:rPr>
          <w:rFonts w:ascii="Arial" w:hAnsi="Arial" w:cs="Arial"/>
          <w:sz w:val="24"/>
          <w:szCs w:val="24"/>
        </w:rPr>
        <w:t>2,</w:t>
      </w:r>
      <w:r w:rsidR="008850D6" w:rsidRPr="008850D6">
        <w:rPr>
          <w:rFonts w:ascii="Arial" w:hAnsi="Arial" w:cs="Arial"/>
          <w:sz w:val="24"/>
          <w:szCs w:val="24"/>
        </w:rPr>
        <w:t>76</w:t>
      </w:r>
      <w:r w:rsidRPr="008850D6">
        <w:rPr>
          <w:rFonts w:ascii="Arial" w:hAnsi="Arial" w:cs="Arial"/>
          <w:sz w:val="24"/>
          <w:szCs w:val="24"/>
        </w:rPr>
        <w:t>%</w:t>
      </w:r>
      <w:r w:rsidRPr="00DE5842">
        <w:rPr>
          <w:rFonts w:ascii="Arial" w:hAnsi="Arial" w:cs="Arial"/>
          <w:color w:val="FF0000"/>
          <w:sz w:val="24"/>
          <w:szCs w:val="24"/>
        </w:rPr>
        <w:t xml:space="preserve"> </w:t>
      </w:r>
      <w:r w:rsidRPr="00857E54">
        <w:rPr>
          <w:rFonts w:ascii="Arial" w:hAnsi="Arial" w:cs="Arial"/>
          <w:sz w:val="24"/>
          <w:szCs w:val="24"/>
        </w:rPr>
        <w:t>din PIB.</w:t>
      </w:r>
      <w:bookmarkStart w:id="30" w:name="_GoBack"/>
      <w:bookmarkEnd w:id="24"/>
      <w:bookmarkEnd w:id="25"/>
      <w:bookmarkEnd w:id="26"/>
      <w:bookmarkEnd w:id="27"/>
      <w:bookmarkEnd w:id="28"/>
      <w:bookmarkEnd w:id="30"/>
    </w:p>
    <w:sectPr w:rsidR="00C60107" w:rsidRPr="00857E54" w:rsidSect="008A700D">
      <w:headerReference w:type="default" r:id="rId17"/>
      <w:footerReference w:type="default" r:id="rId1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F8" w:rsidRDefault="00EF1FF8" w:rsidP="007C4F03">
      <w:pPr>
        <w:spacing w:after="0"/>
      </w:pPr>
      <w:r>
        <w:separator/>
      </w:r>
    </w:p>
  </w:endnote>
  <w:endnote w:type="continuationSeparator" w:id="0">
    <w:p w:rsidR="00EF1FF8" w:rsidRDefault="00EF1FF8"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18929"/>
      <w:docPartObj>
        <w:docPartGallery w:val="Page Numbers (Bottom of Page)"/>
        <w:docPartUnique/>
      </w:docPartObj>
    </w:sdtPr>
    <w:sdtEndPr>
      <w:rPr>
        <w:noProof/>
      </w:rPr>
    </w:sdtEndPr>
    <w:sdtContent>
      <w:p w:rsidR="00335B91" w:rsidRDefault="00335B91">
        <w:pPr>
          <w:pStyle w:val="Footer"/>
          <w:jc w:val="center"/>
        </w:pPr>
        <w:r>
          <w:fldChar w:fldCharType="begin"/>
        </w:r>
        <w:r>
          <w:instrText xml:space="preserve"> PAGE   \* MERGEFORMAT </w:instrText>
        </w:r>
        <w:r>
          <w:fldChar w:fldCharType="separate"/>
        </w:r>
        <w:r w:rsidR="00E67765">
          <w:rPr>
            <w:noProof/>
          </w:rPr>
          <w:t>28</w:t>
        </w:r>
        <w:r>
          <w:rPr>
            <w:noProof/>
          </w:rPr>
          <w:fldChar w:fldCharType="end"/>
        </w:r>
      </w:p>
    </w:sdtContent>
  </w:sdt>
  <w:p w:rsidR="00335B91" w:rsidRDefault="00335B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F8" w:rsidRDefault="00EF1FF8" w:rsidP="007C4F03">
      <w:pPr>
        <w:spacing w:after="0"/>
      </w:pPr>
      <w:r>
        <w:separator/>
      </w:r>
    </w:p>
  </w:footnote>
  <w:footnote w:type="continuationSeparator" w:id="0">
    <w:p w:rsidR="00EF1FF8" w:rsidRDefault="00EF1FF8" w:rsidP="007C4F03">
      <w:pPr>
        <w:spacing w:after="0"/>
      </w:pPr>
      <w:r>
        <w:continuationSeparator/>
      </w:r>
    </w:p>
  </w:footnote>
  <w:footnote w:id="1">
    <w:p w:rsidR="00335B91" w:rsidRPr="00217A39" w:rsidRDefault="00335B91" w:rsidP="004D6D76">
      <w:pPr>
        <w:pStyle w:val="FootnoteText"/>
        <w:rPr>
          <w:rFonts w:ascii="Calibri" w:hAnsi="Calibri"/>
        </w:rPr>
      </w:pPr>
      <w:r w:rsidRPr="00217A39">
        <w:rPr>
          <w:rStyle w:val="FootnoteReference"/>
          <w:rFonts w:ascii="Calibri" w:hAnsi="Calibri"/>
        </w:rPr>
        <w:footnoteRef/>
      </w:r>
      <w:r w:rsidRPr="00217A39">
        <w:rPr>
          <w:rFonts w:ascii="Calibri" w:hAnsi="Calibri"/>
        </w:rPr>
        <w:t xml:space="preserve"> Impozit pe profit de la agentii economici reprezintă 89,4% din totalul incasărilor din impozitul pe profit</w:t>
      </w:r>
    </w:p>
  </w:footnote>
  <w:footnote w:id="2">
    <w:p w:rsidR="00335B91" w:rsidRPr="00217A39" w:rsidRDefault="00335B91" w:rsidP="004D6D76">
      <w:pPr>
        <w:pStyle w:val="FootnoteText"/>
        <w:rPr>
          <w:rFonts w:ascii="Calibri" w:hAnsi="Calibri"/>
        </w:rPr>
      </w:pPr>
      <w:r w:rsidRPr="00217A39">
        <w:rPr>
          <w:rStyle w:val="FootnoteReference"/>
          <w:rFonts w:ascii="Calibri" w:hAnsi="Calibri"/>
        </w:rPr>
        <w:footnoteRef/>
      </w:r>
      <w:r w:rsidRPr="00217A39">
        <w:rPr>
          <w:rFonts w:ascii="Calibri" w:hAnsi="Calibri"/>
        </w:rPr>
        <w:t xml:space="preserve"> Impozit pe profit de la bancile comerciale reprezintă 10,6% din totalul incasărilor din impozitul pe profit</w:t>
      </w:r>
    </w:p>
  </w:footnote>
  <w:footnote w:id="3">
    <w:p w:rsidR="00335B91" w:rsidRPr="00DE6936" w:rsidRDefault="00335B91" w:rsidP="004D6D76">
      <w:pPr>
        <w:pStyle w:val="FootnoteText"/>
        <w:rPr>
          <w:rFonts w:asciiTheme="minorHAnsi" w:hAnsiTheme="minorHAnsi"/>
        </w:rPr>
      </w:pPr>
      <w:r w:rsidRPr="00DE6936">
        <w:rPr>
          <w:rStyle w:val="FootnoteReference"/>
          <w:rFonts w:asciiTheme="minorHAnsi" w:hAnsiTheme="minorHAnsi"/>
        </w:rPr>
        <w:footnoteRef/>
      </w:r>
      <w:r w:rsidRPr="00DE6936">
        <w:rPr>
          <w:rFonts w:asciiTheme="minorHAnsi" w:hAnsiTheme="minorHAnsi"/>
        </w:rPr>
        <w:t xml:space="preserve"> Încasările din luna ianuarie 2018 reflectă impozitul pe venit reglementat de legislația aplicată pe anul 2017</w:t>
      </w:r>
      <w:r>
        <w:rPr>
          <w:rFonts w:asciiTheme="minorHAnsi" w:hAnsiTheme="minorHAnsi"/>
        </w:rPr>
        <w:t xml:space="preserve"> când cota de impozit pe venit era 16%</w:t>
      </w:r>
    </w:p>
  </w:footnote>
  <w:footnote w:id="4">
    <w:p w:rsidR="00335B91" w:rsidRPr="00514AA8" w:rsidRDefault="00335B91" w:rsidP="004D6D76">
      <w:pPr>
        <w:autoSpaceDE w:val="0"/>
        <w:autoSpaceDN w:val="0"/>
        <w:adjustRightInd w:val="0"/>
        <w:rPr>
          <w:rFonts w:eastAsia="Calibri" w:cs="Times New Roman"/>
          <w:sz w:val="20"/>
          <w:szCs w:val="20"/>
          <w:lang w:val="en-GB"/>
        </w:rPr>
      </w:pPr>
      <w:r w:rsidRPr="00DE6936">
        <w:rPr>
          <w:rStyle w:val="FootnoteReference"/>
        </w:rPr>
        <w:footnoteRef/>
      </w:r>
      <w:r w:rsidRPr="00DE6936">
        <w:t xml:space="preserve"> </w:t>
      </w:r>
      <w:r w:rsidRPr="003635EA">
        <w:rPr>
          <w:rFonts w:eastAsia="Calibri" w:cs="Times New Roman"/>
          <w:sz w:val="20"/>
          <w:szCs w:val="20"/>
          <w:lang w:val="en-GB"/>
        </w:rPr>
        <w:t>HG nr. 937/2018 pentru stabilirea salariului de bază minim brut pe ţară garantat în plată</w:t>
      </w:r>
    </w:p>
  </w:footnote>
  <w:footnote w:id="5">
    <w:p w:rsidR="00335B91" w:rsidRPr="00DE6936" w:rsidRDefault="00335B91" w:rsidP="004D6D76">
      <w:pPr>
        <w:pStyle w:val="FootnoteText"/>
        <w:rPr>
          <w:rFonts w:asciiTheme="minorHAnsi" w:hAnsiTheme="minorHAnsi"/>
        </w:rPr>
      </w:pPr>
      <w:r w:rsidRPr="00DE6936">
        <w:rPr>
          <w:rStyle w:val="FootnoteReference"/>
          <w:rFonts w:asciiTheme="minorHAnsi" w:hAnsiTheme="minorHAnsi"/>
        </w:rPr>
        <w:footnoteRef/>
      </w:r>
      <w:r w:rsidRPr="00DE6936">
        <w:rPr>
          <w:rFonts w:asciiTheme="minorHAnsi" w:hAnsiTheme="minorHAnsi"/>
        </w:rPr>
        <w:t xml:space="preserve"> </w:t>
      </w:r>
      <w:r w:rsidRPr="00D907DE">
        <w:rPr>
          <w:rFonts w:ascii="Calibri" w:hAnsi="Calibri" w:cs="Calibri"/>
          <w:noProof/>
        </w:rPr>
        <w:t>câștigului salarial brut în ian</w:t>
      </w:r>
      <w:r>
        <w:rPr>
          <w:rFonts w:ascii="Calibri" w:hAnsi="Calibri" w:cs="Calibri"/>
          <w:noProof/>
        </w:rPr>
        <w:t>-mai</w:t>
      </w:r>
      <w:r w:rsidRPr="00D907DE">
        <w:rPr>
          <w:rFonts w:ascii="Calibri" w:hAnsi="Calibri" w:cs="Calibri"/>
          <w:noProof/>
        </w:rPr>
        <w:t xml:space="preserve"> </w:t>
      </w:r>
      <w:r>
        <w:rPr>
          <w:rFonts w:ascii="Calibri" w:hAnsi="Calibri" w:cs="Calibri"/>
          <w:noProof/>
        </w:rPr>
        <w:t xml:space="preserve">2019 comparativ cu ian-mai 2018 </w:t>
      </w:r>
      <w:r w:rsidRPr="00D907DE">
        <w:rPr>
          <w:rFonts w:ascii="Calibri" w:hAnsi="Calibri" w:cs="Calibri"/>
          <w:noProof/>
        </w:rPr>
        <w:t>(</w:t>
      </w:r>
      <w:r>
        <w:rPr>
          <w:rFonts w:ascii="Calibri" w:hAnsi="Calibri" w:cs="Calibri"/>
          <w:noProof/>
        </w:rPr>
        <w:t>fond de salarii 19</w:t>
      </w:r>
      <w:r w:rsidRPr="00D907DE">
        <w:rPr>
          <w:rFonts w:ascii="Calibri" w:hAnsi="Calibri" w:cs="Calibri"/>
          <w:noProof/>
        </w:rPr>
        <w:t>%an/an)</w:t>
      </w:r>
    </w:p>
  </w:footnote>
  <w:footnote w:id="6">
    <w:p w:rsidR="00335B91" w:rsidRPr="0021599E" w:rsidRDefault="00335B91" w:rsidP="004D6D76">
      <w:pPr>
        <w:pStyle w:val="FootnoteText"/>
        <w:rPr>
          <w:rFonts w:ascii="Calibri" w:hAnsi="Calibri"/>
        </w:rPr>
      </w:pPr>
      <w:r>
        <w:rPr>
          <w:rStyle w:val="FootnoteReference"/>
        </w:rPr>
        <w:footnoteRef/>
      </w:r>
      <w:r>
        <w:t xml:space="preserve"> </w:t>
      </w:r>
      <w:r w:rsidRPr="0021599E">
        <w:rPr>
          <w:rFonts w:ascii="Calibri" w:hAnsi="Calibri"/>
        </w:rPr>
        <w:t>Comunicat ins-Comerț și servicii nr.168/ 2019</w:t>
      </w:r>
    </w:p>
  </w:footnote>
  <w:footnote w:id="7">
    <w:p w:rsidR="00335B91" w:rsidRPr="004E1C72" w:rsidRDefault="00335B91" w:rsidP="004D6D76">
      <w:pPr>
        <w:pStyle w:val="FootnoteText"/>
      </w:pPr>
      <w:r w:rsidRPr="0021599E">
        <w:rPr>
          <w:rStyle w:val="FootnoteReference"/>
          <w:rFonts w:ascii="Calibri" w:hAnsi="Calibri"/>
        </w:rPr>
        <w:footnoteRef/>
      </w:r>
      <w:r w:rsidRPr="0021599E">
        <w:rPr>
          <w:rFonts w:ascii="Calibri" w:hAnsi="Calibri"/>
        </w:rPr>
        <w:t xml:space="preserve"> Calcule interne pe baza date Comunicat INS  : Comerţ internaţional cu bunuri nr. 174/2019</w:t>
      </w:r>
    </w:p>
  </w:footnote>
  <w:footnote w:id="8">
    <w:p w:rsidR="00335B91" w:rsidRPr="0021599E" w:rsidRDefault="00335B91" w:rsidP="004D6D76">
      <w:pPr>
        <w:pStyle w:val="FootnoteText"/>
        <w:rPr>
          <w:rFonts w:ascii="Calibri" w:hAnsi="Calibri"/>
        </w:rPr>
      </w:pPr>
      <w:r>
        <w:rPr>
          <w:rStyle w:val="FootnoteReference"/>
        </w:rPr>
        <w:footnoteRef/>
      </w:r>
      <w:r>
        <w:t xml:space="preserve"> </w:t>
      </w:r>
      <w:r w:rsidRPr="0021599E">
        <w:rPr>
          <w:rFonts w:ascii="Calibri" w:hAnsi="Calibri"/>
        </w:rPr>
        <w:t>Comunicat ins-Comerț și servicii nr.168/ 2019</w:t>
      </w:r>
    </w:p>
  </w:footnote>
  <w:footnote w:id="9">
    <w:p w:rsidR="00335B91" w:rsidRDefault="00335B91" w:rsidP="004D6D76">
      <w:pPr>
        <w:pStyle w:val="FootnoteText"/>
      </w:pPr>
      <w:r>
        <w:rPr>
          <w:rStyle w:val="FootnoteReference"/>
        </w:rPr>
        <w:footnoteRef/>
      </w:r>
      <w:r>
        <w:t xml:space="preserve"> </w:t>
      </w:r>
      <w:r w:rsidRPr="00ED6029">
        <w:rPr>
          <w:rFonts w:asciiTheme="minorHAnsi" w:hAnsiTheme="minorHAnsi"/>
          <w:lang w:eastAsia="en-US"/>
        </w:rPr>
        <w:t>Legea nr. 73/2018 pentru aprobarea Ordonanței Guvernului nr. 7/2013 privind instituirea impozitului asupra veniturilor suplimentare obținute ca urmare a dereglementării prețurilor din sectorul gazelor naturale</w:t>
      </w:r>
    </w:p>
  </w:footnote>
  <w:footnote w:id="10">
    <w:p w:rsidR="00335B91" w:rsidRPr="00D3255F" w:rsidRDefault="00335B91" w:rsidP="004D6D76">
      <w:pPr>
        <w:pStyle w:val="FootnoteText"/>
        <w:rPr>
          <w:rFonts w:ascii="Calibri" w:hAnsi="Calibri"/>
        </w:rPr>
      </w:pPr>
      <w:r w:rsidRPr="00D3255F">
        <w:rPr>
          <w:rStyle w:val="FootnoteReference"/>
          <w:rFonts w:ascii="Calibri" w:hAnsi="Calibri"/>
        </w:rPr>
        <w:footnoteRef/>
      </w:r>
      <w:r w:rsidRPr="00D3255F">
        <w:rPr>
          <w:rFonts w:ascii="Calibri" w:hAnsi="Calibri"/>
        </w:rPr>
        <w:t xml:space="preserve"> OUG nr. 114/2018 privind</w:t>
      </w:r>
      <w:r w:rsidRPr="00D3255F">
        <w:rPr>
          <w:rFonts w:ascii="Calibri" w:eastAsia="Calibri" w:hAnsi="Calibri" w:cs="Helv"/>
          <w:color w:val="000000"/>
          <w:lang w:eastAsia="en-US"/>
        </w:rPr>
        <w:t xml:space="preserve"> instituirea unor măsuri în domeniul investițiilor publice și a unor măsuri fiscal-bugetare, modificarea și completarea unor acte normative și prorogarea unor termene</w:t>
      </w:r>
    </w:p>
  </w:footnote>
  <w:footnote w:id="11">
    <w:p w:rsidR="00335B91" w:rsidRPr="00182FB8" w:rsidRDefault="00335B91" w:rsidP="004D6D76">
      <w:pPr>
        <w:pStyle w:val="FootnoteText"/>
      </w:pPr>
      <w:r>
        <w:rPr>
          <w:rStyle w:val="FootnoteReference"/>
        </w:rPr>
        <w:footnoteRef/>
      </w:r>
      <w:r>
        <w:t xml:space="preserve"> OUG nr. 15/2019</w:t>
      </w:r>
    </w:p>
  </w:footnote>
  <w:footnote w:id="12">
    <w:p w:rsidR="00335B91" w:rsidRPr="00AB0CFF" w:rsidRDefault="00335B91" w:rsidP="004423E3">
      <w:pPr>
        <w:pStyle w:val="FootnoteText"/>
      </w:pPr>
      <w:r>
        <w:rPr>
          <w:rStyle w:val="FootnoteReference"/>
        </w:rPr>
        <w:footnoteRef/>
      </w:r>
      <w:r>
        <w:t xml:space="preserve"> </w:t>
      </w:r>
      <w:r w:rsidRPr="006D37D7">
        <w:t>Comunicat Eurostat nr</w:t>
      </w:r>
      <w:r>
        <w:t>.67din 23 aprilie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91" w:rsidRDefault="00335B91">
    <w:pPr>
      <w:pStyle w:val="Header"/>
    </w:pPr>
    <w:r>
      <w:rPr>
        <w:noProof/>
        <w:lang w:val="en-US"/>
      </w:rPr>
      <mc:AlternateContent>
        <mc:Choice Requires="wps">
          <w:drawing>
            <wp:anchor distT="0" distB="0" distL="118745" distR="118745" simplePos="0" relativeHeight="251657728" behindDoc="1" locked="0" layoutInCell="1" allowOverlap="0" wp14:anchorId="7482F9F8" wp14:editId="5FBC8FB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9450" cy="26225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5B91" w:rsidRPr="00072D0B" w:rsidRDefault="00EF1FF8" w:rsidP="00395F32">
                          <w:pPr>
                            <w:pStyle w:val="Header"/>
                            <w:jc w:val="center"/>
                            <w:rPr>
                              <w:rStyle w:val="Emphasis"/>
                            </w:rPr>
                          </w:pPr>
                          <w:sdt>
                            <w:sdtPr>
                              <w:rPr>
                                <w:rStyle w:val="Emphasis"/>
                              </w:rPr>
                              <w:alias w:val="Title"/>
                              <w:tag w:val=""/>
                              <w:id w:val="-77979458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335B91">
                                <w:rPr>
                                  <w:rStyle w:val="Emphasis"/>
                                </w:rPr>
                                <w:t>Raport privind situația economică și bugetară</w:t>
                              </w:r>
                            </w:sdtContent>
                          </w:sdt>
                          <w:r w:rsidR="00335B91">
                            <w:rPr>
                              <w:rStyle w:val="Emphasis"/>
                            </w:rPr>
                            <w:t xml:space="preserve"> pe </w:t>
                          </w:r>
                          <w:r w:rsidR="00335B91" w:rsidRPr="00072D0B">
                            <w:rPr>
                              <w:rStyle w:val="Emphasis"/>
                            </w:rPr>
                            <w:t xml:space="preserve"> primele șase luni ale anului 201</w:t>
                          </w:r>
                          <w:r w:rsidR="00335B91">
                            <w:rPr>
                              <w:rStyle w:val="Emphasi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82F9F8" id="Rectangle 197" o:spid="_x0000_s1026" style="position:absolute;left:0;text-align:left;margin-left:0;margin-top:0;width:453.5pt;height:20.65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" o:allowoverlap="f" fillcolor="#5b9bd5 [3204]" stroked="f" strokeweight="1pt">
              <v:path arrowok="t"/>
              <v:textbox style="mso-fit-shape-to-text:t">
                <w:txbxContent>
                  <w:p w:rsidR="0066051B" w:rsidRPr="00072D0B" w:rsidRDefault="004951E1" w:rsidP="00395F32">
                    <w:pPr>
                      <w:pStyle w:val="Header"/>
                      <w:jc w:val="center"/>
                      <w:rPr>
                        <w:rStyle w:val="Emphasis"/>
                      </w:rPr>
                    </w:pPr>
                    <w:sdt>
                      <w:sdtPr>
                        <w:rPr>
                          <w:rStyle w:val="Emphasis"/>
                        </w:rPr>
                        <w:alias w:val="Title"/>
                        <w:tag w:val=""/>
                        <w:id w:val="-77979458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66051B">
                          <w:rPr>
                            <w:rStyle w:val="Emphasis"/>
                          </w:rPr>
                          <w:t>Raport privind situația economică și bugetară</w:t>
                        </w:r>
                      </w:sdtContent>
                    </w:sdt>
                    <w:r w:rsidR="0066051B">
                      <w:rPr>
                        <w:rStyle w:val="Emphasis"/>
                      </w:rPr>
                      <w:t xml:space="preserve"> pe </w:t>
                    </w:r>
                    <w:r w:rsidR="0066051B" w:rsidRPr="00072D0B">
                      <w:rPr>
                        <w:rStyle w:val="Emphasis"/>
                      </w:rPr>
                      <w:t xml:space="preserve"> primele șase luni ale anului 201</w:t>
                    </w:r>
                    <w:r w:rsidR="0066051B">
                      <w:rPr>
                        <w:rStyle w:val="Emphasis"/>
                      </w:rPr>
                      <w:t>9</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3" w15:restartNumberingAfterBreak="0">
    <w:nsid w:val="06AB7832"/>
    <w:multiLevelType w:val="hybridMultilevel"/>
    <w:tmpl w:val="C9F0AD84"/>
    <w:lvl w:ilvl="0" w:tplc="0418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0A1D1FED"/>
    <w:multiLevelType w:val="hybridMultilevel"/>
    <w:tmpl w:val="07B88E5C"/>
    <w:lvl w:ilvl="0" w:tplc="9C40BEDE">
      <w:start w:val="6"/>
      <w:numFmt w:val="bullet"/>
      <w:lvlText w:val="-"/>
      <w:lvlJc w:val="left"/>
      <w:pPr>
        <w:ind w:left="2160" w:hanging="360"/>
      </w:pPr>
      <w:rPr>
        <w:rFonts w:ascii="Arial" w:eastAsia="Times New Roman" w:hAnsi="Arial" w:cs="Arial" w:hint="default"/>
        <w:b/>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929E3"/>
    <w:multiLevelType w:val="hybridMultilevel"/>
    <w:tmpl w:val="40BE2C1A"/>
    <w:lvl w:ilvl="0" w:tplc="6502598E">
      <w:numFmt w:val="bullet"/>
      <w:lvlText w:val="-"/>
      <w:lvlJc w:val="left"/>
      <w:pPr>
        <w:ind w:left="1512" w:hanging="360"/>
      </w:pPr>
      <w:rPr>
        <w:rFonts w:ascii="Times New Roman" w:eastAsia="Times New Roman" w:hAnsi="Times New Roman" w:cs="Times New Roman" w:hint="default"/>
        <w:b/>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7" w15:restartNumberingAfterBreak="0">
    <w:nsid w:val="1B763F17"/>
    <w:multiLevelType w:val="multilevel"/>
    <w:tmpl w:val="01A0D6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238F5DE1"/>
    <w:multiLevelType w:val="hybridMultilevel"/>
    <w:tmpl w:val="BB288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60D71"/>
    <w:multiLevelType w:val="hybridMultilevel"/>
    <w:tmpl w:val="CA187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9236A02"/>
    <w:multiLevelType w:val="hybridMultilevel"/>
    <w:tmpl w:val="1B6EB8E4"/>
    <w:lvl w:ilvl="0" w:tplc="0418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2B435324"/>
    <w:multiLevelType w:val="hybridMultilevel"/>
    <w:tmpl w:val="87B0FE0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2F743506"/>
    <w:multiLevelType w:val="hybridMultilevel"/>
    <w:tmpl w:val="BCD24222"/>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33D7718F"/>
    <w:multiLevelType w:val="hybridMultilevel"/>
    <w:tmpl w:val="75BE71C8"/>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86E2553"/>
    <w:multiLevelType w:val="hybridMultilevel"/>
    <w:tmpl w:val="5630FCEE"/>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38E15373"/>
    <w:multiLevelType w:val="hybridMultilevel"/>
    <w:tmpl w:val="FD5667C2"/>
    <w:lvl w:ilvl="0" w:tplc="6502598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17" w15:restartNumberingAfterBreak="0">
    <w:nsid w:val="43F95FD3"/>
    <w:multiLevelType w:val="hybridMultilevel"/>
    <w:tmpl w:val="5066EDD6"/>
    <w:lvl w:ilvl="0" w:tplc="7D5004EC">
      <w:start w:val="1"/>
      <w:numFmt w:val="decimal"/>
      <w:lvlText w:val="%1."/>
      <w:lvlJc w:val="left"/>
      <w:pPr>
        <w:ind w:left="1512" w:hanging="360"/>
      </w:pPr>
      <w:rPr>
        <w:rFonts w:cs="Times New Roman" w:hint="default"/>
        <w:b/>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18" w15:restartNumberingAfterBreak="0">
    <w:nsid w:val="44DC77E4"/>
    <w:multiLevelType w:val="hybridMultilevel"/>
    <w:tmpl w:val="6E588E6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9" w15:restartNumberingAfterBreak="0">
    <w:nsid w:val="468C389E"/>
    <w:multiLevelType w:val="hybridMultilevel"/>
    <w:tmpl w:val="9168A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D2B5C"/>
    <w:multiLevelType w:val="hybridMultilevel"/>
    <w:tmpl w:val="7D1E6D0A"/>
    <w:lvl w:ilvl="0" w:tplc="D55CD0B6">
      <w:start w:val="1"/>
      <w:numFmt w:val="bullet"/>
      <w:lvlText w:val="-"/>
      <w:lvlJc w:val="left"/>
      <w:pPr>
        <w:ind w:left="858" w:hanging="360"/>
      </w:pPr>
      <w:rPr>
        <w:rFonts w:ascii="Arial" w:eastAsia="Times New Roman" w:hAnsi="Arial" w:cs="Arial"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21" w15:restartNumberingAfterBreak="0">
    <w:nsid w:val="4D300183"/>
    <w:multiLevelType w:val="hybridMultilevel"/>
    <w:tmpl w:val="4CD891E6"/>
    <w:lvl w:ilvl="0" w:tplc="9C40BEDE">
      <w:start w:val="6"/>
      <w:numFmt w:val="bullet"/>
      <w:lvlText w:val="-"/>
      <w:lvlJc w:val="left"/>
      <w:pPr>
        <w:ind w:left="1803" w:hanging="360"/>
      </w:pPr>
      <w:rPr>
        <w:rFonts w:ascii="Arial" w:eastAsia="Times New Roman" w:hAnsi="Arial" w:cs="Arial" w:hint="default"/>
        <w:b/>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22" w15:restartNumberingAfterBreak="0">
    <w:nsid w:val="501D2A09"/>
    <w:multiLevelType w:val="hybridMultilevel"/>
    <w:tmpl w:val="8812AF2A"/>
    <w:lvl w:ilvl="0" w:tplc="58A058EC">
      <w:start w:val="1"/>
      <w:numFmt w:val="decimal"/>
      <w:lvlText w:val="%1."/>
      <w:lvlJc w:val="left"/>
      <w:pPr>
        <w:ind w:left="1512" w:hanging="360"/>
      </w:pPr>
      <w:rPr>
        <w:rFonts w:cs="Times New Roman" w:hint="default"/>
        <w:b w:val="0"/>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23" w15:restartNumberingAfterBreak="0">
    <w:nsid w:val="54D35D3F"/>
    <w:multiLevelType w:val="hybridMultilevel"/>
    <w:tmpl w:val="181C4466"/>
    <w:lvl w:ilvl="0" w:tplc="04090013">
      <w:start w:val="1"/>
      <w:numFmt w:val="upperRoman"/>
      <w:lvlText w:val="%1."/>
      <w:lvlJc w:val="right"/>
      <w:pPr>
        <w:ind w:left="720" w:hanging="360"/>
      </w:pPr>
    </w:lvl>
    <w:lvl w:ilvl="1" w:tplc="69685C0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7EB1728"/>
    <w:multiLevelType w:val="hybridMultilevel"/>
    <w:tmpl w:val="37AE82A6"/>
    <w:lvl w:ilvl="0" w:tplc="0418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5" w15:restartNumberingAfterBreak="0">
    <w:nsid w:val="596708B1"/>
    <w:multiLevelType w:val="hybridMultilevel"/>
    <w:tmpl w:val="F0F45174"/>
    <w:lvl w:ilvl="0" w:tplc="9C40BEDE">
      <w:start w:val="6"/>
      <w:numFmt w:val="bullet"/>
      <w:lvlText w:val="-"/>
      <w:lvlJc w:val="left"/>
      <w:pPr>
        <w:ind w:left="858" w:hanging="360"/>
      </w:pPr>
      <w:rPr>
        <w:rFonts w:ascii="Arial" w:eastAsia="Times New Roman" w:hAnsi="Arial" w:cs="Arial" w:hint="default"/>
        <w:b/>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26" w15:restartNumberingAfterBreak="0">
    <w:nsid w:val="5B9D5AF4"/>
    <w:multiLevelType w:val="hybridMultilevel"/>
    <w:tmpl w:val="1BC49C10"/>
    <w:lvl w:ilvl="0" w:tplc="1710355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67ACD"/>
    <w:multiLevelType w:val="hybridMultilevel"/>
    <w:tmpl w:val="AF8C39F6"/>
    <w:lvl w:ilvl="0" w:tplc="0418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9" w15:restartNumberingAfterBreak="0">
    <w:nsid w:val="68252C81"/>
    <w:multiLevelType w:val="hybridMultilevel"/>
    <w:tmpl w:val="1D049288"/>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990FBE"/>
    <w:multiLevelType w:val="hybridMultilevel"/>
    <w:tmpl w:val="F5AC796A"/>
    <w:lvl w:ilvl="0" w:tplc="04180013">
      <w:start w:val="1"/>
      <w:numFmt w:val="upperRoman"/>
      <w:lvlText w:val="%1."/>
      <w:lvlJc w:val="right"/>
      <w:pPr>
        <w:ind w:left="720" w:hanging="360"/>
      </w:pPr>
    </w:lvl>
    <w:lvl w:ilvl="1" w:tplc="69685C0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C5B27C9"/>
    <w:multiLevelType w:val="hybridMultilevel"/>
    <w:tmpl w:val="14822EFE"/>
    <w:lvl w:ilvl="0" w:tplc="0418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3" w15:restartNumberingAfterBreak="0">
    <w:nsid w:val="74DC5F61"/>
    <w:multiLevelType w:val="hybridMultilevel"/>
    <w:tmpl w:val="E6A2614E"/>
    <w:lvl w:ilvl="0" w:tplc="09D69A02">
      <w:start w:val="1"/>
      <w:numFmt w:val="bullet"/>
      <w:lvlText w:val="-"/>
      <w:lvlJc w:val="left"/>
      <w:pPr>
        <w:ind w:left="858" w:hanging="360"/>
      </w:pPr>
      <w:rPr>
        <w:rFonts w:ascii="Arial" w:eastAsia="Times New Roman" w:hAnsi="Arial" w:cs="Arial"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num w:numId="1">
    <w:abstractNumId w:val="31"/>
  </w:num>
  <w:num w:numId="2">
    <w:abstractNumId w:val="30"/>
  </w:num>
  <w:num w:numId="3">
    <w:abstractNumId w:val="6"/>
  </w:num>
  <w:num w:numId="4">
    <w:abstractNumId w:val="17"/>
  </w:num>
  <w:num w:numId="5">
    <w:abstractNumId w:val="22"/>
  </w:num>
  <w:num w:numId="6">
    <w:abstractNumId w:val="33"/>
  </w:num>
  <w:num w:numId="7">
    <w:abstractNumId w:val="20"/>
  </w:num>
  <w:num w:numId="8">
    <w:abstractNumId w:val="15"/>
  </w:num>
  <w:num w:numId="9">
    <w:abstractNumId w:val="25"/>
  </w:num>
  <w:num w:numId="10">
    <w:abstractNumId w:val="11"/>
  </w:num>
  <w:num w:numId="11">
    <w:abstractNumId w:val="32"/>
  </w:num>
  <w:num w:numId="12">
    <w:abstractNumId w:val="4"/>
  </w:num>
  <w:num w:numId="13">
    <w:abstractNumId w:val="12"/>
  </w:num>
  <w:num w:numId="14">
    <w:abstractNumId w:val="18"/>
  </w:num>
  <w:num w:numId="15">
    <w:abstractNumId w:val="10"/>
  </w:num>
  <w:num w:numId="16">
    <w:abstractNumId w:val="28"/>
  </w:num>
  <w:num w:numId="17">
    <w:abstractNumId w:val="3"/>
  </w:num>
  <w:num w:numId="18">
    <w:abstractNumId w:val="21"/>
  </w:num>
  <w:num w:numId="19">
    <w:abstractNumId w:val="24"/>
  </w:num>
  <w:num w:numId="20">
    <w:abstractNumId w:val="16"/>
  </w:num>
  <w:num w:numId="21">
    <w:abstractNumId w:val="5"/>
  </w:num>
  <w:num w:numId="22">
    <w:abstractNumId w:val="7"/>
  </w:num>
  <w:num w:numId="23">
    <w:abstractNumId w:val="27"/>
  </w:num>
  <w:num w:numId="24">
    <w:abstractNumId w:val="13"/>
  </w:num>
  <w:num w:numId="25">
    <w:abstractNumId w:val="29"/>
  </w:num>
  <w:num w:numId="26">
    <w:abstractNumId w:val="14"/>
  </w:num>
  <w:num w:numId="27">
    <w:abstractNumId w:val="23"/>
  </w:num>
  <w:num w:numId="28">
    <w:abstractNumId w:val="19"/>
  </w:num>
  <w:num w:numId="29">
    <w:abstractNumId w:val="9"/>
  </w:num>
  <w:num w:numId="30">
    <w:abstractNumId w:val="26"/>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372E"/>
    <w:rsid w:val="00004284"/>
    <w:rsid w:val="00006DDD"/>
    <w:rsid w:val="00006FE6"/>
    <w:rsid w:val="0002178B"/>
    <w:rsid w:val="00041F1F"/>
    <w:rsid w:val="00041FC6"/>
    <w:rsid w:val="00046193"/>
    <w:rsid w:val="0005391F"/>
    <w:rsid w:val="00060926"/>
    <w:rsid w:val="00060B8F"/>
    <w:rsid w:val="000651AF"/>
    <w:rsid w:val="0006566D"/>
    <w:rsid w:val="00065E24"/>
    <w:rsid w:val="00065F94"/>
    <w:rsid w:val="00066A53"/>
    <w:rsid w:val="00072D0B"/>
    <w:rsid w:val="00082A16"/>
    <w:rsid w:val="00083123"/>
    <w:rsid w:val="000875A8"/>
    <w:rsid w:val="000A187F"/>
    <w:rsid w:val="000A467F"/>
    <w:rsid w:val="000B0BE3"/>
    <w:rsid w:val="000B4020"/>
    <w:rsid w:val="000B58BC"/>
    <w:rsid w:val="000B6552"/>
    <w:rsid w:val="000C0D1E"/>
    <w:rsid w:val="000C50E2"/>
    <w:rsid w:val="000D2C11"/>
    <w:rsid w:val="000D37E6"/>
    <w:rsid w:val="000D46FB"/>
    <w:rsid w:val="000D4824"/>
    <w:rsid w:val="000E6911"/>
    <w:rsid w:val="000F1076"/>
    <w:rsid w:val="000F490F"/>
    <w:rsid w:val="00103FD9"/>
    <w:rsid w:val="00105A75"/>
    <w:rsid w:val="001069C2"/>
    <w:rsid w:val="00112846"/>
    <w:rsid w:val="0013047C"/>
    <w:rsid w:val="00135155"/>
    <w:rsid w:val="00142048"/>
    <w:rsid w:val="00144AEE"/>
    <w:rsid w:val="001465BE"/>
    <w:rsid w:val="00146B8D"/>
    <w:rsid w:val="00147BBC"/>
    <w:rsid w:val="00152A7A"/>
    <w:rsid w:val="001539BB"/>
    <w:rsid w:val="00154D8A"/>
    <w:rsid w:val="00155877"/>
    <w:rsid w:val="00155F43"/>
    <w:rsid w:val="00164927"/>
    <w:rsid w:val="001678F2"/>
    <w:rsid w:val="00170CA1"/>
    <w:rsid w:val="00174F48"/>
    <w:rsid w:val="0017578C"/>
    <w:rsid w:val="00176922"/>
    <w:rsid w:val="00180D48"/>
    <w:rsid w:val="00183827"/>
    <w:rsid w:val="001854D7"/>
    <w:rsid w:val="00191D8D"/>
    <w:rsid w:val="00196744"/>
    <w:rsid w:val="00197AF4"/>
    <w:rsid w:val="001A1773"/>
    <w:rsid w:val="001B0710"/>
    <w:rsid w:val="001B7BED"/>
    <w:rsid w:val="001C550F"/>
    <w:rsid w:val="001C7589"/>
    <w:rsid w:val="001D00F4"/>
    <w:rsid w:val="001D0E4D"/>
    <w:rsid w:val="001D1F40"/>
    <w:rsid w:val="001D6AFE"/>
    <w:rsid w:val="001E0833"/>
    <w:rsid w:val="001E1FAC"/>
    <w:rsid w:val="001E319D"/>
    <w:rsid w:val="001E31E7"/>
    <w:rsid w:val="001F084B"/>
    <w:rsid w:val="001F1551"/>
    <w:rsid w:val="001F2287"/>
    <w:rsid w:val="001F31C5"/>
    <w:rsid w:val="001F321D"/>
    <w:rsid w:val="001F3C47"/>
    <w:rsid w:val="001F4C0B"/>
    <w:rsid w:val="00203737"/>
    <w:rsid w:val="00207D12"/>
    <w:rsid w:val="0022310F"/>
    <w:rsid w:val="00223FB5"/>
    <w:rsid w:val="0022607D"/>
    <w:rsid w:val="0022798C"/>
    <w:rsid w:val="00232B17"/>
    <w:rsid w:val="00232B3C"/>
    <w:rsid w:val="002345FB"/>
    <w:rsid w:val="002370C1"/>
    <w:rsid w:val="00240A85"/>
    <w:rsid w:val="00241EAF"/>
    <w:rsid w:val="00243CA2"/>
    <w:rsid w:val="00247C20"/>
    <w:rsid w:val="00252971"/>
    <w:rsid w:val="00252A5C"/>
    <w:rsid w:val="002548C2"/>
    <w:rsid w:val="00254FAB"/>
    <w:rsid w:val="00255C16"/>
    <w:rsid w:val="00257DF0"/>
    <w:rsid w:val="00262D00"/>
    <w:rsid w:val="00267B7C"/>
    <w:rsid w:val="00281576"/>
    <w:rsid w:val="0028202A"/>
    <w:rsid w:val="002833B0"/>
    <w:rsid w:val="00287682"/>
    <w:rsid w:val="002906CC"/>
    <w:rsid w:val="0029235E"/>
    <w:rsid w:val="0029705B"/>
    <w:rsid w:val="002A09CE"/>
    <w:rsid w:val="002A0B6B"/>
    <w:rsid w:val="002C20D1"/>
    <w:rsid w:val="002C4907"/>
    <w:rsid w:val="002C4AF9"/>
    <w:rsid w:val="002C5421"/>
    <w:rsid w:val="002C59D7"/>
    <w:rsid w:val="002C7092"/>
    <w:rsid w:val="002C735C"/>
    <w:rsid w:val="002E037D"/>
    <w:rsid w:val="002E7CD9"/>
    <w:rsid w:val="002F2E52"/>
    <w:rsid w:val="002F6658"/>
    <w:rsid w:val="002F6A9D"/>
    <w:rsid w:val="003058A8"/>
    <w:rsid w:val="00307398"/>
    <w:rsid w:val="00310CE6"/>
    <w:rsid w:val="00314A7F"/>
    <w:rsid w:val="00322869"/>
    <w:rsid w:val="003349C9"/>
    <w:rsid w:val="00335B91"/>
    <w:rsid w:val="00336A90"/>
    <w:rsid w:val="003377E8"/>
    <w:rsid w:val="00342188"/>
    <w:rsid w:val="00344803"/>
    <w:rsid w:val="0034492A"/>
    <w:rsid w:val="00346FFE"/>
    <w:rsid w:val="00352140"/>
    <w:rsid w:val="0035238C"/>
    <w:rsid w:val="00354017"/>
    <w:rsid w:val="003559AB"/>
    <w:rsid w:val="00355DAA"/>
    <w:rsid w:val="0037198B"/>
    <w:rsid w:val="0038426B"/>
    <w:rsid w:val="0038491E"/>
    <w:rsid w:val="00384D95"/>
    <w:rsid w:val="00386E53"/>
    <w:rsid w:val="003939C7"/>
    <w:rsid w:val="00395F32"/>
    <w:rsid w:val="00396FCE"/>
    <w:rsid w:val="003A0173"/>
    <w:rsid w:val="003A4653"/>
    <w:rsid w:val="003A4DF3"/>
    <w:rsid w:val="003A60AB"/>
    <w:rsid w:val="003B0A83"/>
    <w:rsid w:val="003B21F0"/>
    <w:rsid w:val="003B2CDF"/>
    <w:rsid w:val="003B3BFB"/>
    <w:rsid w:val="003B4BED"/>
    <w:rsid w:val="003B4EA0"/>
    <w:rsid w:val="003B531C"/>
    <w:rsid w:val="003C2245"/>
    <w:rsid w:val="003C2741"/>
    <w:rsid w:val="003C3D89"/>
    <w:rsid w:val="003C6EA0"/>
    <w:rsid w:val="003D0192"/>
    <w:rsid w:val="003D3922"/>
    <w:rsid w:val="003D45EA"/>
    <w:rsid w:val="003D547F"/>
    <w:rsid w:val="003E4D3E"/>
    <w:rsid w:val="003E5124"/>
    <w:rsid w:val="003E54CD"/>
    <w:rsid w:val="003E5810"/>
    <w:rsid w:val="003E5F89"/>
    <w:rsid w:val="003F52E7"/>
    <w:rsid w:val="00406434"/>
    <w:rsid w:val="00406F25"/>
    <w:rsid w:val="00410C9F"/>
    <w:rsid w:val="00423DE6"/>
    <w:rsid w:val="00427577"/>
    <w:rsid w:val="0044034D"/>
    <w:rsid w:val="004403C4"/>
    <w:rsid w:val="00441064"/>
    <w:rsid w:val="00441939"/>
    <w:rsid w:val="004423E3"/>
    <w:rsid w:val="00446370"/>
    <w:rsid w:val="00446691"/>
    <w:rsid w:val="00446D9C"/>
    <w:rsid w:val="00450537"/>
    <w:rsid w:val="0045273D"/>
    <w:rsid w:val="00460FE7"/>
    <w:rsid w:val="0046391D"/>
    <w:rsid w:val="004643B9"/>
    <w:rsid w:val="00467C3F"/>
    <w:rsid w:val="0047248B"/>
    <w:rsid w:val="0047574B"/>
    <w:rsid w:val="0047638C"/>
    <w:rsid w:val="00483010"/>
    <w:rsid w:val="00493544"/>
    <w:rsid w:val="00493E89"/>
    <w:rsid w:val="004951E1"/>
    <w:rsid w:val="004A08DA"/>
    <w:rsid w:val="004A0EFF"/>
    <w:rsid w:val="004A3C3B"/>
    <w:rsid w:val="004A771A"/>
    <w:rsid w:val="004B06D1"/>
    <w:rsid w:val="004B1BA4"/>
    <w:rsid w:val="004B29EF"/>
    <w:rsid w:val="004C393E"/>
    <w:rsid w:val="004D3BAE"/>
    <w:rsid w:val="004D5CE1"/>
    <w:rsid w:val="004D6D76"/>
    <w:rsid w:val="004D7BBF"/>
    <w:rsid w:val="004E2452"/>
    <w:rsid w:val="004E406D"/>
    <w:rsid w:val="004E6286"/>
    <w:rsid w:val="004F494F"/>
    <w:rsid w:val="00500555"/>
    <w:rsid w:val="0050101A"/>
    <w:rsid w:val="00503B0B"/>
    <w:rsid w:val="005125A1"/>
    <w:rsid w:val="00525D24"/>
    <w:rsid w:val="005275F7"/>
    <w:rsid w:val="005310FA"/>
    <w:rsid w:val="00531D75"/>
    <w:rsid w:val="00531E2B"/>
    <w:rsid w:val="00532478"/>
    <w:rsid w:val="00532C95"/>
    <w:rsid w:val="005364D7"/>
    <w:rsid w:val="00540A55"/>
    <w:rsid w:val="00542CC9"/>
    <w:rsid w:val="0055194F"/>
    <w:rsid w:val="00552F13"/>
    <w:rsid w:val="00553F89"/>
    <w:rsid w:val="00553FEF"/>
    <w:rsid w:val="0056154D"/>
    <w:rsid w:val="0056394B"/>
    <w:rsid w:val="005663C4"/>
    <w:rsid w:val="00570371"/>
    <w:rsid w:val="00572238"/>
    <w:rsid w:val="0057610D"/>
    <w:rsid w:val="005838E1"/>
    <w:rsid w:val="00584125"/>
    <w:rsid w:val="00593732"/>
    <w:rsid w:val="00593AD9"/>
    <w:rsid w:val="00593BF0"/>
    <w:rsid w:val="00593EBF"/>
    <w:rsid w:val="005A1564"/>
    <w:rsid w:val="005B6AC1"/>
    <w:rsid w:val="005C0BC2"/>
    <w:rsid w:val="005C110D"/>
    <w:rsid w:val="005C1C87"/>
    <w:rsid w:val="005C6217"/>
    <w:rsid w:val="005D1DFE"/>
    <w:rsid w:val="005D50AA"/>
    <w:rsid w:val="005D7882"/>
    <w:rsid w:val="005D7EDA"/>
    <w:rsid w:val="005E1CA4"/>
    <w:rsid w:val="00601209"/>
    <w:rsid w:val="00601CFD"/>
    <w:rsid w:val="00603266"/>
    <w:rsid w:val="006155BE"/>
    <w:rsid w:val="00625C55"/>
    <w:rsid w:val="006305B7"/>
    <w:rsid w:val="00640213"/>
    <w:rsid w:val="006407D7"/>
    <w:rsid w:val="00641476"/>
    <w:rsid w:val="00642BCD"/>
    <w:rsid w:val="00642CE8"/>
    <w:rsid w:val="00652CF8"/>
    <w:rsid w:val="0066026C"/>
    <w:rsid w:val="0066051B"/>
    <w:rsid w:val="0066166E"/>
    <w:rsid w:val="006662DC"/>
    <w:rsid w:val="00666AAF"/>
    <w:rsid w:val="006719EC"/>
    <w:rsid w:val="0067614C"/>
    <w:rsid w:val="00684CFD"/>
    <w:rsid w:val="006877BA"/>
    <w:rsid w:val="00690D36"/>
    <w:rsid w:val="00691938"/>
    <w:rsid w:val="006A029E"/>
    <w:rsid w:val="006A1B46"/>
    <w:rsid w:val="006A31C3"/>
    <w:rsid w:val="006B1124"/>
    <w:rsid w:val="006B3FB0"/>
    <w:rsid w:val="006B43C4"/>
    <w:rsid w:val="006C1E1F"/>
    <w:rsid w:val="006D4230"/>
    <w:rsid w:val="006D599B"/>
    <w:rsid w:val="006D6E71"/>
    <w:rsid w:val="006E1E76"/>
    <w:rsid w:val="006E4607"/>
    <w:rsid w:val="006E5C9D"/>
    <w:rsid w:val="006E60E3"/>
    <w:rsid w:val="006E6C8A"/>
    <w:rsid w:val="006F1516"/>
    <w:rsid w:val="006F3E60"/>
    <w:rsid w:val="006F4BE5"/>
    <w:rsid w:val="006F6943"/>
    <w:rsid w:val="00704D34"/>
    <w:rsid w:val="007111AF"/>
    <w:rsid w:val="00711E39"/>
    <w:rsid w:val="00714936"/>
    <w:rsid w:val="007167DE"/>
    <w:rsid w:val="007207DF"/>
    <w:rsid w:val="00725544"/>
    <w:rsid w:val="007350FB"/>
    <w:rsid w:val="00736262"/>
    <w:rsid w:val="0074137E"/>
    <w:rsid w:val="00741CC2"/>
    <w:rsid w:val="00743B20"/>
    <w:rsid w:val="007476A4"/>
    <w:rsid w:val="00752570"/>
    <w:rsid w:val="007530B8"/>
    <w:rsid w:val="007577B2"/>
    <w:rsid w:val="007679CE"/>
    <w:rsid w:val="00770409"/>
    <w:rsid w:val="007747E1"/>
    <w:rsid w:val="0077567F"/>
    <w:rsid w:val="007773AC"/>
    <w:rsid w:val="00782D90"/>
    <w:rsid w:val="007839F1"/>
    <w:rsid w:val="00786028"/>
    <w:rsid w:val="00790092"/>
    <w:rsid w:val="00796829"/>
    <w:rsid w:val="007A127B"/>
    <w:rsid w:val="007A2B25"/>
    <w:rsid w:val="007A351E"/>
    <w:rsid w:val="007B0021"/>
    <w:rsid w:val="007B1A18"/>
    <w:rsid w:val="007B4E33"/>
    <w:rsid w:val="007B7DE2"/>
    <w:rsid w:val="007C0390"/>
    <w:rsid w:val="007C4F03"/>
    <w:rsid w:val="007C6588"/>
    <w:rsid w:val="007D49B8"/>
    <w:rsid w:val="007D65E1"/>
    <w:rsid w:val="007E04FF"/>
    <w:rsid w:val="007E5C0F"/>
    <w:rsid w:val="007E60D5"/>
    <w:rsid w:val="007F4DCB"/>
    <w:rsid w:val="007F5818"/>
    <w:rsid w:val="007F7878"/>
    <w:rsid w:val="00807335"/>
    <w:rsid w:val="00811F59"/>
    <w:rsid w:val="008202F3"/>
    <w:rsid w:val="0082412C"/>
    <w:rsid w:val="00824400"/>
    <w:rsid w:val="00827AEF"/>
    <w:rsid w:val="00830F0D"/>
    <w:rsid w:val="008412C1"/>
    <w:rsid w:val="00847368"/>
    <w:rsid w:val="00857E54"/>
    <w:rsid w:val="008643B0"/>
    <w:rsid w:val="0086691C"/>
    <w:rsid w:val="008671A9"/>
    <w:rsid w:val="008710E6"/>
    <w:rsid w:val="008765E8"/>
    <w:rsid w:val="008807C7"/>
    <w:rsid w:val="008850D6"/>
    <w:rsid w:val="0088572D"/>
    <w:rsid w:val="008863DB"/>
    <w:rsid w:val="0088641E"/>
    <w:rsid w:val="00896646"/>
    <w:rsid w:val="008A09B8"/>
    <w:rsid w:val="008A3A90"/>
    <w:rsid w:val="008A5038"/>
    <w:rsid w:val="008A65A5"/>
    <w:rsid w:val="008A700D"/>
    <w:rsid w:val="008A7F0F"/>
    <w:rsid w:val="008B3560"/>
    <w:rsid w:val="008B41F6"/>
    <w:rsid w:val="008B4FEA"/>
    <w:rsid w:val="008B509B"/>
    <w:rsid w:val="008B5F61"/>
    <w:rsid w:val="008B66B3"/>
    <w:rsid w:val="008C3835"/>
    <w:rsid w:val="008C70D1"/>
    <w:rsid w:val="008D3109"/>
    <w:rsid w:val="008D4FE6"/>
    <w:rsid w:val="008D6F4B"/>
    <w:rsid w:val="008E3EC0"/>
    <w:rsid w:val="008E4B1D"/>
    <w:rsid w:val="008F3967"/>
    <w:rsid w:val="008F7BBB"/>
    <w:rsid w:val="009015CD"/>
    <w:rsid w:val="009063D5"/>
    <w:rsid w:val="00906A7E"/>
    <w:rsid w:val="009124C0"/>
    <w:rsid w:val="009125DC"/>
    <w:rsid w:val="0091264D"/>
    <w:rsid w:val="009131FA"/>
    <w:rsid w:val="0091356D"/>
    <w:rsid w:val="009168ED"/>
    <w:rsid w:val="00927413"/>
    <w:rsid w:val="009306D3"/>
    <w:rsid w:val="009364F0"/>
    <w:rsid w:val="00937CD4"/>
    <w:rsid w:val="00940BDB"/>
    <w:rsid w:val="009414F6"/>
    <w:rsid w:val="00945CDE"/>
    <w:rsid w:val="00950E71"/>
    <w:rsid w:val="0095144E"/>
    <w:rsid w:val="00953D2F"/>
    <w:rsid w:val="0095421F"/>
    <w:rsid w:val="009550A2"/>
    <w:rsid w:val="009563D4"/>
    <w:rsid w:val="00956912"/>
    <w:rsid w:val="00962D99"/>
    <w:rsid w:val="00966841"/>
    <w:rsid w:val="00966F56"/>
    <w:rsid w:val="00967BE6"/>
    <w:rsid w:val="00967C0E"/>
    <w:rsid w:val="00967D74"/>
    <w:rsid w:val="00967F17"/>
    <w:rsid w:val="00970F67"/>
    <w:rsid w:val="009727CF"/>
    <w:rsid w:val="0097351C"/>
    <w:rsid w:val="0097454A"/>
    <w:rsid w:val="00974E1A"/>
    <w:rsid w:val="009754AE"/>
    <w:rsid w:val="009774BD"/>
    <w:rsid w:val="009778A4"/>
    <w:rsid w:val="009815B7"/>
    <w:rsid w:val="00987A6E"/>
    <w:rsid w:val="009904E3"/>
    <w:rsid w:val="00992663"/>
    <w:rsid w:val="00994357"/>
    <w:rsid w:val="009961AE"/>
    <w:rsid w:val="009A0BD2"/>
    <w:rsid w:val="009A5AAA"/>
    <w:rsid w:val="009A5B3C"/>
    <w:rsid w:val="009B633E"/>
    <w:rsid w:val="009C2A3D"/>
    <w:rsid w:val="009C6832"/>
    <w:rsid w:val="009C6F21"/>
    <w:rsid w:val="009D0987"/>
    <w:rsid w:val="009D12F9"/>
    <w:rsid w:val="009D6D45"/>
    <w:rsid w:val="009E25E4"/>
    <w:rsid w:val="009E3601"/>
    <w:rsid w:val="009E565A"/>
    <w:rsid w:val="009F4875"/>
    <w:rsid w:val="009F540F"/>
    <w:rsid w:val="009F58DB"/>
    <w:rsid w:val="009F5991"/>
    <w:rsid w:val="00A04D92"/>
    <w:rsid w:val="00A04E91"/>
    <w:rsid w:val="00A052E0"/>
    <w:rsid w:val="00A103CF"/>
    <w:rsid w:val="00A139E7"/>
    <w:rsid w:val="00A13D67"/>
    <w:rsid w:val="00A16A2C"/>
    <w:rsid w:val="00A218DA"/>
    <w:rsid w:val="00A22653"/>
    <w:rsid w:val="00A249D5"/>
    <w:rsid w:val="00A26E1A"/>
    <w:rsid w:val="00A344D2"/>
    <w:rsid w:val="00A34C4D"/>
    <w:rsid w:val="00A374E1"/>
    <w:rsid w:val="00A40CBD"/>
    <w:rsid w:val="00A442C4"/>
    <w:rsid w:val="00A5281E"/>
    <w:rsid w:val="00A575FB"/>
    <w:rsid w:val="00A627A5"/>
    <w:rsid w:val="00A627FC"/>
    <w:rsid w:val="00A62D1E"/>
    <w:rsid w:val="00A63A72"/>
    <w:rsid w:val="00A84AAE"/>
    <w:rsid w:val="00A86D78"/>
    <w:rsid w:val="00A90310"/>
    <w:rsid w:val="00A90B77"/>
    <w:rsid w:val="00A92000"/>
    <w:rsid w:val="00A9347D"/>
    <w:rsid w:val="00A9353E"/>
    <w:rsid w:val="00A9590F"/>
    <w:rsid w:val="00A95C7E"/>
    <w:rsid w:val="00AA1EED"/>
    <w:rsid w:val="00AA3311"/>
    <w:rsid w:val="00AB33F7"/>
    <w:rsid w:val="00AB37A9"/>
    <w:rsid w:val="00AB659D"/>
    <w:rsid w:val="00AC2F73"/>
    <w:rsid w:val="00AC4B34"/>
    <w:rsid w:val="00AC4DFB"/>
    <w:rsid w:val="00AD228D"/>
    <w:rsid w:val="00AD6713"/>
    <w:rsid w:val="00AD76A1"/>
    <w:rsid w:val="00AE1944"/>
    <w:rsid w:val="00AE3CDA"/>
    <w:rsid w:val="00AE4A80"/>
    <w:rsid w:val="00AF5CFF"/>
    <w:rsid w:val="00AF7D33"/>
    <w:rsid w:val="00B008D3"/>
    <w:rsid w:val="00B04F04"/>
    <w:rsid w:val="00B07B31"/>
    <w:rsid w:val="00B148E5"/>
    <w:rsid w:val="00B16822"/>
    <w:rsid w:val="00B16B4E"/>
    <w:rsid w:val="00B21A9C"/>
    <w:rsid w:val="00B2471C"/>
    <w:rsid w:val="00B435CF"/>
    <w:rsid w:val="00B450D8"/>
    <w:rsid w:val="00B53BB3"/>
    <w:rsid w:val="00B56A27"/>
    <w:rsid w:val="00B573EC"/>
    <w:rsid w:val="00B6374D"/>
    <w:rsid w:val="00B647C8"/>
    <w:rsid w:val="00B65E35"/>
    <w:rsid w:val="00B7596C"/>
    <w:rsid w:val="00B76DC7"/>
    <w:rsid w:val="00B8349F"/>
    <w:rsid w:val="00B86007"/>
    <w:rsid w:val="00B8712E"/>
    <w:rsid w:val="00B945E2"/>
    <w:rsid w:val="00BA2D78"/>
    <w:rsid w:val="00BA444B"/>
    <w:rsid w:val="00BA6E6C"/>
    <w:rsid w:val="00BA7EC0"/>
    <w:rsid w:val="00BB0851"/>
    <w:rsid w:val="00BB6124"/>
    <w:rsid w:val="00BC3785"/>
    <w:rsid w:val="00BC70E3"/>
    <w:rsid w:val="00BD4E32"/>
    <w:rsid w:val="00BD7225"/>
    <w:rsid w:val="00BD7F81"/>
    <w:rsid w:val="00BF4126"/>
    <w:rsid w:val="00BF53AD"/>
    <w:rsid w:val="00C00E3B"/>
    <w:rsid w:val="00C133ED"/>
    <w:rsid w:val="00C177AA"/>
    <w:rsid w:val="00C17A77"/>
    <w:rsid w:val="00C265A3"/>
    <w:rsid w:val="00C275C5"/>
    <w:rsid w:val="00C27619"/>
    <w:rsid w:val="00C27F72"/>
    <w:rsid w:val="00C3380F"/>
    <w:rsid w:val="00C3536F"/>
    <w:rsid w:val="00C36EA2"/>
    <w:rsid w:val="00C375A2"/>
    <w:rsid w:val="00C40D75"/>
    <w:rsid w:val="00C410EC"/>
    <w:rsid w:val="00C4132E"/>
    <w:rsid w:val="00C425E2"/>
    <w:rsid w:val="00C426B5"/>
    <w:rsid w:val="00C43AD2"/>
    <w:rsid w:val="00C45B65"/>
    <w:rsid w:val="00C52CA7"/>
    <w:rsid w:val="00C60107"/>
    <w:rsid w:val="00C64251"/>
    <w:rsid w:val="00C662AF"/>
    <w:rsid w:val="00C714D4"/>
    <w:rsid w:val="00C75356"/>
    <w:rsid w:val="00C767FF"/>
    <w:rsid w:val="00C82AAE"/>
    <w:rsid w:val="00C8367B"/>
    <w:rsid w:val="00C8524B"/>
    <w:rsid w:val="00C86610"/>
    <w:rsid w:val="00C90D1D"/>
    <w:rsid w:val="00C90ED7"/>
    <w:rsid w:val="00C9249F"/>
    <w:rsid w:val="00CA2597"/>
    <w:rsid w:val="00CA3B04"/>
    <w:rsid w:val="00CA6E98"/>
    <w:rsid w:val="00CB0DBE"/>
    <w:rsid w:val="00CB6389"/>
    <w:rsid w:val="00CC0032"/>
    <w:rsid w:val="00CD7EDF"/>
    <w:rsid w:val="00CE1F98"/>
    <w:rsid w:val="00CE22AC"/>
    <w:rsid w:val="00CF0E9F"/>
    <w:rsid w:val="00CF2CD8"/>
    <w:rsid w:val="00CF4AAA"/>
    <w:rsid w:val="00CF5A1F"/>
    <w:rsid w:val="00CF7F6B"/>
    <w:rsid w:val="00D04A87"/>
    <w:rsid w:val="00D10850"/>
    <w:rsid w:val="00D12BA2"/>
    <w:rsid w:val="00D133EF"/>
    <w:rsid w:val="00D21D50"/>
    <w:rsid w:val="00D23A20"/>
    <w:rsid w:val="00D26276"/>
    <w:rsid w:val="00D3028A"/>
    <w:rsid w:val="00D33EB3"/>
    <w:rsid w:val="00D404DE"/>
    <w:rsid w:val="00D44756"/>
    <w:rsid w:val="00D45150"/>
    <w:rsid w:val="00D46822"/>
    <w:rsid w:val="00D47F4F"/>
    <w:rsid w:val="00D511A6"/>
    <w:rsid w:val="00D51B3E"/>
    <w:rsid w:val="00D5296E"/>
    <w:rsid w:val="00D53AF4"/>
    <w:rsid w:val="00D56048"/>
    <w:rsid w:val="00D57688"/>
    <w:rsid w:val="00D6065B"/>
    <w:rsid w:val="00D6572B"/>
    <w:rsid w:val="00D67DD0"/>
    <w:rsid w:val="00D75673"/>
    <w:rsid w:val="00D756C1"/>
    <w:rsid w:val="00D80060"/>
    <w:rsid w:val="00D853E1"/>
    <w:rsid w:val="00D90243"/>
    <w:rsid w:val="00D908ED"/>
    <w:rsid w:val="00D90927"/>
    <w:rsid w:val="00D920EB"/>
    <w:rsid w:val="00D97300"/>
    <w:rsid w:val="00DA0ACC"/>
    <w:rsid w:val="00DA17B7"/>
    <w:rsid w:val="00DA2DE0"/>
    <w:rsid w:val="00DA3E29"/>
    <w:rsid w:val="00DA6A3F"/>
    <w:rsid w:val="00DB7D0C"/>
    <w:rsid w:val="00DC0ECE"/>
    <w:rsid w:val="00DC191D"/>
    <w:rsid w:val="00DC4AB9"/>
    <w:rsid w:val="00DC7F79"/>
    <w:rsid w:val="00DD17E0"/>
    <w:rsid w:val="00DD201B"/>
    <w:rsid w:val="00DD7EAE"/>
    <w:rsid w:val="00DE5842"/>
    <w:rsid w:val="00DF66E3"/>
    <w:rsid w:val="00DF6DC8"/>
    <w:rsid w:val="00DF7267"/>
    <w:rsid w:val="00E01344"/>
    <w:rsid w:val="00E0258E"/>
    <w:rsid w:val="00E040A3"/>
    <w:rsid w:val="00E042CB"/>
    <w:rsid w:val="00E04FC0"/>
    <w:rsid w:val="00E06F2E"/>
    <w:rsid w:val="00E12457"/>
    <w:rsid w:val="00E20257"/>
    <w:rsid w:val="00E21431"/>
    <w:rsid w:val="00E22BD3"/>
    <w:rsid w:val="00E23916"/>
    <w:rsid w:val="00E23E51"/>
    <w:rsid w:val="00E244F3"/>
    <w:rsid w:val="00E25A9F"/>
    <w:rsid w:val="00E3087D"/>
    <w:rsid w:val="00E3539E"/>
    <w:rsid w:val="00E37BD3"/>
    <w:rsid w:val="00E44448"/>
    <w:rsid w:val="00E53CD8"/>
    <w:rsid w:val="00E564EA"/>
    <w:rsid w:val="00E65423"/>
    <w:rsid w:val="00E67765"/>
    <w:rsid w:val="00E67A5A"/>
    <w:rsid w:val="00E706A0"/>
    <w:rsid w:val="00E707FE"/>
    <w:rsid w:val="00E73EFB"/>
    <w:rsid w:val="00E771E4"/>
    <w:rsid w:val="00E77879"/>
    <w:rsid w:val="00E834D0"/>
    <w:rsid w:val="00E869C0"/>
    <w:rsid w:val="00EA0607"/>
    <w:rsid w:val="00EA4B52"/>
    <w:rsid w:val="00EB000E"/>
    <w:rsid w:val="00EB1E40"/>
    <w:rsid w:val="00EB45BC"/>
    <w:rsid w:val="00EC3D46"/>
    <w:rsid w:val="00EC7AA2"/>
    <w:rsid w:val="00ED0F2E"/>
    <w:rsid w:val="00ED17D7"/>
    <w:rsid w:val="00ED5EC5"/>
    <w:rsid w:val="00ED6C33"/>
    <w:rsid w:val="00EE2635"/>
    <w:rsid w:val="00EE3F8E"/>
    <w:rsid w:val="00EE569F"/>
    <w:rsid w:val="00EF1FD7"/>
    <w:rsid w:val="00EF1FF8"/>
    <w:rsid w:val="00EF53A7"/>
    <w:rsid w:val="00F00EB5"/>
    <w:rsid w:val="00F02136"/>
    <w:rsid w:val="00F025AC"/>
    <w:rsid w:val="00F02AD1"/>
    <w:rsid w:val="00F04FBB"/>
    <w:rsid w:val="00F05D25"/>
    <w:rsid w:val="00F065DE"/>
    <w:rsid w:val="00F06763"/>
    <w:rsid w:val="00F1564F"/>
    <w:rsid w:val="00F204DD"/>
    <w:rsid w:val="00F2056F"/>
    <w:rsid w:val="00F213DC"/>
    <w:rsid w:val="00F22950"/>
    <w:rsid w:val="00F248EB"/>
    <w:rsid w:val="00F260A2"/>
    <w:rsid w:val="00F41DA0"/>
    <w:rsid w:val="00F43428"/>
    <w:rsid w:val="00F465D6"/>
    <w:rsid w:val="00F51EDE"/>
    <w:rsid w:val="00F5526A"/>
    <w:rsid w:val="00F60C4C"/>
    <w:rsid w:val="00F612FE"/>
    <w:rsid w:val="00F63836"/>
    <w:rsid w:val="00F63CAF"/>
    <w:rsid w:val="00F65599"/>
    <w:rsid w:val="00F77BD7"/>
    <w:rsid w:val="00F83D86"/>
    <w:rsid w:val="00F85CDF"/>
    <w:rsid w:val="00F8763B"/>
    <w:rsid w:val="00F91A24"/>
    <w:rsid w:val="00F93CAD"/>
    <w:rsid w:val="00F96228"/>
    <w:rsid w:val="00FA0452"/>
    <w:rsid w:val="00FA372E"/>
    <w:rsid w:val="00FA554F"/>
    <w:rsid w:val="00FA64BD"/>
    <w:rsid w:val="00FA6625"/>
    <w:rsid w:val="00FB55E8"/>
    <w:rsid w:val="00FC465F"/>
    <w:rsid w:val="00FD47E5"/>
    <w:rsid w:val="00FD5E5E"/>
    <w:rsid w:val="00FD6874"/>
    <w:rsid w:val="00FD7A40"/>
    <w:rsid w:val="00FD7CCF"/>
    <w:rsid w:val="00FE0BCB"/>
    <w:rsid w:val="00FE0C7D"/>
    <w:rsid w:val="00FE1664"/>
    <w:rsid w:val="00FE274F"/>
    <w:rsid w:val="00FF13C9"/>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F23D6-2BB6-435D-ABA3-99B3675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A5"/>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7C4F03"/>
    <w:pPr>
      <w:ind w:left="720"/>
      <w:contextualSpacing/>
    </w:pPr>
  </w:style>
  <w:style w:type="paragraph" w:styleId="TOC1">
    <w:name w:val="toc 1"/>
    <w:basedOn w:val="Normal"/>
    <w:next w:val="Normal"/>
    <w:autoRedefine/>
    <w:uiPriority w:val="39"/>
    <w:unhideWhenUsed/>
    <w:rsid w:val="00C43AD2"/>
    <w:pPr>
      <w:keepNext/>
      <w:keepLines/>
      <w:tabs>
        <w:tab w:val="left" w:pos="426"/>
        <w:tab w:val="right" w:leader="dot" w:pos="9062"/>
      </w:tabs>
      <w:spacing w:after="240"/>
    </w:pPr>
    <w:rPr>
      <w:rFonts w:ascii="Arial" w:hAnsi="Arial" w:cs="Arial"/>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semiHidden/>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semiHidden/>
    <w:unhideWhenUsed/>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5210-4F87-444E-8F7F-577527F3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8531</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57044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IOANA-ALINA BURLA</cp:lastModifiedBy>
  <cp:revision>5</cp:revision>
  <cp:lastPrinted>2019-08-05T20:46:00Z</cp:lastPrinted>
  <dcterms:created xsi:type="dcterms:W3CDTF">2019-08-05T19:42:00Z</dcterms:created>
  <dcterms:modified xsi:type="dcterms:W3CDTF">2019-08-05T21:53:00Z</dcterms:modified>
</cp:coreProperties>
</file>