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ahoma" w:eastAsiaTheme="minorHAnsi" w:hAnsi="Tahoma" w:cs="Tahoma"/>
          <w:color w:val="auto"/>
          <w:sz w:val="24"/>
          <w:szCs w:val="24"/>
          <w:lang w:val="ro-RO"/>
        </w:rPr>
        <w:id w:val="-413402210"/>
        <w:docPartObj>
          <w:docPartGallery w:val="Table of Contents"/>
          <w:docPartUnique/>
        </w:docPartObj>
      </w:sdtPr>
      <w:sdtEndPr>
        <w:rPr>
          <w:b/>
          <w:bCs/>
          <w:noProof/>
        </w:rPr>
      </w:sdtEndPr>
      <w:sdtContent>
        <w:p w:rsidR="00C43AD2" w:rsidRPr="00F362A1" w:rsidRDefault="00C43AD2" w:rsidP="002A6579">
          <w:pPr>
            <w:pStyle w:val="TOCHeading"/>
            <w:spacing w:before="1320" w:after="240" w:line="276" w:lineRule="auto"/>
            <w:rPr>
              <w:rFonts w:ascii="Tahoma" w:hAnsi="Tahoma" w:cs="Tahoma"/>
              <w:b/>
              <w:color w:val="auto"/>
              <w:sz w:val="24"/>
              <w:szCs w:val="24"/>
              <w:lang w:val="ro-RO"/>
            </w:rPr>
          </w:pPr>
          <w:r w:rsidRPr="00F362A1">
            <w:rPr>
              <w:rFonts w:ascii="Tahoma" w:hAnsi="Tahoma" w:cs="Tahoma"/>
              <w:b/>
              <w:color w:val="auto"/>
              <w:sz w:val="24"/>
              <w:szCs w:val="24"/>
              <w:lang w:val="ro-RO"/>
            </w:rPr>
            <w:t>Cuprins</w:t>
          </w:r>
        </w:p>
        <w:p w:rsidR="00FB0FC8" w:rsidRPr="00F362A1" w:rsidRDefault="00EA4AB2" w:rsidP="002A6579">
          <w:pPr>
            <w:pStyle w:val="TOC1"/>
            <w:spacing w:line="276" w:lineRule="auto"/>
            <w:rPr>
              <w:rFonts w:ascii="Tahoma" w:eastAsiaTheme="minorEastAsia" w:hAnsi="Tahoma" w:cs="Tahoma"/>
              <w:b w:val="0"/>
            </w:rPr>
          </w:pPr>
          <w:r w:rsidRPr="00F362A1">
            <w:rPr>
              <w:rFonts w:ascii="Tahoma" w:hAnsi="Tahoma" w:cs="Tahoma"/>
            </w:rPr>
            <w:fldChar w:fldCharType="begin"/>
          </w:r>
          <w:r w:rsidR="00C43AD2" w:rsidRPr="00F362A1">
            <w:rPr>
              <w:rFonts w:ascii="Tahoma" w:hAnsi="Tahoma" w:cs="Tahoma"/>
            </w:rPr>
            <w:instrText xml:space="preserve"> TOC \o "1-3" \h \z \u </w:instrText>
          </w:r>
          <w:r w:rsidRPr="00F362A1">
            <w:rPr>
              <w:rFonts w:ascii="Tahoma" w:hAnsi="Tahoma" w:cs="Tahoma"/>
            </w:rPr>
            <w:fldChar w:fldCharType="separate"/>
          </w:r>
          <w:hyperlink w:anchor="_Toc47687143" w:history="1">
            <w:r w:rsidR="00FB0FC8" w:rsidRPr="00F362A1">
              <w:rPr>
                <w:rStyle w:val="Hyperlink"/>
                <w:rFonts w:ascii="Tahoma" w:hAnsi="Tahoma" w:cs="Tahoma"/>
              </w:rPr>
              <w:t>INTRODUCERE</w:t>
            </w:r>
            <w:r w:rsidR="00FB0FC8" w:rsidRPr="00F362A1">
              <w:rPr>
                <w:rFonts w:ascii="Tahoma" w:hAnsi="Tahoma" w:cs="Tahoma"/>
                <w:webHidden/>
              </w:rPr>
              <w:tab/>
            </w:r>
            <w:r w:rsidRPr="00F362A1">
              <w:rPr>
                <w:rFonts w:ascii="Tahoma" w:hAnsi="Tahoma" w:cs="Tahoma"/>
                <w:webHidden/>
              </w:rPr>
              <w:fldChar w:fldCharType="begin"/>
            </w:r>
            <w:r w:rsidR="00FB0FC8" w:rsidRPr="00F362A1">
              <w:rPr>
                <w:rFonts w:ascii="Tahoma" w:hAnsi="Tahoma" w:cs="Tahoma"/>
                <w:webHidden/>
              </w:rPr>
              <w:instrText xml:space="preserve"> PAGEREF _Toc47687143 \h </w:instrText>
            </w:r>
            <w:r w:rsidRPr="00F362A1">
              <w:rPr>
                <w:rFonts w:ascii="Tahoma" w:hAnsi="Tahoma" w:cs="Tahoma"/>
                <w:webHidden/>
              </w:rPr>
            </w:r>
            <w:r w:rsidRPr="00F362A1">
              <w:rPr>
                <w:rFonts w:ascii="Tahoma" w:hAnsi="Tahoma" w:cs="Tahoma"/>
                <w:webHidden/>
              </w:rPr>
              <w:fldChar w:fldCharType="separate"/>
            </w:r>
            <w:r w:rsidR="0049243D" w:rsidRPr="00F362A1">
              <w:rPr>
                <w:rFonts w:ascii="Tahoma" w:hAnsi="Tahoma" w:cs="Tahoma"/>
                <w:webHidden/>
              </w:rPr>
              <w:t>1</w:t>
            </w:r>
            <w:r w:rsidRPr="00F362A1">
              <w:rPr>
                <w:rFonts w:ascii="Tahoma" w:hAnsi="Tahoma" w:cs="Tahoma"/>
                <w:webHidden/>
              </w:rPr>
              <w:fldChar w:fldCharType="end"/>
            </w:r>
          </w:hyperlink>
        </w:p>
        <w:p w:rsidR="00FB0FC8" w:rsidRPr="00F362A1" w:rsidRDefault="002F1039" w:rsidP="002A6579">
          <w:pPr>
            <w:pStyle w:val="TOC1"/>
            <w:spacing w:line="276" w:lineRule="auto"/>
            <w:rPr>
              <w:rFonts w:ascii="Tahoma" w:eastAsiaTheme="minorEastAsia" w:hAnsi="Tahoma" w:cs="Tahoma"/>
              <w:b w:val="0"/>
            </w:rPr>
          </w:pPr>
          <w:hyperlink w:anchor="_Toc47687144" w:history="1">
            <w:r w:rsidR="00FB0FC8" w:rsidRPr="00F362A1">
              <w:rPr>
                <w:rStyle w:val="Hyperlink"/>
                <w:rFonts w:ascii="Tahoma" w:hAnsi="Tahoma" w:cs="Tahoma"/>
              </w:rPr>
              <w:t>I.</w:t>
            </w:r>
            <w:r w:rsidR="00FB0FC8" w:rsidRPr="00F362A1">
              <w:rPr>
                <w:rFonts w:ascii="Tahoma" w:eastAsiaTheme="minorEastAsia" w:hAnsi="Tahoma" w:cs="Tahoma"/>
                <w:b w:val="0"/>
              </w:rPr>
              <w:tab/>
            </w:r>
            <w:r w:rsidR="00FB0FC8" w:rsidRPr="00F362A1">
              <w:rPr>
                <w:rStyle w:val="Hyperlink"/>
                <w:rFonts w:ascii="Tahoma" w:hAnsi="Tahoma" w:cs="Tahoma"/>
              </w:rPr>
              <w:t>Evoluții macroeconomice recente ale economiei românești</w:t>
            </w:r>
            <w:r w:rsidR="00FB0FC8" w:rsidRPr="00F362A1">
              <w:rPr>
                <w:rFonts w:ascii="Tahoma" w:hAnsi="Tahoma" w:cs="Tahoma"/>
                <w:webHidden/>
              </w:rPr>
              <w:tab/>
            </w:r>
            <w:r w:rsidR="00EA4AB2" w:rsidRPr="00F362A1">
              <w:rPr>
                <w:rFonts w:ascii="Tahoma" w:hAnsi="Tahoma" w:cs="Tahoma"/>
                <w:webHidden/>
              </w:rPr>
              <w:fldChar w:fldCharType="begin"/>
            </w:r>
            <w:r w:rsidR="00FB0FC8" w:rsidRPr="00F362A1">
              <w:rPr>
                <w:rFonts w:ascii="Tahoma" w:hAnsi="Tahoma" w:cs="Tahoma"/>
                <w:webHidden/>
              </w:rPr>
              <w:instrText xml:space="preserve"> PAGEREF _Toc47687144 \h </w:instrText>
            </w:r>
            <w:r w:rsidR="00EA4AB2" w:rsidRPr="00F362A1">
              <w:rPr>
                <w:rFonts w:ascii="Tahoma" w:hAnsi="Tahoma" w:cs="Tahoma"/>
                <w:webHidden/>
              </w:rPr>
            </w:r>
            <w:r w:rsidR="00EA4AB2" w:rsidRPr="00F362A1">
              <w:rPr>
                <w:rFonts w:ascii="Tahoma" w:hAnsi="Tahoma" w:cs="Tahoma"/>
                <w:webHidden/>
              </w:rPr>
              <w:fldChar w:fldCharType="separate"/>
            </w:r>
            <w:r w:rsidR="0049243D" w:rsidRPr="00F362A1">
              <w:rPr>
                <w:rFonts w:ascii="Tahoma" w:hAnsi="Tahoma" w:cs="Tahoma"/>
                <w:webHidden/>
              </w:rPr>
              <w:t>2</w:t>
            </w:r>
            <w:r w:rsidR="00EA4AB2" w:rsidRPr="00F362A1">
              <w:rPr>
                <w:rFonts w:ascii="Tahoma" w:hAnsi="Tahoma" w:cs="Tahoma"/>
                <w:webHidden/>
              </w:rPr>
              <w:fldChar w:fldCharType="end"/>
            </w:r>
          </w:hyperlink>
        </w:p>
        <w:p w:rsidR="00FB0FC8" w:rsidRPr="00F362A1" w:rsidRDefault="002F1039" w:rsidP="002A6579">
          <w:pPr>
            <w:pStyle w:val="TOC1"/>
            <w:spacing w:line="276" w:lineRule="auto"/>
            <w:rPr>
              <w:rFonts w:ascii="Tahoma" w:eastAsiaTheme="minorEastAsia" w:hAnsi="Tahoma" w:cs="Tahoma"/>
              <w:b w:val="0"/>
            </w:rPr>
          </w:pPr>
          <w:hyperlink w:anchor="_Toc47687145" w:history="1">
            <w:r w:rsidR="00FB0FC8" w:rsidRPr="00F362A1">
              <w:rPr>
                <w:rStyle w:val="Hyperlink"/>
                <w:rFonts w:ascii="Tahoma" w:hAnsi="Tahoma" w:cs="Tahoma"/>
              </w:rPr>
              <w:t>II.</w:t>
            </w:r>
            <w:r w:rsidR="00FB0FC8" w:rsidRPr="00F362A1">
              <w:rPr>
                <w:rFonts w:ascii="Tahoma" w:eastAsiaTheme="minorEastAsia" w:hAnsi="Tahoma" w:cs="Tahoma"/>
                <w:b w:val="0"/>
              </w:rPr>
              <w:tab/>
            </w:r>
            <w:r w:rsidR="00FB0FC8" w:rsidRPr="00F362A1">
              <w:rPr>
                <w:rStyle w:val="Hyperlink"/>
                <w:rFonts w:ascii="Tahoma" w:hAnsi="Tahoma" w:cs="Tahoma"/>
              </w:rPr>
              <w:t>Politica fiscal-bugetară aferentă anului 2020</w:t>
            </w:r>
            <w:r w:rsidR="00FB0FC8" w:rsidRPr="00F362A1">
              <w:rPr>
                <w:rFonts w:ascii="Tahoma" w:hAnsi="Tahoma" w:cs="Tahoma"/>
                <w:webHidden/>
              </w:rPr>
              <w:tab/>
            </w:r>
            <w:r w:rsidR="00EA4AB2" w:rsidRPr="00F362A1">
              <w:rPr>
                <w:rFonts w:ascii="Tahoma" w:hAnsi="Tahoma" w:cs="Tahoma"/>
                <w:webHidden/>
              </w:rPr>
              <w:fldChar w:fldCharType="begin"/>
            </w:r>
            <w:r w:rsidR="00FB0FC8" w:rsidRPr="00F362A1">
              <w:rPr>
                <w:rFonts w:ascii="Tahoma" w:hAnsi="Tahoma" w:cs="Tahoma"/>
                <w:webHidden/>
              </w:rPr>
              <w:instrText xml:space="preserve"> PAGEREF _Toc47687145 \h </w:instrText>
            </w:r>
            <w:r w:rsidR="00EA4AB2" w:rsidRPr="00F362A1">
              <w:rPr>
                <w:rFonts w:ascii="Tahoma" w:hAnsi="Tahoma" w:cs="Tahoma"/>
                <w:webHidden/>
              </w:rPr>
            </w:r>
            <w:r w:rsidR="00EA4AB2" w:rsidRPr="00F362A1">
              <w:rPr>
                <w:rFonts w:ascii="Tahoma" w:hAnsi="Tahoma" w:cs="Tahoma"/>
                <w:webHidden/>
              </w:rPr>
              <w:fldChar w:fldCharType="separate"/>
            </w:r>
            <w:r w:rsidR="0049243D" w:rsidRPr="00F362A1">
              <w:rPr>
                <w:rFonts w:ascii="Tahoma" w:hAnsi="Tahoma" w:cs="Tahoma"/>
                <w:webHidden/>
              </w:rPr>
              <w:t>9</w:t>
            </w:r>
            <w:r w:rsidR="00EA4AB2" w:rsidRPr="00F362A1">
              <w:rPr>
                <w:rFonts w:ascii="Tahoma" w:hAnsi="Tahoma" w:cs="Tahoma"/>
                <w:webHidden/>
              </w:rPr>
              <w:fldChar w:fldCharType="end"/>
            </w:r>
          </w:hyperlink>
        </w:p>
        <w:p w:rsidR="00FB0FC8" w:rsidRPr="00F362A1" w:rsidRDefault="002F1039" w:rsidP="002A6579">
          <w:pPr>
            <w:pStyle w:val="TOC1"/>
            <w:spacing w:line="276" w:lineRule="auto"/>
            <w:rPr>
              <w:rFonts w:ascii="Tahoma" w:eastAsiaTheme="minorEastAsia" w:hAnsi="Tahoma" w:cs="Tahoma"/>
              <w:b w:val="0"/>
            </w:rPr>
          </w:pPr>
          <w:hyperlink w:anchor="_Toc47687157" w:history="1">
            <w:r w:rsidR="00FB0FC8" w:rsidRPr="00F362A1">
              <w:rPr>
                <w:rStyle w:val="Hyperlink"/>
                <w:rFonts w:ascii="Tahoma" w:hAnsi="Tahoma" w:cs="Tahoma"/>
              </w:rPr>
              <w:t>III. Execuția bugetară pe primul semestru al anului 2020</w:t>
            </w:r>
            <w:r w:rsidR="00FB0FC8" w:rsidRPr="00F362A1">
              <w:rPr>
                <w:rFonts w:ascii="Tahoma" w:hAnsi="Tahoma" w:cs="Tahoma"/>
                <w:webHidden/>
              </w:rPr>
              <w:tab/>
            </w:r>
            <w:r w:rsidR="00EA4AB2" w:rsidRPr="00F362A1">
              <w:rPr>
                <w:rFonts w:ascii="Tahoma" w:hAnsi="Tahoma" w:cs="Tahoma"/>
                <w:webHidden/>
              </w:rPr>
              <w:fldChar w:fldCharType="begin"/>
            </w:r>
            <w:r w:rsidR="00FB0FC8" w:rsidRPr="00F362A1">
              <w:rPr>
                <w:rFonts w:ascii="Tahoma" w:hAnsi="Tahoma" w:cs="Tahoma"/>
                <w:webHidden/>
              </w:rPr>
              <w:instrText xml:space="preserve"> PAGEREF _Toc47687157 \h </w:instrText>
            </w:r>
            <w:r w:rsidR="00EA4AB2" w:rsidRPr="00F362A1">
              <w:rPr>
                <w:rFonts w:ascii="Tahoma" w:hAnsi="Tahoma" w:cs="Tahoma"/>
                <w:webHidden/>
              </w:rPr>
            </w:r>
            <w:r w:rsidR="00EA4AB2" w:rsidRPr="00F362A1">
              <w:rPr>
                <w:rFonts w:ascii="Tahoma" w:hAnsi="Tahoma" w:cs="Tahoma"/>
                <w:webHidden/>
              </w:rPr>
              <w:fldChar w:fldCharType="separate"/>
            </w:r>
            <w:r w:rsidR="0049243D" w:rsidRPr="00F362A1">
              <w:rPr>
                <w:rFonts w:ascii="Tahoma" w:hAnsi="Tahoma" w:cs="Tahoma"/>
                <w:webHidden/>
              </w:rPr>
              <w:t>19</w:t>
            </w:r>
            <w:r w:rsidR="00EA4AB2" w:rsidRPr="00F362A1">
              <w:rPr>
                <w:rFonts w:ascii="Tahoma" w:hAnsi="Tahoma" w:cs="Tahoma"/>
                <w:webHidden/>
              </w:rPr>
              <w:fldChar w:fldCharType="end"/>
            </w:r>
          </w:hyperlink>
        </w:p>
        <w:p w:rsidR="00FB0FC8" w:rsidRPr="00F362A1" w:rsidRDefault="002F1039" w:rsidP="002A6579">
          <w:pPr>
            <w:pStyle w:val="TOC1"/>
            <w:spacing w:line="276" w:lineRule="auto"/>
            <w:rPr>
              <w:rFonts w:ascii="Tahoma" w:eastAsiaTheme="minorEastAsia" w:hAnsi="Tahoma" w:cs="Tahoma"/>
              <w:b w:val="0"/>
            </w:rPr>
          </w:pPr>
          <w:hyperlink w:anchor="_Toc47687158" w:history="1">
            <w:r w:rsidR="00FB0FC8" w:rsidRPr="00F362A1">
              <w:rPr>
                <w:rStyle w:val="Hyperlink"/>
                <w:rFonts w:ascii="Tahoma" w:hAnsi="Tahoma" w:cs="Tahoma"/>
              </w:rPr>
              <w:t>IV. Finanțarea deficitului bugetar și datoria publică</w:t>
            </w:r>
            <w:r w:rsidR="00FB0FC8" w:rsidRPr="00F362A1">
              <w:rPr>
                <w:rFonts w:ascii="Tahoma" w:hAnsi="Tahoma" w:cs="Tahoma"/>
                <w:webHidden/>
              </w:rPr>
              <w:tab/>
            </w:r>
            <w:r w:rsidR="00EA4AB2" w:rsidRPr="00F362A1">
              <w:rPr>
                <w:rFonts w:ascii="Tahoma" w:hAnsi="Tahoma" w:cs="Tahoma"/>
                <w:webHidden/>
              </w:rPr>
              <w:fldChar w:fldCharType="begin"/>
            </w:r>
            <w:r w:rsidR="00FB0FC8" w:rsidRPr="00F362A1">
              <w:rPr>
                <w:rFonts w:ascii="Tahoma" w:hAnsi="Tahoma" w:cs="Tahoma"/>
                <w:webHidden/>
              </w:rPr>
              <w:instrText xml:space="preserve"> PAGEREF _Toc47687158 \h </w:instrText>
            </w:r>
            <w:r w:rsidR="00EA4AB2" w:rsidRPr="00F362A1">
              <w:rPr>
                <w:rFonts w:ascii="Tahoma" w:hAnsi="Tahoma" w:cs="Tahoma"/>
                <w:webHidden/>
              </w:rPr>
            </w:r>
            <w:r w:rsidR="00EA4AB2" w:rsidRPr="00F362A1">
              <w:rPr>
                <w:rFonts w:ascii="Tahoma" w:hAnsi="Tahoma" w:cs="Tahoma"/>
                <w:webHidden/>
              </w:rPr>
              <w:fldChar w:fldCharType="separate"/>
            </w:r>
            <w:r w:rsidR="0049243D" w:rsidRPr="00F362A1">
              <w:rPr>
                <w:rFonts w:ascii="Tahoma" w:hAnsi="Tahoma" w:cs="Tahoma"/>
                <w:webHidden/>
              </w:rPr>
              <w:t>30</w:t>
            </w:r>
            <w:r w:rsidR="00EA4AB2" w:rsidRPr="00F362A1">
              <w:rPr>
                <w:rFonts w:ascii="Tahoma" w:hAnsi="Tahoma" w:cs="Tahoma"/>
                <w:webHidden/>
              </w:rPr>
              <w:fldChar w:fldCharType="end"/>
            </w:r>
          </w:hyperlink>
        </w:p>
        <w:p w:rsidR="00FB0FC8" w:rsidRPr="00F362A1" w:rsidRDefault="002F1039" w:rsidP="002A6579">
          <w:pPr>
            <w:pStyle w:val="TOC1"/>
            <w:spacing w:line="276" w:lineRule="auto"/>
            <w:rPr>
              <w:rFonts w:ascii="Tahoma" w:eastAsiaTheme="minorEastAsia" w:hAnsi="Tahoma" w:cs="Tahoma"/>
              <w:b w:val="0"/>
            </w:rPr>
          </w:pPr>
          <w:hyperlink w:anchor="_Toc47687159" w:history="1">
            <w:r w:rsidR="00FB0FC8" w:rsidRPr="00F362A1">
              <w:rPr>
                <w:rStyle w:val="Hyperlink"/>
                <w:rFonts w:ascii="Tahoma" w:eastAsia="MS Mincho" w:hAnsi="Tahoma" w:cs="Tahoma"/>
                <w:lang w:eastAsia="ja-JP"/>
              </w:rPr>
              <w:t>V. Absorbția fondurilor externe nerambursabile</w:t>
            </w:r>
            <w:r w:rsidR="00FB0FC8" w:rsidRPr="00F362A1">
              <w:rPr>
                <w:rFonts w:ascii="Tahoma" w:hAnsi="Tahoma" w:cs="Tahoma"/>
                <w:webHidden/>
              </w:rPr>
              <w:tab/>
            </w:r>
            <w:r w:rsidR="00EA4AB2" w:rsidRPr="00F362A1">
              <w:rPr>
                <w:rFonts w:ascii="Tahoma" w:hAnsi="Tahoma" w:cs="Tahoma"/>
                <w:webHidden/>
              </w:rPr>
              <w:fldChar w:fldCharType="begin"/>
            </w:r>
            <w:r w:rsidR="00FB0FC8" w:rsidRPr="00F362A1">
              <w:rPr>
                <w:rFonts w:ascii="Tahoma" w:hAnsi="Tahoma" w:cs="Tahoma"/>
                <w:webHidden/>
              </w:rPr>
              <w:instrText xml:space="preserve"> PAGEREF _Toc47687159 \h </w:instrText>
            </w:r>
            <w:r w:rsidR="00EA4AB2" w:rsidRPr="00F362A1">
              <w:rPr>
                <w:rFonts w:ascii="Tahoma" w:hAnsi="Tahoma" w:cs="Tahoma"/>
                <w:webHidden/>
              </w:rPr>
            </w:r>
            <w:r w:rsidR="00EA4AB2" w:rsidRPr="00F362A1">
              <w:rPr>
                <w:rFonts w:ascii="Tahoma" w:hAnsi="Tahoma" w:cs="Tahoma"/>
                <w:webHidden/>
              </w:rPr>
              <w:fldChar w:fldCharType="separate"/>
            </w:r>
            <w:r w:rsidR="0049243D" w:rsidRPr="00F362A1">
              <w:rPr>
                <w:rFonts w:ascii="Tahoma" w:hAnsi="Tahoma" w:cs="Tahoma"/>
                <w:webHidden/>
              </w:rPr>
              <w:t>33</w:t>
            </w:r>
            <w:r w:rsidR="00EA4AB2" w:rsidRPr="00F362A1">
              <w:rPr>
                <w:rFonts w:ascii="Tahoma" w:hAnsi="Tahoma" w:cs="Tahoma"/>
                <w:webHidden/>
              </w:rPr>
              <w:fldChar w:fldCharType="end"/>
            </w:r>
          </w:hyperlink>
        </w:p>
        <w:p w:rsidR="00FB0FC8" w:rsidRPr="00F362A1" w:rsidRDefault="002F1039" w:rsidP="002A6579">
          <w:pPr>
            <w:pStyle w:val="TOC1"/>
            <w:spacing w:line="276" w:lineRule="auto"/>
            <w:rPr>
              <w:rFonts w:ascii="Tahoma" w:eastAsiaTheme="minorEastAsia" w:hAnsi="Tahoma" w:cs="Tahoma"/>
              <w:b w:val="0"/>
            </w:rPr>
          </w:pPr>
          <w:hyperlink w:anchor="_Toc47687160" w:history="1">
            <w:r w:rsidR="00FB0FC8" w:rsidRPr="00F362A1">
              <w:rPr>
                <w:rStyle w:val="Hyperlink"/>
                <w:rFonts w:ascii="Tahoma" w:hAnsi="Tahoma" w:cs="Tahoma"/>
              </w:rPr>
              <w:t>Concluzii</w:t>
            </w:r>
            <w:r w:rsidR="00FB0FC8" w:rsidRPr="00F362A1">
              <w:rPr>
                <w:rFonts w:ascii="Tahoma" w:hAnsi="Tahoma" w:cs="Tahoma"/>
                <w:webHidden/>
              </w:rPr>
              <w:tab/>
            </w:r>
            <w:r w:rsidR="00EA4AB2" w:rsidRPr="00F362A1">
              <w:rPr>
                <w:rFonts w:ascii="Tahoma" w:hAnsi="Tahoma" w:cs="Tahoma"/>
                <w:webHidden/>
              </w:rPr>
              <w:fldChar w:fldCharType="begin"/>
            </w:r>
            <w:r w:rsidR="00FB0FC8" w:rsidRPr="00F362A1">
              <w:rPr>
                <w:rFonts w:ascii="Tahoma" w:hAnsi="Tahoma" w:cs="Tahoma"/>
                <w:webHidden/>
              </w:rPr>
              <w:instrText xml:space="preserve"> PAGEREF _Toc47687160 \h </w:instrText>
            </w:r>
            <w:r w:rsidR="00EA4AB2" w:rsidRPr="00F362A1">
              <w:rPr>
                <w:rFonts w:ascii="Tahoma" w:hAnsi="Tahoma" w:cs="Tahoma"/>
                <w:webHidden/>
              </w:rPr>
            </w:r>
            <w:r w:rsidR="00EA4AB2" w:rsidRPr="00F362A1">
              <w:rPr>
                <w:rFonts w:ascii="Tahoma" w:hAnsi="Tahoma" w:cs="Tahoma"/>
                <w:webHidden/>
              </w:rPr>
              <w:fldChar w:fldCharType="separate"/>
            </w:r>
            <w:r w:rsidR="0049243D" w:rsidRPr="00F362A1">
              <w:rPr>
                <w:rFonts w:ascii="Tahoma" w:hAnsi="Tahoma" w:cs="Tahoma"/>
                <w:webHidden/>
              </w:rPr>
              <w:t>35</w:t>
            </w:r>
            <w:r w:rsidR="00EA4AB2" w:rsidRPr="00F362A1">
              <w:rPr>
                <w:rFonts w:ascii="Tahoma" w:hAnsi="Tahoma" w:cs="Tahoma"/>
                <w:webHidden/>
              </w:rPr>
              <w:fldChar w:fldCharType="end"/>
            </w:r>
          </w:hyperlink>
        </w:p>
        <w:p w:rsidR="00C43AD2" w:rsidRPr="00F362A1" w:rsidRDefault="00EA4AB2" w:rsidP="002A6579">
          <w:pPr>
            <w:spacing w:line="276" w:lineRule="auto"/>
            <w:rPr>
              <w:rFonts w:ascii="Tahoma" w:hAnsi="Tahoma" w:cs="Tahoma"/>
              <w:b/>
              <w:bCs/>
              <w:noProof/>
              <w:sz w:val="24"/>
              <w:szCs w:val="24"/>
            </w:rPr>
          </w:pPr>
          <w:r w:rsidRPr="00F362A1">
            <w:rPr>
              <w:rFonts w:ascii="Tahoma" w:hAnsi="Tahoma" w:cs="Tahoma"/>
              <w:b/>
              <w:bCs/>
              <w:noProof/>
              <w:sz w:val="24"/>
              <w:szCs w:val="24"/>
            </w:rPr>
            <w:fldChar w:fldCharType="end"/>
          </w:r>
        </w:p>
      </w:sdtContent>
    </w:sdt>
    <w:p w:rsidR="001E5189" w:rsidRPr="00F362A1" w:rsidRDefault="001E5189" w:rsidP="002A6579">
      <w:pPr>
        <w:spacing w:line="276" w:lineRule="auto"/>
        <w:rPr>
          <w:rFonts w:ascii="Tahoma" w:hAnsi="Tahoma" w:cs="Tahoma"/>
          <w:sz w:val="24"/>
          <w:szCs w:val="24"/>
        </w:rPr>
      </w:pPr>
    </w:p>
    <w:p w:rsidR="00FB0FC8" w:rsidRPr="00F362A1" w:rsidRDefault="00FB0FC8" w:rsidP="002A6579">
      <w:pPr>
        <w:keepNext/>
        <w:keepLines/>
        <w:spacing w:line="276" w:lineRule="auto"/>
        <w:rPr>
          <w:rFonts w:ascii="Tahoma" w:hAnsi="Tahoma" w:cs="Tahoma"/>
          <w:b/>
          <w:sz w:val="24"/>
          <w:szCs w:val="24"/>
        </w:rPr>
      </w:pPr>
    </w:p>
    <w:p w:rsidR="00FB0FC8" w:rsidRPr="00F362A1" w:rsidRDefault="00FB0FC8" w:rsidP="002A6579">
      <w:pPr>
        <w:keepNext/>
        <w:keepLines/>
        <w:spacing w:line="276" w:lineRule="auto"/>
        <w:rPr>
          <w:rFonts w:ascii="Tahoma" w:hAnsi="Tahoma" w:cs="Tahoma"/>
          <w:b/>
          <w:sz w:val="24"/>
          <w:szCs w:val="24"/>
        </w:rPr>
      </w:pPr>
    </w:p>
    <w:p w:rsidR="00FB0FC8" w:rsidRPr="00F362A1" w:rsidRDefault="00FB0FC8" w:rsidP="002A6579">
      <w:pPr>
        <w:pStyle w:val="Heading1"/>
        <w:pageBreakBefore/>
        <w:spacing w:after="480" w:line="276" w:lineRule="auto"/>
        <w:ind w:hanging="360"/>
        <w:rPr>
          <w:rFonts w:ascii="Tahoma" w:hAnsi="Tahoma" w:cs="Tahoma"/>
          <w:b/>
          <w:sz w:val="24"/>
          <w:szCs w:val="24"/>
        </w:rPr>
      </w:pPr>
      <w:bookmarkStart w:id="0" w:name="_Toc47687143"/>
      <w:r w:rsidRPr="00F362A1">
        <w:rPr>
          <w:rFonts w:ascii="Tahoma" w:hAnsi="Tahoma" w:cs="Tahoma"/>
          <w:b/>
          <w:sz w:val="24"/>
          <w:szCs w:val="24"/>
        </w:rPr>
        <w:lastRenderedPageBreak/>
        <w:t>INTRODUCERE</w:t>
      </w:r>
      <w:bookmarkEnd w:id="0"/>
    </w:p>
    <w:p w:rsidR="00D95A0A" w:rsidRPr="00F362A1" w:rsidRDefault="00542B5F" w:rsidP="002A6579">
      <w:pPr>
        <w:keepNext/>
        <w:numPr>
          <w:ilvl w:val="0"/>
          <w:numId w:val="12"/>
        </w:numPr>
        <w:spacing w:after="227" w:line="276" w:lineRule="auto"/>
        <w:ind w:right="2" w:hanging="360"/>
        <w:rPr>
          <w:rFonts w:ascii="Tahoma" w:hAnsi="Tahoma" w:cs="Tahoma"/>
          <w:sz w:val="24"/>
          <w:szCs w:val="24"/>
        </w:rPr>
      </w:pPr>
      <w:r w:rsidRPr="00F362A1">
        <w:rPr>
          <w:rFonts w:ascii="Tahoma" w:hAnsi="Tahoma" w:cs="Tahoma"/>
          <w:sz w:val="24"/>
          <w:szCs w:val="24"/>
        </w:rPr>
        <w:t xml:space="preserve">În condițiile situației excepționale survenite în economia românească ca urmare a pandemiei provocată de virusul SARS-CoV-2, </w:t>
      </w:r>
      <w:r w:rsidR="00E70CFC" w:rsidRPr="00F362A1">
        <w:rPr>
          <w:rFonts w:ascii="Tahoma" w:hAnsi="Tahoma" w:cs="Tahoma"/>
          <w:sz w:val="24"/>
          <w:szCs w:val="24"/>
        </w:rPr>
        <w:t>î</w:t>
      </w:r>
      <w:r w:rsidRPr="00F362A1">
        <w:rPr>
          <w:rFonts w:ascii="Tahoma" w:hAnsi="Tahoma" w:cs="Tahoma"/>
          <w:sz w:val="24"/>
          <w:szCs w:val="24"/>
        </w:rPr>
        <w:t>n mod excep</w:t>
      </w:r>
      <w:r w:rsidR="00E70CFC" w:rsidRPr="00F362A1">
        <w:rPr>
          <w:rFonts w:ascii="Tahoma" w:hAnsi="Tahoma" w:cs="Tahoma"/>
          <w:sz w:val="24"/>
          <w:szCs w:val="24"/>
        </w:rPr>
        <w:t>ț</w:t>
      </w:r>
      <w:r w:rsidRPr="00F362A1">
        <w:rPr>
          <w:rFonts w:ascii="Tahoma" w:hAnsi="Tahoma" w:cs="Tahoma"/>
          <w:sz w:val="24"/>
          <w:szCs w:val="24"/>
        </w:rPr>
        <w:t xml:space="preserve">ional, </w:t>
      </w:r>
      <w:r w:rsidR="00E70CFC" w:rsidRPr="00F362A1">
        <w:rPr>
          <w:rFonts w:ascii="Tahoma" w:hAnsi="Tahoma" w:cs="Tahoma"/>
          <w:sz w:val="24"/>
          <w:szCs w:val="24"/>
        </w:rPr>
        <w:t>î</w:t>
      </w:r>
      <w:r w:rsidRPr="00F362A1">
        <w:rPr>
          <w:rFonts w:ascii="Tahoma" w:hAnsi="Tahoma" w:cs="Tahoma"/>
          <w:sz w:val="24"/>
          <w:szCs w:val="24"/>
        </w:rPr>
        <w:t xml:space="preserve">n </w:t>
      </w:r>
      <w:r w:rsidR="00DC146A" w:rsidRPr="00F362A1">
        <w:rPr>
          <w:rFonts w:ascii="Tahoma" w:hAnsi="Tahoma" w:cs="Tahoma"/>
          <w:sz w:val="24"/>
          <w:szCs w:val="24"/>
        </w:rPr>
        <w:t>primul semestru</w:t>
      </w:r>
      <w:r w:rsidRPr="00F362A1">
        <w:rPr>
          <w:rFonts w:ascii="Tahoma" w:hAnsi="Tahoma" w:cs="Tahoma"/>
          <w:sz w:val="24"/>
          <w:szCs w:val="24"/>
        </w:rPr>
        <w:t xml:space="preserve"> a</w:t>
      </w:r>
      <w:r w:rsidR="00DC146A" w:rsidRPr="00F362A1">
        <w:rPr>
          <w:rFonts w:ascii="Tahoma" w:hAnsi="Tahoma" w:cs="Tahoma"/>
          <w:sz w:val="24"/>
          <w:szCs w:val="24"/>
        </w:rPr>
        <w:t>l</w:t>
      </w:r>
      <w:r w:rsidRPr="00F362A1">
        <w:rPr>
          <w:rFonts w:ascii="Tahoma" w:hAnsi="Tahoma" w:cs="Tahoma"/>
          <w:sz w:val="24"/>
          <w:szCs w:val="24"/>
        </w:rPr>
        <w:t xml:space="preserve"> anului </w:t>
      </w:r>
      <w:r w:rsidR="00CB1A21" w:rsidRPr="00F362A1">
        <w:rPr>
          <w:rFonts w:ascii="Tahoma" w:hAnsi="Tahoma" w:cs="Tahoma"/>
          <w:sz w:val="24"/>
          <w:szCs w:val="24"/>
        </w:rPr>
        <w:t>2020 a fost</w:t>
      </w:r>
      <w:r w:rsidR="00DC146A" w:rsidRPr="00F362A1">
        <w:rPr>
          <w:rFonts w:ascii="Tahoma" w:hAnsi="Tahoma" w:cs="Tahoma"/>
          <w:sz w:val="24"/>
          <w:szCs w:val="24"/>
        </w:rPr>
        <w:t xml:space="preserve"> adoptată prima rectificare bugetară, în care s-au reflectat mă</w:t>
      </w:r>
      <w:r w:rsidR="00E31C56" w:rsidRPr="00F362A1">
        <w:rPr>
          <w:rFonts w:ascii="Tahoma" w:hAnsi="Tahoma" w:cs="Tahoma"/>
          <w:sz w:val="24"/>
          <w:szCs w:val="24"/>
        </w:rPr>
        <w:t xml:space="preserve">surile luate pentru prevenirea </w:t>
      </w:r>
      <w:r w:rsidR="00DC146A" w:rsidRPr="00F362A1">
        <w:rPr>
          <w:rFonts w:ascii="Tahoma" w:hAnsi="Tahoma" w:cs="Tahoma"/>
          <w:sz w:val="24"/>
          <w:szCs w:val="24"/>
        </w:rPr>
        <w:t>ș</w:t>
      </w:r>
      <w:r w:rsidR="00E31C56" w:rsidRPr="00F362A1">
        <w:rPr>
          <w:rFonts w:ascii="Tahoma" w:hAnsi="Tahoma" w:cs="Tahoma"/>
          <w:sz w:val="24"/>
          <w:szCs w:val="24"/>
        </w:rPr>
        <w:t xml:space="preserve">i </w:t>
      </w:r>
      <w:r w:rsidR="00D95A0A" w:rsidRPr="00F362A1">
        <w:rPr>
          <w:rFonts w:ascii="Tahoma" w:hAnsi="Tahoma" w:cs="Tahoma"/>
          <w:sz w:val="24"/>
          <w:szCs w:val="24"/>
        </w:rPr>
        <w:t>combaterea efectelor epidemiei de COVID-19.</w:t>
      </w:r>
    </w:p>
    <w:p w:rsidR="00FB0FC8" w:rsidRPr="00F362A1" w:rsidRDefault="001B347E" w:rsidP="002A6579">
      <w:pPr>
        <w:keepNext/>
        <w:numPr>
          <w:ilvl w:val="0"/>
          <w:numId w:val="12"/>
        </w:numPr>
        <w:spacing w:after="227" w:line="276" w:lineRule="auto"/>
        <w:ind w:right="2" w:hanging="360"/>
        <w:rPr>
          <w:rFonts w:ascii="Tahoma" w:hAnsi="Tahoma" w:cs="Tahoma"/>
          <w:sz w:val="24"/>
          <w:szCs w:val="24"/>
        </w:rPr>
      </w:pPr>
      <w:r w:rsidRPr="00F362A1">
        <w:rPr>
          <w:rFonts w:ascii="Tahoma" w:hAnsi="Tahoma" w:cs="Tahoma"/>
          <w:sz w:val="24"/>
          <w:szCs w:val="24"/>
        </w:rPr>
        <w:t xml:space="preserve">Rectificarea bugetară a survenit în condițiile anunțării de către Guvern a unor circumstanțe </w:t>
      </w:r>
      <w:r w:rsidRPr="00F362A1">
        <w:rPr>
          <w:rFonts w:ascii="Tahoma" w:eastAsia="Calibri" w:hAnsi="Tahoma" w:cs="Tahoma"/>
          <w:sz w:val="24"/>
          <w:szCs w:val="24"/>
        </w:rPr>
        <w:t>extraordinare determinate de pandemia prov</w:t>
      </w:r>
      <w:r w:rsidRPr="00F362A1">
        <w:rPr>
          <w:rFonts w:ascii="Tahoma" w:hAnsi="Tahoma" w:cs="Tahoma"/>
          <w:sz w:val="24"/>
          <w:szCs w:val="24"/>
        </w:rPr>
        <w:t xml:space="preserve">ocată de virusul SARS-CoV-2, </w:t>
      </w:r>
      <w:r w:rsidR="00E70CFC" w:rsidRPr="00F362A1">
        <w:rPr>
          <w:rFonts w:ascii="Tahoma" w:hAnsi="Tahoma" w:cs="Tahoma"/>
          <w:sz w:val="24"/>
          <w:szCs w:val="24"/>
        </w:rPr>
        <w:t>circumstanțe</w:t>
      </w:r>
      <w:r w:rsidRPr="00F362A1">
        <w:rPr>
          <w:rFonts w:ascii="Tahoma" w:hAnsi="Tahoma" w:cs="Tahoma"/>
          <w:sz w:val="24"/>
          <w:szCs w:val="24"/>
        </w:rPr>
        <w:t xml:space="preserve"> care au fost validate de </w:t>
      </w:r>
      <w:r w:rsidRPr="00F362A1">
        <w:rPr>
          <w:rFonts w:ascii="Tahoma" w:eastAsia="Calibri" w:hAnsi="Tahoma" w:cs="Tahoma"/>
          <w:sz w:val="24"/>
          <w:szCs w:val="24"/>
        </w:rPr>
        <w:t>Consiliul Fiscal</w:t>
      </w:r>
      <w:r w:rsidR="00DC146A" w:rsidRPr="00F362A1">
        <w:rPr>
          <w:rFonts w:ascii="Tahoma" w:eastAsia="Calibri" w:hAnsi="Tahoma" w:cs="Tahoma"/>
          <w:sz w:val="24"/>
          <w:szCs w:val="24"/>
        </w:rPr>
        <w:t xml:space="preserve"> </w:t>
      </w:r>
      <w:r w:rsidR="00E70CFC" w:rsidRPr="00F362A1">
        <w:rPr>
          <w:rFonts w:ascii="Tahoma" w:hAnsi="Tahoma" w:cs="Tahoma"/>
          <w:sz w:val="24"/>
          <w:szCs w:val="24"/>
        </w:rPr>
        <w:t>î</w:t>
      </w:r>
      <w:r w:rsidRPr="00F362A1">
        <w:rPr>
          <w:rFonts w:ascii="Tahoma" w:hAnsi="Tahoma" w:cs="Tahoma"/>
          <w:sz w:val="24"/>
          <w:szCs w:val="24"/>
        </w:rPr>
        <w:t xml:space="preserve">n </w:t>
      </w:r>
      <w:r w:rsidRPr="00F362A1">
        <w:rPr>
          <w:rFonts w:ascii="Tahoma" w:hAnsi="Tahoma" w:cs="Tahoma"/>
          <w:b/>
          <w:sz w:val="24"/>
          <w:szCs w:val="24"/>
        </w:rPr>
        <w:t>Opinia Consiliului Fiscal cu privire la proiectul de rectificare a bugetului general consolidat pe anul 2020</w:t>
      </w:r>
      <w:r w:rsidR="00CB1A21" w:rsidRPr="00F362A1">
        <w:rPr>
          <w:rFonts w:ascii="Tahoma" w:hAnsi="Tahoma" w:cs="Tahoma"/>
          <w:b/>
          <w:sz w:val="24"/>
          <w:szCs w:val="24"/>
        </w:rPr>
        <w:t>.</w:t>
      </w:r>
    </w:p>
    <w:p w:rsidR="000051D6" w:rsidRPr="00F362A1" w:rsidRDefault="00542B5F" w:rsidP="002A6579">
      <w:pPr>
        <w:numPr>
          <w:ilvl w:val="0"/>
          <w:numId w:val="12"/>
        </w:numPr>
        <w:spacing w:after="227" w:line="276" w:lineRule="auto"/>
        <w:ind w:right="2" w:hanging="360"/>
        <w:rPr>
          <w:rFonts w:ascii="Tahoma" w:hAnsi="Tahoma" w:cs="Tahoma"/>
          <w:sz w:val="24"/>
          <w:szCs w:val="24"/>
        </w:rPr>
      </w:pPr>
      <w:r w:rsidRPr="00F362A1">
        <w:rPr>
          <w:rFonts w:ascii="Tahoma" w:hAnsi="Tahoma" w:cs="Tahoma"/>
          <w:sz w:val="24"/>
          <w:szCs w:val="24"/>
        </w:rPr>
        <w:t>Menționăm că adoptarea rectificării bugetare în luna aprilie</w:t>
      </w:r>
      <w:r w:rsidR="00E31C56" w:rsidRPr="00F362A1">
        <w:rPr>
          <w:rFonts w:ascii="Tahoma" w:hAnsi="Tahoma" w:cs="Tahoma"/>
          <w:sz w:val="24"/>
          <w:szCs w:val="24"/>
        </w:rPr>
        <w:t xml:space="preserve"> a.c.</w:t>
      </w:r>
      <w:r w:rsidRPr="00F362A1">
        <w:rPr>
          <w:rFonts w:ascii="Tahoma" w:hAnsi="Tahoma" w:cs="Tahoma"/>
          <w:sz w:val="24"/>
          <w:szCs w:val="24"/>
        </w:rPr>
        <w:t xml:space="preserve"> are la bază derogarea instituită de O.U.G. nr. 29/2020 (art. IX alin. (1)) de la prevederile LRFB (art. 23 alin. (1</w:t>
      </w:r>
      <w:r w:rsidR="000051D6" w:rsidRPr="00F362A1">
        <w:rPr>
          <w:rFonts w:ascii="Tahoma" w:hAnsi="Tahoma" w:cs="Tahoma"/>
          <w:sz w:val="24"/>
          <w:szCs w:val="24"/>
        </w:rPr>
        <w:t>) și (2)).</w:t>
      </w:r>
    </w:p>
    <w:p w:rsidR="00542B5F" w:rsidRPr="00F362A1" w:rsidRDefault="00542B5F" w:rsidP="002A6579">
      <w:pPr>
        <w:numPr>
          <w:ilvl w:val="0"/>
          <w:numId w:val="12"/>
        </w:numPr>
        <w:spacing w:after="227" w:line="276" w:lineRule="auto"/>
        <w:ind w:right="2" w:hanging="360"/>
        <w:rPr>
          <w:rFonts w:ascii="Tahoma" w:hAnsi="Tahoma" w:cs="Tahoma"/>
          <w:sz w:val="24"/>
          <w:szCs w:val="24"/>
        </w:rPr>
      </w:pPr>
      <w:r w:rsidRPr="00F362A1">
        <w:rPr>
          <w:rFonts w:ascii="Tahoma" w:hAnsi="Tahoma" w:cs="Tahoma"/>
          <w:sz w:val="24"/>
          <w:szCs w:val="24"/>
        </w:rPr>
        <w:t>Astfel, specificăm că Raportul asupra evoluției bugetare aferentă primului semestru al anului 2020 a fost elaborat ca raportare la rectificarea bugetară</w:t>
      </w:r>
      <w:r w:rsidR="00D95A0A" w:rsidRPr="00F362A1">
        <w:rPr>
          <w:rFonts w:ascii="Tahoma" w:hAnsi="Tahoma" w:cs="Tahoma"/>
          <w:sz w:val="24"/>
          <w:szCs w:val="24"/>
        </w:rPr>
        <w:t xml:space="preserve"> din aprilie a.c.</w:t>
      </w:r>
      <w:r w:rsidRPr="00F362A1">
        <w:rPr>
          <w:rFonts w:ascii="Tahoma" w:hAnsi="Tahoma" w:cs="Tahoma"/>
          <w:sz w:val="24"/>
          <w:szCs w:val="24"/>
        </w:rPr>
        <w:t>, promovată prin O.U.G. nr. 50</w:t>
      </w:r>
      <w:r w:rsidR="00D95A0A" w:rsidRPr="00F362A1">
        <w:rPr>
          <w:rFonts w:ascii="Tahoma" w:hAnsi="Tahoma" w:cs="Tahoma"/>
          <w:sz w:val="24"/>
          <w:szCs w:val="24"/>
        </w:rPr>
        <w:t>/2020 privind rectificarea bugetului de stat</w:t>
      </w:r>
      <w:r w:rsidR="00BA56F1" w:rsidRPr="00F362A1">
        <w:rPr>
          <w:rFonts w:ascii="Tahoma" w:hAnsi="Tahoma" w:cs="Tahoma"/>
          <w:sz w:val="24"/>
          <w:szCs w:val="24"/>
        </w:rPr>
        <w:t xml:space="preserve"> ș</w:t>
      </w:r>
      <w:r w:rsidR="00D95A0A" w:rsidRPr="00F362A1">
        <w:rPr>
          <w:rFonts w:ascii="Tahoma" w:hAnsi="Tahoma" w:cs="Tahoma"/>
          <w:sz w:val="24"/>
          <w:szCs w:val="24"/>
        </w:rPr>
        <w:t xml:space="preserve">i promulgata prin Legea 115/2020 </w:t>
      </w:r>
      <w:r w:rsidRPr="00F362A1">
        <w:rPr>
          <w:rFonts w:ascii="Tahoma" w:hAnsi="Tahoma" w:cs="Tahoma"/>
          <w:sz w:val="24"/>
          <w:szCs w:val="24"/>
        </w:rPr>
        <w:t>și</w:t>
      </w:r>
      <w:r w:rsidR="00D95A0A" w:rsidRPr="00F362A1">
        <w:rPr>
          <w:rFonts w:ascii="Tahoma" w:hAnsi="Tahoma" w:cs="Tahoma"/>
          <w:sz w:val="24"/>
          <w:szCs w:val="24"/>
        </w:rPr>
        <w:t xml:space="preserve"> OUG nr.</w:t>
      </w:r>
      <w:r w:rsidRPr="00F362A1">
        <w:rPr>
          <w:rFonts w:ascii="Tahoma" w:hAnsi="Tahoma" w:cs="Tahoma"/>
          <w:sz w:val="24"/>
          <w:szCs w:val="24"/>
        </w:rPr>
        <w:t xml:space="preserve"> 51</w:t>
      </w:r>
      <w:r w:rsidR="00D95A0A" w:rsidRPr="00F362A1">
        <w:rPr>
          <w:rFonts w:ascii="Tahoma" w:hAnsi="Tahoma" w:cs="Tahoma"/>
          <w:sz w:val="24"/>
          <w:szCs w:val="24"/>
        </w:rPr>
        <w:t>/2020</w:t>
      </w:r>
      <w:r w:rsidR="00BA56F1" w:rsidRPr="00F362A1">
        <w:rPr>
          <w:rFonts w:ascii="Tahoma" w:hAnsi="Tahoma" w:cs="Tahoma"/>
          <w:sz w:val="24"/>
          <w:szCs w:val="24"/>
        </w:rPr>
        <w:t xml:space="preserve"> </w:t>
      </w:r>
      <w:r w:rsidR="00D95A0A" w:rsidRPr="00F362A1">
        <w:rPr>
          <w:rFonts w:ascii="Tahoma" w:hAnsi="Tahoma" w:cs="Tahoma"/>
          <w:sz w:val="24"/>
          <w:szCs w:val="24"/>
        </w:rPr>
        <w:t xml:space="preserve">privind rectificarea bugetului </w:t>
      </w:r>
      <w:r w:rsidR="00247A3D" w:rsidRPr="00F362A1">
        <w:rPr>
          <w:rFonts w:ascii="Tahoma" w:hAnsi="Tahoma" w:cs="Tahoma"/>
          <w:sz w:val="24"/>
          <w:szCs w:val="24"/>
        </w:rPr>
        <w:t>asigurărilor</w:t>
      </w:r>
      <w:r w:rsidR="00D95A0A" w:rsidRPr="00F362A1">
        <w:rPr>
          <w:rFonts w:ascii="Tahoma" w:hAnsi="Tahoma" w:cs="Tahoma"/>
          <w:sz w:val="24"/>
          <w:szCs w:val="24"/>
        </w:rPr>
        <w:t xml:space="preserve"> sociale de stat</w:t>
      </w:r>
      <w:r w:rsidRPr="00F362A1">
        <w:rPr>
          <w:rFonts w:ascii="Tahoma" w:hAnsi="Tahoma" w:cs="Tahoma"/>
          <w:sz w:val="24"/>
          <w:szCs w:val="24"/>
        </w:rPr>
        <w:t>.</w:t>
      </w:r>
    </w:p>
    <w:p w:rsidR="007C4F03" w:rsidRPr="00F362A1" w:rsidRDefault="007C4F03" w:rsidP="002A6579">
      <w:pPr>
        <w:keepNext/>
        <w:keepLines/>
        <w:spacing w:line="276" w:lineRule="auto"/>
        <w:rPr>
          <w:rFonts w:ascii="Tahoma" w:hAnsi="Tahoma" w:cs="Tahoma"/>
          <w:sz w:val="24"/>
          <w:szCs w:val="24"/>
        </w:rPr>
      </w:pPr>
    </w:p>
    <w:p w:rsidR="007C4F03" w:rsidRPr="00F362A1" w:rsidRDefault="007C4F03" w:rsidP="002A6579">
      <w:pPr>
        <w:keepNext/>
        <w:keepLines/>
        <w:spacing w:line="276" w:lineRule="auto"/>
        <w:rPr>
          <w:rFonts w:ascii="Tahoma" w:hAnsi="Tahoma" w:cs="Tahoma"/>
          <w:sz w:val="24"/>
          <w:szCs w:val="24"/>
        </w:rPr>
      </w:pPr>
    </w:p>
    <w:p w:rsidR="006407D7" w:rsidRPr="00F362A1" w:rsidRDefault="006407D7" w:rsidP="002A6579">
      <w:pPr>
        <w:keepNext/>
        <w:keepLines/>
        <w:spacing w:line="276" w:lineRule="auto"/>
        <w:rPr>
          <w:rFonts w:ascii="Tahoma" w:hAnsi="Tahoma" w:cs="Tahoma"/>
          <w:sz w:val="24"/>
          <w:szCs w:val="24"/>
        </w:rPr>
      </w:pPr>
    </w:p>
    <w:p w:rsidR="007C4F03" w:rsidRPr="00F362A1" w:rsidRDefault="007C4F03" w:rsidP="002A6579">
      <w:pPr>
        <w:keepNext/>
        <w:keepLines/>
        <w:spacing w:line="276" w:lineRule="auto"/>
        <w:rPr>
          <w:rFonts w:ascii="Tahoma" w:hAnsi="Tahoma" w:cs="Tahoma"/>
          <w:sz w:val="24"/>
          <w:szCs w:val="24"/>
        </w:rPr>
      </w:pPr>
    </w:p>
    <w:p w:rsidR="00F51EDE" w:rsidRPr="00F362A1" w:rsidRDefault="00F51EDE" w:rsidP="002A6579">
      <w:pPr>
        <w:keepNext/>
        <w:keepLines/>
        <w:spacing w:line="276" w:lineRule="auto"/>
        <w:rPr>
          <w:rFonts w:ascii="Tahoma" w:hAnsi="Tahoma" w:cs="Tahoma"/>
          <w:sz w:val="24"/>
          <w:szCs w:val="24"/>
        </w:rPr>
      </w:pPr>
    </w:p>
    <w:p w:rsidR="00F51EDE" w:rsidRPr="00F362A1" w:rsidRDefault="00F51EDE" w:rsidP="002A6579">
      <w:pPr>
        <w:keepNext/>
        <w:keepLines/>
        <w:spacing w:line="276" w:lineRule="auto"/>
        <w:rPr>
          <w:rFonts w:ascii="Tahoma" w:hAnsi="Tahoma" w:cs="Tahoma"/>
          <w:sz w:val="24"/>
          <w:szCs w:val="24"/>
        </w:rPr>
      </w:pPr>
    </w:p>
    <w:p w:rsidR="00F51EDE" w:rsidRPr="00F362A1" w:rsidRDefault="00F51EDE" w:rsidP="002A6579">
      <w:pPr>
        <w:keepNext/>
        <w:keepLines/>
        <w:spacing w:line="276" w:lineRule="auto"/>
        <w:rPr>
          <w:rFonts w:ascii="Tahoma" w:hAnsi="Tahoma" w:cs="Tahoma"/>
          <w:sz w:val="24"/>
          <w:szCs w:val="24"/>
        </w:rPr>
      </w:pPr>
    </w:p>
    <w:p w:rsidR="00F51EDE" w:rsidRPr="00F362A1" w:rsidRDefault="00F51EDE" w:rsidP="002A6579">
      <w:pPr>
        <w:keepNext/>
        <w:keepLines/>
        <w:spacing w:line="276" w:lineRule="auto"/>
        <w:rPr>
          <w:rFonts w:ascii="Tahoma" w:hAnsi="Tahoma" w:cs="Tahoma"/>
          <w:sz w:val="24"/>
          <w:szCs w:val="24"/>
        </w:rPr>
      </w:pPr>
    </w:p>
    <w:p w:rsidR="00F51EDE" w:rsidRPr="00F362A1" w:rsidRDefault="00F51EDE" w:rsidP="002A6579">
      <w:pPr>
        <w:keepNext/>
        <w:keepLines/>
        <w:spacing w:line="276" w:lineRule="auto"/>
        <w:rPr>
          <w:rFonts w:ascii="Tahoma" w:hAnsi="Tahoma" w:cs="Tahoma"/>
          <w:sz w:val="24"/>
          <w:szCs w:val="24"/>
        </w:rPr>
      </w:pPr>
    </w:p>
    <w:p w:rsidR="00F96228" w:rsidRPr="00F362A1" w:rsidRDefault="00F96228" w:rsidP="002A6579">
      <w:pPr>
        <w:keepNext/>
        <w:keepLines/>
        <w:spacing w:line="276" w:lineRule="auto"/>
        <w:rPr>
          <w:rFonts w:ascii="Tahoma" w:hAnsi="Tahoma" w:cs="Tahoma"/>
          <w:sz w:val="24"/>
          <w:szCs w:val="24"/>
        </w:rPr>
      </w:pPr>
      <w:r w:rsidRPr="00F362A1">
        <w:rPr>
          <w:rFonts w:ascii="Tahoma" w:hAnsi="Tahoma" w:cs="Tahoma"/>
          <w:sz w:val="24"/>
          <w:szCs w:val="24"/>
        </w:rPr>
        <w:br w:type="page"/>
      </w:r>
    </w:p>
    <w:p w:rsidR="007C4F03" w:rsidRPr="00F362A1" w:rsidRDefault="00EE2635" w:rsidP="002A6579">
      <w:pPr>
        <w:pStyle w:val="ListParagraph"/>
        <w:keepNext/>
        <w:keepLines/>
        <w:numPr>
          <w:ilvl w:val="0"/>
          <w:numId w:val="1"/>
        </w:numPr>
        <w:spacing w:line="276" w:lineRule="auto"/>
        <w:ind w:left="0" w:firstLine="630"/>
        <w:outlineLvl w:val="0"/>
        <w:rPr>
          <w:rFonts w:ascii="Tahoma" w:hAnsi="Tahoma" w:cs="Tahoma"/>
          <w:b/>
          <w:sz w:val="24"/>
          <w:szCs w:val="24"/>
        </w:rPr>
      </w:pPr>
      <w:bookmarkStart w:id="1" w:name="_Toc299543078"/>
      <w:bookmarkStart w:id="2" w:name="_Toc425320856"/>
      <w:bookmarkStart w:id="3" w:name="_Toc456256932"/>
      <w:bookmarkStart w:id="4" w:name="_Toc456257456"/>
      <w:bookmarkStart w:id="5" w:name="_Toc456258314"/>
      <w:bookmarkStart w:id="6" w:name="_Toc456258418"/>
      <w:bookmarkStart w:id="7" w:name="_Toc47687144"/>
      <w:r w:rsidRPr="00F362A1">
        <w:rPr>
          <w:rFonts w:ascii="Tahoma" w:hAnsi="Tahoma" w:cs="Tahoma"/>
          <w:b/>
          <w:sz w:val="24"/>
          <w:szCs w:val="24"/>
        </w:rPr>
        <w:lastRenderedPageBreak/>
        <w:t>Evoluții</w:t>
      </w:r>
      <w:r w:rsidR="007C4F03" w:rsidRPr="00F362A1">
        <w:rPr>
          <w:rFonts w:ascii="Tahoma" w:hAnsi="Tahoma" w:cs="Tahoma"/>
          <w:b/>
          <w:sz w:val="24"/>
          <w:szCs w:val="24"/>
        </w:rPr>
        <w:t xml:space="preserve"> macroeconomice recente ale economiei </w:t>
      </w:r>
      <w:bookmarkEnd w:id="1"/>
      <w:bookmarkEnd w:id="2"/>
      <w:bookmarkEnd w:id="3"/>
      <w:bookmarkEnd w:id="4"/>
      <w:bookmarkEnd w:id="5"/>
      <w:bookmarkEnd w:id="6"/>
      <w:r w:rsidRPr="00F362A1">
        <w:rPr>
          <w:rFonts w:ascii="Tahoma" w:hAnsi="Tahoma" w:cs="Tahoma"/>
          <w:b/>
          <w:sz w:val="24"/>
          <w:szCs w:val="24"/>
        </w:rPr>
        <w:t>românești</w:t>
      </w:r>
      <w:bookmarkEnd w:id="7"/>
    </w:p>
    <w:p w:rsidR="009D0987" w:rsidRPr="00F362A1" w:rsidRDefault="009D0987" w:rsidP="002A6579">
      <w:pPr>
        <w:pStyle w:val="ListParagraph"/>
        <w:keepNext/>
        <w:keepLines/>
        <w:spacing w:line="276" w:lineRule="auto"/>
        <w:ind w:left="0" w:firstLine="720"/>
        <w:outlineLvl w:val="0"/>
        <w:rPr>
          <w:rFonts w:ascii="Tahoma" w:hAnsi="Tahoma" w:cs="Tahoma"/>
          <w:b/>
          <w:sz w:val="24"/>
          <w:szCs w:val="24"/>
        </w:rPr>
      </w:pPr>
    </w:p>
    <w:p w:rsidR="000051D6" w:rsidRPr="00F362A1" w:rsidRDefault="000051D6" w:rsidP="002A6579">
      <w:pPr>
        <w:widowControl w:val="0"/>
        <w:suppressAutoHyphens/>
        <w:spacing w:before="120" w:after="120" w:line="276" w:lineRule="auto"/>
        <w:ind w:firstLine="720"/>
        <w:rPr>
          <w:rFonts w:ascii="Tahoma" w:eastAsia="Calibri" w:hAnsi="Tahoma" w:cs="Tahoma"/>
          <w:sz w:val="24"/>
          <w:szCs w:val="24"/>
        </w:rPr>
      </w:pPr>
      <w:r w:rsidRPr="00F362A1">
        <w:rPr>
          <w:rFonts w:ascii="Tahoma" w:eastAsia="Calibri" w:hAnsi="Tahoma" w:cs="Tahoma"/>
          <w:sz w:val="24"/>
          <w:szCs w:val="24"/>
        </w:rPr>
        <w:t>Conform datelor publicate de Institutul Național de Statistică, în trimestrul I 2020 comparativ cu trimestrul I 2019 economia a înregistrat un avans de 2,4% (serie brută, date provizorii). Din punct de vedere al creșterii economice, România a înregistrat a doua cea mai mare creștere din UE (Irlanda, 4,6%). Pe ansamblul UE, creșterea economică a înregistrat o contracție de 2,4%. Pe serie ajustată sezonier, produsul intern brut trimestrial în România a crescut cu 2,7% în trimestrul I 2020 față de trimestrul corespunzător al anului precedent.</w:t>
      </w:r>
    </w:p>
    <w:p w:rsidR="000051D6" w:rsidRPr="00F362A1" w:rsidRDefault="000051D6" w:rsidP="002A6579">
      <w:pPr>
        <w:widowControl w:val="0"/>
        <w:suppressAutoHyphens/>
        <w:spacing w:before="120" w:after="120" w:line="276" w:lineRule="auto"/>
        <w:ind w:firstLine="720"/>
        <w:rPr>
          <w:rFonts w:ascii="Tahoma" w:eastAsia="Calibri" w:hAnsi="Tahoma" w:cs="Tahoma"/>
          <w:sz w:val="24"/>
          <w:szCs w:val="24"/>
        </w:rPr>
      </w:pPr>
      <w:r w:rsidRPr="00F362A1">
        <w:rPr>
          <w:rFonts w:ascii="Tahoma" w:eastAsia="Calibri" w:hAnsi="Tahoma" w:cs="Tahoma"/>
          <w:sz w:val="24"/>
          <w:szCs w:val="24"/>
        </w:rPr>
        <w:t xml:space="preserve">Pe latura cererii, consumul privat a înregistrat, în trimestrul I 2020, un spor de 3,8% comparativ cu trimestrul corespunzător din 2019, contribuind cu 2,6 puncte procentuale la creșterea economică. În cadrul acestuia cheltuiala pentru consumul final al gospodăriilor populației a avut aceeași dinamică (3,8%), în principal, datorită  creșterii cu 8,6% a cumpărărilor de mărfuri. Consumul colectiv efectiv al administrației publice a înregistrat un salt cu 13,0% ca urmare a creșterii cheltuielilor pentru sănătate şi sociale efectuate în vederea limitării răspândirii virusului COVID 19, precum și a combaterii efectelor acestuia. </w:t>
      </w:r>
    </w:p>
    <w:p w:rsidR="000051D6" w:rsidRPr="00F362A1" w:rsidRDefault="000051D6" w:rsidP="002A6579">
      <w:pPr>
        <w:widowControl w:val="0"/>
        <w:suppressAutoHyphens/>
        <w:spacing w:before="120" w:after="120" w:line="276" w:lineRule="auto"/>
        <w:ind w:firstLine="720"/>
        <w:rPr>
          <w:rFonts w:ascii="Tahoma" w:eastAsia="Calibri" w:hAnsi="Tahoma" w:cs="Tahoma"/>
          <w:sz w:val="24"/>
          <w:szCs w:val="24"/>
        </w:rPr>
      </w:pPr>
      <w:r w:rsidRPr="00F362A1">
        <w:rPr>
          <w:rFonts w:ascii="Tahoma" w:eastAsia="Calibri" w:hAnsi="Tahoma" w:cs="Tahoma"/>
          <w:sz w:val="24"/>
          <w:szCs w:val="24"/>
        </w:rPr>
        <w:t>Investițiile în infrastructură realizate în trimestrul I 2020 au condus la o creștere a formării brute de capital fix cu 13,1% comparativ  cu trimestrul I 2019, contribuind cu 2 puncte procentuale la creșterea PIB. În același timp, variația stocurilor a înregistrat o contribuție negativă de 0,9 puncte procentuale datorită amplificării înclinației</w:t>
      </w:r>
      <w:r w:rsidR="00FF1D0A" w:rsidRPr="00F362A1">
        <w:rPr>
          <w:rFonts w:ascii="Tahoma" w:eastAsia="Calibri" w:hAnsi="Tahoma" w:cs="Tahoma"/>
          <w:sz w:val="24"/>
          <w:szCs w:val="24"/>
        </w:rPr>
        <w:t xml:space="preserve"> </w:t>
      </w:r>
      <w:r w:rsidRPr="00F362A1">
        <w:rPr>
          <w:rFonts w:ascii="Tahoma" w:eastAsia="Calibri" w:hAnsi="Tahoma" w:cs="Tahoma"/>
          <w:sz w:val="24"/>
          <w:szCs w:val="24"/>
        </w:rPr>
        <w:t xml:space="preserve">populației de a constitui stocuri de produse alimentare și nealimentare odată cu apariția pandemiei COVID 19 în țara noastră, dar și a întârzierilor apărute  în aprovizionarea cu bunuri de pe piața externă. În aceste condiții, formarea brută de capital a înregistrat o creștere de 6,2% comparativ cu trimestrul I al anului 2019. </w:t>
      </w:r>
    </w:p>
    <w:p w:rsidR="000051D6" w:rsidRPr="00F362A1" w:rsidRDefault="000051D6" w:rsidP="002A6579">
      <w:pPr>
        <w:widowControl w:val="0"/>
        <w:suppressAutoHyphens/>
        <w:spacing w:before="120" w:after="120" w:line="276" w:lineRule="auto"/>
        <w:ind w:firstLine="720"/>
        <w:rPr>
          <w:rFonts w:ascii="Tahoma" w:eastAsia="Calibri" w:hAnsi="Tahoma" w:cs="Tahoma"/>
          <w:sz w:val="24"/>
          <w:szCs w:val="24"/>
        </w:rPr>
      </w:pPr>
      <w:r w:rsidRPr="00F362A1">
        <w:rPr>
          <w:rFonts w:ascii="Tahoma" w:eastAsia="Calibri" w:hAnsi="Tahoma" w:cs="Tahoma"/>
          <w:sz w:val="24"/>
          <w:szCs w:val="24"/>
        </w:rPr>
        <w:t>Contribuția negativă a exportului net la creșterea economică de 2,2 puncte procentuale a fost rezultatul reducerii cu 1,3% a exportului de bunuri și servicii, în timp ce importul de bunuri și servicii s-a majorat  cu 2,9%.</w:t>
      </w:r>
    </w:p>
    <w:p w:rsidR="000051D6" w:rsidRPr="00F362A1" w:rsidRDefault="000051D6" w:rsidP="002A6579">
      <w:pPr>
        <w:widowControl w:val="0"/>
        <w:suppressAutoHyphens/>
        <w:spacing w:before="120" w:after="120" w:line="276" w:lineRule="auto"/>
        <w:ind w:firstLine="720"/>
        <w:rPr>
          <w:rFonts w:ascii="Tahoma" w:eastAsia="Calibri" w:hAnsi="Tahoma" w:cs="Tahoma"/>
          <w:sz w:val="24"/>
          <w:szCs w:val="24"/>
        </w:rPr>
      </w:pPr>
    </w:p>
    <w:p w:rsidR="000051D6" w:rsidRPr="00F362A1" w:rsidRDefault="000051D6" w:rsidP="002A6579">
      <w:pPr>
        <w:keepNext/>
        <w:keepLines/>
        <w:widowControl w:val="0"/>
        <w:spacing w:before="120" w:after="120"/>
        <w:jc w:val="center"/>
        <w:rPr>
          <w:rFonts w:ascii="Tahoma" w:hAnsi="Tahoma" w:cs="Tahoma"/>
          <w:b/>
          <w:bCs/>
          <w:color w:val="44546A" w:themeColor="text2"/>
          <w:sz w:val="24"/>
          <w:szCs w:val="24"/>
        </w:rPr>
      </w:pPr>
      <w:r w:rsidRPr="00F362A1">
        <w:rPr>
          <w:rFonts w:ascii="Tahoma" w:hAnsi="Tahoma" w:cs="Tahoma"/>
          <w:b/>
          <w:bCs/>
          <w:color w:val="44546A" w:themeColor="text2"/>
          <w:sz w:val="24"/>
          <w:szCs w:val="24"/>
        </w:rPr>
        <w:lastRenderedPageBreak/>
        <w:t>Contribuția la creșterea reală a PIB a elementelor de cheltuieli</w:t>
      </w:r>
    </w:p>
    <w:p w:rsidR="000051D6" w:rsidRPr="00F362A1" w:rsidRDefault="000051D6" w:rsidP="002A6579">
      <w:pPr>
        <w:keepNext/>
        <w:keepLines/>
        <w:widowControl w:val="0"/>
        <w:spacing w:before="120" w:after="120"/>
        <w:jc w:val="center"/>
        <w:rPr>
          <w:rFonts w:ascii="Tahoma" w:hAnsi="Tahoma" w:cs="Tahoma"/>
          <w:color w:val="44546A" w:themeColor="text2"/>
          <w:sz w:val="24"/>
          <w:szCs w:val="24"/>
        </w:rPr>
      </w:pPr>
      <w:r w:rsidRPr="00F362A1">
        <w:rPr>
          <w:rFonts w:ascii="Tahoma" w:hAnsi="Tahoma" w:cs="Tahoma"/>
          <w:b/>
          <w:noProof/>
          <w:color w:val="44546A" w:themeColor="text2"/>
          <w:sz w:val="24"/>
          <w:szCs w:val="24"/>
        </w:rPr>
        <w:drawing>
          <wp:inline distT="0" distB="0" distL="0" distR="0" wp14:anchorId="642B91AD" wp14:editId="76808FA2">
            <wp:extent cx="5008245" cy="2552700"/>
            <wp:effectExtent l="19050" t="0" r="20955" b="0"/>
            <wp:docPr id="3"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51D6" w:rsidRPr="00F362A1" w:rsidRDefault="000051D6" w:rsidP="002A6579">
      <w:pPr>
        <w:pStyle w:val="ListParagraph"/>
        <w:keepNext/>
        <w:keepLines/>
        <w:widowControl w:val="0"/>
        <w:spacing w:before="120" w:after="120"/>
        <w:ind w:left="0"/>
        <w:contextualSpacing w:val="0"/>
        <w:rPr>
          <w:rFonts w:ascii="Tahoma" w:hAnsi="Tahoma" w:cs="Tahoma"/>
          <w:sz w:val="24"/>
          <w:szCs w:val="24"/>
        </w:rPr>
      </w:pPr>
      <w:r w:rsidRPr="00F362A1">
        <w:rPr>
          <w:rFonts w:ascii="Tahoma" w:hAnsi="Tahoma" w:cs="Tahoma"/>
          <w:color w:val="44546A" w:themeColor="text2"/>
          <w:sz w:val="24"/>
          <w:szCs w:val="24"/>
        </w:rPr>
        <w:tab/>
      </w:r>
      <w:r w:rsidRPr="00F362A1">
        <w:rPr>
          <w:rFonts w:ascii="Tahoma" w:hAnsi="Tahoma" w:cs="Tahoma"/>
          <w:color w:val="44546A" w:themeColor="text2"/>
          <w:sz w:val="24"/>
          <w:szCs w:val="24"/>
        </w:rPr>
        <w:tab/>
      </w:r>
      <w:r w:rsidRPr="00F362A1">
        <w:rPr>
          <w:rFonts w:ascii="Tahoma" w:hAnsi="Tahoma" w:cs="Tahoma"/>
          <w:sz w:val="24"/>
          <w:szCs w:val="24"/>
        </w:rPr>
        <w:t xml:space="preserve">Pe latura ofertei, </w:t>
      </w:r>
      <w:r w:rsidR="002F1039" w:rsidRPr="00F362A1">
        <w:rPr>
          <w:rFonts w:ascii="Tahoma" w:hAnsi="Tahoma" w:cs="Tahoma"/>
          <w:sz w:val="24"/>
          <w:szCs w:val="24"/>
        </w:rPr>
        <w:t>creșterea</w:t>
      </w:r>
      <w:r w:rsidRPr="00F362A1">
        <w:rPr>
          <w:rFonts w:ascii="Tahoma" w:hAnsi="Tahoma" w:cs="Tahoma"/>
          <w:sz w:val="24"/>
          <w:szCs w:val="24"/>
        </w:rPr>
        <w:t xml:space="preserve"> PIB a fost </w:t>
      </w:r>
      <w:r w:rsidR="002F1039" w:rsidRPr="00F362A1">
        <w:rPr>
          <w:rFonts w:ascii="Tahoma" w:hAnsi="Tahoma" w:cs="Tahoma"/>
          <w:sz w:val="24"/>
          <w:szCs w:val="24"/>
        </w:rPr>
        <w:t>susținută</w:t>
      </w:r>
      <w:r w:rsidRPr="00F362A1">
        <w:rPr>
          <w:rFonts w:ascii="Tahoma" w:hAnsi="Tahoma" w:cs="Tahoma"/>
          <w:sz w:val="24"/>
          <w:szCs w:val="24"/>
        </w:rPr>
        <w:t xml:space="preserve">, în principal, de majorarea valorii adăugate brute în </w:t>
      </w:r>
      <w:r w:rsidR="002F1039" w:rsidRPr="00F362A1">
        <w:rPr>
          <w:rFonts w:ascii="Tahoma" w:hAnsi="Tahoma" w:cs="Tahoma"/>
          <w:sz w:val="24"/>
          <w:szCs w:val="24"/>
        </w:rPr>
        <w:t>construcții</w:t>
      </w:r>
      <w:r w:rsidRPr="00F362A1">
        <w:rPr>
          <w:rFonts w:ascii="Tahoma" w:hAnsi="Tahoma" w:cs="Tahoma"/>
          <w:sz w:val="24"/>
          <w:szCs w:val="24"/>
        </w:rPr>
        <w:t xml:space="preserve"> </w:t>
      </w:r>
      <w:r w:rsidR="002F1039" w:rsidRPr="00F362A1">
        <w:rPr>
          <w:rFonts w:ascii="Tahoma" w:hAnsi="Tahoma" w:cs="Tahoma"/>
          <w:sz w:val="24"/>
          <w:szCs w:val="24"/>
        </w:rPr>
        <w:t>și</w:t>
      </w:r>
      <w:r w:rsidRPr="00F362A1">
        <w:rPr>
          <w:rFonts w:ascii="Tahoma" w:hAnsi="Tahoma" w:cs="Tahoma"/>
          <w:sz w:val="24"/>
          <w:szCs w:val="24"/>
        </w:rPr>
        <w:t xml:space="preserve"> servicii. În agricultura </w:t>
      </w:r>
      <w:r w:rsidR="002F1039" w:rsidRPr="00F362A1">
        <w:rPr>
          <w:rFonts w:ascii="Tahoma" w:hAnsi="Tahoma" w:cs="Tahoma"/>
          <w:sz w:val="24"/>
          <w:szCs w:val="24"/>
        </w:rPr>
        <w:t>creșterea</w:t>
      </w:r>
      <w:r w:rsidRPr="00F362A1">
        <w:rPr>
          <w:rFonts w:ascii="Tahoma" w:hAnsi="Tahoma" w:cs="Tahoma"/>
          <w:sz w:val="24"/>
          <w:szCs w:val="24"/>
        </w:rPr>
        <w:t xml:space="preserve"> a fost de numai 0,4%, în timp ce în industrie s-a înregistrat o scădere de 5,9% </w:t>
      </w:r>
      <w:r w:rsidR="002F1039" w:rsidRPr="00F362A1">
        <w:rPr>
          <w:rFonts w:ascii="Tahoma" w:hAnsi="Tahoma" w:cs="Tahoma"/>
          <w:sz w:val="24"/>
          <w:szCs w:val="24"/>
        </w:rPr>
        <w:t>față</w:t>
      </w:r>
      <w:r w:rsidRPr="00F362A1">
        <w:rPr>
          <w:rFonts w:ascii="Tahoma" w:hAnsi="Tahoma" w:cs="Tahoma"/>
          <w:sz w:val="24"/>
          <w:szCs w:val="24"/>
        </w:rPr>
        <w:t xml:space="preserve"> de trimestrul corespunzător din 2019.  Valoarea adăugată din </w:t>
      </w:r>
      <w:r w:rsidR="002F1039" w:rsidRPr="00F362A1">
        <w:rPr>
          <w:rFonts w:ascii="Tahoma" w:hAnsi="Tahoma" w:cs="Tahoma"/>
          <w:sz w:val="24"/>
          <w:szCs w:val="24"/>
        </w:rPr>
        <w:t>construcții</w:t>
      </w:r>
      <w:r w:rsidRPr="00F362A1">
        <w:rPr>
          <w:rFonts w:ascii="Tahoma" w:hAnsi="Tahoma" w:cs="Tahoma"/>
          <w:sz w:val="24"/>
          <w:szCs w:val="24"/>
        </w:rPr>
        <w:t xml:space="preserve"> s-a majorat cu 23,3%, ceea ce a însemnat o </w:t>
      </w:r>
      <w:r w:rsidR="002F1039" w:rsidRPr="00F362A1">
        <w:rPr>
          <w:rFonts w:ascii="Tahoma" w:hAnsi="Tahoma" w:cs="Tahoma"/>
          <w:sz w:val="24"/>
          <w:szCs w:val="24"/>
        </w:rPr>
        <w:t>contribuție</w:t>
      </w:r>
      <w:r w:rsidRPr="00F362A1">
        <w:rPr>
          <w:rFonts w:ascii="Tahoma" w:hAnsi="Tahoma" w:cs="Tahoma"/>
          <w:sz w:val="24"/>
          <w:szCs w:val="24"/>
        </w:rPr>
        <w:t xml:space="preserve"> la </w:t>
      </w:r>
      <w:r w:rsidR="002F1039" w:rsidRPr="00F362A1">
        <w:rPr>
          <w:rFonts w:ascii="Tahoma" w:hAnsi="Tahoma" w:cs="Tahoma"/>
          <w:sz w:val="24"/>
          <w:szCs w:val="24"/>
        </w:rPr>
        <w:t>creșterea</w:t>
      </w:r>
      <w:r w:rsidRPr="00F362A1">
        <w:rPr>
          <w:rFonts w:ascii="Tahoma" w:hAnsi="Tahoma" w:cs="Tahoma"/>
          <w:sz w:val="24"/>
          <w:szCs w:val="24"/>
        </w:rPr>
        <w:t xml:space="preserve"> reală a PIB de 0,8 puncte procentuale.</w:t>
      </w:r>
    </w:p>
    <w:p w:rsidR="000051D6" w:rsidRPr="00F362A1" w:rsidRDefault="000051D6" w:rsidP="002A6579">
      <w:pPr>
        <w:keepNext/>
        <w:keepLines/>
        <w:widowControl w:val="0"/>
        <w:spacing w:before="120" w:after="120"/>
        <w:ind w:firstLine="641"/>
        <w:rPr>
          <w:rFonts w:ascii="Tahoma" w:eastAsia="MS Mincho" w:hAnsi="Tahoma" w:cs="Tahoma"/>
          <w:sz w:val="24"/>
          <w:szCs w:val="24"/>
          <w:lang w:eastAsia="ja-JP"/>
        </w:rPr>
      </w:pPr>
      <w:r w:rsidRPr="00F362A1">
        <w:rPr>
          <w:rFonts w:ascii="Tahoma" w:eastAsia="MS Mincho" w:hAnsi="Tahoma" w:cs="Tahoma"/>
          <w:sz w:val="24"/>
          <w:szCs w:val="24"/>
          <w:lang w:eastAsia="ja-JP"/>
        </w:rPr>
        <w:t xml:space="preserve">Sectorul serviciilor în ansamblu a sporit cu 4,4%, reprezentând o </w:t>
      </w:r>
      <w:r w:rsidR="002F1039" w:rsidRPr="00F362A1">
        <w:rPr>
          <w:rFonts w:ascii="Tahoma" w:eastAsia="MS Mincho" w:hAnsi="Tahoma" w:cs="Tahoma"/>
          <w:sz w:val="24"/>
          <w:szCs w:val="24"/>
          <w:lang w:eastAsia="ja-JP"/>
        </w:rPr>
        <w:t>contribuție</w:t>
      </w:r>
      <w:r w:rsidRPr="00F362A1">
        <w:rPr>
          <w:rFonts w:ascii="Tahoma" w:eastAsia="MS Mincho" w:hAnsi="Tahoma" w:cs="Tahoma"/>
          <w:sz w:val="24"/>
          <w:szCs w:val="24"/>
          <w:lang w:eastAsia="ja-JP"/>
        </w:rPr>
        <w:t xml:space="preserve"> la </w:t>
      </w:r>
      <w:r w:rsidR="002F1039" w:rsidRPr="00F362A1">
        <w:rPr>
          <w:rFonts w:ascii="Tahoma" w:eastAsia="MS Mincho" w:hAnsi="Tahoma" w:cs="Tahoma"/>
          <w:sz w:val="24"/>
          <w:szCs w:val="24"/>
          <w:lang w:eastAsia="ja-JP"/>
        </w:rPr>
        <w:t>creșterea</w:t>
      </w:r>
      <w:r w:rsidRPr="00F362A1">
        <w:rPr>
          <w:rFonts w:ascii="Tahoma" w:eastAsia="MS Mincho" w:hAnsi="Tahoma" w:cs="Tahoma"/>
          <w:sz w:val="24"/>
          <w:szCs w:val="24"/>
          <w:lang w:eastAsia="ja-JP"/>
        </w:rPr>
        <w:t xml:space="preserve"> reală a PIB de 2,9 puncte procentuale. În cadrul acestora se </w:t>
      </w:r>
      <w:r w:rsidR="002F1039" w:rsidRPr="00F362A1">
        <w:rPr>
          <w:rFonts w:ascii="Tahoma" w:eastAsia="MS Mincho" w:hAnsi="Tahoma" w:cs="Tahoma"/>
          <w:sz w:val="24"/>
          <w:szCs w:val="24"/>
          <w:lang w:eastAsia="ja-JP"/>
        </w:rPr>
        <w:t>evidențiază</w:t>
      </w:r>
      <w:r w:rsidRPr="00F362A1">
        <w:rPr>
          <w:rFonts w:ascii="Tahoma" w:eastAsia="MS Mincho" w:hAnsi="Tahoma" w:cs="Tahoma"/>
          <w:sz w:val="24"/>
          <w:szCs w:val="24"/>
          <w:lang w:eastAsia="ja-JP"/>
        </w:rPr>
        <w:t xml:space="preserve"> cu </w:t>
      </w:r>
      <w:r w:rsidR="002F1039" w:rsidRPr="00F362A1">
        <w:rPr>
          <w:rFonts w:ascii="Tahoma" w:eastAsia="MS Mincho" w:hAnsi="Tahoma" w:cs="Tahoma"/>
          <w:sz w:val="24"/>
          <w:szCs w:val="24"/>
          <w:lang w:eastAsia="ja-JP"/>
        </w:rPr>
        <w:t>creșteri</w:t>
      </w:r>
      <w:r w:rsidRPr="00F362A1">
        <w:rPr>
          <w:rFonts w:ascii="Tahoma" w:eastAsia="MS Mincho" w:hAnsi="Tahoma" w:cs="Tahoma"/>
          <w:sz w:val="24"/>
          <w:szCs w:val="24"/>
          <w:lang w:eastAsia="ja-JP"/>
        </w:rPr>
        <w:t xml:space="preserve"> semnificative ramurile „</w:t>
      </w:r>
      <w:r w:rsidR="002F1039" w:rsidRPr="00F362A1">
        <w:rPr>
          <w:rFonts w:ascii="Tahoma" w:eastAsia="MS Mincho" w:hAnsi="Tahoma" w:cs="Tahoma"/>
          <w:sz w:val="24"/>
          <w:szCs w:val="24"/>
          <w:lang w:eastAsia="ja-JP"/>
        </w:rPr>
        <w:t>informații</w:t>
      </w:r>
      <w:r w:rsidRPr="00F362A1">
        <w:rPr>
          <w:rFonts w:ascii="Tahoma" w:eastAsia="MS Mincho" w:hAnsi="Tahoma" w:cs="Tahoma"/>
          <w:sz w:val="24"/>
          <w:szCs w:val="24"/>
          <w:lang w:eastAsia="ja-JP"/>
        </w:rPr>
        <w:t xml:space="preserve"> </w:t>
      </w:r>
      <w:r w:rsidR="002F1039" w:rsidRPr="00F362A1">
        <w:rPr>
          <w:rFonts w:ascii="Tahoma" w:eastAsia="MS Mincho" w:hAnsi="Tahoma" w:cs="Tahoma"/>
          <w:sz w:val="24"/>
          <w:szCs w:val="24"/>
          <w:lang w:eastAsia="ja-JP"/>
        </w:rPr>
        <w:t>și</w:t>
      </w:r>
      <w:r w:rsidRPr="00F362A1">
        <w:rPr>
          <w:rFonts w:ascii="Tahoma" w:eastAsia="MS Mincho" w:hAnsi="Tahoma" w:cs="Tahoma"/>
          <w:sz w:val="24"/>
          <w:szCs w:val="24"/>
          <w:lang w:eastAsia="ja-JP"/>
        </w:rPr>
        <w:t xml:space="preserve"> </w:t>
      </w:r>
      <w:r w:rsidR="002F1039" w:rsidRPr="00F362A1">
        <w:rPr>
          <w:rFonts w:ascii="Tahoma" w:eastAsia="MS Mincho" w:hAnsi="Tahoma" w:cs="Tahoma"/>
          <w:sz w:val="24"/>
          <w:szCs w:val="24"/>
          <w:lang w:eastAsia="ja-JP"/>
        </w:rPr>
        <w:t>comunicații</w:t>
      </w:r>
      <w:r w:rsidRPr="00F362A1">
        <w:rPr>
          <w:rFonts w:ascii="Tahoma" w:eastAsia="MS Mincho" w:hAnsi="Tahoma" w:cs="Tahoma"/>
          <w:sz w:val="24"/>
          <w:szCs w:val="24"/>
          <w:lang w:eastAsia="ja-JP"/>
        </w:rPr>
        <w:t xml:space="preserve">” cu 14,2% </w:t>
      </w:r>
      <w:r w:rsidR="002F1039" w:rsidRPr="00F362A1">
        <w:rPr>
          <w:rFonts w:ascii="Tahoma" w:eastAsia="MS Mincho" w:hAnsi="Tahoma" w:cs="Tahoma"/>
          <w:sz w:val="24"/>
          <w:szCs w:val="24"/>
          <w:lang w:eastAsia="ja-JP"/>
        </w:rPr>
        <w:t>și</w:t>
      </w:r>
      <w:r w:rsidRPr="00F362A1">
        <w:rPr>
          <w:rFonts w:ascii="Tahoma" w:eastAsia="MS Mincho" w:hAnsi="Tahoma" w:cs="Tahoma"/>
          <w:sz w:val="24"/>
          <w:szCs w:val="24"/>
          <w:lang w:eastAsia="ja-JP"/>
        </w:rPr>
        <w:t xml:space="preserve"> „</w:t>
      </w:r>
      <w:r w:rsidR="002F1039" w:rsidRPr="00F362A1">
        <w:rPr>
          <w:rFonts w:ascii="Tahoma" w:eastAsia="MS Mincho" w:hAnsi="Tahoma" w:cs="Tahoma"/>
          <w:sz w:val="24"/>
          <w:szCs w:val="24"/>
          <w:lang w:eastAsia="ja-JP"/>
        </w:rPr>
        <w:t>activități</w:t>
      </w:r>
      <w:r w:rsidRPr="00F362A1">
        <w:rPr>
          <w:rFonts w:ascii="Tahoma" w:eastAsia="MS Mincho" w:hAnsi="Tahoma" w:cs="Tahoma"/>
          <w:sz w:val="24"/>
          <w:szCs w:val="24"/>
          <w:lang w:eastAsia="ja-JP"/>
        </w:rPr>
        <w:t xml:space="preserve"> profesionale, </w:t>
      </w:r>
      <w:r w:rsidR="002F1039" w:rsidRPr="00F362A1">
        <w:rPr>
          <w:rFonts w:ascii="Tahoma" w:eastAsia="MS Mincho" w:hAnsi="Tahoma" w:cs="Tahoma"/>
          <w:sz w:val="24"/>
          <w:szCs w:val="24"/>
          <w:lang w:eastAsia="ja-JP"/>
        </w:rPr>
        <w:t>științifice</w:t>
      </w:r>
      <w:r w:rsidRPr="00F362A1">
        <w:rPr>
          <w:rFonts w:ascii="Tahoma" w:eastAsia="MS Mincho" w:hAnsi="Tahoma" w:cs="Tahoma"/>
          <w:sz w:val="24"/>
          <w:szCs w:val="24"/>
          <w:lang w:eastAsia="ja-JP"/>
        </w:rPr>
        <w:t xml:space="preserve">, tehnice, </w:t>
      </w:r>
      <w:r w:rsidR="002F1039" w:rsidRPr="00F362A1">
        <w:rPr>
          <w:rFonts w:ascii="Tahoma" w:eastAsia="MS Mincho" w:hAnsi="Tahoma" w:cs="Tahoma"/>
          <w:sz w:val="24"/>
          <w:szCs w:val="24"/>
          <w:lang w:eastAsia="ja-JP"/>
        </w:rPr>
        <w:t>activități</w:t>
      </w:r>
      <w:r w:rsidRPr="00F362A1">
        <w:rPr>
          <w:rFonts w:ascii="Tahoma" w:eastAsia="MS Mincho" w:hAnsi="Tahoma" w:cs="Tahoma"/>
          <w:sz w:val="24"/>
          <w:szCs w:val="24"/>
          <w:lang w:eastAsia="ja-JP"/>
        </w:rPr>
        <w:t xml:space="preserve"> de servicii suport” cu 10,5%, rezultatele din aceste ramuri conducând la o majorare a PIB cu 1,6 puncte procentuale.</w:t>
      </w:r>
    </w:p>
    <w:p w:rsidR="000051D6" w:rsidRPr="00F362A1" w:rsidRDefault="000051D6" w:rsidP="002A6579">
      <w:pPr>
        <w:widowControl w:val="0"/>
        <w:suppressAutoHyphens/>
        <w:spacing w:before="120" w:after="120" w:line="276" w:lineRule="auto"/>
        <w:ind w:firstLine="720"/>
        <w:rPr>
          <w:rFonts w:ascii="Tahoma" w:eastAsia="Calibri" w:hAnsi="Tahoma" w:cs="Tahoma"/>
          <w:sz w:val="24"/>
          <w:szCs w:val="24"/>
        </w:rPr>
      </w:pPr>
    </w:p>
    <w:p w:rsidR="000051D6" w:rsidRPr="00F362A1" w:rsidRDefault="000051D6" w:rsidP="002A6579">
      <w:pPr>
        <w:keepNext/>
        <w:keepLines/>
        <w:widowControl w:val="0"/>
        <w:spacing w:before="120" w:after="120"/>
        <w:jc w:val="center"/>
        <w:rPr>
          <w:rFonts w:ascii="Tahoma" w:hAnsi="Tahoma" w:cs="Tahoma"/>
          <w:color w:val="44546A" w:themeColor="text2"/>
          <w:sz w:val="24"/>
          <w:szCs w:val="24"/>
        </w:rPr>
      </w:pPr>
      <w:r w:rsidRPr="00F362A1">
        <w:rPr>
          <w:rFonts w:ascii="Tahoma" w:hAnsi="Tahoma" w:cs="Tahoma"/>
          <w:b/>
          <w:bCs/>
          <w:color w:val="44546A" w:themeColor="text2"/>
          <w:sz w:val="24"/>
          <w:szCs w:val="24"/>
        </w:rPr>
        <w:t>Contribuția la creșterea reală a PIB a elementelor de creare</w:t>
      </w:r>
    </w:p>
    <w:p w:rsidR="000051D6" w:rsidRPr="00F362A1" w:rsidRDefault="000051D6" w:rsidP="002A6579">
      <w:pPr>
        <w:suppressAutoHyphens/>
        <w:spacing w:line="276" w:lineRule="auto"/>
        <w:ind w:firstLine="0"/>
        <w:rPr>
          <w:rFonts w:ascii="Tahoma" w:eastAsia="Times New Roman" w:hAnsi="Tahoma" w:cs="Tahoma"/>
          <w:sz w:val="24"/>
          <w:szCs w:val="24"/>
        </w:rPr>
      </w:pPr>
      <w:r w:rsidRPr="00F362A1">
        <w:rPr>
          <w:rFonts w:ascii="Tahoma" w:eastAsia="Times New Roman" w:hAnsi="Tahoma" w:cs="Tahoma"/>
          <w:noProof/>
          <w:sz w:val="24"/>
          <w:szCs w:val="24"/>
        </w:rPr>
        <w:drawing>
          <wp:inline distT="0" distB="0" distL="0" distR="0" wp14:anchorId="3D13285F" wp14:editId="23009B5B">
            <wp:extent cx="5759450" cy="2133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3804" cy="2135213"/>
                    </a:xfrm>
                    <a:prstGeom prst="rect">
                      <a:avLst/>
                    </a:prstGeom>
                    <a:noFill/>
                  </pic:spPr>
                </pic:pic>
              </a:graphicData>
            </a:graphic>
          </wp:inline>
        </w:drawing>
      </w:r>
    </w:p>
    <w:p w:rsidR="000051D6" w:rsidRPr="00F362A1" w:rsidRDefault="000051D6" w:rsidP="002A6579">
      <w:pPr>
        <w:widowControl w:val="0"/>
        <w:suppressAutoHyphens/>
        <w:spacing w:before="240" w:after="120" w:line="276" w:lineRule="auto"/>
        <w:ind w:firstLine="720"/>
        <w:rPr>
          <w:rFonts w:ascii="Tahoma" w:eastAsia="Calibri" w:hAnsi="Tahoma" w:cs="Tahoma"/>
          <w:sz w:val="24"/>
          <w:szCs w:val="24"/>
          <w:lang w:eastAsia="en-GB"/>
        </w:rPr>
      </w:pPr>
      <w:r w:rsidRPr="00F362A1">
        <w:rPr>
          <w:rFonts w:ascii="Tahoma" w:eastAsia="Calibri" w:hAnsi="Tahoma" w:cs="Tahoma"/>
          <w:caps/>
          <w:sz w:val="24"/>
          <w:szCs w:val="24"/>
          <w:lang w:eastAsia="en-GB"/>
        </w:rPr>
        <w:t>î</w:t>
      </w:r>
      <w:r w:rsidRPr="00F362A1">
        <w:rPr>
          <w:rFonts w:ascii="Tahoma" w:eastAsia="Calibri" w:hAnsi="Tahoma" w:cs="Tahoma"/>
          <w:sz w:val="24"/>
          <w:szCs w:val="24"/>
          <w:lang w:eastAsia="en-GB"/>
        </w:rPr>
        <w:t xml:space="preserve">n termeni nominali produsul intern brut a avut, în trimestrul I 2020, o valoare de circa 216 miliarde lei, în creștere cu 6,4% față de nivelul din trimestrul I 2019, în condițiile unui deflator de 4,0%. </w:t>
      </w:r>
    </w:p>
    <w:p w:rsidR="000051D6" w:rsidRPr="00F362A1" w:rsidRDefault="000051D6" w:rsidP="002A6579">
      <w:pPr>
        <w:widowControl w:val="0"/>
        <w:suppressAutoHyphens/>
        <w:spacing w:before="120" w:after="120" w:line="276" w:lineRule="auto"/>
        <w:ind w:firstLine="720"/>
        <w:rPr>
          <w:rFonts w:ascii="Tahoma" w:eastAsia="Times New Roman" w:hAnsi="Tahoma" w:cs="Tahoma"/>
          <w:sz w:val="24"/>
          <w:szCs w:val="24"/>
        </w:rPr>
      </w:pPr>
      <w:r w:rsidRPr="00F362A1">
        <w:rPr>
          <w:rFonts w:ascii="Tahoma" w:eastAsia="Times New Roman" w:hAnsi="Tahoma" w:cs="Tahoma"/>
          <w:b/>
          <w:sz w:val="24"/>
          <w:szCs w:val="24"/>
        </w:rPr>
        <w:t>Volumul producției industriale</w:t>
      </w:r>
      <w:r w:rsidRPr="00F362A1">
        <w:rPr>
          <w:rFonts w:ascii="Tahoma" w:eastAsia="Times New Roman" w:hAnsi="Tahoma" w:cs="Tahoma"/>
          <w:sz w:val="24"/>
          <w:szCs w:val="24"/>
        </w:rPr>
        <w:t xml:space="preserve"> s-a redus în primele 6 luni ale anului curent </w:t>
      </w:r>
      <w:r w:rsidRPr="00F362A1">
        <w:rPr>
          <w:rFonts w:ascii="Tahoma" w:eastAsia="Times New Roman" w:hAnsi="Tahoma" w:cs="Tahoma"/>
          <w:sz w:val="24"/>
          <w:szCs w:val="24"/>
        </w:rPr>
        <w:lastRenderedPageBreak/>
        <w:t>față de aceeași perioadă din 2019, cu 16,4%, cele mai vulnerabile ramuri, în contextul pandemiei, fiind cele ale industriei ușoare</w:t>
      </w:r>
      <w:r w:rsidR="00FF1D0A" w:rsidRPr="00F362A1">
        <w:rPr>
          <w:rFonts w:ascii="Tahoma" w:eastAsia="Times New Roman" w:hAnsi="Tahoma" w:cs="Tahoma"/>
          <w:sz w:val="24"/>
          <w:szCs w:val="24"/>
        </w:rPr>
        <w:t xml:space="preserve"> </w:t>
      </w:r>
      <w:r w:rsidRPr="00F362A1">
        <w:rPr>
          <w:rFonts w:ascii="Tahoma" w:eastAsia="Times New Roman" w:hAnsi="Tahoma" w:cs="Tahoma"/>
          <w:sz w:val="24"/>
          <w:szCs w:val="24"/>
        </w:rPr>
        <w:t>și industria bunurilor de capital (fabricarea autovehiculelor, mașini</w:t>
      </w:r>
      <w:r w:rsidR="00FF1D0A" w:rsidRPr="00F362A1">
        <w:rPr>
          <w:rFonts w:ascii="Tahoma" w:eastAsia="Times New Roman" w:hAnsi="Tahoma" w:cs="Tahoma"/>
          <w:sz w:val="24"/>
          <w:szCs w:val="24"/>
        </w:rPr>
        <w:t xml:space="preserve"> </w:t>
      </w:r>
      <w:r w:rsidRPr="00F362A1">
        <w:rPr>
          <w:rFonts w:ascii="Tahoma" w:eastAsia="Times New Roman" w:hAnsi="Tahoma" w:cs="Tahoma"/>
          <w:sz w:val="24"/>
          <w:szCs w:val="24"/>
        </w:rPr>
        <w:t xml:space="preserve">și utilaje și fabricarea echipamentelor electrice). </w:t>
      </w:r>
    </w:p>
    <w:p w:rsidR="000051D6" w:rsidRPr="00F362A1" w:rsidRDefault="000051D6" w:rsidP="002A6579">
      <w:pPr>
        <w:widowControl w:val="0"/>
        <w:suppressAutoHyphens/>
        <w:spacing w:before="120" w:after="120" w:line="276" w:lineRule="auto"/>
        <w:ind w:firstLine="720"/>
        <w:rPr>
          <w:rFonts w:ascii="Tahoma" w:eastAsia="Times New Roman" w:hAnsi="Tahoma" w:cs="Tahoma"/>
          <w:sz w:val="24"/>
          <w:szCs w:val="24"/>
        </w:rPr>
      </w:pPr>
      <w:r w:rsidRPr="00F362A1">
        <w:rPr>
          <w:rFonts w:ascii="Tahoma" w:eastAsia="Times New Roman" w:hAnsi="Tahoma" w:cs="Tahoma"/>
          <w:sz w:val="24"/>
          <w:szCs w:val="24"/>
        </w:rPr>
        <w:t>În cazul ramurilor industriei ușoare s-a constatat o continuare a declinului din ultimii ani, cauzat de o pierdere treptată de competitivitate, dar și o restrângere a cererii externe în perioada de criză pandemică. Minimul de activitate înregistrat în luna aprilie s-a concretizat în reduceri de circa 50% în cazul industriei textile și fabricarea articolelor de îmbrăcăminte şi de 70% pentru industria pielăriei. Luna mai a marcat începutul procesului de recuperare a acestei contracții, ca de altfel în marea majoritate a ramurilor industriale.</w:t>
      </w:r>
    </w:p>
    <w:p w:rsidR="000051D6" w:rsidRPr="00F362A1" w:rsidRDefault="000051D6" w:rsidP="002A6579">
      <w:pPr>
        <w:widowControl w:val="0"/>
        <w:suppressAutoHyphens/>
        <w:spacing w:before="120" w:after="120" w:line="276" w:lineRule="auto"/>
        <w:ind w:firstLine="720"/>
        <w:rPr>
          <w:rFonts w:ascii="Tahoma" w:eastAsia="Times New Roman" w:hAnsi="Tahoma" w:cs="Tahoma"/>
          <w:sz w:val="24"/>
          <w:szCs w:val="24"/>
        </w:rPr>
      </w:pPr>
      <w:r w:rsidRPr="00F362A1">
        <w:rPr>
          <w:rFonts w:ascii="Tahoma" w:eastAsia="Times New Roman" w:hAnsi="Tahoma" w:cs="Tahoma"/>
          <w:sz w:val="24"/>
          <w:szCs w:val="24"/>
        </w:rPr>
        <w:t xml:space="preserve">Scăderile din industria bunurilor de capital au fost determinate de evoluțiile nefavorabile de pe </w:t>
      </w:r>
      <w:r w:rsidR="002F1039" w:rsidRPr="00F362A1">
        <w:rPr>
          <w:rFonts w:ascii="Tahoma" w:eastAsia="Times New Roman" w:hAnsi="Tahoma" w:cs="Tahoma"/>
          <w:sz w:val="24"/>
          <w:szCs w:val="24"/>
        </w:rPr>
        <w:t>piețele</w:t>
      </w:r>
      <w:r w:rsidRPr="00F362A1">
        <w:rPr>
          <w:rFonts w:ascii="Tahoma" w:eastAsia="Times New Roman" w:hAnsi="Tahoma" w:cs="Tahoma"/>
          <w:sz w:val="24"/>
          <w:szCs w:val="24"/>
        </w:rPr>
        <w:t xml:space="preserve"> externe, în special în cazul principalilor parteneri comerciali, fiind sectoare puternic integrate în </w:t>
      </w:r>
      <w:r w:rsidR="002F1039" w:rsidRPr="00F362A1">
        <w:rPr>
          <w:rFonts w:ascii="Tahoma" w:eastAsia="Times New Roman" w:hAnsi="Tahoma" w:cs="Tahoma"/>
          <w:sz w:val="24"/>
          <w:szCs w:val="24"/>
        </w:rPr>
        <w:t>lanțurile</w:t>
      </w:r>
      <w:r w:rsidRPr="00F362A1">
        <w:rPr>
          <w:rFonts w:ascii="Tahoma" w:eastAsia="Times New Roman" w:hAnsi="Tahoma" w:cs="Tahoma"/>
          <w:sz w:val="24"/>
          <w:szCs w:val="24"/>
        </w:rPr>
        <w:t xml:space="preserve"> de </w:t>
      </w:r>
      <w:r w:rsidR="002F1039" w:rsidRPr="00F362A1">
        <w:rPr>
          <w:rFonts w:ascii="Tahoma" w:eastAsia="Times New Roman" w:hAnsi="Tahoma" w:cs="Tahoma"/>
          <w:sz w:val="24"/>
          <w:szCs w:val="24"/>
        </w:rPr>
        <w:t>producție</w:t>
      </w:r>
      <w:r w:rsidRPr="00F362A1">
        <w:rPr>
          <w:rFonts w:ascii="Tahoma" w:eastAsia="Times New Roman" w:hAnsi="Tahoma" w:cs="Tahoma"/>
          <w:sz w:val="24"/>
          <w:szCs w:val="24"/>
        </w:rPr>
        <w:t xml:space="preserve"> europene. Astfel, în primele 6 luni, </w:t>
      </w:r>
      <w:r w:rsidR="002F1039" w:rsidRPr="00F362A1">
        <w:rPr>
          <w:rFonts w:ascii="Tahoma" w:eastAsia="Times New Roman" w:hAnsi="Tahoma" w:cs="Tahoma"/>
          <w:sz w:val="24"/>
          <w:szCs w:val="24"/>
        </w:rPr>
        <w:t>producția</w:t>
      </w:r>
      <w:r w:rsidRPr="00F362A1">
        <w:rPr>
          <w:rFonts w:ascii="Tahoma" w:eastAsia="Times New Roman" w:hAnsi="Tahoma" w:cs="Tahoma"/>
          <w:sz w:val="24"/>
          <w:szCs w:val="24"/>
        </w:rPr>
        <w:t xml:space="preserve"> de bunuri de capital a înregistrat cea mai </w:t>
      </w:r>
      <w:r w:rsidR="002F1039" w:rsidRPr="00F362A1">
        <w:rPr>
          <w:rFonts w:ascii="Tahoma" w:eastAsia="Times New Roman" w:hAnsi="Tahoma" w:cs="Tahoma"/>
          <w:sz w:val="24"/>
          <w:szCs w:val="24"/>
        </w:rPr>
        <w:t>pronunțată</w:t>
      </w:r>
      <w:r w:rsidRPr="00F362A1">
        <w:rPr>
          <w:rFonts w:ascii="Tahoma" w:eastAsia="Times New Roman" w:hAnsi="Tahoma" w:cs="Tahoma"/>
          <w:sz w:val="24"/>
          <w:szCs w:val="24"/>
        </w:rPr>
        <w:t xml:space="preserve"> scădere, de 27,1%, comparativ cu perioada ianuarie - iunie 2019, cea mai afectată fiind industria auto, cu o reducere de activitate de 32,7%.</w:t>
      </w:r>
    </w:p>
    <w:p w:rsidR="000051D6" w:rsidRPr="00F362A1" w:rsidRDefault="000051D6" w:rsidP="002A6579">
      <w:pPr>
        <w:widowControl w:val="0"/>
        <w:suppressAutoHyphens/>
        <w:spacing w:before="120" w:after="120" w:line="276" w:lineRule="auto"/>
        <w:ind w:firstLine="720"/>
        <w:rPr>
          <w:rFonts w:ascii="Tahoma" w:eastAsia="Times New Roman" w:hAnsi="Tahoma" w:cs="Tahoma"/>
          <w:sz w:val="24"/>
          <w:szCs w:val="24"/>
        </w:rPr>
      </w:pPr>
      <w:r w:rsidRPr="00F362A1">
        <w:rPr>
          <w:rFonts w:ascii="Tahoma" w:eastAsia="Times New Roman" w:hAnsi="Tahoma" w:cs="Tahoma"/>
          <w:sz w:val="24"/>
          <w:szCs w:val="24"/>
        </w:rPr>
        <w:t xml:space="preserve">În primul trimestru din 2020 majorarea </w:t>
      </w:r>
      <w:r w:rsidRPr="00F362A1">
        <w:rPr>
          <w:rFonts w:ascii="Tahoma" w:eastAsia="Times New Roman" w:hAnsi="Tahoma" w:cs="Tahoma"/>
          <w:b/>
          <w:sz w:val="24"/>
          <w:szCs w:val="24"/>
        </w:rPr>
        <w:t>investițiilor nete</w:t>
      </w:r>
      <w:r w:rsidRPr="00F362A1">
        <w:rPr>
          <w:rFonts w:ascii="Tahoma" w:eastAsia="Times New Roman" w:hAnsi="Tahoma" w:cs="Tahoma"/>
          <w:sz w:val="24"/>
          <w:szCs w:val="24"/>
        </w:rPr>
        <w:t xml:space="preserve"> a ajuns la o dinamică de 5,0% comparativ cu trimestrul I 2019. </w:t>
      </w:r>
      <w:r w:rsidRPr="00F362A1">
        <w:rPr>
          <w:rFonts w:ascii="Tahoma" w:eastAsia="Times New Roman" w:hAnsi="Tahoma" w:cs="Tahoma"/>
          <w:b/>
          <w:sz w:val="24"/>
          <w:szCs w:val="24"/>
        </w:rPr>
        <w:t>Investițiile nete</w:t>
      </w:r>
      <w:r w:rsidRPr="00F362A1">
        <w:rPr>
          <w:rFonts w:ascii="Tahoma" w:eastAsia="Times New Roman" w:hAnsi="Tahoma" w:cs="Tahoma"/>
          <w:sz w:val="24"/>
          <w:szCs w:val="24"/>
        </w:rPr>
        <w:t xml:space="preserve"> în lucrările de </w:t>
      </w:r>
      <w:r w:rsidR="002F1039" w:rsidRPr="00F362A1">
        <w:rPr>
          <w:rFonts w:ascii="Tahoma" w:eastAsia="Times New Roman" w:hAnsi="Tahoma" w:cs="Tahoma"/>
          <w:sz w:val="24"/>
          <w:szCs w:val="24"/>
        </w:rPr>
        <w:t>construcții</w:t>
      </w:r>
      <w:r w:rsidRPr="00F362A1">
        <w:rPr>
          <w:rFonts w:ascii="Tahoma" w:eastAsia="Times New Roman" w:hAnsi="Tahoma" w:cs="Tahoma"/>
          <w:sz w:val="24"/>
          <w:szCs w:val="24"/>
        </w:rPr>
        <w:t xml:space="preserve"> noi, pe total economie, au crescut cu 20,3%, fiind predominante în structura </w:t>
      </w:r>
      <w:r w:rsidR="002F1039" w:rsidRPr="00F362A1">
        <w:rPr>
          <w:rFonts w:ascii="Tahoma" w:eastAsia="Times New Roman" w:hAnsi="Tahoma" w:cs="Tahoma"/>
          <w:sz w:val="24"/>
          <w:szCs w:val="24"/>
        </w:rPr>
        <w:t>investițiilor</w:t>
      </w:r>
      <w:r w:rsidRPr="00F362A1">
        <w:rPr>
          <w:rFonts w:ascii="Tahoma" w:eastAsia="Times New Roman" w:hAnsi="Tahoma" w:cs="Tahoma"/>
          <w:sz w:val="24"/>
          <w:szCs w:val="24"/>
        </w:rPr>
        <w:t xml:space="preserve"> cu o pondere de 53,4%, în </w:t>
      </w:r>
      <w:r w:rsidR="002F1039" w:rsidRPr="00F362A1">
        <w:rPr>
          <w:rFonts w:ascii="Tahoma" w:eastAsia="Times New Roman" w:hAnsi="Tahoma" w:cs="Tahoma"/>
          <w:sz w:val="24"/>
          <w:szCs w:val="24"/>
        </w:rPr>
        <w:t>creștere</w:t>
      </w:r>
      <w:r w:rsidRPr="00F362A1">
        <w:rPr>
          <w:rFonts w:ascii="Tahoma" w:eastAsia="Times New Roman" w:hAnsi="Tahoma" w:cs="Tahoma"/>
          <w:sz w:val="24"/>
          <w:szCs w:val="24"/>
        </w:rPr>
        <w:t xml:space="preserve"> cu 7 puncte procentuale </w:t>
      </w:r>
      <w:r w:rsidR="002F1039" w:rsidRPr="00F362A1">
        <w:rPr>
          <w:rFonts w:ascii="Tahoma" w:eastAsia="Times New Roman" w:hAnsi="Tahoma" w:cs="Tahoma"/>
          <w:sz w:val="24"/>
          <w:szCs w:val="24"/>
        </w:rPr>
        <w:t>față</w:t>
      </w:r>
      <w:r w:rsidRPr="00F362A1">
        <w:rPr>
          <w:rFonts w:ascii="Tahoma" w:eastAsia="Times New Roman" w:hAnsi="Tahoma" w:cs="Tahoma"/>
          <w:sz w:val="24"/>
          <w:szCs w:val="24"/>
        </w:rPr>
        <w:t xml:space="preserve"> de trimestrul I 2019.</w:t>
      </w:r>
    </w:p>
    <w:p w:rsidR="000051D6" w:rsidRPr="00F362A1" w:rsidRDefault="002F1039" w:rsidP="002A6579">
      <w:pPr>
        <w:widowControl w:val="0"/>
        <w:suppressAutoHyphens/>
        <w:spacing w:before="120" w:after="120" w:line="276" w:lineRule="auto"/>
        <w:ind w:firstLine="720"/>
        <w:rPr>
          <w:rFonts w:ascii="Tahoma" w:eastAsia="Times New Roman" w:hAnsi="Tahoma" w:cs="Tahoma"/>
          <w:sz w:val="24"/>
          <w:szCs w:val="24"/>
        </w:rPr>
      </w:pPr>
      <w:r w:rsidRPr="00F362A1">
        <w:rPr>
          <w:rFonts w:ascii="Tahoma" w:eastAsia="Times New Roman" w:hAnsi="Tahoma" w:cs="Tahoma"/>
          <w:sz w:val="24"/>
          <w:szCs w:val="24"/>
        </w:rPr>
        <w:t>Performanța</w:t>
      </w:r>
      <w:r w:rsidR="000051D6" w:rsidRPr="00F362A1">
        <w:rPr>
          <w:rFonts w:ascii="Tahoma" w:eastAsia="Times New Roman" w:hAnsi="Tahoma" w:cs="Tahoma"/>
          <w:sz w:val="24"/>
          <w:szCs w:val="24"/>
        </w:rPr>
        <w:t xml:space="preserve"> sectorului </w:t>
      </w:r>
      <w:r w:rsidRPr="00F362A1">
        <w:rPr>
          <w:rFonts w:ascii="Tahoma" w:eastAsia="Times New Roman" w:hAnsi="Tahoma" w:cs="Tahoma"/>
          <w:sz w:val="24"/>
          <w:szCs w:val="24"/>
        </w:rPr>
        <w:t>construcții</w:t>
      </w:r>
      <w:r w:rsidR="000051D6" w:rsidRPr="00F362A1">
        <w:rPr>
          <w:rFonts w:ascii="Tahoma" w:eastAsia="Times New Roman" w:hAnsi="Tahoma" w:cs="Tahoma"/>
          <w:sz w:val="24"/>
          <w:szCs w:val="24"/>
        </w:rPr>
        <w:t xml:space="preserve"> rămâne una notabilă în contextul </w:t>
      </w:r>
      <w:r w:rsidRPr="00F362A1">
        <w:rPr>
          <w:rFonts w:ascii="Tahoma" w:eastAsia="Times New Roman" w:hAnsi="Tahoma" w:cs="Tahoma"/>
          <w:sz w:val="24"/>
          <w:szCs w:val="24"/>
        </w:rPr>
        <w:t>apariției</w:t>
      </w:r>
      <w:r w:rsidR="000051D6" w:rsidRPr="00F362A1">
        <w:rPr>
          <w:rFonts w:ascii="Tahoma" w:eastAsia="Times New Roman" w:hAnsi="Tahoma" w:cs="Tahoma"/>
          <w:sz w:val="24"/>
          <w:szCs w:val="24"/>
        </w:rPr>
        <w:t xml:space="preserve"> pandemiei, </w:t>
      </w:r>
      <w:r w:rsidR="000051D6" w:rsidRPr="00F362A1">
        <w:rPr>
          <w:rFonts w:ascii="Tahoma" w:eastAsia="Times New Roman" w:hAnsi="Tahoma" w:cs="Tahoma"/>
          <w:b/>
          <w:sz w:val="24"/>
          <w:szCs w:val="24"/>
        </w:rPr>
        <w:t>volumul lucrărilor de construcții</w:t>
      </w:r>
      <w:r w:rsidR="000051D6" w:rsidRPr="00F362A1">
        <w:rPr>
          <w:rFonts w:ascii="Tahoma" w:eastAsia="Times New Roman" w:hAnsi="Tahoma" w:cs="Tahoma"/>
          <w:sz w:val="24"/>
          <w:szCs w:val="24"/>
        </w:rPr>
        <w:t xml:space="preserve"> majorându-se în primele 5 luni cu 22,3% </w:t>
      </w:r>
      <w:r w:rsidRPr="00F362A1">
        <w:rPr>
          <w:rFonts w:ascii="Tahoma" w:eastAsia="Times New Roman" w:hAnsi="Tahoma" w:cs="Tahoma"/>
          <w:sz w:val="24"/>
          <w:szCs w:val="24"/>
        </w:rPr>
        <w:t>față</w:t>
      </w:r>
      <w:r w:rsidR="000051D6" w:rsidRPr="00F362A1">
        <w:rPr>
          <w:rFonts w:ascii="Tahoma" w:eastAsia="Times New Roman" w:hAnsi="Tahoma" w:cs="Tahoma"/>
          <w:sz w:val="24"/>
          <w:szCs w:val="24"/>
        </w:rPr>
        <w:t xml:space="preserve"> de </w:t>
      </w:r>
      <w:r w:rsidRPr="00F362A1">
        <w:rPr>
          <w:rFonts w:ascii="Tahoma" w:eastAsia="Times New Roman" w:hAnsi="Tahoma" w:cs="Tahoma"/>
          <w:sz w:val="24"/>
          <w:szCs w:val="24"/>
        </w:rPr>
        <w:t>aceeași</w:t>
      </w:r>
      <w:r w:rsidR="000051D6" w:rsidRPr="00F362A1">
        <w:rPr>
          <w:rFonts w:ascii="Tahoma" w:eastAsia="Times New Roman" w:hAnsi="Tahoma" w:cs="Tahoma"/>
          <w:sz w:val="24"/>
          <w:szCs w:val="24"/>
        </w:rPr>
        <w:t xml:space="preserve"> perioadă a anului anterior. Pe obiecte de </w:t>
      </w:r>
      <w:r w:rsidRPr="00F362A1">
        <w:rPr>
          <w:rFonts w:ascii="Tahoma" w:eastAsia="Times New Roman" w:hAnsi="Tahoma" w:cs="Tahoma"/>
          <w:sz w:val="24"/>
          <w:szCs w:val="24"/>
        </w:rPr>
        <w:t>construcții</w:t>
      </w:r>
      <w:r w:rsidR="000051D6" w:rsidRPr="00F362A1">
        <w:rPr>
          <w:rFonts w:ascii="Tahoma" w:eastAsia="Times New Roman" w:hAnsi="Tahoma" w:cs="Tahoma"/>
          <w:sz w:val="24"/>
          <w:szCs w:val="24"/>
        </w:rPr>
        <w:t xml:space="preserve"> s-au înregistrat </w:t>
      </w:r>
      <w:r w:rsidRPr="00F362A1">
        <w:rPr>
          <w:rFonts w:ascii="Tahoma" w:eastAsia="Times New Roman" w:hAnsi="Tahoma" w:cs="Tahoma"/>
          <w:sz w:val="24"/>
          <w:szCs w:val="24"/>
        </w:rPr>
        <w:t>evoluții</w:t>
      </w:r>
      <w:r w:rsidR="000051D6" w:rsidRPr="00F362A1">
        <w:rPr>
          <w:rFonts w:ascii="Tahoma" w:eastAsia="Times New Roman" w:hAnsi="Tahoma" w:cs="Tahoma"/>
          <w:sz w:val="24"/>
          <w:szCs w:val="24"/>
        </w:rPr>
        <w:t xml:space="preserve"> pozitive la toate componentele, cea mai spectaculoasă regăsindu-se în cazul </w:t>
      </w:r>
      <w:r w:rsidRPr="00F362A1">
        <w:rPr>
          <w:rFonts w:ascii="Tahoma" w:eastAsia="Times New Roman" w:hAnsi="Tahoma" w:cs="Tahoma"/>
          <w:sz w:val="24"/>
          <w:szCs w:val="24"/>
        </w:rPr>
        <w:t>construcțiilor</w:t>
      </w:r>
      <w:r w:rsidR="00FF1D0A" w:rsidRPr="00F362A1">
        <w:rPr>
          <w:rFonts w:ascii="Tahoma" w:eastAsia="Times New Roman" w:hAnsi="Tahoma" w:cs="Tahoma"/>
          <w:sz w:val="24"/>
          <w:szCs w:val="24"/>
        </w:rPr>
        <w:t xml:space="preserve"> </w:t>
      </w:r>
      <w:r w:rsidRPr="00F362A1">
        <w:rPr>
          <w:rFonts w:ascii="Tahoma" w:eastAsia="Times New Roman" w:hAnsi="Tahoma" w:cs="Tahoma"/>
          <w:sz w:val="24"/>
          <w:szCs w:val="24"/>
        </w:rPr>
        <w:t>inginerești</w:t>
      </w:r>
      <w:r w:rsidR="000051D6" w:rsidRPr="00F362A1">
        <w:rPr>
          <w:rFonts w:ascii="Tahoma" w:eastAsia="Times New Roman" w:hAnsi="Tahoma" w:cs="Tahoma"/>
          <w:sz w:val="24"/>
          <w:szCs w:val="24"/>
        </w:rPr>
        <w:t xml:space="preserve"> (+39,7%), în timp ce pe elemente de structură </w:t>
      </w:r>
      <w:r w:rsidRPr="00F362A1">
        <w:rPr>
          <w:rFonts w:ascii="Tahoma" w:eastAsia="Times New Roman" w:hAnsi="Tahoma" w:cs="Tahoma"/>
          <w:sz w:val="24"/>
          <w:szCs w:val="24"/>
        </w:rPr>
        <w:t>creșterile</w:t>
      </w:r>
      <w:r w:rsidR="00FF1D0A" w:rsidRPr="00F362A1">
        <w:rPr>
          <w:rFonts w:ascii="Tahoma" w:eastAsia="Times New Roman" w:hAnsi="Tahoma" w:cs="Tahoma"/>
          <w:sz w:val="24"/>
          <w:szCs w:val="24"/>
        </w:rPr>
        <w:t xml:space="preserve"> </w:t>
      </w:r>
      <w:r w:rsidRPr="00F362A1">
        <w:rPr>
          <w:rFonts w:ascii="Tahoma" w:eastAsia="Times New Roman" w:hAnsi="Tahoma" w:cs="Tahoma"/>
          <w:sz w:val="24"/>
          <w:szCs w:val="24"/>
        </w:rPr>
        <w:t>depășesc</w:t>
      </w:r>
      <w:r w:rsidR="000051D6" w:rsidRPr="00F362A1">
        <w:rPr>
          <w:rFonts w:ascii="Tahoma" w:eastAsia="Times New Roman" w:hAnsi="Tahoma" w:cs="Tahoma"/>
          <w:sz w:val="24"/>
          <w:szCs w:val="24"/>
        </w:rPr>
        <w:t xml:space="preserve"> 50% atât în cazul </w:t>
      </w:r>
      <w:r w:rsidRPr="00F362A1">
        <w:rPr>
          <w:rFonts w:ascii="Tahoma" w:eastAsia="Times New Roman" w:hAnsi="Tahoma" w:cs="Tahoma"/>
          <w:sz w:val="24"/>
          <w:szCs w:val="24"/>
        </w:rPr>
        <w:t>reparațiilor</w:t>
      </w:r>
      <w:r w:rsidR="000051D6" w:rsidRPr="00F362A1">
        <w:rPr>
          <w:rFonts w:ascii="Tahoma" w:eastAsia="Times New Roman" w:hAnsi="Tahoma" w:cs="Tahoma"/>
          <w:sz w:val="24"/>
          <w:szCs w:val="24"/>
        </w:rPr>
        <w:t xml:space="preserve"> capitale cât şi în cazul lucrărilor de </w:t>
      </w:r>
      <w:r w:rsidRPr="00F362A1">
        <w:rPr>
          <w:rFonts w:ascii="Tahoma" w:eastAsia="Times New Roman" w:hAnsi="Tahoma" w:cs="Tahoma"/>
          <w:sz w:val="24"/>
          <w:szCs w:val="24"/>
        </w:rPr>
        <w:t>întreținere</w:t>
      </w:r>
      <w:r w:rsidR="00FF1D0A" w:rsidRPr="00F362A1">
        <w:rPr>
          <w:rFonts w:ascii="Tahoma" w:eastAsia="Times New Roman" w:hAnsi="Tahoma" w:cs="Tahoma"/>
          <w:sz w:val="24"/>
          <w:szCs w:val="24"/>
        </w:rPr>
        <w:t xml:space="preserve"> </w:t>
      </w:r>
      <w:r w:rsidR="000051D6" w:rsidRPr="00F362A1">
        <w:rPr>
          <w:rFonts w:ascii="Tahoma" w:eastAsia="Times New Roman" w:hAnsi="Tahoma" w:cs="Tahoma"/>
          <w:sz w:val="24"/>
          <w:szCs w:val="24"/>
        </w:rPr>
        <w:t>şi</w:t>
      </w:r>
      <w:r w:rsidR="00FF1D0A" w:rsidRPr="00F362A1">
        <w:rPr>
          <w:rFonts w:ascii="Tahoma" w:eastAsia="Times New Roman" w:hAnsi="Tahoma" w:cs="Tahoma"/>
          <w:sz w:val="24"/>
          <w:szCs w:val="24"/>
        </w:rPr>
        <w:t xml:space="preserve"> </w:t>
      </w:r>
      <w:r w:rsidRPr="00F362A1">
        <w:rPr>
          <w:rFonts w:ascii="Tahoma" w:eastAsia="Times New Roman" w:hAnsi="Tahoma" w:cs="Tahoma"/>
          <w:sz w:val="24"/>
          <w:szCs w:val="24"/>
        </w:rPr>
        <w:t>reparații</w:t>
      </w:r>
      <w:r w:rsidR="000051D6" w:rsidRPr="00F362A1">
        <w:rPr>
          <w:rFonts w:ascii="Tahoma" w:eastAsia="Times New Roman" w:hAnsi="Tahoma" w:cs="Tahoma"/>
          <w:sz w:val="24"/>
          <w:szCs w:val="24"/>
        </w:rPr>
        <w:t xml:space="preserve"> curente.</w:t>
      </w:r>
    </w:p>
    <w:p w:rsidR="000051D6" w:rsidRPr="00F362A1" w:rsidRDefault="000051D6" w:rsidP="002A6579">
      <w:pPr>
        <w:widowControl w:val="0"/>
        <w:suppressAutoHyphens/>
        <w:spacing w:before="120" w:after="120" w:line="276" w:lineRule="auto"/>
        <w:ind w:firstLine="720"/>
        <w:rPr>
          <w:rFonts w:ascii="Tahoma" w:eastAsia="Times New Roman" w:hAnsi="Tahoma" w:cs="Tahoma"/>
          <w:sz w:val="24"/>
          <w:szCs w:val="24"/>
        </w:rPr>
      </w:pPr>
      <w:r w:rsidRPr="00F362A1">
        <w:rPr>
          <w:rFonts w:ascii="Tahoma" w:eastAsia="Times New Roman" w:hAnsi="Tahoma" w:cs="Tahoma"/>
          <w:b/>
          <w:sz w:val="24"/>
          <w:szCs w:val="24"/>
        </w:rPr>
        <w:t>Volumul cifrei de afaceri pentru comerțul cu amănuntul</w:t>
      </w:r>
      <w:r w:rsidRPr="00F362A1">
        <w:rPr>
          <w:rFonts w:ascii="Tahoma" w:eastAsia="Times New Roman" w:hAnsi="Tahoma" w:cs="Tahoma"/>
          <w:sz w:val="24"/>
          <w:szCs w:val="24"/>
        </w:rPr>
        <w:t xml:space="preserve"> s-a majorat </w:t>
      </w:r>
      <w:r w:rsidR="002F1039" w:rsidRPr="00F362A1">
        <w:rPr>
          <w:rFonts w:ascii="Tahoma" w:eastAsia="Times New Roman" w:hAnsi="Tahoma" w:cs="Tahoma"/>
          <w:sz w:val="24"/>
          <w:szCs w:val="24"/>
        </w:rPr>
        <w:t>ușor</w:t>
      </w:r>
      <w:r w:rsidRPr="00F362A1">
        <w:rPr>
          <w:rFonts w:ascii="Tahoma" w:eastAsia="Times New Roman" w:hAnsi="Tahoma" w:cs="Tahoma"/>
          <w:sz w:val="24"/>
          <w:szCs w:val="24"/>
        </w:rPr>
        <w:t xml:space="preserve"> în primele </w:t>
      </w:r>
      <w:r w:rsidR="002F1039" w:rsidRPr="00F362A1">
        <w:rPr>
          <w:rFonts w:ascii="Tahoma" w:eastAsia="Times New Roman" w:hAnsi="Tahoma" w:cs="Tahoma"/>
          <w:sz w:val="24"/>
          <w:szCs w:val="24"/>
        </w:rPr>
        <w:t>șase</w:t>
      </w:r>
      <w:r w:rsidRPr="00F362A1">
        <w:rPr>
          <w:rFonts w:ascii="Tahoma" w:eastAsia="Times New Roman" w:hAnsi="Tahoma" w:cs="Tahoma"/>
          <w:sz w:val="24"/>
          <w:szCs w:val="24"/>
        </w:rPr>
        <w:t xml:space="preserve"> luni ale anului 2020, comparativ cu nivelul înregistrat în aceeași perioadă din 2019 (+0,5%), pe seama majorării vânzărilor de produse alimentare  (+7,6%). În cadrul mărfurilor nealimentare este de remarcat scăderea volumului vânzărilor de textile, îmbrăcăminte, </w:t>
      </w:r>
      <w:r w:rsidR="002F1039" w:rsidRPr="00F362A1">
        <w:rPr>
          <w:rFonts w:ascii="Tahoma" w:eastAsia="Times New Roman" w:hAnsi="Tahoma" w:cs="Tahoma"/>
          <w:sz w:val="24"/>
          <w:szCs w:val="24"/>
        </w:rPr>
        <w:t>încălțăminte</w:t>
      </w:r>
      <w:r w:rsidRPr="00F362A1">
        <w:rPr>
          <w:rFonts w:ascii="Tahoma" w:eastAsia="Times New Roman" w:hAnsi="Tahoma" w:cs="Tahoma"/>
          <w:sz w:val="24"/>
          <w:szCs w:val="24"/>
        </w:rPr>
        <w:t xml:space="preserve"> (-27,8%). Trebuie remarcată schimbarea de comportament la nivelul consumatorilor care, începând cu luna martie, s-au reorientat spre </w:t>
      </w:r>
      <w:r w:rsidR="002F1039" w:rsidRPr="00F362A1">
        <w:rPr>
          <w:rFonts w:ascii="Tahoma" w:eastAsia="Times New Roman" w:hAnsi="Tahoma" w:cs="Tahoma"/>
          <w:sz w:val="24"/>
          <w:szCs w:val="24"/>
        </w:rPr>
        <w:t>comerțul</w:t>
      </w:r>
      <w:r w:rsidRPr="00F362A1">
        <w:rPr>
          <w:rFonts w:ascii="Tahoma" w:eastAsia="Times New Roman" w:hAnsi="Tahoma" w:cs="Tahoma"/>
          <w:sz w:val="24"/>
          <w:szCs w:val="24"/>
        </w:rPr>
        <w:t xml:space="preserve"> prin intermediul caselor de comenzi sau prin internet, acesta înregistrând o </w:t>
      </w:r>
      <w:r w:rsidR="002F1039" w:rsidRPr="00F362A1">
        <w:rPr>
          <w:rFonts w:ascii="Tahoma" w:eastAsia="Times New Roman" w:hAnsi="Tahoma" w:cs="Tahoma"/>
          <w:sz w:val="24"/>
          <w:szCs w:val="24"/>
        </w:rPr>
        <w:t>creștere</w:t>
      </w:r>
      <w:r w:rsidRPr="00F362A1">
        <w:rPr>
          <w:rFonts w:ascii="Tahoma" w:eastAsia="Times New Roman" w:hAnsi="Tahoma" w:cs="Tahoma"/>
          <w:sz w:val="24"/>
          <w:szCs w:val="24"/>
        </w:rPr>
        <w:t xml:space="preserve"> de 39,3%. </w:t>
      </w:r>
      <w:r w:rsidR="002F1039" w:rsidRPr="00F362A1">
        <w:rPr>
          <w:rFonts w:ascii="Tahoma" w:eastAsia="Times New Roman" w:hAnsi="Tahoma" w:cs="Tahoma"/>
          <w:sz w:val="24"/>
          <w:szCs w:val="24"/>
        </w:rPr>
        <w:t>Comerțul</w:t>
      </w:r>
      <w:r w:rsidRPr="00F362A1">
        <w:rPr>
          <w:rFonts w:ascii="Tahoma" w:eastAsia="Times New Roman" w:hAnsi="Tahoma" w:cs="Tahoma"/>
          <w:sz w:val="24"/>
          <w:szCs w:val="24"/>
        </w:rPr>
        <w:t xml:space="preserve"> cu amănuntul al </w:t>
      </w:r>
      <w:r w:rsidR="002F1039" w:rsidRPr="00F362A1">
        <w:rPr>
          <w:rFonts w:ascii="Tahoma" w:eastAsia="Times New Roman" w:hAnsi="Tahoma" w:cs="Tahoma"/>
          <w:sz w:val="24"/>
          <w:szCs w:val="24"/>
        </w:rPr>
        <w:t>carburanților</w:t>
      </w:r>
      <w:r w:rsidRPr="00F362A1">
        <w:rPr>
          <w:rFonts w:ascii="Tahoma" w:eastAsia="Times New Roman" w:hAnsi="Tahoma" w:cs="Tahoma"/>
          <w:sz w:val="24"/>
          <w:szCs w:val="24"/>
        </w:rPr>
        <w:t xml:space="preserve"> s-a diminuat în primele 6 luni cu 10,8%, ca urmare a </w:t>
      </w:r>
      <w:r w:rsidR="002F1039" w:rsidRPr="00F362A1">
        <w:rPr>
          <w:rFonts w:ascii="Tahoma" w:eastAsia="Times New Roman" w:hAnsi="Tahoma" w:cs="Tahoma"/>
          <w:sz w:val="24"/>
          <w:szCs w:val="24"/>
        </w:rPr>
        <w:t>restricțiilor</w:t>
      </w:r>
      <w:r w:rsidRPr="00F362A1">
        <w:rPr>
          <w:rFonts w:ascii="Tahoma" w:eastAsia="Times New Roman" w:hAnsi="Tahoma" w:cs="Tahoma"/>
          <w:sz w:val="24"/>
          <w:szCs w:val="24"/>
        </w:rPr>
        <w:t xml:space="preserve"> de deplasare din perioada aprilie-mai.</w:t>
      </w:r>
    </w:p>
    <w:p w:rsidR="000051D6" w:rsidRPr="00F362A1" w:rsidRDefault="000051D6" w:rsidP="002A6579">
      <w:pPr>
        <w:widowControl w:val="0"/>
        <w:suppressAutoHyphens/>
        <w:spacing w:before="120" w:after="120" w:line="276" w:lineRule="auto"/>
        <w:ind w:firstLine="720"/>
        <w:rPr>
          <w:rFonts w:ascii="Tahoma" w:eastAsia="Times New Roman" w:hAnsi="Tahoma" w:cs="Tahoma"/>
          <w:sz w:val="24"/>
          <w:szCs w:val="24"/>
        </w:rPr>
      </w:pPr>
      <w:r w:rsidRPr="00F362A1">
        <w:rPr>
          <w:rFonts w:ascii="Tahoma" w:eastAsia="Times New Roman" w:hAnsi="Tahoma" w:cs="Tahoma"/>
          <w:b/>
          <w:sz w:val="24"/>
          <w:szCs w:val="24"/>
        </w:rPr>
        <w:t>Exporturile de bunuri</w:t>
      </w:r>
      <w:r w:rsidRPr="00F362A1">
        <w:rPr>
          <w:rFonts w:ascii="Tahoma" w:eastAsia="Times New Roman" w:hAnsi="Tahoma" w:cs="Tahoma"/>
          <w:sz w:val="24"/>
          <w:szCs w:val="24"/>
        </w:rPr>
        <w:t xml:space="preserve"> au însumat în primele 6 luni ale anului 2020 valoarea </w:t>
      </w:r>
      <w:r w:rsidRPr="00F362A1">
        <w:rPr>
          <w:rFonts w:ascii="Tahoma" w:eastAsia="Times New Roman" w:hAnsi="Tahoma" w:cs="Tahoma"/>
          <w:sz w:val="24"/>
          <w:szCs w:val="24"/>
        </w:rPr>
        <w:lastRenderedPageBreak/>
        <w:t xml:space="preserve">de 28,6 mld. euro, înregistrând o scădere cu 18,1% (-6,3 mld. Euro), față de perioada similară a anului anterior. Expedierile intracomunitare de bunuri au înregistrat o scădere de 18,6%, ponderea exportului destinat statelor UE în total exporturi reprezentând 72,8%. </w:t>
      </w:r>
      <w:r w:rsidRPr="00F362A1">
        <w:rPr>
          <w:rFonts w:ascii="Tahoma" w:eastAsia="Times New Roman" w:hAnsi="Tahoma" w:cs="Tahoma"/>
          <w:b/>
          <w:sz w:val="24"/>
          <w:szCs w:val="24"/>
        </w:rPr>
        <w:t>Importurile de bunuri</w:t>
      </w:r>
      <w:r w:rsidRPr="00F362A1">
        <w:rPr>
          <w:rFonts w:ascii="Tahoma" w:eastAsia="Times New Roman" w:hAnsi="Tahoma" w:cs="Tahoma"/>
          <w:sz w:val="24"/>
          <w:szCs w:val="24"/>
        </w:rPr>
        <w:t xml:space="preserve"> au scăzut, în primele 6 luni ale anului 2020 cu 12,6%, la fel ca scăderea importurilor provenite din zona UE. Acestea reprezintă 73% din importurile românești. </w:t>
      </w:r>
    </w:p>
    <w:p w:rsidR="000051D6" w:rsidRPr="00F362A1" w:rsidRDefault="000051D6" w:rsidP="002A6579">
      <w:pPr>
        <w:suppressAutoHyphens/>
        <w:spacing w:before="120" w:after="0" w:line="276" w:lineRule="auto"/>
        <w:jc w:val="center"/>
        <w:rPr>
          <w:rFonts w:ascii="Tahoma" w:eastAsia="Times New Roman" w:hAnsi="Tahoma" w:cs="Tahoma"/>
          <w:b/>
          <w:bCs/>
          <w:color w:val="0000FF"/>
          <w:sz w:val="24"/>
          <w:szCs w:val="24"/>
        </w:rPr>
      </w:pPr>
      <w:r w:rsidRPr="00F362A1">
        <w:rPr>
          <w:rFonts w:ascii="Tahoma" w:eastAsia="Times New Roman" w:hAnsi="Tahoma" w:cs="Tahoma"/>
          <w:b/>
          <w:bCs/>
          <w:color w:val="0000FF"/>
          <w:sz w:val="24"/>
          <w:szCs w:val="24"/>
        </w:rPr>
        <w:t>Evoluția comerțului exterior</w:t>
      </w:r>
    </w:p>
    <w:p w:rsidR="000051D6" w:rsidRPr="00F362A1" w:rsidRDefault="000051D6" w:rsidP="002A6579">
      <w:pPr>
        <w:suppressAutoHyphens/>
        <w:spacing w:before="120" w:after="120" w:line="276" w:lineRule="auto"/>
        <w:jc w:val="center"/>
        <w:rPr>
          <w:rFonts w:ascii="Tahoma" w:eastAsia="Times New Roman" w:hAnsi="Tahoma" w:cs="Tahoma"/>
          <w:bCs/>
          <w:color w:val="0000FF"/>
          <w:sz w:val="24"/>
          <w:szCs w:val="24"/>
        </w:rPr>
      </w:pPr>
      <w:r w:rsidRPr="00F362A1">
        <w:rPr>
          <w:rFonts w:ascii="Tahoma" w:eastAsia="Times New Roman" w:hAnsi="Tahoma" w:cs="Tahoma"/>
          <w:bCs/>
          <w:color w:val="0000FF"/>
          <w:sz w:val="24"/>
          <w:szCs w:val="24"/>
        </w:rPr>
        <w:t>Ianuarie – iunie 2020</w:t>
      </w:r>
    </w:p>
    <w:p w:rsidR="000051D6" w:rsidRPr="00F362A1" w:rsidRDefault="000051D6" w:rsidP="002A6579">
      <w:pPr>
        <w:suppressAutoHyphens/>
        <w:spacing w:line="276" w:lineRule="auto"/>
        <w:ind w:firstLine="0"/>
        <w:jc w:val="center"/>
        <w:rPr>
          <w:rFonts w:ascii="Tahoma" w:eastAsia="Times New Roman" w:hAnsi="Tahoma" w:cs="Tahoma"/>
          <w:sz w:val="24"/>
          <w:szCs w:val="24"/>
        </w:rPr>
      </w:pPr>
      <w:r w:rsidRPr="00F362A1">
        <w:rPr>
          <w:rFonts w:ascii="Tahoma" w:eastAsia="Times New Roman" w:hAnsi="Tahoma" w:cs="Tahoma"/>
          <w:noProof/>
          <w:sz w:val="24"/>
          <w:szCs w:val="24"/>
        </w:rPr>
        <w:drawing>
          <wp:inline distT="0" distB="0" distL="0" distR="0" wp14:anchorId="6954B98A" wp14:editId="725EC7E9">
            <wp:extent cx="5086350" cy="2743200"/>
            <wp:effectExtent l="19050" t="0" r="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51D6" w:rsidRPr="00F362A1" w:rsidRDefault="000051D6" w:rsidP="002A6579">
      <w:pPr>
        <w:widowControl w:val="0"/>
        <w:suppressAutoHyphens/>
        <w:spacing w:before="240" w:after="120" w:line="276" w:lineRule="auto"/>
        <w:ind w:firstLine="720"/>
        <w:rPr>
          <w:rFonts w:ascii="Tahoma" w:eastAsia="MS Mincho" w:hAnsi="Tahoma" w:cs="Tahoma"/>
          <w:sz w:val="24"/>
          <w:szCs w:val="24"/>
          <w:lang w:eastAsia="ja-JP"/>
        </w:rPr>
      </w:pPr>
      <w:r w:rsidRPr="00F362A1">
        <w:rPr>
          <w:rFonts w:ascii="Tahoma" w:eastAsia="Times New Roman" w:hAnsi="Tahoma" w:cs="Tahoma"/>
          <w:sz w:val="24"/>
          <w:szCs w:val="24"/>
        </w:rPr>
        <w:t xml:space="preserve">În primele 6 luni din 2020, </w:t>
      </w:r>
      <w:r w:rsidRPr="00F362A1">
        <w:rPr>
          <w:rFonts w:ascii="Tahoma" w:eastAsia="Times New Roman" w:hAnsi="Tahoma" w:cs="Tahoma"/>
          <w:b/>
          <w:bCs/>
          <w:sz w:val="24"/>
          <w:szCs w:val="24"/>
        </w:rPr>
        <w:t xml:space="preserve">contul curent al </w:t>
      </w:r>
      <w:r w:rsidR="002F1039" w:rsidRPr="00F362A1">
        <w:rPr>
          <w:rFonts w:ascii="Tahoma" w:eastAsia="Times New Roman" w:hAnsi="Tahoma" w:cs="Tahoma"/>
          <w:b/>
          <w:bCs/>
          <w:sz w:val="24"/>
          <w:szCs w:val="24"/>
        </w:rPr>
        <w:t>balanței</w:t>
      </w:r>
      <w:r w:rsidRPr="00F362A1">
        <w:rPr>
          <w:rFonts w:ascii="Tahoma" w:eastAsia="Times New Roman" w:hAnsi="Tahoma" w:cs="Tahoma"/>
          <w:b/>
          <w:bCs/>
          <w:sz w:val="24"/>
          <w:szCs w:val="24"/>
        </w:rPr>
        <w:t xml:space="preserve"> de </w:t>
      </w:r>
      <w:r w:rsidR="002F1039" w:rsidRPr="00F362A1">
        <w:rPr>
          <w:rFonts w:ascii="Tahoma" w:eastAsia="Times New Roman" w:hAnsi="Tahoma" w:cs="Tahoma"/>
          <w:b/>
          <w:bCs/>
          <w:sz w:val="24"/>
          <w:szCs w:val="24"/>
        </w:rPr>
        <w:t>plăți</w:t>
      </w:r>
      <w:r w:rsidRPr="00F362A1">
        <w:rPr>
          <w:rFonts w:ascii="Tahoma" w:eastAsia="Times New Roman" w:hAnsi="Tahoma" w:cs="Tahoma"/>
          <w:b/>
          <w:bCs/>
          <w:sz w:val="24"/>
          <w:szCs w:val="24"/>
        </w:rPr>
        <w:t xml:space="preserve"> </w:t>
      </w:r>
      <w:r w:rsidRPr="00F362A1">
        <w:rPr>
          <w:rFonts w:ascii="Tahoma" w:eastAsia="MS Mincho" w:hAnsi="Tahoma" w:cs="Tahoma"/>
          <w:sz w:val="24"/>
          <w:szCs w:val="24"/>
          <w:lang w:eastAsia="ja-JP"/>
        </w:rPr>
        <w:t xml:space="preserve">a înregistrat un sold negativ în valoare de 3.497 milioane euro comparativ cu 4.373 milioane euro atins în </w:t>
      </w:r>
      <w:r w:rsidR="002F1039" w:rsidRPr="00F362A1">
        <w:rPr>
          <w:rFonts w:ascii="Tahoma" w:eastAsia="MS Mincho" w:hAnsi="Tahoma" w:cs="Tahoma"/>
          <w:sz w:val="24"/>
          <w:szCs w:val="24"/>
          <w:lang w:eastAsia="ja-JP"/>
        </w:rPr>
        <w:t>aceeași</w:t>
      </w:r>
      <w:r w:rsidRPr="00F362A1">
        <w:rPr>
          <w:rFonts w:ascii="Tahoma" w:eastAsia="MS Mincho" w:hAnsi="Tahoma" w:cs="Tahoma"/>
          <w:sz w:val="24"/>
          <w:szCs w:val="24"/>
          <w:lang w:eastAsia="ja-JP"/>
        </w:rPr>
        <w:t xml:space="preserve"> perioadă din anul 2019, în scădere cu 20,0%. </w:t>
      </w:r>
      <w:r w:rsidR="002F1039" w:rsidRPr="00F362A1">
        <w:rPr>
          <w:rFonts w:ascii="Tahoma" w:eastAsia="MS Mincho" w:hAnsi="Tahoma" w:cs="Tahoma"/>
          <w:sz w:val="24"/>
          <w:szCs w:val="24"/>
          <w:lang w:eastAsia="ja-JP"/>
        </w:rPr>
        <w:t>Investițiile</w:t>
      </w:r>
      <w:r w:rsidRPr="00F362A1">
        <w:rPr>
          <w:rFonts w:ascii="Tahoma" w:eastAsia="MS Mincho" w:hAnsi="Tahoma" w:cs="Tahoma"/>
          <w:sz w:val="24"/>
          <w:szCs w:val="24"/>
          <w:lang w:eastAsia="ja-JP"/>
        </w:rPr>
        <w:t xml:space="preserve"> străine directe au însumat 352 milioane euro, față de 2.697 milioane euro în primul semestru al anului 2019.  </w:t>
      </w:r>
    </w:p>
    <w:p w:rsidR="000051D6" w:rsidRPr="00F362A1" w:rsidRDefault="000051D6" w:rsidP="002A6579">
      <w:pPr>
        <w:widowControl w:val="0"/>
        <w:suppressAutoHyphens/>
        <w:spacing w:before="120" w:after="120" w:line="276" w:lineRule="auto"/>
        <w:ind w:firstLine="720"/>
        <w:rPr>
          <w:rFonts w:ascii="Tahoma" w:eastAsia="Times New Roman" w:hAnsi="Tahoma" w:cs="Tahoma"/>
          <w:sz w:val="24"/>
          <w:szCs w:val="24"/>
        </w:rPr>
      </w:pPr>
      <w:r w:rsidRPr="00F362A1">
        <w:rPr>
          <w:rFonts w:ascii="Tahoma" w:eastAsia="Times New Roman" w:hAnsi="Tahoma" w:cs="Tahoma"/>
          <w:sz w:val="24"/>
          <w:szCs w:val="24"/>
        </w:rPr>
        <w:t xml:space="preserve">Creșterea </w:t>
      </w:r>
      <w:r w:rsidRPr="00F362A1">
        <w:rPr>
          <w:rFonts w:ascii="Tahoma" w:eastAsia="Times New Roman" w:hAnsi="Tahoma" w:cs="Tahoma"/>
          <w:b/>
          <w:sz w:val="24"/>
          <w:szCs w:val="24"/>
        </w:rPr>
        <w:t xml:space="preserve">prețurilor de consum </w:t>
      </w:r>
      <w:r w:rsidRPr="00F362A1">
        <w:rPr>
          <w:rFonts w:ascii="Tahoma" w:eastAsia="Times New Roman" w:hAnsi="Tahoma" w:cs="Tahoma"/>
          <w:sz w:val="24"/>
          <w:szCs w:val="24"/>
        </w:rPr>
        <w:t xml:space="preserve">şi-a continuat traiectoria descendentă manifestată încă din prima parte a anului, inflația anuală ajungând în luna iunie la valoarea de 2,58%, cu 1 punct procentual mai </w:t>
      </w:r>
      <w:r w:rsidR="002F1039" w:rsidRPr="00F362A1">
        <w:rPr>
          <w:rFonts w:ascii="Tahoma" w:eastAsia="Times New Roman" w:hAnsi="Tahoma" w:cs="Tahoma"/>
          <w:sz w:val="24"/>
          <w:szCs w:val="24"/>
        </w:rPr>
        <w:t>puțin</w:t>
      </w:r>
      <w:r w:rsidRPr="00F362A1">
        <w:rPr>
          <w:rFonts w:ascii="Tahoma" w:eastAsia="Times New Roman" w:hAnsi="Tahoma" w:cs="Tahoma"/>
          <w:sz w:val="24"/>
          <w:szCs w:val="24"/>
        </w:rPr>
        <w:t xml:space="preserve"> decât în luna ianuarie. </w:t>
      </w:r>
    </w:p>
    <w:p w:rsidR="000051D6" w:rsidRPr="00F362A1" w:rsidRDefault="000051D6" w:rsidP="002A6579">
      <w:pPr>
        <w:widowControl w:val="0"/>
        <w:suppressAutoHyphens/>
        <w:spacing w:before="120" w:after="120" w:line="276" w:lineRule="auto"/>
        <w:ind w:firstLine="720"/>
        <w:rPr>
          <w:rFonts w:ascii="Tahoma" w:eastAsia="Times New Roman" w:hAnsi="Tahoma" w:cs="Tahoma"/>
          <w:sz w:val="24"/>
          <w:szCs w:val="24"/>
        </w:rPr>
      </w:pPr>
      <w:r w:rsidRPr="00F362A1">
        <w:rPr>
          <w:rFonts w:ascii="Tahoma" w:eastAsia="Times New Roman" w:hAnsi="Tahoma" w:cs="Tahoma"/>
          <w:sz w:val="24"/>
          <w:szCs w:val="24"/>
        </w:rPr>
        <w:t xml:space="preserve">În primul semestru al anului 2020 comparativ cu perioada corespunzătoare a anului anterior prețurile de consum au înregistrat o creștere de 2,87%. Creșterile cele mai pronunțate s-au înregistrat la mărfurile alimentare (5,05%) şi la tarifele la servicii (3,35%), în timp ce prețurile mărfurilor nealimentare s-au majorat doar cu 1,24%. </w:t>
      </w:r>
    </w:p>
    <w:p w:rsidR="000051D6" w:rsidRPr="00F362A1" w:rsidRDefault="000051D6" w:rsidP="002A6579">
      <w:pPr>
        <w:widowControl w:val="0"/>
        <w:suppressAutoHyphens/>
        <w:spacing w:before="120" w:after="240" w:line="276" w:lineRule="auto"/>
        <w:ind w:firstLine="720"/>
        <w:rPr>
          <w:rFonts w:ascii="Tahoma" w:eastAsia="Times New Roman" w:hAnsi="Tahoma" w:cs="Tahoma"/>
          <w:sz w:val="24"/>
          <w:szCs w:val="24"/>
        </w:rPr>
      </w:pPr>
      <w:r w:rsidRPr="00F362A1">
        <w:rPr>
          <w:rFonts w:ascii="Tahoma" w:eastAsia="Times New Roman" w:hAnsi="Tahoma" w:cs="Tahoma"/>
          <w:sz w:val="24"/>
          <w:szCs w:val="24"/>
        </w:rPr>
        <w:t xml:space="preserve">Majorarea cererii de consum pentru produsele de strictă necesitate, precum şi întreruperile în cazul </w:t>
      </w:r>
      <w:r w:rsidR="002F1039" w:rsidRPr="00F362A1">
        <w:rPr>
          <w:rFonts w:ascii="Tahoma" w:eastAsia="Times New Roman" w:hAnsi="Tahoma" w:cs="Tahoma"/>
          <w:sz w:val="24"/>
          <w:szCs w:val="24"/>
        </w:rPr>
        <w:t>lanțurilor</w:t>
      </w:r>
      <w:r w:rsidRPr="00F362A1">
        <w:rPr>
          <w:rFonts w:ascii="Tahoma" w:eastAsia="Times New Roman" w:hAnsi="Tahoma" w:cs="Tahoma"/>
          <w:sz w:val="24"/>
          <w:szCs w:val="24"/>
        </w:rPr>
        <w:t xml:space="preserve"> de aprovizionare şi</w:t>
      </w:r>
      <w:r w:rsidR="00FF1D0A" w:rsidRPr="00F362A1">
        <w:rPr>
          <w:rFonts w:ascii="Tahoma" w:eastAsia="Times New Roman" w:hAnsi="Tahoma" w:cs="Tahoma"/>
          <w:sz w:val="24"/>
          <w:szCs w:val="24"/>
        </w:rPr>
        <w:t xml:space="preserve"> </w:t>
      </w:r>
      <w:r w:rsidR="002F1039" w:rsidRPr="00F362A1">
        <w:rPr>
          <w:rFonts w:ascii="Tahoma" w:eastAsia="Times New Roman" w:hAnsi="Tahoma" w:cs="Tahoma"/>
          <w:sz w:val="24"/>
          <w:szCs w:val="24"/>
        </w:rPr>
        <w:t>distribuție</w:t>
      </w:r>
      <w:r w:rsidRPr="00F362A1">
        <w:rPr>
          <w:rFonts w:ascii="Tahoma" w:eastAsia="Times New Roman" w:hAnsi="Tahoma" w:cs="Tahoma"/>
          <w:sz w:val="24"/>
          <w:szCs w:val="24"/>
        </w:rPr>
        <w:t xml:space="preserve"> în contextul extinderii pandemiei de Covid-19 au </w:t>
      </w:r>
      <w:r w:rsidR="002F1039" w:rsidRPr="00F362A1">
        <w:rPr>
          <w:rFonts w:ascii="Tahoma" w:eastAsia="Times New Roman" w:hAnsi="Tahoma" w:cs="Tahoma"/>
          <w:sz w:val="24"/>
          <w:szCs w:val="24"/>
        </w:rPr>
        <w:t>influențat</w:t>
      </w:r>
      <w:r w:rsidR="00FF1D0A" w:rsidRPr="00F362A1">
        <w:rPr>
          <w:rFonts w:ascii="Tahoma" w:eastAsia="Times New Roman" w:hAnsi="Tahoma" w:cs="Tahoma"/>
          <w:sz w:val="24"/>
          <w:szCs w:val="24"/>
        </w:rPr>
        <w:t xml:space="preserve"> </w:t>
      </w:r>
      <w:r w:rsidR="002F1039" w:rsidRPr="00F362A1">
        <w:rPr>
          <w:rFonts w:ascii="Tahoma" w:eastAsia="Times New Roman" w:hAnsi="Tahoma" w:cs="Tahoma"/>
          <w:sz w:val="24"/>
          <w:szCs w:val="24"/>
        </w:rPr>
        <w:t>creșterea</w:t>
      </w:r>
      <w:r w:rsidRPr="00F362A1">
        <w:rPr>
          <w:rFonts w:ascii="Tahoma" w:eastAsia="Times New Roman" w:hAnsi="Tahoma" w:cs="Tahoma"/>
          <w:sz w:val="24"/>
          <w:szCs w:val="24"/>
        </w:rPr>
        <w:t xml:space="preserve"> de </w:t>
      </w:r>
      <w:r w:rsidR="002F1039" w:rsidRPr="00F362A1">
        <w:rPr>
          <w:rFonts w:ascii="Tahoma" w:eastAsia="Times New Roman" w:hAnsi="Tahoma" w:cs="Tahoma"/>
          <w:sz w:val="24"/>
          <w:szCs w:val="24"/>
        </w:rPr>
        <w:t>prețuri</w:t>
      </w:r>
      <w:r w:rsidRPr="00F362A1">
        <w:rPr>
          <w:rFonts w:ascii="Tahoma" w:eastAsia="Times New Roman" w:hAnsi="Tahoma" w:cs="Tahoma"/>
          <w:sz w:val="24"/>
          <w:szCs w:val="24"/>
        </w:rPr>
        <w:t xml:space="preserve"> în cazul mărfurilor alimentare, în timp ce scăderea </w:t>
      </w:r>
      <w:r w:rsidR="002F1039" w:rsidRPr="00F362A1">
        <w:rPr>
          <w:rFonts w:ascii="Tahoma" w:eastAsia="Times New Roman" w:hAnsi="Tahoma" w:cs="Tahoma"/>
          <w:sz w:val="24"/>
          <w:szCs w:val="24"/>
        </w:rPr>
        <w:t>prețurilor</w:t>
      </w:r>
      <w:r w:rsidRPr="00F362A1">
        <w:rPr>
          <w:rFonts w:ascii="Tahoma" w:eastAsia="Times New Roman" w:hAnsi="Tahoma" w:cs="Tahoma"/>
          <w:sz w:val="24"/>
          <w:szCs w:val="24"/>
        </w:rPr>
        <w:t xml:space="preserve"> la </w:t>
      </w:r>
      <w:r w:rsidR="002F1039" w:rsidRPr="00F362A1">
        <w:rPr>
          <w:rFonts w:ascii="Tahoma" w:eastAsia="Times New Roman" w:hAnsi="Tahoma" w:cs="Tahoma"/>
          <w:sz w:val="24"/>
          <w:szCs w:val="24"/>
        </w:rPr>
        <w:t>carburanți</w:t>
      </w:r>
      <w:r w:rsidRPr="00F362A1">
        <w:rPr>
          <w:rFonts w:ascii="Tahoma" w:eastAsia="Times New Roman" w:hAnsi="Tahoma" w:cs="Tahoma"/>
          <w:sz w:val="24"/>
          <w:szCs w:val="24"/>
        </w:rPr>
        <w:t xml:space="preserve"> ca urmare a scăderilor </w:t>
      </w:r>
      <w:r w:rsidR="002F1039" w:rsidRPr="00F362A1">
        <w:rPr>
          <w:rFonts w:ascii="Tahoma" w:eastAsia="Times New Roman" w:hAnsi="Tahoma" w:cs="Tahoma"/>
          <w:sz w:val="24"/>
          <w:szCs w:val="24"/>
        </w:rPr>
        <w:t>pronunțate</w:t>
      </w:r>
      <w:r w:rsidRPr="00F362A1">
        <w:rPr>
          <w:rFonts w:ascii="Tahoma" w:eastAsia="Times New Roman" w:hAnsi="Tahoma" w:cs="Tahoma"/>
          <w:sz w:val="24"/>
          <w:szCs w:val="24"/>
        </w:rPr>
        <w:t xml:space="preserve"> ale </w:t>
      </w:r>
      <w:r w:rsidR="002F1039" w:rsidRPr="00F362A1">
        <w:rPr>
          <w:rFonts w:ascii="Tahoma" w:eastAsia="Times New Roman" w:hAnsi="Tahoma" w:cs="Tahoma"/>
          <w:sz w:val="24"/>
          <w:szCs w:val="24"/>
        </w:rPr>
        <w:t>cotațiilor</w:t>
      </w:r>
      <w:r w:rsidRPr="00F362A1">
        <w:rPr>
          <w:rFonts w:ascii="Tahoma" w:eastAsia="Times New Roman" w:hAnsi="Tahoma" w:cs="Tahoma"/>
          <w:sz w:val="24"/>
          <w:szCs w:val="24"/>
        </w:rPr>
        <w:t xml:space="preserve"> petrolului din prima parte a acestui an a </w:t>
      </w:r>
      <w:r w:rsidR="002F1039" w:rsidRPr="00F362A1">
        <w:rPr>
          <w:rFonts w:ascii="Tahoma" w:eastAsia="Times New Roman" w:hAnsi="Tahoma" w:cs="Tahoma"/>
          <w:sz w:val="24"/>
          <w:szCs w:val="24"/>
        </w:rPr>
        <w:t>influențat</w:t>
      </w:r>
      <w:r w:rsidRPr="00F362A1">
        <w:rPr>
          <w:rFonts w:ascii="Tahoma" w:eastAsia="Times New Roman" w:hAnsi="Tahoma" w:cs="Tahoma"/>
          <w:sz w:val="24"/>
          <w:szCs w:val="24"/>
        </w:rPr>
        <w:t xml:space="preserve"> </w:t>
      </w:r>
      <w:r w:rsidRPr="00F362A1">
        <w:rPr>
          <w:rFonts w:ascii="Tahoma" w:eastAsia="Times New Roman" w:hAnsi="Tahoma" w:cs="Tahoma"/>
          <w:sz w:val="24"/>
          <w:szCs w:val="24"/>
        </w:rPr>
        <w:lastRenderedPageBreak/>
        <w:t xml:space="preserve">semnificativ </w:t>
      </w:r>
      <w:r w:rsidR="002F1039" w:rsidRPr="00F362A1">
        <w:rPr>
          <w:rFonts w:ascii="Tahoma" w:eastAsia="Times New Roman" w:hAnsi="Tahoma" w:cs="Tahoma"/>
          <w:sz w:val="24"/>
          <w:szCs w:val="24"/>
        </w:rPr>
        <w:t>evoluția</w:t>
      </w:r>
      <w:r w:rsidR="00FF1D0A" w:rsidRPr="00F362A1">
        <w:rPr>
          <w:rFonts w:ascii="Tahoma" w:eastAsia="Times New Roman" w:hAnsi="Tahoma" w:cs="Tahoma"/>
          <w:sz w:val="24"/>
          <w:szCs w:val="24"/>
        </w:rPr>
        <w:t xml:space="preserve"> </w:t>
      </w:r>
      <w:r w:rsidR="002F1039" w:rsidRPr="00F362A1">
        <w:rPr>
          <w:rFonts w:ascii="Tahoma" w:eastAsia="Times New Roman" w:hAnsi="Tahoma" w:cs="Tahoma"/>
          <w:sz w:val="24"/>
          <w:szCs w:val="24"/>
        </w:rPr>
        <w:t>prețurilor</w:t>
      </w:r>
      <w:r w:rsidRPr="00F362A1">
        <w:rPr>
          <w:rFonts w:ascii="Tahoma" w:eastAsia="Times New Roman" w:hAnsi="Tahoma" w:cs="Tahoma"/>
          <w:sz w:val="24"/>
          <w:szCs w:val="24"/>
        </w:rPr>
        <w:t xml:space="preserve"> în cazul bunurilor nealimentare. De asemenea </w:t>
      </w:r>
      <w:r w:rsidR="002F1039" w:rsidRPr="00F362A1">
        <w:rPr>
          <w:rFonts w:ascii="Tahoma" w:eastAsia="Times New Roman" w:hAnsi="Tahoma" w:cs="Tahoma"/>
          <w:sz w:val="24"/>
          <w:szCs w:val="24"/>
        </w:rPr>
        <w:t>și</w:t>
      </w:r>
      <w:r w:rsidRPr="00F362A1">
        <w:rPr>
          <w:rFonts w:ascii="Tahoma" w:eastAsia="Times New Roman" w:hAnsi="Tahoma" w:cs="Tahoma"/>
          <w:sz w:val="24"/>
          <w:szCs w:val="24"/>
        </w:rPr>
        <w:t xml:space="preserve"> deprecierea monedei naționale din primul semestru a contribuit la </w:t>
      </w:r>
      <w:r w:rsidR="002F1039" w:rsidRPr="00F362A1">
        <w:rPr>
          <w:rFonts w:ascii="Tahoma" w:eastAsia="Times New Roman" w:hAnsi="Tahoma" w:cs="Tahoma"/>
          <w:sz w:val="24"/>
          <w:szCs w:val="24"/>
        </w:rPr>
        <w:t>creșterea</w:t>
      </w:r>
      <w:r w:rsidR="00FF1D0A" w:rsidRPr="00F362A1">
        <w:rPr>
          <w:rFonts w:ascii="Tahoma" w:eastAsia="Times New Roman" w:hAnsi="Tahoma" w:cs="Tahoma"/>
          <w:sz w:val="24"/>
          <w:szCs w:val="24"/>
        </w:rPr>
        <w:t xml:space="preserve"> </w:t>
      </w:r>
      <w:r w:rsidR="002F1039" w:rsidRPr="00F362A1">
        <w:rPr>
          <w:rFonts w:ascii="Tahoma" w:eastAsia="Times New Roman" w:hAnsi="Tahoma" w:cs="Tahoma"/>
          <w:sz w:val="24"/>
          <w:szCs w:val="24"/>
        </w:rPr>
        <w:t>prețurilor</w:t>
      </w:r>
      <w:r w:rsidRPr="00F362A1">
        <w:rPr>
          <w:rFonts w:ascii="Tahoma" w:eastAsia="Times New Roman" w:hAnsi="Tahoma" w:cs="Tahoma"/>
          <w:sz w:val="24"/>
          <w:szCs w:val="24"/>
        </w:rPr>
        <w:t xml:space="preserve"> de consum.</w:t>
      </w:r>
    </w:p>
    <w:p w:rsidR="000051D6" w:rsidRPr="00F362A1" w:rsidRDefault="000051D6" w:rsidP="002A6579">
      <w:pPr>
        <w:widowControl w:val="0"/>
        <w:suppressAutoHyphens/>
        <w:spacing w:after="120" w:line="276" w:lineRule="auto"/>
        <w:ind w:hanging="360"/>
        <w:jc w:val="center"/>
        <w:rPr>
          <w:rFonts w:ascii="Tahoma" w:eastAsia="Times New Roman" w:hAnsi="Tahoma" w:cs="Tahoma"/>
          <w:b/>
          <w:bCs/>
          <w:sz w:val="24"/>
          <w:szCs w:val="24"/>
        </w:rPr>
      </w:pPr>
      <w:r w:rsidRPr="00F362A1">
        <w:rPr>
          <w:rFonts w:ascii="Tahoma" w:eastAsia="Times New Roman" w:hAnsi="Tahoma" w:cs="Tahoma"/>
          <w:b/>
          <w:bCs/>
          <w:sz w:val="24"/>
          <w:szCs w:val="24"/>
        </w:rPr>
        <w:t>Contribuții la rata anuală a inflației (%)</w:t>
      </w:r>
    </w:p>
    <w:p w:rsidR="000051D6" w:rsidRPr="00F362A1" w:rsidRDefault="000051D6" w:rsidP="002A6579">
      <w:pPr>
        <w:widowControl w:val="0"/>
        <w:suppressAutoHyphens/>
        <w:spacing w:line="276" w:lineRule="auto"/>
        <w:ind w:firstLine="0"/>
        <w:jc w:val="center"/>
        <w:rPr>
          <w:rFonts w:ascii="Tahoma" w:eastAsia="Times New Roman" w:hAnsi="Tahoma" w:cs="Tahoma"/>
          <w:b/>
          <w:noProof/>
          <w:sz w:val="24"/>
          <w:szCs w:val="24"/>
        </w:rPr>
      </w:pPr>
      <w:r w:rsidRPr="00F362A1">
        <w:rPr>
          <w:rFonts w:ascii="Tahoma" w:eastAsia="Times New Roman" w:hAnsi="Tahoma" w:cs="Tahoma"/>
          <w:b/>
          <w:noProof/>
          <w:sz w:val="24"/>
          <w:szCs w:val="24"/>
        </w:rPr>
        <w:drawing>
          <wp:inline distT="0" distB="0" distL="0" distR="0" wp14:anchorId="39281B3F" wp14:editId="52AA256A">
            <wp:extent cx="5751830" cy="2902689"/>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9859" cy="2911787"/>
                    </a:xfrm>
                    <a:prstGeom prst="rect">
                      <a:avLst/>
                    </a:prstGeom>
                    <a:noFill/>
                  </pic:spPr>
                </pic:pic>
              </a:graphicData>
            </a:graphic>
          </wp:inline>
        </w:drawing>
      </w:r>
    </w:p>
    <w:p w:rsidR="000051D6" w:rsidRPr="00F362A1" w:rsidRDefault="000051D6" w:rsidP="002A6579">
      <w:pPr>
        <w:widowControl w:val="0"/>
        <w:suppressAutoHyphens/>
        <w:spacing w:before="120" w:after="0" w:line="276" w:lineRule="auto"/>
        <w:ind w:firstLine="709"/>
        <w:rPr>
          <w:rFonts w:ascii="Tahoma" w:eastAsia="Times New Roman" w:hAnsi="Tahoma" w:cs="Tahoma"/>
          <w:b/>
          <w:sz w:val="24"/>
          <w:szCs w:val="24"/>
        </w:rPr>
      </w:pPr>
    </w:p>
    <w:p w:rsidR="000051D6" w:rsidRPr="00F362A1" w:rsidRDefault="000051D6" w:rsidP="002A6579">
      <w:pPr>
        <w:widowControl w:val="0"/>
        <w:suppressAutoHyphens/>
        <w:spacing w:before="120" w:after="120" w:line="276" w:lineRule="auto"/>
        <w:ind w:firstLine="720"/>
        <w:rPr>
          <w:rFonts w:ascii="Tahoma" w:eastAsia="Times New Roman" w:hAnsi="Tahoma" w:cs="Tahoma"/>
          <w:sz w:val="24"/>
          <w:szCs w:val="24"/>
        </w:rPr>
      </w:pPr>
      <w:r w:rsidRPr="00F362A1">
        <w:rPr>
          <w:rFonts w:ascii="Tahoma" w:eastAsia="Times New Roman" w:hAnsi="Tahoma" w:cs="Tahoma"/>
          <w:b/>
          <w:sz w:val="24"/>
          <w:szCs w:val="24"/>
        </w:rPr>
        <w:t>Cursul mediu de schimb leu/euro</w:t>
      </w:r>
      <w:r w:rsidRPr="00F362A1">
        <w:rPr>
          <w:rFonts w:ascii="Tahoma" w:eastAsia="Times New Roman" w:hAnsi="Tahoma" w:cs="Tahoma"/>
          <w:sz w:val="24"/>
          <w:szCs w:val="24"/>
        </w:rPr>
        <w:t xml:space="preserve"> s-a situat în primele 6 luni ale anului curent la valoarea de 4,8162 lei/euro, moneda </w:t>
      </w:r>
      <w:r w:rsidR="002F1039" w:rsidRPr="00F362A1">
        <w:rPr>
          <w:rFonts w:ascii="Tahoma" w:eastAsia="Times New Roman" w:hAnsi="Tahoma" w:cs="Tahoma"/>
          <w:sz w:val="24"/>
          <w:szCs w:val="24"/>
        </w:rPr>
        <w:t>națională</w:t>
      </w:r>
      <w:r w:rsidRPr="00F362A1">
        <w:rPr>
          <w:rFonts w:ascii="Tahoma" w:eastAsia="Times New Roman" w:hAnsi="Tahoma" w:cs="Tahoma"/>
          <w:sz w:val="24"/>
          <w:szCs w:val="24"/>
        </w:rPr>
        <w:t xml:space="preserve"> înregistrând o depreciere, în termeni nominali de 1,55% față de perioada corespunzătoare din 2019, în timp ce în termeni reali aceasta s-a apreciat cu 1,27%. În perioada ianuarie - iunie 2020 raportul euro/$ a fost de 1,10, cursul mediu de schimb leu/dolar în această perioadă fiind de 4,3728 lei/$.</w:t>
      </w:r>
    </w:p>
    <w:p w:rsidR="000051D6" w:rsidRPr="00F362A1" w:rsidRDefault="000051D6" w:rsidP="002A6579">
      <w:pPr>
        <w:ind w:firstLine="720"/>
        <w:rPr>
          <w:rFonts w:ascii="Tahoma" w:hAnsi="Tahoma" w:cs="Tahoma"/>
          <w:sz w:val="24"/>
          <w:szCs w:val="24"/>
        </w:rPr>
      </w:pPr>
      <w:r w:rsidRPr="00F362A1">
        <w:rPr>
          <w:rFonts w:ascii="Tahoma" w:hAnsi="Tahoma" w:cs="Tahoma"/>
          <w:b/>
          <w:sz w:val="24"/>
          <w:szCs w:val="24"/>
        </w:rPr>
        <w:t xml:space="preserve">Efectivul </w:t>
      </w:r>
      <w:r w:rsidR="002F1039" w:rsidRPr="00F362A1">
        <w:rPr>
          <w:rFonts w:ascii="Tahoma" w:hAnsi="Tahoma" w:cs="Tahoma"/>
          <w:b/>
          <w:sz w:val="24"/>
          <w:szCs w:val="24"/>
        </w:rPr>
        <w:t>salariaților</w:t>
      </w:r>
      <w:r w:rsidRPr="00F362A1">
        <w:rPr>
          <w:rFonts w:ascii="Tahoma" w:hAnsi="Tahoma" w:cs="Tahoma"/>
          <w:sz w:val="24"/>
          <w:szCs w:val="24"/>
        </w:rPr>
        <w:t xml:space="preserve"> s-a majorat în lunile ianuarie şi februarie din 2020, după care s-a înscris pe un trend </w:t>
      </w:r>
      <w:r w:rsidR="002F1039" w:rsidRPr="00F362A1">
        <w:rPr>
          <w:rFonts w:ascii="Tahoma" w:hAnsi="Tahoma" w:cs="Tahoma"/>
          <w:sz w:val="24"/>
          <w:szCs w:val="24"/>
        </w:rPr>
        <w:t>ușor</w:t>
      </w:r>
      <w:r w:rsidRPr="00F362A1">
        <w:rPr>
          <w:rFonts w:ascii="Tahoma" w:hAnsi="Tahoma" w:cs="Tahoma"/>
          <w:sz w:val="24"/>
          <w:szCs w:val="24"/>
        </w:rPr>
        <w:t xml:space="preserve"> descrescător începând cu luna martie 2020 comparativ cu perioada corespunzătoare din 2019, ajungând la </w:t>
      </w:r>
      <w:r w:rsidR="002F1039" w:rsidRPr="00F362A1">
        <w:rPr>
          <w:rFonts w:ascii="Tahoma" w:hAnsi="Tahoma" w:cs="Tahoma"/>
          <w:sz w:val="24"/>
          <w:szCs w:val="24"/>
        </w:rPr>
        <w:t>sfârșitul</w:t>
      </w:r>
      <w:r w:rsidRPr="00F362A1">
        <w:rPr>
          <w:rFonts w:ascii="Tahoma" w:hAnsi="Tahoma" w:cs="Tahoma"/>
          <w:sz w:val="24"/>
          <w:szCs w:val="24"/>
        </w:rPr>
        <w:t xml:space="preserve"> lunii iunie la 4.897 mii persoane (cu 1,7% mai </w:t>
      </w:r>
      <w:r w:rsidR="002F1039" w:rsidRPr="00F362A1">
        <w:rPr>
          <w:rFonts w:ascii="Tahoma" w:hAnsi="Tahoma" w:cs="Tahoma"/>
          <w:sz w:val="24"/>
          <w:szCs w:val="24"/>
        </w:rPr>
        <w:t>puțin</w:t>
      </w:r>
      <w:r w:rsidRPr="00F362A1">
        <w:rPr>
          <w:rFonts w:ascii="Tahoma" w:hAnsi="Tahoma" w:cs="Tahoma"/>
          <w:sz w:val="24"/>
          <w:szCs w:val="24"/>
        </w:rPr>
        <w:t xml:space="preserve"> </w:t>
      </w:r>
      <w:r w:rsidR="002F1039" w:rsidRPr="00F362A1">
        <w:rPr>
          <w:rFonts w:ascii="Tahoma" w:hAnsi="Tahoma" w:cs="Tahoma"/>
          <w:sz w:val="24"/>
          <w:szCs w:val="24"/>
        </w:rPr>
        <w:t>față</w:t>
      </w:r>
      <w:r w:rsidRPr="00F362A1">
        <w:rPr>
          <w:rFonts w:ascii="Tahoma" w:hAnsi="Tahoma" w:cs="Tahoma"/>
          <w:sz w:val="24"/>
          <w:szCs w:val="24"/>
        </w:rPr>
        <w:t xml:space="preserve"> de efectivul </w:t>
      </w:r>
      <w:r w:rsidR="002F1039" w:rsidRPr="00F362A1">
        <w:rPr>
          <w:rFonts w:ascii="Tahoma" w:hAnsi="Tahoma" w:cs="Tahoma"/>
          <w:sz w:val="24"/>
          <w:szCs w:val="24"/>
        </w:rPr>
        <w:t>salariaților</w:t>
      </w:r>
      <w:r w:rsidRPr="00F362A1">
        <w:rPr>
          <w:rFonts w:ascii="Tahoma" w:hAnsi="Tahoma" w:cs="Tahoma"/>
          <w:sz w:val="24"/>
          <w:szCs w:val="24"/>
        </w:rPr>
        <w:t xml:space="preserve"> înregistrat la </w:t>
      </w:r>
      <w:r w:rsidR="002F1039" w:rsidRPr="00F362A1">
        <w:rPr>
          <w:rFonts w:ascii="Tahoma" w:hAnsi="Tahoma" w:cs="Tahoma"/>
          <w:sz w:val="24"/>
          <w:szCs w:val="24"/>
        </w:rPr>
        <w:t>sfârșitul</w:t>
      </w:r>
      <w:r w:rsidRPr="00F362A1">
        <w:rPr>
          <w:rFonts w:ascii="Tahoma" w:hAnsi="Tahoma" w:cs="Tahoma"/>
          <w:sz w:val="24"/>
          <w:szCs w:val="24"/>
        </w:rPr>
        <w:t xml:space="preserve"> lunii iunie din anul 2019).</w:t>
      </w:r>
    </w:p>
    <w:p w:rsidR="000051D6" w:rsidRPr="00F362A1" w:rsidRDefault="000051D6" w:rsidP="002A6579">
      <w:pPr>
        <w:ind w:firstLine="720"/>
        <w:rPr>
          <w:rFonts w:ascii="Tahoma" w:hAnsi="Tahoma" w:cs="Tahoma"/>
          <w:sz w:val="24"/>
          <w:szCs w:val="24"/>
        </w:rPr>
      </w:pPr>
      <w:r w:rsidRPr="00F362A1">
        <w:rPr>
          <w:rFonts w:ascii="Tahoma" w:hAnsi="Tahoma" w:cs="Tahoma"/>
          <w:b/>
          <w:sz w:val="24"/>
          <w:szCs w:val="24"/>
        </w:rPr>
        <w:t xml:space="preserve">Numărul mediu al </w:t>
      </w:r>
      <w:r w:rsidR="002F1039" w:rsidRPr="00F362A1">
        <w:rPr>
          <w:rFonts w:ascii="Tahoma" w:hAnsi="Tahoma" w:cs="Tahoma"/>
          <w:b/>
          <w:sz w:val="24"/>
          <w:szCs w:val="24"/>
        </w:rPr>
        <w:t>salariaților</w:t>
      </w:r>
      <w:r w:rsidRPr="00F362A1">
        <w:rPr>
          <w:rFonts w:ascii="Tahoma" w:hAnsi="Tahoma" w:cs="Tahoma"/>
          <w:sz w:val="24"/>
          <w:szCs w:val="24"/>
        </w:rPr>
        <w:t xml:space="preserve"> (calculat ca medie aritmetică a efectivelor lunare) în primele 6 luni ale anului 2020 a fost de 4.944,1 mii persoane, în scădere cu 0,6% </w:t>
      </w:r>
      <w:r w:rsidR="002F1039" w:rsidRPr="00F362A1">
        <w:rPr>
          <w:rFonts w:ascii="Tahoma" w:hAnsi="Tahoma" w:cs="Tahoma"/>
          <w:sz w:val="24"/>
          <w:szCs w:val="24"/>
        </w:rPr>
        <w:t>față</w:t>
      </w:r>
      <w:r w:rsidRPr="00F362A1">
        <w:rPr>
          <w:rFonts w:ascii="Tahoma" w:hAnsi="Tahoma" w:cs="Tahoma"/>
          <w:sz w:val="24"/>
          <w:szCs w:val="24"/>
        </w:rPr>
        <w:t xml:space="preserve"> de </w:t>
      </w:r>
      <w:r w:rsidR="002F1039" w:rsidRPr="00F362A1">
        <w:rPr>
          <w:rFonts w:ascii="Tahoma" w:hAnsi="Tahoma" w:cs="Tahoma"/>
          <w:sz w:val="24"/>
          <w:szCs w:val="24"/>
        </w:rPr>
        <w:t>aceeași</w:t>
      </w:r>
      <w:r w:rsidRPr="00F362A1">
        <w:rPr>
          <w:rFonts w:ascii="Tahoma" w:hAnsi="Tahoma" w:cs="Tahoma"/>
          <w:sz w:val="24"/>
          <w:szCs w:val="24"/>
        </w:rPr>
        <w:t xml:space="preserve"> perioadă a anului 2019.  Pe sectoare, </w:t>
      </w:r>
      <w:r w:rsidR="002F1039" w:rsidRPr="00F362A1">
        <w:rPr>
          <w:rFonts w:ascii="Tahoma" w:hAnsi="Tahoma" w:cs="Tahoma"/>
          <w:sz w:val="24"/>
          <w:szCs w:val="24"/>
        </w:rPr>
        <w:t>evoluția</w:t>
      </w:r>
      <w:r w:rsidRPr="00F362A1">
        <w:rPr>
          <w:rFonts w:ascii="Tahoma" w:hAnsi="Tahoma" w:cs="Tahoma"/>
          <w:sz w:val="24"/>
          <w:szCs w:val="24"/>
        </w:rPr>
        <w:t xml:space="preserve"> a fost următoarea: sectorul bugetar cu o </w:t>
      </w:r>
      <w:r w:rsidR="002F1039" w:rsidRPr="00F362A1">
        <w:rPr>
          <w:rFonts w:ascii="Tahoma" w:hAnsi="Tahoma" w:cs="Tahoma"/>
          <w:sz w:val="24"/>
          <w:szCs w:val="24"/>
        </w:rPr>
        <w:t>creștere</w:t>
      </w:r>
      <w:r w:rsidRPr="00F362A1">
        <w:rPr>
          <w:rFonts w:ascii="Tahoma" w:hAnsi="Tahoma" w:cs="Tahoma"/>
          <w:sz w:val="24"/>
          <w:szCs w:val="24"/>
        </w:rPr>
        <w:t xml:space="preserve"> de 1,0%, iar în sectorul </w:t>
      </w:r>
      <w:r w:rsidR="002F1039" w:rsidRPr="00F362A1">
        <w:rPr>
          <w:rFonts w:ascii="Tahoma" w:hAnsi="Tahoma" w:cs="Tahoma"/>
          <w:sz w:val="24"/>
          <w:szCs w:val="24"/>
        </w:rPr>
        <w:t>concurențial</w:t>
      </w:r>
      <w:r w:rsidRPr="00F362A1">
        <w:rPr>
          <w:rFonts w:ascii="Tahoma" w:hAnsi="Tahoma" w:cs="Tahoma"/>
          <w:sz w:val="24"/>
          <w:szCs w:val="24"/>
        </w:rPr>
        <w:t xml:space="preserve"> o scădere de 1,0% </w:t>
      </w:r>
      <w:r w:rsidR="002F1039" w:rsidRPr="00F362A1">
        <w:rPr>
          <w:rFonts w:ascii="Tahoma" w:hAnsi="Tahoma" w:cs="Tahoma"/>
          <w:sz w:val="24"/>
          <w:szCs w:val="24"/>
        </w:rPr>
        <w:t>față</w:t>
      </w:r>
      <w:r w:rsidRPr="00F362A1">
        <w:rPr>
          <w:rFonts w:ascii="Tahoma" w:hAnsi="Tahoma" w:cs="Tahoma"/>
          <w:sz w:val="24"/>
          <w:szCs w:val="24"/>
        </w:rPr>
        <w:t xml:space="preserve"> de </w:t>
      </w:r>
      <w:r w:rsidR="002F1039" w:rsidRPr="00F362A1">
        <w:rPr>
          <w:rFonts w:ascii="Tahoma" w:hAnsi="Tahoma" w:cs="Tahoma"/>
          <w:sz w:val="24"/>
          <w:szCs w:val="24"/>
        </w:rPr>
        <w:t>aceeași</w:t>
      </w:r>
      <w:r w:rsidRPr="00F362A1">
        <w:rPr>
          <w:rFonts w:ascii="Tahoma" w:hAnsi="Tahoma" w:cs="Tahoma"/>
          <w:sz w:val="24"/>
          <w:szCs w:val="24"/>
        </w:rPr>
        <w:t xml:space="preserve"> perioadă a anului 2019. În structură </w:t>
      </w:r>
      <w:r w:rsidR="002F1039" w:rsidRPr="00F362A1">
        <w:rPr>
          <w:rFonts w:ascii="Tahoma" w:hAnsi="Tahoma" w:cs="Tahoma"/>
          <w:sz w:val="24"/>
          <w:szCs w:val="24"/>
        </w:rPr>
        <w:t>distribuția</w:t>
      </w:r>
      <w:r w:rsidRPr="00F362A1">
        <w:rPr>
          <w:rFonts w:ascii="Tahoma" w:hAnsi="Tahoma" w:cs="Tahoma"/>
          <w:sz w:val="24"/>
          <w:szCs w:val="24"/>
        </w:rPr>
        <w:t xml:space="preserve"> a fost următoarea: </w:t>
      </w:r>
      <w:r w:rsidR="002F1039" w:rsidRPr="00F362A1">
        <w:rPr>
          <w:rFonts w:ascii="Tahoma" w:hAnsi="Tahoma" w:cs="Tahoma"/>
          <w:sz w:val="24"/>
          <w:szCs w:val="24"/>
        </w:rPr>
        <w:t>salariații</w:t>
      </w:r>
      <w:r w:rsidRPr="00F362A1">
        <w:rPr>
          <w:rFonts w:ascii="Tahoma" w:hAnsi="Tahoma" w:cs="Tahoma"/>
          <w:sz w:val="24"/>
          <w:szCs w:val="24"/>
        </w:rPr>
        <w:t xml:space="preserve"> din sectorul bugetar reprezentau 19,6% din totalul </w:t>
      </w:r>
      <w:r w:rsidR="002F1039" w:rsidRPr="00F362A1">
        <w:rPr>
          <w:rFonts w:ascii="Tahoma" w:hAnsi="Tahoma" w:cs="Tahoma"/>
          <w:sz w:val="24"/>
          <w:szCs w:val="24"/>
        </w:rPr>
        <w:t>salariaților</w:t>
      </w:r>
      <w:r w:rsidRPr="00F362A1">
        <w:rPr>
          <w:rFonts w:ascii="Tahoma" w:hAnsi="Tahoma" w:cs="Tahoma"/>
          <w:sz w:val="24"/>
          <w:szCs w:val="24"/>
        </w:rPr>
        <w:t xml:space="preserve"> din economie, în timp ce cei din sectorul </w:t>
      </w:r>
      <w:r w:rsidR="002F1039" w:rsidRPr="00F362A1">
        <w:rPr>
          <w:rFonts w:ascii="Tahoma" w:hAnsi="Tahoma" w:cs="Tahoma"/>
          <w:sz w:val="24"/>
          <w:szCs w:val="24"/>
        </w:rPr>
        <w:t>concurențial</w:t>
      </w:r>
      <w:r w:rsidRPr="00F362A1">
        <w:rPr>
          <w:rFonts w:ascii="Tahoma" w:hAnsi="Tahoma" w:cs="Tahoma"/>
          <w:sz w:val="24"/>
          <w:szCs w:val="24"/>
        </w:rPr>
        <w:t xml:space="preserve"> 80,4%.</w:t>
      </w:r>
    </w:p>
    <w:p w:rsidR="000051D6" w:rsidRPr="00F362A1" w:rsidRDefault="000051D6" w:rsidP="002A6579">
      <w:pPr>
        <w:ind w:firstLine="720"/>
        <w:rPr>
          <w:rFonts w:ascii="Tahoma" w:hAnsi="Tahoma" w:cs="Tahoma"/>
          <w:sz w:val="24"/>
          <w:szCs w:val="24"/>
        </w:rPr>
      </w:pPr>
      <w:r w:rsidRPr="00F362A1">
        <w:rPr>
          <w:rFonts w:ascii="Tahoma" w:hAnsi="Tahoma" w:cs="Tahoma"/>
          <w:sz w:val="24"/>
          <w:szCs w:val="24"/>
        </w:rPr>
        <w:t xml:space="preserve">Reducerea numărului mediu al </w:t>
      </w:r>
      <w:r w:rsidR="002F1039" w:rsidRPr="00F362A1">
        <w:rPr>
          <w:rFonts w:ascii="Tahoma" w:hAnsi="Tahoma" w:cs="Tahoma"/>
          <w:sz w:val="24"/>
          <w:szCs w:val="24"/>
        </w:rPr>
        <w:t>salariaților</w:t>
      </w:r>
      <w:r w:rsidRPr="00F362A1">
        <w:rPr>
          <w:rFonts w:ascii="Tahoma" w:hAnsi="Tahoma" w:cs="Tahoma"/>
          <w:sz w:val="24"/>
          <w:szCs w:val="24"/>
        </w:rPr>
        <w:t xml:space="preserve"> a fost cauzată exclusiv de efectele pandemiei de COVID-19 atât la nivel </w:t>
      </w:r>
      <w:r w:rsidR="002F1039" w:rsidRPr="00F362A1">
        <w:rPr>
          <w:rFonts w:ascii="Tahoma" w:hAnsi="Tahoma" w:cs="Tahoma"/>
          <w:sz w:val="24"/>
          <w:szCs w:val="24"/>
        </w:rPr>
        <w:t>național</w:t>
      </w:r>
      <w:r w:rsidRPr="00F362A1">
        <w:rPr>
          <w:rFonts w:ascii="Tahoma" w:hAnsi="Tahoma" w:cs="Tahoma"/>
          <w:sz w:val="24"/>
          <w:szCs w:val="24"/>
        </w:rPr>
        <w:t xml:space="preserve"> (măsurile de </w:t>
      </w:r>
      <w:r w:rsidR="002F1039" w:rsidRPr="00F362A1">
        <w:rPr>
          <w:rFonts w:ascii="Tahoma" w:hAnsi="Tahoma" w:cs="Tahoma"/>
          <w:sz w:val="24"/>
          <w:szCs w:val="24"/>
        </w:rPr>
        <w:t>distanțare</w:t>
      </w:r>
      <w:r w:rsidRPr="00F362A1">
        <w:rPr>
          <w:rFonts w:ascii="Tahoma" w:hAnsi="Tahoma" w:cs="Tahoma"/>
          <w:sz w:val="24"/>
          <w:szCs w:val="24"/>
        </w:rPr>
        <w:t xml:space="preserve"> socială), cât </w:t>
      </w:r>
      <w:r w:rsidR="002F1039" w:rsidRPr="00F362A1">
        <w:rPr>
          <w:rFonts w:ascii="Tahoma" w:hAnsi="Tahoma" w:cs="Tahoma"/>
          <w:sz w:val="24"/>
          <w:szCs w:val="24"/>
        </w:rPr>
        <w:t>și</w:t>
      </w:r>
      <w:r w:rsidRPr="00F362A1">
        <w:rPr>
          <w:rFonts w:ascii="Tahoma" w:hAnsi="Tahoma" w:cs="Tahoma"/>
          <w:sz w:val="24"/>
          <w:szCs w:val="24"/>
        </w:rPr>
        <w:t xml:space="preserve"> </w:t>
      </w:r>
      <w:r w:rsidR="002F1039" w:rsidRPr="00F362A1">
        <w:rPr>
          <w:rFonts w:ascii="Tahoma" w:hAnsi="Tahoma" w:cs="Tahoma"/>
          <w:sz w:val="24"/>
          <w:szCs w:val="24"/>
        </w:rPr>
        <w:t>internațional</w:t>
      </w:r>
      <w:r w:rsidRPr="00F362A1">
        <w:rPr>
          <w:rFonts w:ascii="Tahoma" w:hAnsi="Tahoma" w:cs="Tahoma"/>
          <w:sz w:val="24"/>
          <w:szCs w:val="24"/>
        </w:rPr>
        <w:t xml:space="preserve"> (reducerea exporturilor şi problemele </w:t>
      </w:r>
      <w:r w:rsidR="002F1039" w:rsidRPr="00F362A1">
        <w:rPr>
          <w:rFonts w:ascii="Tahoma" w:hAnsi="Tahoma" w:cs="Tahoma"/>
          <w:sz w:val="24"/>
          <w:szCs w:val="24"/>
        </w:rPr>
        <w:t>lanțurilor</w:t>
      </w:r>
      <w:r w:rsidRPr="00F362A1">
        <w:rPr>
          <w:rFonts w:ascii="Tahoma" w:hAnsi="Tahoma" w:cs="Tahoma"/>
          <w:sz w:val="24"/>
          <w:szCs w:val="24"/>
        </w:rPr>
        <w:t xml:space="preserve"> de aprovizionare). Astfel, dacă în ianuarie (+0,6%) şi februarie (+0,5%) au fost </w:t>
      </w:r>
      <w:r w:rsidR="002F1039" w:rsidRPr="00F362A1">
        <w:rPr>
          <w:rFonts w:ascii="Tahoma" w:hAnsi="Tahoma" w:cs="Tahoma"/>
          <w:sz w:val="24"/>
          <w:szCs w:val="24"/>
        </w:rPr>
        <w:t>creșteri</w:t>
      </w:r>
      <w:r w:rsidRPr="00F362A1">
        <w:rPr>
          <w:rFonts w:ascii="Tahoma" w:hAnsi="Tahoma" w:cs="Tahoma"/>
          <w:sz w:val="24"/>
          <w:szCs w:val="24"/>
        </w:rPr>
        <w:t xml:space="preserve"> comparativ cu luna </w:t>
      </w:r>
      <w:r w:rsidRPr="00F362A1">
        <w:rPr>
          <w:rFonts w:ascii="Tahoma" w:hAnsi="Tahoma" w:cs="Tahoma"/>
          <w:sz w:val="24"/>
          <w:szCs w:val="24"/>
        </w:rPr>
        <w:lastRenderedPageBreak/>
        <w:t xml:space="preserve">corespunzătoare din anul precedent, în luna martie s-a </w:t>
      </w:r>
      <w:r w:rsidR="002F1039" w:rsidRPr="00F362A1">
        <w:rPr>
          <w:rFonts w:ascii="Tahoma" w:hAnsi="Tahoma" w:cs="Tahoma"/>
          <w:sz w:val="24"/>
          <w:szCs w:val="24"/>
        </w:rPr>
        <w:t>menținut</w:t>
      </w:r>
      <w:r w:rsidRPr="00F362A1">
        <w:rPr>
          <w:rFonts w:ascii="Tahoma" w:hAnsi="Tahoma" w:cs="Tahoma"/>
          <w:sz w:val="24"/>
          <w:szCs w:val="24"/>
        </w:rPr>
        <w:t xml:space="preserve"> </w:t>
      </w:r>
      <w:r w:rsidR="002F1039" w:rsidRPr="00F362A1">
        <w:rPr>
          <w:rFonts w:ascii="Tahoma" w:hAnsi="Tahoma" w:cs="Tahoma"/>
          <w:sz w:val="24"/>
          <w:szCs w:val="24"/>
        </w:rPr>
        <w:t>același</w:t>
      </w:r>
      <w:r w:rsidRPr="00F362A1">
        <w:rPr>
          <w:rFonts w:ascii="Tahoma" w:hAnsi="Tahoma" w:cs="Tahoma"/>
          <w:sz w:val="24"/>
          <w:szCs w:val="24"/>
        </w:rPr>
        <w:t xml:space="preserve"> nivel, iar în lunile aprilie (-1,4%), mai (-1,7%) şi iunie (-1,7%) s-au înregistrat scăderi. In </w:t>
      </w:r>
      <w:r w:rsidR="002F1039" w:rsidRPr="00F362A1">
        <w:rPr>
          <w:rFonts w:ascii="Tahoma" w:hAnsi="Tahoma" w:cs="Tahoma"/>
          <w:sz w:val="24"/>
          <w:szCs w:val="24"/>
        </w:rPr>
        <w:t>consecință</w:t>
      </w:r>
      <w:r w:rsidRPr="00F362A1">
        <w:rPr>
          <w:rFonts w:ascii="Tahoma" w:hAnsi="Tahoma" w:cs="Tahoma"/>
          <w:sz w:val="24"/>
          <w:szCs w:val="24"/>
        </w:rPr>
        <w:t xml:space="preserve">, în intervalul </w:t>
      </w:r>
      <w:r w:rsidRPr="00F362A1">
        <w:rPr>
          <w:rFonts w:ascii="Tahoma" w:hAnsi="Tahoma" w:cs="Tahoma"/>
          <w:b/>
          <w:sz w:val="24"/>
          <w:szCs w:val="24"/>
        </w:rPr>
        <w:t>martie – iunie</w:t>
      </w:r>
      <w:r w:rsidRPr="00F362A1">
        <w:rPr>
          <w:rFonts w:ascii="Tahoma" w:hAnsi="Tahoma" w:cs="Tahoma"/>
          <w:sz w:val="24"/>
          <w:szCs w:val="24"/>
        </w:rPr>
        <w:t xml:space="preserve"> numărul mediu de </w:t>
      </w:r>
      <w:r w:rsidR="002F1039" w:rsidRPr="00F362A1">
        <w:rPr>
          <w:rFonts w:ascii="Tahoma" w:hAnsi="Tahoma" w:cs="Tahoma"/>
          <w:sz w:val="24"/>
          <w:szCs w:val="24"/>
        </w:rPr>
        <w:t>salariați</w:t>
      </w:r>
      <w:r w:rsidRPr="00F362A1">
        <w:rPr>
          <w:rFonts w:ascii="Tahoma" w:hAnsi="Tahoma" w:cs="Tahoma"/>
          <w:sz w:val="24"/>
          <w:szCs w:val="24"/>
        </w:rPr>
        <w:t xml:space="preserve"> s-a redus cu 1,2% comparativ cu perioada corespunzătoare din anul precedent.</w:t>
      </w:r>
    </w:p>
    <w:p w:rsidR="000051D6" w:rsidRPr="00F362A1" w:rsidRDefault="000051D6" w:rsidP="002A6579">
      <w:pPr>
        <w:ind w:firstLine="720"/>
        <w:rPr>
          <w:rFonts w:ascii="Tahoma" w:hAnsi="Tahoma" w:cs="Tahoma"/>
          <w:sz w:val="24"/>
          <w:szCs w:val="24"/>
        </w:rPr>
      </w:pPr>
      <w:r w:rsidRPr="00F362A1">
        <w:rPr>
          <w:rFonts w:ascii="Tahoma" w:hAnsi="Tahoma" w:cs="Tahoma"/>
          <w:sz w:val="24"/>
          <w:szCs w:val="24"/>
        </w:rPr>
        <w:t xml:space="preserve">In primele 6 luni din acest an, </w:t>
      </w:r>
      <w:r w:rsidRPr="00F362A1">
        <w:rPr>
          <w:rFonts w:ascii="Tahoma" w:hAnsi="Tahoma" w:cs="Tahoma"/>
          <w:b/>
          <w:sz w:val="24"/>
          <w:szCs w:val="24"/>
        </w:rPr>
        <w:t>în sectorul bugetar</w:t>
      </w:r>
      <w:r w:rsidRPr="00F362A1">
        <w:rPr>
          <w:rFonts w:ascii="Tahoma" w:hAnsi="Tahoma" w:cs="Tahoma"/>
          <w:sz w:val="24"/>
          <w:szCs w:val="24"/>
        </w:rPr>
        <w:t xml:space="preserve">, s-a înregistrat o </w:t>
      </w:r>
      <w:r w:rsidR="002F1039" w:rsidRPr="00F362A1">
        <w:rPr>
          <w:rFonts w:ascii="Tahoma" w:hAnsi="Tahoma" w:cs="Tahoma"/>
          <w:sz w:val="24"/>
          <w:szCs w:val="24"/>
        </w:rPr>
        <w:t>creștere</w:t>
      </w:r>
      <w:r w:rsidRPr="00F362A1">
        <w:rPr>
          <w:rFonts w:ascii="Tahoma" w:hAnsi="Tahoma" w:cs="Tahoma"/>
          <w:sz w:val="24"/>
          <w:szCs w:val="24"/>
        </w:rPr>
        <w:t xml:space="preserve"> de 3,4% în sănătate şi </w:t>
      </w:r>
      <w:r w:rsidR="002F1039" w:rsidRPr="00F362A1">
        <w:rPr>
          <w:rFonts w:ascii="Tahoma" w:hAnsi="Tahoma" w:cs="Tahoma"/>
          <w:sz w:val="24"/>
          <w:szCs w:val="24"/>
        </w:rPr>
        <w:t>asistență</w:t>
      </w:r>
      <w:r w:rsidRPr="00F362A1">
        <w:rPr>
          <w:rFonts w:ascii="Tahoma" w:hAnsi="Tahoma" w:cs="Tahoma"/>
          <w:sz w:val="24"/>
          <w:szCs w:val="24"/>
        </w:rPr>
        <w:t xml:space="preserve"> socială, în timp ce  în </w:t>
      </w:r>
      <w:r w:rsidR="002F1039" w:rsidRPr="00F362A1">
        <w:rPr>
          <w:rFonts w:ascii="Tahoma" w:hAnsi="Tahoma" w:cs="Tahoma"/>
          <w:sz w:val="24"/>
          <w:szCs w:val="24"/>
        </w:rPr>
        <w:t>administrația</w:t>
      </w:r>
      <w:r w:rsidRPr="00F362A1">
        <w:rPr>
          <w:rFonts w:ascii="Tahoma" w:hAnsi="Tahoma" w:cs="Tahoma"/>
          <w:sz w:val="24"/>
          <w:szCs w:val="24"/>
        </w:rPr>
        <w:t xml:space="preserve"> publică şi în </w:t>
      </w:r>
      <w:r w:rsidR="002F1039" w:rsidRPr="00F362A1">
        <w:rPr>
          <w:rFonts w:ascii="Tahoma" w:hAnsi="Tahoma" w:cs="Tahoma"/>
          <w:sz w:val="24"/>
          <w:szCs w:val="24"/>
        </w:rPr>
        <w:t>învățământ</w:t>
      </w:r>
      <w:r w:rsidRPr="00F362A1">
        <w:rPr>
          <w:rFonts w:ascii="Tahoma" w:hAnsi="Tahoma" w:cs="Tahoma"/>
          <w:sz w:val="24"/>
          <w:szCs w:val="24"/>
        </w:rPr>
        <w:t xml:space="preserve"> au fost scăderi de 0,2%, respectiv 1,1%. </w:t>
      </w:r>
      <w:r w:rsidR="002F1039" w:rsidRPr="00F362A1">
        <w:rPr>
          <w:rFonts w:ascii="Tahoma" w:hAnsi="Tahoma" w:cs="Tahoma"/>
          <w:sz w:val="24"/>
          <w:szCs w:val="24"/>
        </w:rPr>
        <w:t>Salariații</w:t>
      </w:r>
      <w:r w:rsidRPr="00F362A1">
        <w:rPr>
          <w:rFonts w:ascii="Tahoma" w:hAnsi="Tahoma" w:cs="Tahoma"/>
          <w:sz w:val="24"/>
          <w:szCs w:val="24"/>
        </w:rPr>
        <w:t xml:space="preserve"> din sectorul bugetar au fost </w:t>
      </w:r>
      <w:r w:rsidR="002F1039" w:rsidRPr="00F362A1">
        <w:rPr>
          <w:rFonts w:ascii="Tahoma" w:hAnsi="Tahoma" w:cs="Tahoma"/>
          <w:sz w:val="24"/>
          <w:szCs w:val="24"/>
        </w:rPr>
        <w:t>distribuiți</w:t>
      </w:r>
      <w:r w:rsidRPr="00F362A1">
        <w:rPr>
          <w:rFonts w:ascii="Tahoma" w:hAnsi="Tahoma" w:cs="Tahoma"/>
          <w:sz w:val="24"/>
          <w:szCs w:val="24"/>
        </w:rPr>
        <w:t xml:space="preserve"> astfel: 42,1% în sănătate şi </w:t>
      </w:r>
      <w:r w:rsidR="002F1039" w:rsidRPr="00F362A1">
        <w:rPr>
          <w:rFonts w:ascii="Tahoma" w:hAnsi="Tahoma" w:cs="Tahoma"/>
          <w:sz w:val="24"/>
          <w:szCs w:val="24"/>
        </w:rPr>
        <w:t>asistență</w:t>
      </w:r>
      <w:r w:rsidRPr="00F362A1">
        <w:rPr>
          <w:rFonts w:ascii="Tahoma" w:hAnsi="Tahoma" w:cs="Tahoma"/>
          <w:sz w:val="24"/>
          <w:szCs w:val="24"/>
        </w:rPr>
        <w:t xml:space="preserve"> socială; 36,2% în </w:t>
      </w:r>
      <w:r w:rsidR="002F1039" w:rsidRPr="00F362A1">
        <w:rPr>
          <w:rFonts w:ascii="Tahoma" w:hAnsi="Tahoma" w:cs="Tahoma"/>
          <w:sz w:val="24"/>
          <w:szCs w:val="24"/>
        </w:rPr>
        <w:t>activitățile</w:t>
      </w:r>
      <w:r w:rsidRPr="00F362A1">
        <w:rPr>
          <w:rFonts w:ascii="Tahoma" w:hAnsi="Tahoma" w:cs="Tahoma"/>
          <w:sz w:val="24"/>
          <w:szCs w:val="24"/>
        </w:rPr>
        <w:t xml:space="preserve"> de </w:t>
      </w:r>
      <w:r w:rsidR="002F1039" w:rsidRPr="00F362A1">
        <w:rPr>
          <w:rFonts w:ascii="Tahoma" w:hAnsi="Tahoma" w:cs="Tahoma"/>
          <w:sz w:val="24"/>
          <w:szCs w:val="24"/>
        </w:rPr>
        <w:t>învățământ</w:t>
      </w:r>
      <w:r w:rsidRPr="00F362A1">
        <w:rPr>
          <w:rFonts w:ascii="Tahoma" w:hAnsi="Tahoma" w:cs="Tahoma"/>
          <w:sz w:val="24"/>
          <w:szCs w:val="24"/>
        </w:rPr>
        <w:t xml:space="preserve"> şi 21,7% în </w:t>
      </w:r>
      <w:r w:rsidR="002F1039" w:rsidRPr="00F362A1">
        <w:rPr>
          <w:rFonts w:ascii="Tahoma" w:hAnsi="Tahoma" w:cs="Tahoma"/>
          <w:sz w:val="24"/>
          <w:szCs w:val="24"/>
        </w:rPr>
        <w:t>administrația</w:t>
      </w:r>
      <w:r w:rsidRPr="00F362A1">
        <w:rPr>
          <w:rFonts w:ascii="Tahoma" w:hAnsi="Tahoma" w:cs="Tahoma"/>
          <w:sz w:val="24"/>
          <w:szCs w:val="24"/>
        </w:rPr>
        <w:t xml:space="preserve"> publică.</w:t>
      </w:r>
    </w:p>
    <w:p w:rsidR="000051D6" w:rsidRPr="00F362A1" w:rsidRDefault="000051D6" w:rsidP="002A6579">
      <w:pPr>
        <w:ind w:firstLine="720"/>
        <w:rPr>
          <w:rFonts w:ascii="Tahoma" w:hAnsi="Tahoma" w:cs="Tahoma"/>
          <w:sz w:val="24"/>
          <w:szCs w:val="24"/>
        </w:rPr>
      </w:pPr>
      <w:r w:rsidRPr="00F362A1">
        <w:rPr>
          <w:rFonts w:ascii="Tahoma" w:hAnsi="Tahoma" w:cs="Tahoma"/>
          <w:b/>
          <w:sz w:val="24"/>
          <w:szCs w:val="24"/>
        </w:rPr>
        <w:t xml:space="preserve">În sectorul </w:t>
      </w:r>
      <w:r w:rsidR="002F1039" w:rsidRPr="00F362A1">
        <w:rPr>
          <w:rFonts w:ascii="Tahoma" w:hAnsi="Tahoma" w:cs="Tahoma"/>
          <w:b/>
          <w:sz w:val="24"/>
          <w:szCs w:val="24"/>
        </w:rPr>
        <w:t>concurențial</w:t>
      </w:r>
      <w:r w:rsidRPr="00F362A1">
        <w:rPr>
          <w:rFonts w:ascii="Tahoma" w:hAnsi="Tahoma" w:cs="Tahoma"/>
          <w:sz w:val="24"/>
          <w:szCs w:val="24"/>
        </w:rPr>
        <w:t xml:space="preserve">, s-au înregistrat scăderi ale numărului de </w:t>
      </w:r>
      <w:r w:rsidR="002F1039" w:rsidRPr="00F362A1">
        <w:rPr>
          <w:rFonts w:ascii="Tahoma" w:hAnsi="Tahoma" w:cs="Tahoma"/>
          <w:sz w:val="24"/>
          <w:szCs w:val="24"/>
        </w:rPr>
        <w:t>salariați</w:t>
      </w:r>
      <w:r w:rsidRPr="00F362A1">
        <w:rPr>
          <w:rFonts w:ascii="Tahoma" w:hAnsi="Tahoma" w:cs="Tahoma"/>
          <w:sz w:val="24"/>
          <w:szCs w:val="24"/>
        </w:rPr>
        <w:t xml:space="preserve"> în primele 6 luni </w:t>
      </w:r>
      <w:r w:rsidR="002F1039" w:rsidRPr="00F362A1">
        <w:rPr>
          <w:rFonts w:ascii="Tahoma" w:hAnsi="Tahoma" w:cs="Tahoma"/>
          <w:sz w:val="24"/>
          <w:szCs w:val="24"/>
        </w:rPr>
        <w:t>față</w:t>
      </w:r>
      <w:r w:rsidRPr="00F362A1">
        <w:rPr>
          <w:rFonts w:ascii="Tahoma" w:hAnsi="Tahoma" w:cs="Tahoma"/>
          <w:sz w:val="24"/>
          <w:szCs w:val="24"/>
        </w:rPr>
        <w:t xml:space="preserve"> de perioada similară din 2019 în servicii comerciale cu 0,1%, în industrie cu 3,8% şi agricultură cu 0,3%, iar în </w:t>
      </w:r>
      <w:r w:rsidR="002F1039" w:rsidRPr="00F362A1">
        <w:rPr>
          <w:rFonts w:ascii="Tahoma" w:hAnsi="Tahoma" w:cs="Tahoma"/>
          <w:sz w:val="24"/>
          <w:szCs w:val="24"/>
        </w:rPr>
        <w:t>construcții</w:t>
      </w:r>
      <w:r w:rsidRPr="00F362A1">
        <w:rPr>
          <w:rFonts w:ascii="Tahoma" w:hAnsi="Tahoma" w:cs="Tahoma"/>
          <w:sz w:val="24"/>
          <w:szCs w:val="24"/>
        </w:rPr>
        <w:t xml:space="preserve"> a fost un spor de 3,9%. </w:t>
      </w:r>
    </w:p>
    <w:p w:rsidR="000051D6" w:rsidRPr="00F362A1" w:rsidRDefault="002F1039" w:rsidP="002A6579">
      <w:pPr>
        <w:ind w:firstLine="720"/>
        <w:rPr>
          <w:rFonts w:ascii="Tahoma" w:hAnsi="Tahoma" w:cs="Tahoma"/>
          <w:sz w:val="24"/>
          <w:szCs w:val="24"/>
        </w:rPr>
      </w:pPr>
      <w:r w:rsidRPr="00F362A1">
        <w:rPr>
          <w:rFonts w:ascii="Tahoma" w:hAnsi="Tahoma" w:cs="Tahoma"/>
          <w:sz w:val="24"/>
          <w:szCs w:val="24"/>
        </w:rPr>
        <w:t>Distribuția</w:t>
      </w:r>
      <w:r w:rsidR="000051D6" w:rsidRPr="00F362A1">
        <w:rPr>
          <w:rFonts w:ascii="Tahoma" w:hAnsi="Tahoma" w:cs="Tahoma"/>
          <w:sz w:val="24"/>
          <w:szCs w:val="24"/>
        </w:rPr>
        <w:t xml:space="preserve"> </w:t>
      </w:r>
      <w:r w:rsidRPr="00F362A1">
        <w:rPr>
          <w:rFonts w:ascii="Tahoma" w:hAnsi="Tahoma" w:cs="Tahoma"/>
          <w:b/>
          <w:sz w:val="24"/>
          <w:szCs w:val="24"/>
        </w:rPr>
        <w:t>salariaților</w:t>
      </w:r>
      <w:r w:rsidR="000051D6" w:rsidRPr="00F362A1">
        <w:rPr>
          <w:rFonts w:ascii="Tahoma" w:hAnsi="Tahoma" w:cs="Tahoma"/>
          <w:b/>
          <w:sz w:val="24"/>
          <w:szCs w:val="24"/>
        </w:rPr>
        <w:t xml:space="preserve"> pe </w:t>
      </w:r>
      <w:r w:rsidRPr="00F362A1">
        <w:rPr>
          <w:rFonts w:ascii="Tahoma" w:hAnsi="Tahoma" w:cs="Tahoma"/>
          <w:b/>
          <w:sz w:val="24"/>
          <w:szCs w:val="24"/>
        </w:rPr>
        <w:t>activități</w:t>
      </w:r>
      <w:r w:rsidR="000051D6" w:rsidRPr="00F362A1">
        <w:rPr>
          <w:rFonts w:ascii="Tahoma" w:hAnsi="Tahoma" w:cs="Tahoma"/>
          <w:b/>
          <w:sz w:val="24"/>
          <w:szCs w:val="24"/>
        </w:rPr>
        <w:t xml:space="preserve"> economice </w:t>
      </w:r>
      <w:r w:rsidR="000051D6" w:rsidRPr="00F362A1">
        <w:rPr>
          <w:rFonts w:ascii="Tahoma" w:hAnsi="Tahoma" w:cs="Tahoma"/>
          <w:sz w:val="24"/>
          <w:szCs w:val="24"/>
        </w:rPr>
        <w:t xml:space="preserve">la </w:t>
      </w:r>
      <w:r w:rsidRPr="00F362A1">
        <w:rPr>
          <w:rFonts w:ascii="Tahoma" w:hAnsi="Tahoma" w:cs="Tahoma"/>
          <w:sz w:val="24"/>
          <w:szCs w:val="24"/>
        </w:rPr>
        <w:t>sfârșitul</w:t>
      </w:r>
      <w:r w:rsidR="000051D6" w:rsidRPr="00F362A1">
        <w:rPr>
          <w:rFonts w:ascii="Tahoma" w:hAnsi="Tahoma" w:cs="Tahoma"/>
          <w:sz w:val="24"/>
          <w:szCs w:val="24"/>
        </w:rPr>
        <w:t xml:space="preserve"> lunii iunie</w:t>
      </w:r>
      <w:r w:rsidR="000051D6" w:rsidRPr="00F362A1">
        <w:rPr>
          <w:rFonts w:ascii="Tahoma" w:hAnsi="Tahoma" w:cs="Tahoma"/>
          <w:b/>
          <w:sz w:val="24"/>
          <w:szCs w:val="24"/>
        </w:rPr>
        <w:t xml:space="preserve"> </w:t>
      </w:r>
      <w:r w:rsidR="000051D6" w:rsidRPr="00F362A1">
        <w:rPr>
          <w:rFonts w:ascii="Tahoma" w:hAnsi="Tahoma" w:cs="Tahoma"/>
          <w:sz w:val="24"/>
          <w:szCs w:val="24"/>
        </w:rPr>
        <w:t xml:space="preserve">arată că: 26,4% din totalul </w:t>
      </w:r>
      <w:r w:rsidRPr="00F362A1">
        <w:rPr>
          <w:rFonts w:ascii="Tahoma" w:hAnsi="Tahoma" w:cs="Tahoma"/>
          <w:sz w:val="24"/>
          <w:szCs w:val="24"/>
        </w:rPr>
        <w:t>salariaților</w:t>
      </w:r>
      <w:r w:rsidR="000051D6" w:rsidRPr="00F362A1">
        <w:rPr>
          <w:rFonts w:ascii="Tahoma" w:hAnsi="Tahoma" w:cs="Tahoma"/>
          <w:sz w:val="24"/>
          <w:szCs w:val="24"/>
        </w:rPr>
        <w:t xml:space="preserve"> erau în industrie (din care 84,3% în industria prelucrătoare); 16,2% în </w:t>
      </w:r>
      <w:r w:rsidRPr="00F362A1">
        <w:rPr>
          <w:rFonts w:ascii="Tahoma" w:hAnsi="Tahoma" w:cs="Tahoma"/>
          <w:sz w:val="24"/>
          <w:szCs w:val="24"/>
        </w:rPr>
        <w:t>comerț</w:t>
      </w:r>
      <w:r w:rsidR="000051D6" w:rsidRPr="00F362A1">
        <w:rPr>
          <w:rFonts w:ascii="Tahoma" w:hAnsi="Tahoma" w:cs="Tahoma"/>
          <w:sz w:val="24"/>
          <w:szCs w:val="24"/>
        </w:rPr>
        <w:t xml:space="preserve">; 8,4% în sănătate şi </w:t>
      </w:r>
      <w:r w:rsidRPr="00F362A1">
        <w:rPr>
          <w:rFonts w:ascii="Tahoma" w:hAnsi="Tahoma" w:cs="Tahoma"/>
          <w:sz w:val="24"/>
          <w:szCs w:val="24"/>
        </w:rPr>
        <w:t>asistență</w:t>
      </w:r>
      <w:r w:rsidR="000051D6" w:rsidRPr="00F362A1">
        <w:rPr>
          <w:rFonts w:ascii="Tahoma" w:hAnsi="Tahoma" w:cs="Tahoma"/>
          <w:sz w:val="24"/>
          <w:szCs w:val="24"/>
        </w:rPr>
        <w:t xml:space="preserve"> socială; 8,3% în </w:t>
      </w:r>
      <w:r w:rsidRPr="00F362A1">
        <w:rPr>
          <w:rFonts w:ascii="Tahoma" w:hAnsi="Tahoma" w:cs="Tahoma"/>
          <w:sz w:val="24"/>
          <w:szCs w:val="24"/>
        </w:rPr>
        <w:t>construcții</w:t>
      </w:r>
      <w:r w:rsidR="000051D6" w:rsidRPr="00F362A1">
        <w:rPr>
          <w:rFonts w:ascii="Tahoma" w:hAnsi="Tahoma" w:cs="Tahoma"/>
          <w:sz w:val="24"/>
          <w:szCs w:val="24"/>
        </w:rPr>
        <w:t xml:space="preserve">; 7,2% în </w:t>
      </w:r>
      <w:r w:rsidRPr="00F362A1">
        <w:rPr>
          <w:rFonts w:ascii="Tahoma" w:hAnsi="Tahoma" w:cs="Tahoma"/>
          <w:sz w:val="24"/>
          <w:szCs w:val="24"/>
        </w:rPr>
        <w:t>învățământ</w:t>
      </w:r>
      <w:r w:rsidR="000051D6" w:rsidRPr="00F362A1">
        <w:rPr>
          <w:rFonts w:ascii="Tahoma" w:hAnsi="Tahoma" w:cs="Tahoma"/>
          <w:sz w:val="24"/>
          <w:szCs w:val="24"/>
        </w:rPr>
        <w:t xml:space="preserve">; 5,3% în transport şi depozitare; 4,3% în </w:t>
      </w:r>
      <w:r w:rsidRPr="00F362A1">
        <w:rPr>
          <w:rFonts w:ascii="Tahoma" w:hAnsi="Tahoma" w:cs="Tahoma"/>
          <w:sz w:val="24"/>
          <w:szCs w:val="24"/>
        </w:rPr>
        <w:t>administrația</w:t>
      </w:r>
      <w:r w:rsidR="000051D6" w:rsidRPr="00F362A1">
        <w:rPr>
          <w:rFonts w:ascii="Tahoma" w:hAnsi="Tahoma" w:cs="Tahoma"/>
          <w:sz w:val="24"/>
          <w:szCs w:val="24"/>
        </w:rPr>
        <w:t xml:space="preserve"> publică; 4,3% în hoteluri şi restaurante; 2,4% în agricultură, silvicultură şi pescuit.</w:t>
      </w:r>
    </w:p>
    <w:p w:rsidR="000051D6" w:rsidRPr="00F362A1" w:rsidRDefault="002F1039" w:rsidP="002A6579">
      <w:pPr>
        <w:ind w:firstLine="720"/>
        <w:rPr>
          <w:rFonts w:ascii="Tahoma" w:hAnsi="Tahoma" w:cs="Tahoma"/>
          <w:sz w:val="24"/>
          <w:szCs w:val="24"/>
        </w:rPr>
      </w:pPr>
      <w:r w:rsidRPr="00F362A1">
        <w:rPr>
          <w:rFonts w:ascii="Tahoma" w:hAnsi="Tahoma" w:cs="Tahoma"/>
          <w:b/>
          <w:sz w:val="24"/>
          <w:szCs w:val="24"/>
        </w:rPr>
        <w:t>Creșteri</w:t>
      </w:r>
      <w:r w:rsidR="000051D6" w:rsidRPr="00F362A1">
        <w:rPr>
          <w:rFonts w:ascii="Tahoma" w:hAnsi="Tahoma" w:cs="Tahoma"/>
          <w:b/>
          <w:sz w:val="24"/>
          <w:szCs w:val="24"/>
        </w:rPr>
        <w:t xml:space="preserve"> semnificative ale numărului de </w:t>
      </w:r>
      <w:r w:rsidRPr="00F362A1">
        <w:rPr>
          <w:rFonts w:ascii="Tahoma" w:hAnsi="Tahoma" w:cs="Tahoma"/>
          <w:b/>
          <w:sz w:val="24"/>
          <w:szCs w:val="24"/>
        </w:rPr>
        <w:t>salariați</w:t>
      </w:r>
      <w:r w:rsidR="000051D6" w:rsidRPr="00F362A1">
        <w:rPr>
          <w:rFonts w:ascii="Tahoma" w:hAnsi="Tahoma" w:cs="Tahoma"/>
          <w:sz w:val="24"/>
          <w:szCs w:val="24"/>
        </w:rPr>
        <w:t xml:space="preserve">, în primele 6 luni ale anului 2020, s-au înregistrat în următoarele </w:t>
      </w:r>
      <w:r w:rsidRPr="00F362A1">
        <w:rPr>
          <w:rFonts w:ascii="Tahoma" w:hAnsi="Tahoma" w:cs="Tahoma"/>
          <w:sz w:val="24"/>
          <w:szCs w:val="24"/>
        </w:rPr>
        <w:t>activități</w:t>
      </w:r>
      <w:r w:rsidR="000051D6" w:rsidRPr="00F362A1">
        <w:rPr>
          <w:rFonts w:ascii="Tahoma" w:hAnsi="Tahoma" w:cs="Tahoma"/>
          <w:sz w:val="24"/>
          <w:szCs w:val="24"/>
        </w:rPr>
        <w:t xml:space="preserve"> economice: </w:t>
      </w:r>
      <w:r w:rsidRPr="00F362A1">
        <w:rPr>
          <w:rFonts w:ascii="Tahoma" w:hAnsi="Tahoma" w:cs="Tahoma"/>
          <w:sz w:val="24"/>
          <w:szCs w:val="24"/>
        </w:rPr>
        <w:t>activități</w:t>
      </w:r>
      <w:r w:rsidR="000051D6" w:rsidRPr="00F362A1">
        <w:rPr>
          <w:rFonts w:ascii="Tahoma" w:hAnsi="Tahoma" w:cs="Tahoma"/>
          <w:sz w:val="24"/>
          <w:szCs w:val="24"/>
        </w:rPr>
        <w:t xml:space="preserve"> de servicii în tehnologia </w:t>
      </w:r>
      <w:r w:rsidRPr="00F362A1">
        <w:rPr>
          <w:rFonts w:ascii="Tahoma" w:hAnsi="Tahoma" w:cs="Tahoma"/>
          <w:sz w:val="24"/>
          <w:szCs w:val="24"/>
        </w:rPr>
        <w:t>informației</w:t>
      </w:r>
      <w:r w:rsidR="000051D6" w:rsidRPr="00F362A1">
        <w:rPr>
          <w:rFonts w:ascii="Tahoma" w:hAnsi="Tahoma" w:cs="Tahoma"/>
          <w:sz w:val="24"/>
          <w:szCs w:val="24"/>
        </w:rPr>
        <w:t xml:space="preserve"> 11,5%; alte </w:t>
      </w:r>
      <w:r w:rsidRPr="00F362A1">
        <w:rPr>
          <w:rFonts w:ascii="Tahoma" w:hAnsi="Tahoma" w:cs="Tahoma"/>
          <w:sz w:val="24"/>
          <w:szCs w:val="24"/>
        </w:rPr>
        <w:t>activități</w:t>
      </w:r>
      <w:r w:rsidR="000051D6" w:rsidRPr="00F362A1">
        <w:rPr>
          <w:rFonts w:ascii="Tahoma" w:hAnsi="Tahoma" w:cs="Tahoma"/>
          <w:sz w:val="24"/>
          <w:szCs w:val="24"/>
        </w:rPr>
        <w:t xml:space="preserve"> extractive 10,5%; fabricarea produselor din tutun 8,0%. </w:t>
      </w:r>
    </w:p>
    <w:p w:rsidR="000051D6" w:rsidRPr="00F362A1" w:rsidRDefault="000051D6" w:rsidP="002A6579">
      <w:pPr>
        <w:ind w:firstLine="720"/>
        <w:rPr>
          <w:rFonts w:ascii="Tahoma" w:hAnsi="Tahoma" w:cs="Tahoma"/>
          <w:sz w:val="24"/>
          <w:szCs w:val="24"/>
        </w:rPr>
      </w:pPr>
      <w:r w:rsidRPr="00F362A1">
        <w:rPr>
          <w:rFonts w:ascii="Tahoma" w:hAnsi="Tahoma" w:cs="Tahoma"/>
          <w:sz w:val="24"/>
          <w:szCs w:val="24"/>
        </w:rPr>
        <w:t xml:space="preserve">În perioada ianuarie – iunie 2020 comparativ cu </w:t>
      </w:r>
      <w:r w:rsidR="002F1039" w:rsidRPr="00F362A1">
        <w:rPr>
          <w:rFonts w:ascii="Tahoma" w:hAnsi="Tahoma" w:cs="Tahoma"/>
          <w:sz w:val="24"/>
          <w:szCs w:val="24"/>
        </w:rPr>
        <w:t>aceeași</w:t>
      </w:r>
      <w:r w:rsidRPr="00F362A1">
        <w:rPr>
          <w:rFonts w:ascii="Tahoma" w:hAnsi="Tahoma" w:cs="Tahoma"/>
          <w:sz w:val="24"/>
          <w:szCs w:val="24"/>
        </w:rPr>
        <w:t xml:space="preserve"> perioadă din 2019 numărul locurilor de muncă a scăzut cu </w:t>
      </w:r>
      <w:r w:rsidRPr="00F362A1">
        <w:rPr>
          <w:rFonts w:ascii="Tahoma" w:hAnsi="Tahoma" w:cs="Tahoma"/>
          <w:b/>
          <w:sz w:val="24"/>
          <w:szCs w:val="24"/>
        </w:rPr>
        <w:t>30,8 mii (locuri de muncă în regim salarial</w:t>
      </w:r>
      <w:r w:rsidRPr="00F362A1">
        <w:rPr>
          <w:rFonts w:ascii="Tahoma" w:hAnsi="Tahoma" w:cs="Tahoma"/>
          <w:sz w:val="24"/>
          <w:szCs w:val="24"/>
        </w:rPr>
        <w:t>).</w:t>
      </w:r>
    </w:p>
    <w:p w:rsidR="000051D6" w:rsidRPr="00F362A1" w:rsidRDefault="000051D6" w:rsidP="002A6579">
      <w:pPr>
        <w:ind w:firstLine="720"/>
        <w:rPr>
          <w:rFonts w:ascii="Tahoma" w:hAnsi="Tahoma" w:cs="Tahoma"/>
          <w:sz w:val="24"/>
          <w:szCs w:val="24"/>
        </w:rPr>
      </w:pPr>
      <w:r w:rsidRPr="00F362A1">
        <w:rPr>
          <w:rFonts w:ascii="Tahoma" w:hAnsi="Tahoma" w:cs="Tahoma"/>
          <w:sz w:val="24"/>
          <w:szCs w:val="24"/>
        </w:rPr>
        <w:t xml:space="preserve">Pentru ilustrarea efectelor pandemiei de COVID -19 s-a analizat </w:t>
      </w:r>
      <w:r w:rsidR="002F1039" w:rsidRPr="00F362A1">
        <w:rPr>
          <w:rFonts w:ascii="Tahoma" w:hAnsi="Tahoma" w:cs="Tahoma"/>
          <w:sz w:val="24"/>
          <w:szCs w:val="24"/>
        </w:rPr>
        <w:t>evoluția</w:t>
      </w:r>
      <w:r w:rsidRPr="00F362A1">
        <w:rPr>
          <w:rFonts w:ascii="Tahoma" w:hAnsi="Tahoma" w:cs="Tahoma"/>
          <w:sz w:val="24"/>
          <w:szCs w:val="24"/>
        </w:rPr>
        <w:t xml:space="preserve"> numărului mediu de </w:t>
      </w:r>
      <w:r w:rsidR="002F1039" w:rsidRPr="00F362A1">
        <w:rPr>
          <w:rFonts w:ascii="Tahoma" w:hAnsi="Tahoma" w:cs="Tahoma"/>
          <w:sz w:val="24"/>
          <w:szCs w:val="24"/>
        </w:rPr>
        <w:t>salariați</w:t>
      </w:r>
      <w:r w:rsidRPr="00F362A1">
        <w:rPr>
          <w:rFonts w:ascii="Tahoma" w:hAnsi="Tahoma" w:cs="Tahoma"/>
          <w:sz w:val="24"/>
          <w:szCs w:val="24"/>
        </w:rPr>
        <w:t xml:space="preserve">, astfel cea mai importantă reducere în perioada martie - iunie s-a înregistrat în industria prelucrătoare, unde numărul mediu al </w:t>
      </w:r>
      <w:r w:rsidR="002F1039" w:rsidRPr="00F362A1">
        <w:rPr>
          <w:rFonts w:ascii="Tahoma" w:hAnsi="Tahoma" w:cs="Tahoma"/>
          <w:sz w:val="24"/>
          <w:szCs w:val="24"/>
        </w:rPr>
        <w:t>salariaților</w:t>
      </w:r>
      <w:r w:rsidRPr="00F362A1">
        <w:rPr>
          <w:rFonts w:ascii="Tahoma" w:hAnsi="Tahoma" w:cs="Tahoma"/>
          <w:sz w:val="24"/>
          <w:szCs w:val="24"/>
        </w:rPr>
        <w:t xml:space="preserve"> s-a diminuat cu 62,0 mii persoane (-5,3%). Ramurile industriei prelucrătoare au fost afectate neuniform, circa 76%</w:t>
      </w:r>
      <w:r w:rsidRPr="00F362A1">
        <w:rPr>
          <w:rFonts w:ascii="Tahoma" w:hAnsi="Tahoma" w:cs="Tahoma"/>
          <w:b/>
          <w:sz w:val="24"/>
          <w:szCs w:val="24"/>
        </w:rPr>
        <w:t xml:space="preserve"> </w:t>
      </w:r>
      <w:r w:rsidRPr="00F362A1">
        <w:rPr>
          <w:rFonts w:ascii="Tahoma" w:hAnsi="Tahoma" w:cs="Tahoma"/>
          <w:sz w:val="24"/>
          <w:szCs w:val="24"/>
        </w:rPr>
        <w:t xml:space="preserve">din reducerea numărului mediu de </w:t>
      </w:r>
      <w:r w:rsidR="002F1039" w:rsidRPr="00F362A1">
        <w:rPr>
          <w:rFonts w:ascii="Tahoma" w:hAnsi="Tahoma" w:cs="Tahoma"/>
          <w:sz w:val="24"/>
          <w:szCs w:val="24"/>
        </w:rPr>
        <w:t>salariați</w:t>
      </w:r>
      <w:r w:rsidRPr="00F362A1">
        <w:rPr>
          <w:rFonts w:ascii="Tahoma" w:hAnsi="Tahoma" w:cs="Tahoma"/>
          <w:sz w:val="24"/>
          <w:szCs w:val="24"/>
        </w:rPr>
        <w:t xml:space="preserve"> localizându-se în </w:t>
      </w:r>
      <w:r w:rsidR="002F1039" w:rsidRPr="00F362A1">
        <w:rPr>
          <w:rFonts w:ascii="Tahoma" w:hAnsi="Tahoma" w:cs="Tahoma"/>
          <w:sz w:val="24"/>
          <w:szCs w:val="24"/>
        </w:rPr>
        <w:t>șase</w:t>
      </w:r>
      <w:r w:rsidRPr="00F362A1">
        <w:rPr>
          <w:rFonts w:ascii="Tahoma" w:hAnsi="Tahoma" w:cs="Tahoma"/>
          <w:sz w:val="24"/>
          <w:szCs w:val="24"/>
        </w:rPr>
        <w:t xml:space="preserve"> ramuri după cum urmează: fabricarea articolelor de îmbrăcăminte şi fabricarea autovehiculelor de transport rutier  cu câte 13,6 mii persoane; tăbăcirea şi finisarea pieilor cu 6 mii; industria alimentară 4,6 mii persoane; industria </w:t>
      </w:r>
      <w:r w:rsidR="002F1039" w:rsidRPr="00F362A1">
        <w:rPr>
          <w:rFonts w:ascii="Tahoma" w:hAnsi="Tahoma" w:cs="Tahoma"/>
          <w:sz w:val="24"/>
          <w:szCs w:val="24"/>
        </w:rPr>
        <w:t>construcțiilor</w:t>
      </w:r>
      <w:r w:rsidRPr="00F362A1">
        <w:rPr>
          <w:rFonts w:ascii="Tahoma" w:hAnsi="Tahoma" w:cs="Tahoma"/>
          <w:sz w:val="24"/>
          <w:szCs w:val="24"/>
        </w:rPr>
        <w:t xml:space="preserve"> metalice şi a produselor din metal, exclusiv </w:t>
      </w:r>
      <w:r w:rsidR="002F1039" w:rsidRPr="00F362A1">
        <w:rPr>
          <w:rFonts w:ascii="Tahoma" w:hAnsi="Tahoma" w:cs="Tahoma"/>
          <w:sz w:val="24"/>
          <w:szCs w:val="24"/>
        </w:rPr>
        <w:t>mașini</w:t>
      </w:r>
      <w:r w:rsidRPr="00F362A1">
        <w:rPr>
          <w:rFonts w:ascii="Tahoma" w:hAnsi="Tahoma" w:cs="Tahoma"/>
          <w:sz w:val="24"/>
          <w:szCs w:val="24"/>
        </w:rPr>
        <w:t xml:space="preserve">, utilaje şi </w:t>
      </w:r>
      <w:r w:rsidR="002F1039" w:rsidRPr="00F362A1">
        <w:rPr>
          <w:rFonts w:ascii="Tahoma" w:hAnsi="Tahoma" w:cs="Tahoma"/>
          <w:sz w:val="24"/>
          <w:szCs w:val="24"/>
        </w:rPr>
        <w:t>instalații</w:t>
      </w:r>
      <w:r w:rsidRPr="00F362A1">
        <w:rPr>
          <w:rFonts w:ascii="Tahoma" w:hAnsi="Tahoma" w:cs="Tahoma"/>
          <w:sz w:val="24"/>
          <w:szCs w:val="24"/>
        </w:rPr>
        <w:t xml:space="preserve"> 4,7 mii persoane; fabricarea de </w:t>
      </w:r>
      <w:r w:rsidR="002F1039" w:rsidRPr="00F362A1">
        <w:rPr>
          <w:rFonts w:ascii="Tahoma" w:hAnsi="Tahoma" w:cs="Tahoma"/>
          <w:sz w:val="24"/>
          <w:szCs w:val="24"/>
        </w:rPr>
        <w:t>mașini</w:t>
      </w:r>
      <w:r w:rsidRPr="00F362A1">
        <w:rPr>
          <w:rFonts w:ascii="Tahoma" w:hAnsi="Tahoma" w:cs="Tahoma"/>
          <w:sz w:val="24"/>
          <w:szCs w:val="24"/>
        </w:rPr>
        <w:t xml:space="preserve">, utilaje şi echipamente 4,4 mii persoane. În hoteluri şi restaurante una dintre cele mai afectate </w:t>
      </w:r>
      <w:r w:rsidR="002F1039" w:rsidRPr="00F362A1">
        <w:rPr>
          <w:rFonts w:ascii="Tahoma" w:hAnsi="Tahoma" w:cs="Tahoma"/>
          <w:sz w:val="24"/>
          <w:szCs w:val="24"/>
        </w:rPr>
        <w:t>activități</w:t>
      </w:r>
      <w:r w:rsidRPr="00F362A1">
        <w:rPr>
          <w:rFonts w:ascii="Tahoma" w:hAnsi="Tahoma" w:cs="Tahoma"/>
          <w:sz w:val="24"/>
          <w:szCs w:val="24"/>
        </w:rPr>
        <w:t xml:space="preserve">, scăderea numărului de </w:t>
      </w:r>
      <w:r w:rsidR="002F1039" w:rsidRPr="00F362A1">
        <w:rPr>
          <w:rFonts w:ascii="Tahoma" w:hAnsi="Tahoma" w:cs="Tahoma"/>
          <w:sz w:val="24"/>
          <w:szCs w:val="24"/>
        </w:rPr>
        <w:t>salariați</w:t>
      </w:r>
      <w:r w:rsidRPr="00F362A1">
        <w:rPr>
          <w:rFonts w:ascii="Tahoma" w:hAnsi="Tahoma" w:cs="Tahoma"/>
          <w:sz w:val="24"/>
          <w:szCs w:val="24"/>
        </w:rPr>
        <w:t xml:space="preserve"> a fost de numai 1,5% (respective de 3,2 mii persoane) în perioada martie –iunie, acest lucru datorându-se măsurilor de sprijin adoptate de guvern prin OUG nr. 30/2020. In cadrul efectivelor de </w:t>
      </w:r>
      <w:r w:rsidR="002F1039" w:rsidRPr="00F362A1">
        <w:rPr>
          <w:rFonts w:ascii="Tahoma" w:hAnsi="Tahoma" w:cs="Tahoma"/>
          <w:sz w:val="24"/>
          <w:szCs w:val="24"/>
        </w:rPr>
        <w:t>salariați</w:t>
      </w:r>
      <w:r w:rsidRPr="00F362A1">
        <w:rPr>
          <w:rFonts w:ascii="Tahoma" w:hAnsi="Tahoma" w:cs="Tahoma"/>
          <w:sz w:val="24"/>
          <w:szCs w:val="24"/>
        </w:rPr>
        <w:t xml:space="preserve"> de la </w:t>
      </w:r>
      <w:r w:rsidR="002F1039" w:rsidRPr="00F362A1">
        <w:rPr>
          <w:rFonts w:ascii="Tahoma" w:hAnsi="Tahoma" w:cs="Tahoma"/>
          <w:sz w:val="24"/>
          <w:szCs w:val="24"/>
        </w:rPr>
        <w:t>sfârșitul</w:t>
      </w:r>
      <w:r w:rsidRPr="00F362A1">
        <w:rPr>
          <w:rFonts w:ascii="Tahoma" w:hAnsi="Tahoma" w:cs="Tahoma"/>
          <w:sz w:val="24"/>
          <w:szCs w:val="24"/>
        </w:rPr>
        <w:t xml:space="preserve"> lunii sunt cuprinse şi persoanele care beneficiază de </w:t>
      </w:r>
      <w:r w:rsidR="002F1039" w:rsidRPr="00F362A1">
        <w:rPr>
          <w:rFonts w:ascii="Tahoma" w:hAnsi="Tahoma" w:cs="Tahoma"/>
          <w:sz w:val="24"/>
          <w:szCs w:val="24"/>
        </w:rPr>
        <w:t>șomajul</w:t>
      </w:r>
      <w:r w:rsidRPr="00F362A1">
        <w:rPr>
          <w:rFonts w:ascii="Tahoma" w:hAnsi="Tahoma" w:cs="Tahoma"/>
          <w:sz w:val="24"/>
          <w:szCs w:val="24"/>
        </w:rPr>
        <w:t xml:space="preserve"> tehnic, în conformitate cu prevederile legale în vigoare.</w:t>
      </w:r>
    </w:p>
    <w:p w:rsidR="000051D6" w:rsidRPr="00F362A1" w:rsidRDefault="000051D6" w:rsidP="002A6579">
      <w:pPr>
        <w:ind w:firstLine="720"/>
        <w:rPr>
          <w:rFonts w:ascii="Tahoma" w:hAnsi="Tahoma" w:cs="Tahoma"/>
          <w:sz w:val="24"/>
          <w:szCs w:val="24"/>
        </w:rPr>
      </w:pPr>
      <w:r w:rsidRPr="00F362A1">
        <w:rPr>
          <w:rFonts w:ascii="Tahoma" w:hAnsi="Tahoma" w:cs="Tahoma"/>
          <w:sz w:val="24"/>
          <w:szCs w:val="24"/>
        </w:rPr>
        <w:t xml:space="preserve">În </w:t>
      </w:r>
      <w:r w:rsidR="002F1039" w:rsidRPr="00F362A1">
        <w:rPr>
          <w:rFonts w:ascii="Tahoma" w:hAnsi="Tahoma" w:cs="Tahoma"/>
          <w:sz w:val="24"/>
          <w:szCs w:val="24"/>
        </w:rPr>
        <w:t>același</w:t>
      </w:r>
      <w:r w:rsidRPr="00F362A1">
        <w:rPr>
          <w:rFonts w:ascii="Tahoma" w:hAnsi="Tahoma" w:cs="Tahoma"/>
          <w:sz w:val="24"/>
          <w:szCs w:val="24"/>
        </w:rPr>
        <w:t xml:space="preserve"> timp, au existat şi ramuri care nu au fost afectate de criza sanitară şi care şi-au extins personalul: sectorul </w:t>
      </w:r>
      <w:r w:rsidR="002F1039" w:rsidRPr="00F362A1">
        <w:rPr>
          <w:rFonts w:ascii="Tahoma" w:hAnsi="Tahoma" w:cs="Tahoma"/>
          <w:sz w:val="24"/>
          <w:szCs w:val="24"/>
        </w:rPr>
        <w:t>construcțiilor</w:t>
      </w:r>
      <w:r w:rsidRPr="00F362A1">
        <w:rPr>
          <w:rFonts w:ascii="Tahoma" w:hAnsi="Tahoma" w:cs="Tahoma"/>
          <w:sz w:val="24"/>
          <w:szCs w:val="24"/>
        </w:rPr>
        <w:t xml:space="preserve"> a angajat în perioada martie - iunie  13,0 mii persoane, cu 3,3% mai mult </w:t>
      </w:r>
      <w:r w:rsidR="002F1039" w:rsidRPr="00F362A1">
        <w:rPr>
          <w:rFonts w:ascii="Tahoma" w:hAnsi="Tahoma" w:cs="Tahoma"/>
          <w:sz w:val="24"/>
          <w:szCs w:val="24"/>
        </w:rPr>
        <w:t>față</w:t>
      </w:r>
      <w:r w:rsidRPr="00F362A1">
        <w:rPr>
          <w:rFonts w:ascii="Tahoma" w:hAnsi="Tahoma" w:cs="Tahoma"/>
          <w:sz w:val="24"/>
          <w:szCs w:val="24"/>
        </w:rPr>
        <w:t xml:space="preserve"> de perioada corespunzătoare din 2019, urmat de </w:t>
      </w:r>
      <w:r w:rsidR="002F1039" w:rsidRPr="00F362A1">
        <w:rPr>
          <w:rFonts w:ascii="Tahoma" w:hAnsi="Tahoma" w:cs="Tahoma"/>
          <w:sz w:val="24"/>
          <w:szCs w:val="24"/>
        </w:rPr>
        <w:t>activitățile</w:t>
      </w:r>
      <w:r w:rsidRPr="00F362A1">
        <w:rPr>
          <w:rFonts w:ascii="Tahoma" w:hAnsi="Tahoma" w:cs="Tahoma"/>
          <w:sz w:val="24"/>
          <w:szCs w:val="24"/>
        </w:rPr>
        <w:t xml:space="preserve"> de servicii IT cu un plus de 10,1 mii persoane (11,0%).</w:t>
      </w:r>
    </w:p>
    <w:p w:rsidR="000051D6" w:rsidRPr="00F362A1" w:rsidRDefault="000051D6" w:rsidP="002A6579">
      <w:pPr>
        <w:widowControl w:val="0"/>
        <w:suppressAutoHyphens/>
        <w:spacing w:before="120" w:after="120" w:line="276" w:lineRule="auto"/>
        <w:ind w:firstLine="720"/>
        <w:rPr>
          <w:rFonts w:ascii="Tahoma" w:eastAsia="Calibri" w:hAnsi="Tahoma" w:cs="Tahoma"/>
          <w:sz w:val="24"/>
          <w:szCs w:val="24"/>
        </w:rPr>
      </w:pPr>
    </w:p>
    <w:p w:rsidR="000051D6" w:rsidRPr="00F362A1" w:rsidRDefault="000051D6" w:rsidP="002A6579">
      <w:pPr>
        <w:widowControl w:val="0"/>
        <w:suppressAutoHyphens/>
        <w:spacing w:before="120" w:after="120" w:line="276" w:lineRule="auto"/>
        <w:ind w:firstLine="720"/>
        <w:rPr>
          <w:rFonts w:ascii="Tahoma" w:eastAsia="Calibri" w:hAnsi="Tahoma" w:cs="Tahoma"/>
          <w:sz w:val="24"/>
          <w:szCs w:val="24"/>
        </w:rPr>
      </w:pPr>
      <w:r w:rsidRPr="00F362A1">
        <w:rPr>
          <w:rFonts w:ascii="Tahoma" w:eastAsia="Calibri" w:hAnsi="Tahoma" w:cs="Tahoma"/>
          <w:sz w:val="24"/>
          <w:szCs w:val="24"/>
        </w:rPr>
        <w:t xml:space="preserve">Creșterea </w:t>
      </w:r>
      <w:r w:rsidR="002F1039" w:rsidRPr="00F362A1">
        <w:rPr>
          <w:rFonts w:ascii="Tahoma" w:eastAsia="Calibri" w:hAnsi="Tahoma" w:cs="Tahoma"/>
          <w:b/>
          <w:sz w:val="24"/>
          <w:szCs w:val="24"/>
        </w:rPr>
        <w:t>câștigului</w:t>
      </w:r>
      <w:r w:rsidRPr="00F362A1">
        <w:rPr>
          <w:rFonts w:ascii="Tahoma" w:eastAsia="Calibri" w:hAnsi="Tahoma" w:cs="Tahoma"/>
          <w:b/>
          <w:sz w:val="24"/>
          <w:szCs w:val="24"/>
        </w:rPr>
        <w:t xml:space="preserve"> salarial mediu brut în primele 6 luni </w:t>
      </w:r>
      <w:r w:rsidRPr="00F362A1">
        <w:rPr>
          <w:rFonts w:ascii="Tahoma" w:eastAsia="Calibri" w:hAnsi="Tahoma" w:cs="Tahoma"/>
          <w:sz w:val="24"/>
          <w:szCs w:val="24"/>
        </w:rPr>
        <w:t xml:space="preserve">ale anului 2020 a fost afectată într-o măsură mult mai mică de pandemia de COVID-19 comparativ cu numărul mediu de </w:t>
      </w:r>
      <w:r w:rsidR="002F1039" w:rsidRPr="00F362A1">
        <w:rPr>
          <w:rFonts w:ascii="Tahoma" w:eastAsia="Calibri" w:hAnsi="Tahoma" w:cs="Tahoma"/>
          <w:sz w:val="24"/>
          <w:szCs w:val="24"/>
        </w:rPr>
        <w:t>salariați</w:t>
      </w:r>
      <w:r w:rsidRPr="00F362A1">
        <w:rPr>
          <w:rFonts w:ascii="Tahoma" w:eastAsia="Calibri" w:hAnsi="Tahoma" w:cs="Tahoma"/>
          <w:sz w:val="24"/>
          <w:szCs w:val="24"/>
        </w:rPr>
        <w:t>.</w:t>
      </w:r>
    </w:p>
    <w:p w:rsidR="000051D6" w:rsidRPr="00F362A1" w:rsidRDefault="002F1039" w:rsidP="002A6579">
      <w:pPr>
        <w:widowControl w:val="0"/>
        <w:tabs>
          <w:tab w:val="left" w:pos="364"/>
        </w:tabs>
        <w:suppressAutoHyphens/>
        <w:spacing w:before="120" w:after="120" w:line="276" w:lineRule="auto"/>
        <w:ind w:firstLine="720"/>
        <w:rPr>
          <w:rFonts w:ascii="Tahoma" w:eastAsia="Calibri" w:hAnsi="Tahoma" w:cs="Tahoma"/>
          <w:sz w:val="24"/>
          <w:szCs w:val="24"/>
        </w:rPr>
      </w:pPr>
      <w:r w:rsidRPr="00F362A1">
        <w:rPr>
          <w:rFonts w:ascii="Tahoma" w:eastAsia="Calibri" w:hAnsi="Tahoma" w:cs="Tahoma"/>
          <w:sz w:val="24"/>
          <w:szCs w:val="24"/>
        </w:rPr>
        <w:t>Câștigul</w:t>
      </w:r>
      <w:r w:rsidR="000051D6" w:rsidRPr="00F362A1">
        <w:rPr>
          <w:rFonts w:ascii="Tahoma" w:eastAsia="Calibri" w:hAnsi="Tahoma" w:cs="Tahoma"/>
          <w:sz w:val="24"/>
          <w:szCs w:val="24"/>
        </w:rPr>
        <w:t xml:space="preserve"> salarial mediu brut pe total economie, a fost în perioada ianuarie-iunie 2020 de 5.269 lei, cu 5,3% mai mare decât cel înregistrat în perioada corespunzătoare a anului 2019. </w:t>
      </w:r>
      <w:r w:rsidRPr="00F362A1">
        <w:rPr>
          <w:rFonts w:ascii="Tahoma" w:eastAsia="Calibri" w:hAnsi="Tahoma" w:cs="Tahoma"/>
          <w:sz w:val="24"/>
          <w:szCs w:val="24"/>
        </w:rPr>
        <w:t>Câștigul</w:t>
      </w:r>
      <w:r w:rsidR="000051D6" w:rsidRPr="00F362A1">
        <w:rPr>
          <w:rFonts w:ascii="Tahoma" w:eastAsia="Calibri" w:hAnsi="Tahoma" w:cs="Tahoma"/>
          <w:sz w:val="24"/>
          <w:szCs w:val="24"/>
        </w:rPr>
        <w:t xml:space="preserve"> salarial mediu net s-a majorat cu 5,7%, fiind de 3.224 lei.</w:t>
      </w:r>
    </w:p>
    <w:p w:rsidR="000051D6" w:rsidRPr="00F362A1" w:rsidRDefault="002F1039" w:rsidP="002A6579">
      <w:pPr>
        <w:spacing w:after="0"/>
        <w:ind w:firstLine="0"/>
        <w:rPr>
          <w:rFonts w:ascii="Tahoma" w:eastAsia="Calibri" w:hAnsi="Tahoma" w:cs="Tahoma"/>
          <w:sz w:val="24"/>
          <w:szCs w:val="24"/>
        </w:rPr>
      </w:pPr>
      <w:r w:rsidRPr="00F362A1">
        <w:rPr>
          <w:rFonts w:ascii="Tahoma" w:eastAsia="Calibri" w:hAnsi="Tahoma" w:cs="Tahoma"/>
          <w:sz w:val="24"/>
          <w:szCs w:val="24"/>
        </w:rPr>
        <w:t>Câștigul</w:t>
      </w:r>
      <w:r w:rsidR="000051D6" w:rsidRPr="00F362A1">
        <w:rPr>
          <w:rFonts w:ascii="Tahoma" w:eastAsia="Calibri" w:hAnsi="Tahoma" w:cs="Tahoma"/>
          <w:sz w:val="24"/>
          <w:szCs w:val="24"/>
        </w:rPr>
        <w:t xml:space="preserve"> salarial mediu brut a crescut comparativ cu perioada corespunzătoare a anului 2019, în următoarele </w:t>
      </w:r>
      <w:r w:rsidRPr="00F362A1">
        <w:rPr>
          <w:rFonts w:ascii="Tahoma" w:eastAsia="Calibri" w:hAnsi="Tahoma" w:cs="Tahoma"/>
          <w:sz w:val="24"/>
          <w:szCs w:val="24"/>
        </w:rPr>
        <w:t>activități</w:t>
      </w:r>
      <w:r w:rsidR="000051D6" w:rsidRPr="00F362A1">
        <w:rPr>
          <w:rFonts w:ascii="Tahoma" w:eastAsia="Calibri" w:hAnsi="Tahoma" w:cs="Tahoma"/>
          <w:sz w:val="24"/>
          <w:szCs w:val="24"/>
        </w:rPr>
        <w:t>: activități de editare (21,6%),</w:t>
      </w:r>
      <w:r w:rsidR="000051D6" w:rsidRPr="00F362A1">
        <w:rPr>
          <w:rFonts w:ascii="Tahoma" w:eastAsia="Times New Roman" w:hAnsi="Tahoma" w:cs="Tahoma"/>
          <w:sz w:val="24"/>
          <w:szCs w:val="24"/>
        </w:rPr>
        <w:t>transporturi pe apă (12,6%),</w:t>
      </w:r>
      <w:r w:rsidR="000051D6" w:rsidRPr="00F362A1">
        <w:rPr>
          <w:rFonts w:ascii="Tahoma" w:eastAsia="Calibri" w:hAnsi="Tahoma" w:cs="Tahoma"/>
          <w:sz w:val="24"/>
          <w:szCs w:val="24"/>
        </w:rPr>
        <w:t xml:space="preserve"> </w:t>
      </w:r>
      <w:r w:rsidRPr="00F362A1">
        <w:rPr>
          <w:rFonts w:ascii="Tahoma" w:eastAsia="Calibri" w:hAnsi="Tahoma" w:cs="Tahoma"/>
          <w:sz w:val="24"/>
          <w:szCs w:val="24"/>
        </w:rPr>
        <w:t>informații</w:t>
      </w:r>
      <w:r w:rsidR="000051D6" w:rsidRPr="00F362A1">
        <w:rPr>
          <w:rFonts w:ascii="Tahoma" w:eastAsia="Calibri" w:hAnsi="Tahoma" w:cs="Tahoma"/>
          <w:sz w:val="24"/>
          <w:szCs w:val="24"/>
        </w:rPr>
        <w:t xml:space="preserve"> şi </w:t>
      </w:r>
      <w:r w:rsidRPr="00F362A1">
        <w:rPr>
          <w:rFonts w:ascii="Tahoma" w:eastAsia="Calibri" w:hAnsi="Tahoma" w:cs="Tahoma"/>
          <w:sz w:val="24"/>
          <w:szCs w:val="24"/>
        </w:rPr>
        <w:t>comunicații</w:t>
      </w:r>
      <w:r w:rsidR="000051D6" w:rsidRPr="00F362A1">
        <w:rPr>
          <w:rFonts w:ascii="Tahoma" w:eastAsia="Calibri" w:hAnsi="Tahoma" w:cs="Tahoma"/>
          <w:sz w:val="24"/>
          <w:szCs w:val="24"/>
        </w:rPr>
        <w:t xml:space="preserve"> (11,8%), </w:t>
      </w:r>
      <w:r w:rsidR="000051D6" w:rsidRPr="00F362A1">
        <w:rPr>
          <w:rFonts w:ascii="Tahoma" w:eastAsia="Times New Roman" w:hAnsi="Tahoma" w:cs="Tahoma"/>
          <w:sz w:val="24"/>
          <w:szCs w:val="24"/>
        </w:rPr>
        <w:t xml:space="preserve">fabricarea produselor din tutun (10,9%), </w:t>
      </w:r>
      <w:r w:rsidRPr="00F362A1">
        <w:rPr>
          <w:rFonts w:ascii="Tahoma" w:eastAsia="Times New Roman" w:hAnsi="Tahoma" w:cs="Tahoma"/>
          <w:bCs/>
          <w:sz w:val="24"/>
          <w:szCs w:val="24"/>
        </w:rPr>
        <w:t>producția</w:t>
      </w:r>
      <w:r w:rsidR="000051D6" w:rsidRPr="00F362A1">
        <w:rPr>
          <w:rFonts w:ascii="Tahoma" w:eastAsia="Times New Roman" w:hAnsi="Tahoma" w:cs="Tahoma"/>
          <w:bCs/>
          <w:sz w:val="24"/>
          <w:szCs w:val="24"/>
        </w:rPr>
        <w:t xml:space="preserve"> și furnizarea de energie electrică și termică, gaze, apa caldă și aer </w:t>
      </w:r>
      <w:r w:rsidRPr="00F362A1">
        <w:rPr>
          <w:rFonts w:ascii="Tahoma" w:eastAsia="Times New Roman" w:hAnsi="Tahoma" w:cs="Tahoma"/>
          <w:bCs/>
          <w:sz w:val="24"/>
          <w:szCs w:val="24"/>
        </w:rPr>
        <w:t>condiționat</w:t>
      </w:r>
      <w:r w:rsidR="000051D6" w:rsidRPr="00F362A1">
        <w:rPr>
          <w:rFonts w:ascii="Tahoma" w:eastAsia="Times New Roman" w:hAnsi="Tahoma" w:cs="Tahoma"/>
          <w:bCs/>
          <w:sz w:val="24"/>
          <w:szCs w:val="24"/>
        </w:rPr>
        <w:t xml:space="preserve"> (10,5%), </w:t>
      </w:r>
      <w:r w:rsidR="000051D6" w:rsidRPr="00F362A1">
        <w:rPr>
          <w:rFonts w:ascii="Tahoma" w:eastAsia="Times New Roman" w:hAnsi="Tahoma" w:cs="Tahoma"/>
          <w:sz w:val="24"/>
          <w:szCs w:val="24"/>
        </w:rPr>
        <w:t xml:space="preserve">activități de servicii în tehnologia informației; activități de servicii informatice (10,4%). </w:t>
      </w:r>
      <w:r w:rsidR="000051D6" w:rsidRPr="00F362A1">
        <w:rPr>
          <w:rFonts w:ascii="Tahoma" w:eastAsia="Calibri" w:hAnsi="Tahoma" w:cs="Tahoma"/>
          <w:sz w:val="24"/>
          <w:szCs w:val="24"/>
        </w:rPr>
        <w:t>Reduceri mai semnificative au avut loc, sub impactul pandemiei de COVID-19 în următoarele ramuri: transporturi aeriene (-14,0%), hoteluri şi restaurante (-10,1%).</w:t>
      </w:r>
    </w:p>
    <w:p w:rsidR="000051D6" w:rsidRPr="00F362A1" w:rsidRDefault="000051D6" w:rsidP="002A6579">
      <w:pPr>
        <w:spacing w:after="0"/>
        <w:ind w:firstLine="0"/>
        <w:rPr>
          <w:rFonts w:ascii="Tahoma" w:eastAsia="Calibri" w:hAnsi="Tahoma" w:cs="Tahoma"/>
          <w:sz w:val="24"/>
          <w:szCs w:val="24"/>
        </w:rPr>
      </w:pPr>
    </w:p>
    <w:p w:rsidR="000051D6" w:rsidRPr="00F362A1" w:rsidRDefault="000051D6" w:rsidP="002A6579">
      <w:pPr>
        <w:spacing w:after="0"/>
        <w:ind w:firstLine="720"/>
        <w:rPr>
          <w:rFonts w:ascii="Tahoma" w:eastAsia="Calibri" w:hAnsi="Tahoma" w:cs="Tahoma"/>
          <w:sz w:val="24"/>
          <w:szCs w:val="24"/>
        </w:rPr>
      </w:pPr>
      <w:r w:rsidRPr="00F362A1">
        <w:rPr>
          <w:rFonts w:ascii="Tahoma" w:eastAsia="Calibri" w:hAnsi="Tahoma" w:cs="Tahoma"/>
          <w:sz w:val="24"/>
          <w:szCs w:val="24"/>
        </w:rPr>
        <w:t xml:space="preserve">În sectorul bugetar, </w:t>
      </w:r>
      <w:r w:rsidR="002F1039" w:rsidRPr="00F362A1">
        <w:rPr>
          <w:rFonts w:ascii="Tahoma" w:eastAsia="Calibri" w:hAnsi="Tahoma" w:cs="Tahoma"/>
          <w:sz w:val="24"/>
          <w:szCs w:val="24"/>
        </w:rPr>
        <w:t>creșterea</w:t>
      </w:r>
      <w:r w:rsidRPr="00F362A1">
        <w:rPr>
          <w:rFonts w:ascii="Tahoma" w:eastAsia="Calibri" w:hAnsi="Tahoma" w:cs="Tahoma"/>
          <w:sz w:val="24"/>
          <w:szCs w:val="24"/>
        </w:rPr>
        <w:t xml:space="preserve"> medie a </w:t>
      </w:r>
      <w:r w:rsidR="002F1039" w:rsidRPr="00F362A1">
        <w:rPr>
          <w:rFonts w:ascii="Tahoma" w:eastAsia="Calibri" w:hAnsi="Tahoma" w:cs="Tahoma"/>
          <w:sz w:val="24"/>
          <w:szCs w:val="24"/>
        </w:rPr>
        <w:t>câștigului</w:t>
      </w:r>
      <w:r w:rsidRPr="00F362A1">
        <w:rPr>
          <w:rFonts w:ascii="Tahoma" w:eastAsia="Calibri" w:hAnsi="Tahoma" w:cs="Tahoma"/>
          <w:sz w:val="24"/>
          <w:szCs w:val="24"/>
        </w:rPr>
        <w:t xml:space="preserve"> salarial mediu brut a fost de 5,1% comparativ cu perioada corespunzătoare a anului 2019, în timp ce în sectorul </w:t>
      </w:r>
      <w:r w:rsidR="002F1039" w:rsidRPr="00F362A1">
        <w:rPr>
          <w:rFonts w:ascii="Tahoma" w:eastAsia="Calibri" w:hAnsi="Tahoma" w:cs="Tahoma"/>
          <w:sz w:val="24"/>
          <w:szCs w:val="24"/>
        </w:rPr>
        <w:t>concurențial</w:t>
      </w:r>
      <w:r w:rsidRPr="00F362A1">
        <w:rPr>
          <w:rFonts w:ascii="Tahoma" w:eastAsia="Calibri" w:hAnsi="Tahoma" w:cs="Tahoma"/>
          <w:sz w:val="24"/>
          <w:szCs w:val="24"/>
        </w:rPr>
        <w:t xml:space="preserve"> acesta s-a majorat cu 5,2%.</w:t>
      </w:r>
    </w:p>
    <w:p w:rsidR="000051D6" w:rsidRPr="00F362A1" w:rsidRDefault="000051D6" w:rsidP="002A6579">
      <w:pPr>
        <w:widowControl w:val="0"/>
        <w:tabs>
          <w:tab w:val="left" w:pos="364"/>
        </w:tabs>
        <w:suppressAutoHyphens/>
        <w:spacing w:before="120" w:after="120" w:line="276" w:lineRule="auto"/>
        <w:ind w:firstLine="720"/>
        <w:rPr>
          <w:rFonts w:ascii="Tahoma" w:eastAsia="Calibri" w:hAnsi="Tahoma" w:cs="Tahoma"/>
          <w:sz w:val="24"/>
          <w:szCs w:val="24"/>
        </w:rPr>
      </w:pPr>
      <w:r w:rsidRPr="00F362A1">
        <w:rPr>
          <w:rFonts w:ascii="Tahoma" w:eastAsia="Calibri" w:hAnsi="Tahoma" w:cs="Tahoma"/>
          <w:b/>
          <w:sz w:val="24"/>
          <w:szCs w:val="24"/>
        </w:rPr>
        <w:t>În termeni reali</w:t>
      </w:r>
      <w:r w:rsidRPr="00F362A1">
        <w:rPr>
          <w:rFonts w:ascii="Tahoma" w:eastAsia="Calibri" w:hAnsi="Tahoma" w:cs="Tahoma"/>
          <w:sz w:val="24"/>
          <w:szCs w:val="24"/>
        </w:rPr>
        <w:t xml:space="preserve">, pe total economie, </w:t>
      </w:r>
      <w:r w:rsidR="002F1039" w:rsidRPr="00F362A1">
        <w:rPr>
          <w:rFonts w:ascii="Tahoma" w:eastAsia="Calibri" w:hAnsi="Tahoma" w:cs="Tahoma"/>
          <w:sz w:val="24"/>
          <w:szCs w:val="24"/>
        </w:rPr>
        <w:t>creșterea</w:t>
      </w:r>
      <w:r w:rsidR="00FF1D0A" w:rsidRPr="00F362A1">
        <w:rPr>
          <w:rFonts w:ascii="Tahoma" w:eastAsia="Calibri" w:hAnsi="Tahoma" w:cs="Tahoma"/>
          <w:sz w:val="24"/>
          <w:szCs w:val="24"/>
        </w:rPr>
        <w:t xml:space="preserve"> </w:t>
      </w:r>
      <w:r w:rsidR="002F1039" w:rsidRPr="00F362A1">
        <w:rPr>
          <w:rFonts w:ascii="Tahoma" w:eastAsia="Calibri" w:hAnsi="Tahoma" w:cs="Tahoma"/>
          <w:sz w:val="24"/>
          <w:szCs w:val="24"/>
        </w:rPr>
        <w:t>câștigului</w:t>
      </w:r>
      <w:r w:rsidRPr="00F362A1">
        <w:rPr>
          <w:rFonts w:ascii="Tahoma" w:eastAsia="Calibri" w:hAnsi="Tahoma" w:cs="Tahoma"/>
          <w:sz w:val="24"/>
          <w:szCs w:val="24"/>
        </w:rPr>
        <w:t xml:space="preserve"> salarial a fost de 2,7% în primele 6 luni ale anului 2020 comparativ cu perioada corespunzătoare din anul 2019. </w:t>
      </w:r>
      <w:r w:rsidR="002F1039" w:rsidRPr="00F362A1">
        <w:rPr>
          <w:rFonts w:ascii="Tahoma" w:eastAsia="Calibri" w:hAnsi="Tahoma" w:cs="Tahoma"/>
          <w:sz w:val="24"/>
          <w:szCs w:val="24"/>
        </w:rPr>
        <w:t>Câștigul</w:t>
      </w:r>
      <w:r w:rsidRPr="00F362A1">
        <w:rPr>
          <w:rFonts w:ascii="Tahoma" w:eastAsia="Calibri" w:hAnsi="Tahoma" w:cs="Tahoma"/>
          <w:sz w:val="24"/>
          <w:szCs w:val="24"/>
        </w:rPr>
        <w:t xml:space="preserve"> salarial real în sectorul bugetar a înregistrat o </w:t>
      </w:r>
      <w:r w:rsidR="002F1039" w:rsidRPr="00F362A1">
        <w:rPr>
          <w:rFonts w:ascii="Tahoma" w:eastAsia="Calibri" w:hAnsi="Tahoma" w:cs="Tahoma"/>
          <w:sz w:val="24"/>
          <w:szCs w:val="24"/>
        </w:rPr>
        <w:t>creștere</w:t>
      </w:r>
      <w:r w:rsidRPr="00F362A1">
        <w:rPr>
          <w:rFonts w:ascii="Tahoma" w:eastAsia="Calibri" w:hAnsi="Tahoma" w:cs="Tahoma"/>
          <w:sz w:val="24"/>
          <w:szCs w:val="24"/>
        </w:rPr>
        <w:t xml:space="preserve"> de 2,1%, iar în sectorul </w:t>
      </w:r>
      <w:r w:rsidR="002F1039" w:rsidRPr="00F362A1">
        <w:rPr>
          <w:rFonts w:ascii="Tahoma" w:eastAsia="Calibri" w:hAnsi="Tahoma" w:cs="Tahoma"/>
          <w:sz w:val="24"/>
          <w:szCs w:val="24"/>
        </w:rPr>
        <w:t>concurențial</w:t>
      </w:r>
      <w:r w:rsidRPr="00F362A1">
        <w:rPr>
          <w:rFonts w:ascii="Tahoma" w:eastAsia="Calibri" w:hAnsi="Tahoma" w:cs="Tahoma"/>
          <w:sz w:val="24"/>
          <w:szCs w:val="24"/>
        </w:rPr>
        <w:t xml:space="preserve"> de 2,8%.</w:t>
      </w:r>
      <w:r w:rsidRPr="00F362A1">
        <w:rPr>
          <w:rFonts w:ascii="Tahoma" w:eastAsia="Calibri" w:hAnsi="Tahoma" w:cs="Tahoma"/>
          <w:sz w:val="24"/>
          <w:szCs w:val="24"/>
        </w:rPr>
        <w:tab/>
      </w:r>
    </w:p>
    <w:p w:rsidR="000051D6" w:rsidRPr="00F362A1" w:rsidRDefault="000051D6" w:rsidP="002A6579">
      <w:pPr>
        <w:spacing w:after="0"/>
        <w:ind w:firstLine="0"/>
        <w:rPr>
          <w:rFonts w:ascii="Tahoma" w:eastAsia="Times New Roman" w:hAnsi="Tahoma" w:cs="Tahoma"/>
          <w:bCs/>
          <w:sz w:val="24"/>
          <w:szCs w:val="24"/>
        </w:rPr>
      </w:pPr>
      <w:r w:rsidRPr="00F362A1">
        <w:rPr>
          <w:rFonts w:ascii="Tahoma" w:eastAsia="Calibri" w:hAnsi="Tahoma" w:cs="Tahoma"/>
          <w:sz w:val="24"/>
          <w:szCs w:val="24"/>
        </w:rPr>
        <w:tab/>
        <w:t xml:space="preserve">În </w:t>
      </w:r>
      <w:r w:rsidR="002F1039" w:rsidRPr="00F362A1">
        <w:rPr>
          <w:rFonts w:ascii="Tahoma" w:eastAsia="Calibri" w:hAnsi="Tahoma" w:cs="Tahoma"/>
          <w:sz w:val="24"/>
          <w:szCs w:val="24"/>
        </w:rPr>
        <w:t>câștigul</w:t>
      </w:r>
      <w:r w:rsidRPr="00F362A1">
        <w:rPr>
          <w:rFonts w:ascii="Tahoma" w:eastAsia="Calibri" w:hAnsi="Tahoma" w:cs="Tahoma"/>
          <w:sz w:val="24"/>
          <w:szCs w:val="24"/>
        </w:rPr>
        <w:t xml:space="preserve"> salarial mediu lunar sunt cuprinse şi sumele plătite </w:t>
      </w:r>
      <w:r w:rsidR="002F1039" w:rsidRPr="00F362A1">
        <w:rPr>
          <w:rFonts w:ascii="Tahoma" w:eastAsia="Calibri" w:hAnsi="Tahoma" w:cs="Tahoma"/>
          <w:sz w:val="24"/>
          <w:szCs w:val="24"/>
        </w:rPr>
        <w:t>salariaților</w:t>
      </w:r>
      <w:r w:rsidRPr="00F362A1">
        <w:rPr>
          <w:rFonts w:ascii="Tahoma" w:eastAsia="Calibri" w:hAnsi="Tahoma" w:cs="Tahoma"/>
          <w:sz w:val="24"/>
          <w:szCs w:val="24"/>
        </w:rPr>
        <w:t xml:space="preserve"> pentru </w:t>
      </w:r>
      <w:r w:rsidR="002F1039" w:rsidRPr="00F362A1">
        <w:rPr>
          <w:rFonts w:ascii="Tahoma" w:eastAsia="Calibri" w:hAnsi="Tahoma" w:cs="Tahoma"/>
          <w:sz w:val="24"/>
          <w:szCs w:val="24"/>
        </w:rPr>
        <w:t>șomajul</w:t>
      </w:r>
      <w:r w:rsidRPr="00F362A1">
        <w:rPr>
          <w:rFonts w:ascii="Tahoma" w:eastAsia="Calibri" w:hAnsi="Tahoma" w:cs="Tahoma"/>
          <w:sz w:val="24"/>
          <w:szCs w:val="24"/>
        </w:rPr>
        <w:t xml:space="preserve"> tehnic, în conformitate cu prevederile legale în vigoare, ceea ce a făcut ca în perioada de vârf a pandemiei (martie-iunie 2020) </w:t>
      </w:r>
      <w:r w:rsidR="002F1039" w:rsidRPr="00F362A1">
        <w:rPr>
          <w:rFonts w:ascii="Tahoma" w:eastAsia="Calibri" w:hAnsi="Tahoma" w:cs="Tahoma"/>
          <w:sz w:val="24"/>
          <w:szCs w:val="24"/>
        </w:rPr>
        <w:t>câștigul</w:t>
      </w:r>
      <w:r w:rsidRPr="00F362A1">
        <w:rPr>
          <w:rFonts w:ascii="Tahoma" w:eastAsia="Calibri" w:hAnsi="Tahoma" w:cs="Tahoma"/>
          <w:sz w:val="24"/>
          <w:szCs w:val="24"/>
        </w:rPr>
        <w:t xml:space="preserve"> salarial mediu brut să se majoreze cu 3,9%. </w:t>
      </w:r>
      <w:r w:rsidR="002F1039" w:rsidRPr="00F362A1">
        <w:rPr>
          <w:rFonts w:ascii="Tahoma" w:eastAsia="Calibri" w:hAnsi="Tahoma" w:cs="Tahoma"/>
          <w:sz w:val="24"/>
          <w:szCs w:val="24"/>
        </w:rPr>
        <w:t>Totuși</w:t>
      </w:r>
      <w:r w:rsidRPr="00F362A1">
        <w:rPr>
          <w:rFonts w:ascii="Tahoma" w:eastAsia="Calibri" w:hAnsi="Tahoma" w:cs="Tahoma"/>
          <w:sz w:val="24"/>
          <w:szCs w:val="24"/>
        </w:rPr>
        <w:t xml:space="preserve">, în cazul unui număr restrâns de </w:t>
      </w:r>
      <w:r w:rsidR="002F1039" w:rsidRPr="00F362A1">
        <w:rPr>
          <w:rFonts w:ascii="Tahoma" w:eastAsia="Calibri" w:hAnsi="Tahoma" w:cs="Tahoma"/>
          <w:sz w:val="24"/>
          <w:szCs w:val="24"/>
        </w:rPr>
        <w:t>activități</w:t>
      </w:r>
      <w:r w:rsidRPr="00F362A1">
        <w:rPr>
          <w:rFonts w:ascii="Tahoma" w:eastAsia="Calibri" w:hAnsi="Tahoma" w:cs="Tahoma"/>
          <w:sz w:val="24"/>
          <w:szCs w:val="24"/>
        </w:rPr>
        <w:t xml:space="preserve"> economice s-au înregistrat reduceri ale </w:t>
      </w:r>
      <w:r w:rsidR="002F1039" w:rsidRPr="00F362A1">
        <w:rPr>
          <w:rFonts w:ascii="Tahoma" w:eastAsia="Calibri" w:hAnsi="Tahoma" w:cs="Tahoma"/>
          <w:sz w:val="24"/>
          <w:szCs w:val="24"/>
        </w:rPr>
        <w:t>câștigului</w:t>
      </w:r>
      <w:r w:rsidRPr="00F362A1">
        <w:rPr>
          <w:rFonts w:ascii="Tahoma" w:eastAsia="Calibri" w:hAnsi="Tahoma" w:cs="Tahoma"/>
          <w:sz w:val="24"/>
          <w:szCs w:val="24"/>
        </w:rPr>
        <w:t xml:space="preserve"> salarial mediu brut, în perioada martie-iunie 2020 comparativ cu </w:t>
      </w:r>
      <w:r w:rsidR="002F1039" w:rsidRPr="00F362A1">
        <w:rPr>
          <w:rFonts w:ascii="Tahoma" w:eastAsia="Calibri" w:hAnsi="Tahoma" w:cs="Tahoma"/>
          <w:sz w:val="24"/>
          <w:szCs w:val="24"/>
        </w:rPr>
        <w:t>același</w:t>
      </w:r>
      <w:r w:rsidRPr="00F362A1">
        <w:rPr>
          <w:rFonts w:ascii="Tahoma" w:eastAsia="Calibri" w:hAnsi="Tahoma" w:cs="Tahoma"/>
          <w:sz w:val="24"/>
          <w:szCs w:val="24"/>
        </w:rPr>
        <w:t xml:space="preserve"> interval din 2019, cele mai </w:t>
      </w:r>
      <w:r w:rsidR="002F1039" w:rsidRPr="00F362A1">
        <w:rPr>
          <w:rFonts w:ascii="Tahoma" w:eastAsia="Calibri" w:hAnsi="Tahoma" w:cs="Tahoma"/>
          <w:sz w:val="24"/>
          <w:szCs w:val="24"/>
        </w:rPr>
        <w:t>pronunțate</w:t>
      </w:r>
      <w:r w:rsidRPr="00F362A1">
        <w:rPr>
          <w:rFonts w:ascii="Tahoma" w:eastAsia="Calibri" w:hAnsi="Tahoma" w:cs="Tahoma"/>
          <w:sz w:val="24"/>
          <w:szCs w:val="24"/>
        </w:rPr>
        <w:t xml:space="preserve"> fiind în ramuri: transporturi aeriene (-24,7%), hoteluri şi restaurante (-15,8%), fabricarea autovehiculelor de transport rutier (-9,2%), </w:t>
      </w:r>
      <w:r w:rsidRPr="00F362A1">
        <w:rPr>
          <w:rFonts w:ascii="Tahoma" w:eastAsia="Times New Roman" w:hAnsi="Tahoma" w:cs="Tahoma"/>
          <w:sz w:val="24"/>
          <w:szCs w:val="24"/>
        </w:rPr>
        <w:t xml:space="preserve">silvicultură și exploatare forestieră; pescuit și acvacultură (-7,3%), </w:t>
      </w:r>
      <w:r w:rsidRPr="00F362A1">
        <w:rPr>
          <w:rFonts w:ascii="Tahoma" w:eastAsia="Times New Roman" w:hAnsi="Tahoma" w:cs="Tahoma"/>
          <w:bCs/>
          <w:sz w:val="24"/>
          <w:szCs w:val="24"/>
        </w:rPr>
        <w:t xml:space="preserve">fabricarea produselor din cauciuc și mase plastice </w:t>
      </w:r>
      <w:r w:rsidRPr="00F362A1">
        <w:rPr>
          <w:rFonts w:ascii="Tahoma" w:eastAsia="Times New Roman" w:hAnsi="Tahoma" w:cs="Tahoma"/>
          <w:bCs/>
          <w:sz w:val="24"/>
          <w:szCs w:val="24"/>
        </w:rPr>
        <w:br/>
      </w:r>
      <w:r w:rsidRPr="00F362A1">
        <w:rPr>
          <w:rFonts w:ascii="Tahoma" w:eastAsia="Times New Roman" w:hAnsi="Tahoma" w:cs="Tahoma"/>
          <w:sz w:val="24"/>
          <w:szCs w:val="24"/>
        </w:rPr>
        <w:t xml:space="preserve">(-5,8%), </w:t>
      </w:r>
      <w:r w:rsidRPr="00F362A1">
        <w:rPr>
          <w:rFonts w:ascii="Tahoma" w:eastAsia="Times New Roman" w:hAnsi="Tahoma" w:cs="Tahoma"/>
          <w:bCs/>
          <w:sz w:val="24"/>
          <w:szCs w:val="24"/>
        </w:rPr>
        <w:t>fabricarea produselor textile (-5,7%),</w:t>
      </w:r>
      <w:r w:rsidRPr="00F362A1">
        <w:rPr>
          <w:rFonts w:ascii="Tahoma" w:eastAsia="Calibri" w:hAnsi="Tahoma" w:cs="Tahoma"/>
          <w:sz w:val="24"/>
          <w:szCs w:val="24"/>
        </w:rPr>
        <w:t xml:space="preserve">tăbăcirea şi finisarea pieilor, fabricarea articolelor de voiaj şi marochinărie (-5,3%), fabricarea de mobilă (-3,5%) şi </w:t>
      </w:r>
      <w:r w:rsidRPr="00F362A1">
        <w:rPr>
          <w:rFonts w:ascii="Tahoma" w:eastAsia="Times New Roman" w:hAnsi="Tahoma" w:cs="Tahoma"/>
          <w:bCs/>
          <w:sz w:val="24"/>
          <w:szCs w:val="24"/>
        </w:rPr>
        <w:t xml:space="preserve">activități de spectacole, culturale si recreative (-3,3%). </w:t>
      </w:r>
      <w:r w:rsidRPr="00F362A1">
        <w:rPr>
          <w:rFonts w:ascii="Tahoma" w:eastAsia="Calibri" w:hAnsi="Tahoma" w:cs="Tahoma"/>
          <w:sz w:val="24"/>
          <w:szCs w:val="24"/>
        </w:rPr>
        <w:t xml:space="preserve">În </w:t>
      </w:r>
      <w:r w:rsidR="002F1039" w:rsidRPr="00F362A1">
        <w:rPr>
          <w:rFonts w:ascii="Tahoma" w:eastAsia="Calibri" w:hAnsi="Tahoma" w:cs="Tahoma"/>
          <w:sz w:val="24"/>
          <w:szCs w:val="24"/>
        </w:rPr>
        <w:t>același</w:t>
      </w:r>
      <w:r w:rsidRPr="00F362A1">
        <w:rPr>
          <w:rFonts w:ascii="Tahoma" w:eastAsia="Calibri" w:hAnsi="Tahoma" w:cs="Tahoma"/>
          <w:sz w:val="24"/>
          <w:szCs w:val="24"/>
        </w:rPr>
        <w:t xml:space="preserve"> timp, pe intervalul </w:t>
      </w:r>
      <w:r w:rsidR="002F1039" w:rsidRPr="00F362A1">
        <w:rPr>
          <w:rFonts w:ascii="Tahoma" w:eastAsia="Calibri" w:hAnsi="Tahoma" w:cs="Tahoma"/>
          <w:sz w:val="24"/>
          <w:szCs w:val="24"/>
        </w:rPr>
        <w:t>menționat</w:t>
      </w:r>
      <w:r w:rsidRPr="00F362A1">
        <w:rPr>
          <w:rFonts w:ascii="Tahoma" w:eastAsia="Calibri" w:hAnsi="Tahoma" w:cs="Tahoma"/>
          <w:sz w:val="24"/>
          <w:szCs w:val="24"/>
        </w:rPr>
        <w:t xml:space="preserve">, cea mai mare </w:t>
      </w:r>
      <w:r w:rsidR="002F1039" w:rsidRPr="00F362A1">
        <w:rPr>
          <w:rFonts w:ascii="Tahoma" w:eastAsia="Calibri" w:hAnsi="Tahoma" w:cs="Tahoma"/>
          <w:sz w:val="24"/>
          <w:szCs w:val="24"/>
        </w:rPr>
        <w:t>creștere</w:t>
      </w:r>
      <w:r w:rsidRPr="00F362A1">
        <w:rPr>
          <w:rFonts w:ascii="Tahoma" w:eastAsia="Calibri" w:hAnsi="Tahoma" w:cs="Tahoma"/>
          <w:sz w:val="24"/>
          <w:szCs w:val="24"/>
        </w:rPr>
        <w:t xml:space="preserve"> a </w:t>
      </w:r>
      <w:r w:rsidR="002F1039" w:rsidRPr="00F362A1">
        <w:rPr>
          <w:rFonts w:ascii="Tahoma" w:eastAsia="Calibri" w:hAnsi="Tahoma" w:cs="Tahoma"/>
          <w:sz w:val="24"/>
          <w:szCs w:val="24"/>
        </w:rPr>
        <w:t>câștigului</w:t>
      </w:r>
      <w:r w:rsidRPr="00F362A1">
        <w:rPr>
          <w:rFonts w:ascii="Tahoma" w:eastAsia="Calibri" w:hAnsi="Tahoma" w:cs="Tahoma"/>
          <w:sz w:val="24"/>
          <w:szCs w:val="24"/>
        </w:rPr>
        <w:t xml:space="preserve"> salarial brut s-a înregistrat în </w:t>
      </w:r>
      <w:r w:rsidR="002F1039" w:rsidRPr="00F362A1">
        <w:rPr>
          <w:rFonts w:ascii="Tahoma" w:eastAsia="Calibri" w:hAnsi="Tahoma" w:cs="Tahoma"/>
          <w:sz w:val="24"/>
          <w:szCs w:val="24"/>
        </w:rPr>
        <w:t>activitățile</w:t>
      </w:r>
      <w:r w:rsidRPr="00F362A1">
        <w:rPr>
          <w:rFonts w:ascii="Tahoma" w:eastAsia="Calibri" w:hAnsi="Tahoma" w:cs="Tahoma"/>
          <w:sz w:val="24"/>
          <w:szCs w:val="24"/>
        </w:rPr>
        <w:t xml:space="preserve"> de editare (+23,3%). Majorări ale </w:t>
      </w:r>
      <w:r w:rsidR="002F1039" w:rsidRPr="00F362A1">
        <w:rPr>
          <w:rFonts w:ascii="Tahoma" w:eastAsia="Calibri" w:hAnsi="Tahoma" w:cs="Tahoma"/>
          <w:sz w:val="24"/>
          <w:szCs w:val="24"/>
        </w:rPr>
        <w:t>câștigului</w:t>
      </w:r>
      <w:r w:rsidRPr="00F362A1">
        <w:rPr>
          <w:rFonts w:ascii="Tahoma" w:eastAsia="Calibri" w:hAnsi="Tahoma" w:cs="Tahoma"/>
          <w:sz w:val="24"/>
          <w:szCs w:val="24"/>
        </w:rPr>
        <w:t xml:space="preserve"> brut de peste 10% s-au înregistrat în următoarele </w:t>
      </w:r>
      <w:r w:rsidR="002F1039" w:rsidRPr="00F362A1">
        <w:rPr>
          <w:rFonts w:ascii="Tahoma" w:eastAsia="Calibri" w:hAnsi="Tahoma" w:cs="Tahoma"/>
          <w:sz w:val="24"/>
          <w:szCs w:val="24"/>
        </w:rPr>
        <w:t>activități</w:t>
      </w:r>
      <w:r w:rsidRPr="00F362A1">
        <w:rPr>
          <w:rFonts w:ascii="Tahoma" w:eastAsia="Calibri" w:hAnsi="Tahoma" w:cs="Tahoma"/>
          <w:sz w:val="24"/>
          <w:szCs w:val="24"/>
        </w:rPr>
        <w:t>:</w:t>
      </w:r>
      <w:r w:rsidR="002F1039" w:rsidRPr="00F362A1">
        <w:rPr>
          <w:rFonts w:ascii="Tahoma" w:eastAsia="Calibri" w:hAnsi="Tahoma" w:cs="Tahoma"/>
          <w:sz w:val="24"/>
          <w:szCs w:val="24"/>
        </w:rPr>
        <w:t xml:space="preserve"> </w:t>
      </w:r>
      <w:r w:rsidRPr="00F362A1">
        <w:rPr>
          <w:rFonts w:ascii="Tahoma" w:eastAsia="Times New Roman" w:hAnsi="Tahoma" w:cs="Tahoma"/>
          <w:bCs/>
          <w:sz w:val="24"/>
          <w:szCs w:val="24"/>
        </w:rPr>
        <w:t xml:space="preserve">informații și </w:t>
      </w:r>
      <w:r w:rsidR="002F1039" w:rsidRPr="00F362A1">
        <w:rPr>
          <w:rFonts w:ascii="Tahoma" w:eastAsia="Times New Roman" w:hAnsi="Tahoma" w:cs="Tahoma"/>
          <w:bCs/>
          <w:sz w:val="24"/>
          <w:szCs w:val="24"/>
        </w:rPr>
        <w:t>comunicații, transporturi</w:t>
      </w:r>
      <w:r w:rsidRPr="00F362A1">
        <w:rPr>
          <w:rFonts w:ascii="Tahoma" w:eastAsia="Times New Roman" w:hAnsi="Tahoma" w:cs="Tahoma"/>
          <w:bCs/>
          <w:sz w:val="24"/>
          <w:szCs w:val="24"/>
        </w:rPr>
        <w:t xml:space="preserve"> pe apă, activități de servicii în tehnologia informației; activități de servicii informatice.</w:t>
      </w:r>
    </w:p>
    <w:p w:rsidR="000051D6" w:rsidRPr="00F362A1" w:rsidRDefault="000051D6" w:rsidP="002A6579">
      <w:pPr>
        <w:spacing w:after="0"/>
        <w:ind w:firstLine="0"/>
        <w:rPr>
          <w:rFonts w:ascii="Tahoma" w:eastAsia="Calibri" w:hAnsi="Tahoma" w:cs="Tahoma"/>
          <w:sz w:val="24"/>
          <w:szCs w:val="24"/>
        </w:rPr>
      </w:pPr>
    </w:p>
    <w:p w:rsidR="000051D6" w:rsidRPr="00F362A1" w:rsidRDefault="000051D6" w:rsidP="002A6579">
      <w:pPr>
        <w:widowControl w:val="0"/>
        <w:suppressAutoHyphens/>
        <w:spacing w:before="120" w:after="120" w:line="276" w:lineRule="auto"/>
        <w:ind w:firstLine="720"/>
        <w:rPr>
          <w:rFonts w:ascii="Tahoma" w:eastAsia="Calibri" w:hAnsi="Tahoma" w:cs="Tahoma"/>
          <w:b/>
          <w:sz w:val="24"/>
          <w:szCs w:val="24"/>
        </w:rPr>
      </w:pPr>
      <w:r w:rsidRPr="00F362A1">
        <w:rPr>
          <w:rFonts w:ascii="Tahoma" w:eastAsia="Calibri" w:hAnsi="Tahoma" w:cs="Tahoma"/>
          <w:b/>
          <w:sz w:val="24"/>
          <w:szCs w:val="24"/>
        </w:rPr>
        <w:t xml:space="preserve">La nivelul întregii economii, în primele 6 luni ale anului 2020, fondul de salarii s-a majorat cu 4,7% în </w:t>
      </w:r>
      <w:r w:rsidR="002F1039" w:rsidRPr="00F362A1">
        <w:rPr>
          <w:rFonts w:ascii="Tahoma" w:eastAsia="Calibri" w:hAnsi="Tahoma" w:cs="Tahoma"/>
          <w:b/>
          <w:sz w:val="24"/>
          <w:szCs w:val="24"/>
        </w:rPr>
        <w:t>condițiile</w:t>
      </w:r>
      <w:r w:rsidRPr="00F362A1">
        <w:rPr>
          <w:rFonts w:ascii="Tahoma" w:eastAsia="Calibri" w:hAnsi="Tahoma" w:cs="Tahoma"/>
          <w:b/>
          <w:sz w:val="24"/>
          <w:szCs w:val="24"/>
        </w:rPr>
        <w:t xml:space="preserve"> în care numărul mediu de </w:t>
      </w:r>
      <w:r w:rsidR="002F1039" w:rsidRPr="00F362A1">
        <w:rPr>
          <w:rFonts w:ascii="Tahoma" w:eastAsia="Calibri" w:hAnsi="Tahoma" w:cs="Tahoma"/>
          <w:b/>
          <w:sz w:val="24"/>
          <w:szCs w:val="24"/>
        </w:rPr>
        <w:lastRenderedPageBreak/>
        <w:t>salariați</w:t>
      </w:r>
      <w:r w:rsidRPr="00F362A1">
        <w:rPr>
          <w:rFonts w:ascii="Tahoma" w:eastAsia="Calibri" w:hAnsi="Tahoma" w:cs="Tahoma"/>
          <w:b/>
          <w:sz w:val="24"/>
          <w:szCs w:val="24"/>
        </w:rPr>
        <w:t xml:space="preserve"> s-a diminuat cu 0,6% iar </w:t>
      </w:r>
      <w:r w:rsidR="002F1039" w:rsidRPr="00F362A1">
        <w:rPr>
          <w:rFonts w:ascii="Tahoma" w:eastAsia="Calibri" w:hAnsi="Tahoma" w:cs="Tahoma"/>
          <w:b/>
          <w:sz w:val="24"/>
          <w:szCs w:val="24"/>
        </w:rPr>
        <w:t>câștigul</w:t>
      </w:r>
      <w:r w:rsidRPr="00F362A1">
        <w:rPr>
          <w:rFonts w:ascii="Tahoma" w:eastAsia="Calibri" w:hAnsi="Tahoma" w:cs="Tahoma"/>
          <w:b/>
          <w:sz w:val="24"/>
          <w:szCs w:val="24"/>
        </w:rPr>
        <w:t xml:space="preserve"> salarial mediu brut a crescut cu 5,3%.</w:t>
      </w:r>
    </w:p>
    <w:p w:rsidR="000051D6" w:rsidRPr="00F362A1" w:rsidRDefault="002F1039" w:rsidP="002A6579">
      <w:pPr>
        <w:ind w:firstLine="720"/>
        <w:rPr>
          <w:rFonts w:ascii="Tahoma" w:hAnsi="Tahoma" w:cs="Tahoma"/>
          <w:sz w:val="24"/>
          <w:szCs w:val="24"/>
        </w:rPr>
      </w:pPr>
      <w:r w:rsidRPr="00F362A1">
        <w:rPr>
          <w:rFonts w:ascii="Tahoma" w:hAnsi="Tahoma" w:cs="Tahoma"/>
          <w:b/>
          <w:sz w:val="24"/>
          <w:szCs w:val="24"/>
        </w:rPr>
        <w:t>Șomajul</w:t>
      </w:r>
      <w:r w:rsidR="000051D6" w:rsidRPr="00F362A1">
        <w:rPr>
          <w:rFonts w:ascii="Tahoma" w:hAnsi="Tahoma" w:cs="Tahoma"/>
          <w:b/>
          <w:sz w:val="24"/>
          <w:szCs w:val="24"/>
        </w:rPr>
        <w:t xml:space="preserve"> înregistrat</w:t>
      </w:r>
      <w:r w:rsidR="000051D6" w:rsidRPr="00F362A1">
        <w:rPr>
          <w:rFonts w:ascii="Tahoma" w:hAnsi="Tahoma" w:cs="Tahoma"/>
          <w:sz w:val="24"/>
          <w:szCs w:val="24"/>
        </w:rPr>
        <w:t xml:space="preserve"> la nivel </w:t>
      </w:r>
      <w:r w:rsidRPr="00F362A1">
        <w:rPr>
          <w:rFonts w:ascii="Tahoma" w:hAnsi="Tahoma" w:cs="Tahoma"/>
          <w:sz w:val="24"/>
          <w:szCs w:val="24"/>
        </w:rPr>
        <w:t>național</w:t>
      </w:r>
      <w:r w:rsidR="000051D6" w:rsidRPr="00F362A1">
        <w:rPr>
          <w:rFonts w:ascii="Tahoma" w:hAnsi="Tahoma" w:cs="Tahoma"/>
          <w:sz w:val="24"/>
          <w:szCs w:val="24"/>
        </w:rPr>
        <w:t xml:space="preserve"> a avut un trend descrescător, în ciuda manifestării efectelor pandemiei de COVID-19. Măsurile de sprijin adoptate de Guvernul României, în special cele care au vizat </w:t>
      </w:r>
      <w:r w:rsidRPr="00F362A1">
        <w:rPr>
          <w:rFonts w:ascii="Tahoma" w:hAnsi="Tahoma" w:cs="Tahoma"/>
          <w:sz w:val="24"/>
          <w:szCs w:val="24"/>
        </w:rPr>
        <w:t>șomajul</w:t>
      </w:r>
      <w:r w:rsidR="000051D6" w:rsidRPr="00F362A1">
        <w:rPr>
          <w:rFonts w:ascii="Tahoma" w:hAnsi="Tahoma" w:cs="Tahoma"/>
          <w:sz w:val="24"/>
          <w:szCs w:val="24"/>
        </w:rPr>
        <w:t xml:space="preserve"> tehnic, au făcut ca personalul să rămână angajat în cadrul firmelor chiar dacă activitatea acestora a suferit diminuări. </w:t>
      </w:r>
      <w:r w:rsidRPr="00F362A1">
        <w:rPr>
          <w:rFonts w:ascii="Tahoma" w:hAnsi="Tahoma" w:cs="Tahoma"/>
          <w:sz w:val="24"/>
          <w:szCs w:val="24"/>
        </w:rPr>
        <w:t>Șomajul</w:t>
      </w:r>
      <w:r w:rsidR="000051D6" w:rsidRPr="00F362A1">
        <w:rPr>
          <w:rFonts w:ascii="Tahoma" w:hAnsi="Tahoma" w:cs="Tahoma"/>
          <w:sz w:val="24"/>
          <w:szCs w:val="24"/>
        </w:rPr>
        <w:t xml:space="preserve"> înregistrat la </w:t>
      </w:r>
      <w:r w:rsidRPr="00F362A1">
        <w:rPr>
          <w:rFonts w:ascii="Tahoma" w:hAnsi="Tahoma" w:cs="Tahoma"/>
          <w:sz w:val="24"/>
          <w:szCs w:val="24"/>
        </w:rPr>
        <w:t>sfârșitul</w:t>
      </w:r>
      <w:r w:rsidR="000051D6" w:rsidRPr="00F362A1">
        <w:rPr>
          <w:rFonts w:ascii="Tahoma" w:hAnsi="Tahoma" w:cs="Tahoma"/>
          <w:sz w:val="24"/>
          <w:szCs w:val="24"/>
        </w:rPr>
        <w:t xml:space="preserve"> lunii iunie 2019 a ajuns la 257,6 mii persoane cu o rată a </w:t>
      </w:r>
      <w:r w:rsidRPr="00F362A1">
        <w:rPr>
          <w:rFonts w:ascii="Tahoma" w:hAnsi="Tahoma" w:cs="Tahoma"/>
          <w:sz w:val="24"/>
          <w:szCs w:val="24"/>
        </w:rPr>
        <w:t>șomajului</w:t>
      </w:r>
      <w:r w:rsidR="000051D6" w:rsidRPr="00F362A1">
        <w:rPr>
          <w:rFonts w:ascii="Tahoma" w:hAnsi="Tahoma" w:cs="Tahoma"/>
          <w:sz w:val="24"/>
          <w:szCs w:val="24"/>
        </w:rPr>
        <w:t xml:space="preserve"> 2,96%, mai mică cu 0,53 puncte procentuale </w:t>
      </w:r>
      <w:r w:rsidRPr="00F362A1">
        <w:rPr>
          <w:rFonts w:ascii="Tahoma" w:hAnsi="Tahoma" w:cs="Tahoma"/>
          <w:sz w:val="24"/>
          <w:szCs w:val="24"/>
        </w:rPr>
        <w:t>față</w:t>
      </w:r>
      <w:r w:rsidR="000051D6" w:rsidRPr="00F362A1">
        <w:rPr>
          <w:rFonts w:ascii="Tahoma" w:hAnsi="Tahoma" w:cs="Tahoma"/>
          <w:sz w:val="24"/>
          <w:szCs w:val="24"/>
        </w:rPr>
        <w:t xml:space="preserve"> de perioada corespunzătoare a anului anterior, iar la </w:t>
      </w:r>
      <w:r w:rsidRPr="00F362A1">
        <w:rPr>
          <w:rFonts w:ascii="Tahoma" w:hAnsi="Tahoma" w:cs="Tahoma"/>
          <w:sz w:val="24"/>
          <w:szCs w:val="24"/>
        </w:rPr>
        <w:t>sfârșitul</w:t>
      </w:r>
      <w:r w:rsidR="000051D6" w:rsidRPr="00F362A1">
        <w:rPr>
          <w:rFonts w:ascii="Tahoma" w:hAnsi="Tahoma" w:cs="Tahoma"/>
          <w:sz w:val="24"/>
          <w:szCs w:val="24"/>
        </w:rPr>
        <w:t xml:space="preserve"> lunii iunie 2020 numărul </w:t>
      </w:r>
      <w:r w:rsidRPr="00F362A1">
        <w:rPr>
          <w:rFonts w:ascii="Tahoma" w:hAnsi="Tahoma" w:cs="Tahoma"/>
          <w:sz w:val="24"/>
          <w:szCs w:val="24"/>
        </w:rPr>
        <w:t>șomerilor</w:t>
      </w:r>
      <w:r w:rsidR="000051D6" w:rsidRPr="00F362A1">
        <w:rPr>
          <w:rFonts w:ascii="Tahoma" w:hAnsi="Tahoma" w:cs="Tahoma"/>
          <w:sz w:val="24"/>
          <w:szCs w:val="24"/>
        </w:rPr>
        <w:t xml:space="preserve"> </w:t>
      </w:r>
      <w:r w:rsidRPr="00F362A1">
        <w:rPr>
          <w:rFonts w:ascii="Tahoma" w:hAnsi="Tahoma" w:cs="Tahoma"/>
          <w:sz w:val="24"/>
          <w:szCs w:val="24"/>
        </w:rPr>
        <w:t>înregistrați</w:t>
      </w:r>
      <w:r w:rsidR="000051D6" w:rsidRPr="00F362A1">
        <w:rPr>
          <w:rFonts w:ascii="Tahoma" w:hAnsi="Tahoma" w:cs="Tahoma"/>
          <w:sz w:val="24"/>
          <w:szCs w:val="24"/>
        </w:rPr>
        <w:t xml:space="preserve"> a crescut  la 260,7 mii persoane  cu o rată a </w:t>
      </w:r>
      <w:r w:rsidRPr="00F362A1">
        <w:rPr>
          <w:rFonts w:ascii="Tahoma" w:hAnsi="Tahoma" w:cs="Tahoma"/>
          <w:sz w:val="24"/>
          <w:szCs w:val="24"/>
        </w:rPr>
        <w:t>șomajului</w:t>
      </w:r>
      <w:r w:rsidR="000051D6" w:rsidRPr="00F362A1">
        <w:rPr>
          <w:rFonts w:ascii="Tahoma" w:hAnsi="Tahoma" w:cs="Tahoma"/>
          <w:sz w:val="24"/>
          <w:szCs w:val="24"/>
        </w:rPr>
        <w:t xml:space="preserve"> înregistrat de 3,0%. Numărul </w:t>
      </w:r>
      <w:r w:rsidRPr="00F362A1">
        <w:rPr>
          <w:rFonts w:ascii="Tahoma" w:hAnsi="Tahoma" w:cs="Tahoma"/>
          <w:sz w:val="24"/>
          <w:szCs w:val="24"/>
        </w:rPr>
        <w:t>șomerilor</w:t>
      </w:r>
      <w:r w:rsidR="000051D6" w:rsidRPr="00F362A1">
        <w:rPr>
          <w:rFonts w:ascii="Tahoma" w:hAnsi="Tahoma" w:cs="Tahoma"/>
          <w:sz w:val="24"/>
          <w:szCs w:val="24"/>
        </w:rPr>
        <w:t xml:space="preserve"> </w:t>
      </w:r>
      <w:r w:rsidRPr="00F362A1">
        <w:rPr>
          <w:rFonts w:ascii="Tahoma" w:hAnsi="Tahoma" w:cs="Tahoma"/>
          <w:sz w:val="24"/>
          <w:szCs w:val="24"/>
        </w:rPr>
        <w:t>înregistrați</w:t>
      </w:r>
      <w:r w:rsidR="000051D6" w:rsidRPr="00F362A1">
        <w:rPr>
          <w:rFonts w:ascii="Tahoma" w:hAnsi="Tahoma" w:cs="Tahoma"/>
          <w:sz w:val="24"/>
          <w:szCs w:val="24"/>
        </w:rPr>
        <w:t xml:space="preserve"> la </w:t>
      </w:r>
      <w:r w:rsidRPr="00F362A1">
        <w:rPr>
          <w:rFonts w:ascii="Tahoma" w:hAnsi="Tahoma" w:cs="Tahoma"/>
          <w:sz w:val="24"/>
          <w:szCs w:val="24"/>
        </w:rPr>
        <w:t>sfârșitul</w:t>
      </w:r>
      <w:r w:rsidR="000051D6" w:rsidRPr="00F362A1">
        <w:rPr>
          <w:rFonts w:ascii="Tahoma" w:hAnsi="Tahoma" w:cs="Tahoma"/>
          <w:sz w:val="24"/>
          <w:szCs w:val="24"/>
        </w:rPr>
        <w:t xml:space="preserve"> lunii iunie 2020 a crescut cu 3,1 mii persoane (0,03%) </w:t>
      </w:r>
      <w:r w:rsidRPr="00F362A1">
        <w:rPr>
          <w:rFonts w:ascii="Tahoma" w:hAnsi="Tahoma" w:cs="Tahoma"/>
          <w:sz w:val="24"/>
          <w:szCs w:val="24"/>
        </w:rPr>
        <w:t>față</w:t>
      </w:r>
      <w:r w:rsidR="000051D6" w:rsidRPr="00F362A1">
        <w:rPr>
          <w:rFonts w:ascii="Tahoma" w:hAnsi="Tahoma" w:cs="Tahoma"/>
          <w:sz w:val="24"/>
          <w:szCs w:val="24"/>
        </w:rPr>
        <w:t xml:space="preserve"> de iunie 2019. Din totalul </w:t>
      </w:r>
      <w:r w:rsidRPr="00F362A1">
        <w:rPr>
          <w:rFonts w:ascii="Tahoma" w:hAnsi="Tahoma" w:cs="Tahoma"/>
          <w:sz w:val="24"/>
          <w:szCs w:val="24"/>
        </w:rPr>
        <w:t>șomerilor</w:t>
      </w:r>
      <w:r w:rsidR="000051D6" w:rsidRPr="00F362A1">
        <w:rPr>
          <w:rFonts w:ascii="Tahoma" w:hAnsi="Tahoma" w:cs="Tahoma"/>
          <w:sz w:val="24"/>
          <w:szCs w:val="24"/>
        </w:rPr>
        <w:t xml:space="preserve"> </w:t>
      </w:r>
      <w:r w:rsidRPr="00F362A1">
        <w:rPr>
          <w:rFonts w:ascii="Tahoma" w:hAnsi="Tahoma" w:cs="Tahoma"/>
          <w:sz w:val="24"/>
          <w:szCs w:val="24"/>
        </w:rPr>
        <w:t>înregistrați</w:t>
      </w:r>
      <w:r w:rsidR="000051D6" w:rsidRPr="00F362A1">
        <w:rPr>
          <w:rFonts w:ascii="Tahoma" w:hAnsi="Tahoma" w:cs="Tahoma"/>
          <w:sz w:val="24"/>
          <w:szCs w:val="24"/>
        </w:rPr>
        <w:t xml:space="preserve">, 79,5 mii persoane au fost </w:t>
      </w:r>
      <w:r w:rsidRPr="00F362A1">
        <w:rPr>
          <w:rFonts w:ascii="Tahoma" w:hAnsi="Tahoma" w:cs="Tahoma"/>
          <w:sz w:val="24"/>
          <w:szCs w:val="24"/>
        </w:rPr>
        <w:t>șomeri</w:t>
      </w:r>
      <w:r w:rsidR="000051D6" w:rsidRPr="00F362A1">
        <w:rPr>
          <w:rFonts w:ascii="Tahoma" w:hAnsi="Tahoma" w:cs="Tahoma"/>
          <w:sz w:val="24"/>
          <w:szCs w:val="24"/>
        </w:rPr>
        <w:t xml:space="preserve"> </w:t>
      </w:r>
      <w:r w:rsidRPr="00F362A1">
        <w:rPr>
          <w:rFonts w:ascii="Tahoma" w:hAnsi="Tahoma" w:cs="Tahoma"/>
          <w:sz w:val="24"/>
          <w:szCs w:val="24"/>
        </w:rPr>
        <w:t>indemnizați</w:t>
      </w:r>
      <w:r w:rsidR="000051D6" w:rsidRPr="00F362A1">
        <w:rPr>
          <w:rFonts w:ascii="Tahoma" w:hAnsi="Tahoma" w:cs="Tahoma"/>
          <w:sz w:val="24"/>
          <w:szCs w:val="24"/>
        </w:rPr>
        <w:t xml:space="preserve"> (30,5%) şi 181,2 mii persoane </w:t>
      </w:r>
      <w:r w:rsidRPr="00F362A1">
        <w:rPr>
          <w:rFonts w:ascii="Tahoma" w:hAnsi="Tahoma" w:cs="Tahoma"/>
          <w:sz w:val="24"/>
          <w:szCs w:val="24"/>
        </w:rPr>
        <w:t>șomeri</w:t>
      </w:r>
      <w:r w:rsidR="000051D6" w:rsidRPr="00F362A1">
        <w:rPr>
          <w:rFonts w:ascii="Tahoma" w:hAnsi="Tahoma" w:cs="Tahoma"/>
          <w:sz w:val="24"/>
          <w:szCs w:val="24"/>
        </w:rPr>
        <w:t xml:space="preserve"> neindemnizaţi (69,5%). Pe medii de </w:t>
      </w:r>
      <w:r w:rsidRPr="00F362A1">
        <w:rPr>
          <w:rFonts w:ascii="Tahoma" w:hAnsi="Tahoma" w:cs="Tahoma"/>
          <w:sz w:val="24"/>
          <w:szCs w:val="24"/>
        </w:rPr>
        <w:t>rezidență</w:t>
      </w:r>
      <w:r w:rsidR="000051D6" w:rsidRPr="00F362A1">
        <w:rPr>
          <w:rFonts w:ascii="Tahoma" w:hAnsi="Tahoma" w:cs="Tahoma"/>
          <w:sz w:val="24"/>
          <w:szCs w:val="24"/>
        </w:rPr>
        <w:t xml:space="preserve"> numărul </w:t>
      </w:r>
      <w:r w:rsidRPr="00F362A1">
        <w:rPr>
          <w:rFonts w:ascii="Tahoma" w:hAnsi="Tahoma" w:cs="Tahoma"/>
          <w:sz w:val="24"/>
          <w:szCs w:val="24"/>
        </w:rPr>
        <w:t>șomerilor</w:t>
      </w:r>
      <w:r w:rsidR="000051D6" w:rsidRPr="00F362A1">
        <w:rPr>
          <w:rFonts w:ascii="Tahoma" w:hAnsi="Tahoma" w:cs="Tahoma"/>
          <w:sz w:val="24"/>
          <w:szCs w:val="24"/>
        </w:rPr>
        <w:t xml:space="preserve"> </w:t>
      </w:r>
      <w:r w:rsidRPr="00F362A1">
        <w:rPr>
          <w:rFonts w:ascii="Tahoma" w:hAnsi="Tahoma" w:cs="Tahoma"/>
          <w:sz w:val="24"/>
          <w:szCs w:val="24"/>
        </w:rPr>
        <w:t>înregistrați</w:t>
      </w:r>
      <w:r w:rsidR="000051D6" w:rsidRPr="00F362A1">
        <w:rPr>
          <w:rFonts w:ascii="Tahoma" w:hAnsi="Tahoma" w:cs="Tahoma"/>
          <w:sz w:val="24"/>
          <w:szCs w:val="24"/>
        </w:rPr>
        <w:t xml:space="preserve"> se prezintă astfel:89,8 mii persoane (34,4%) din mediul urban şi  170,9 mii persoane (65,6%) din mediul rural.</w:t>
      </w:r>
    </w:p>
    <w:p w:rsidR="000051D6" w:rsidRPr="00F362A1" w:rsidRDefault="000051D6" w:rsidP="002A6579">
      <w:pPr>
        <w:ind w:firstLine="720"/>
        <w:rPr>
          <w:rFonts w:ascii="Tahoma" w:hAnsi="Tahoma" w:cs="Tahoma"/>
          <w:sz w:val="24"/>
          <w:szCs w:val="24"/>
        </w:rPr>
      </w:pPr>
      <w:r w:rsidRPr="00F362A1">
        <w:rPr>
          <w:rFonts w:ascii="Tahoma" w:hAnsi="Tahoma" w:cs="Tahoma"/>
          <w:b/>
          <w:sz w:val="24"/>
          <w:szCs w:val="24"/>
        </w:rPr>
        <w:t xml:space="preserve">Structura </w:t>
      </w:r>
      <w:r w:rsidR="002F1039" w:rsidRPr="00F362A1">
        <w:rPr>
          <w:rFonts w:ascii="Tahoma" w:hAnsi="Tahoma" w:cs="Tahoma"/>
          <w:b/>
          <w:sz w:val="24"/>
          <w:szCs w:val="24"/>
        </w:rPr>
        <w:t>șomajului</w:t>
      </w:r>
      <w:r w:rsidRPr="00F362A1">
        <w:rPr>
          <w:rFonts w:ascii="Tahoma" w:hAnsi="Tahoma" w:cs="Tahoma"/>
          <w:b/>
          <w:sz w:val="24"/>
          <w:szCs w:val="24"/>
        </w:rPr>
        <w:t xml:space="preserve"> pe grupe de vârstă,</w:t>
      </w:r>
      <w:r w:rsidRPr="00F362A1">
        <w:rPr>
          <w:rFonts w:ascii="Tahoma" w:hAnsi="Tahoma" w:cs="Tahoma"/>
          <w:sz w:val="24"/>
          <w:szCs w:val="24"/>
        </w:rPr>
        <w:t xml:space="preserve"> la nivelul lunii iunie 2020, ne arată că cea mai mare pondere a avut-o grupa de vârstă 40 - 49 de ani, care reprezentau 28,4% din totalul </w:t>
      </w:r>
      <w:r w:rsidR="002F1039" w:rsidRPr="00F362A1">
        <w:rPr>
          <w:rFonts w:ascii="Tahoma" w:hAnsi="Tahoma" w:cs="Tahoma"/>
          <w:sz w:val="24"/>
          <w:szCs w:val="24"/>
        </w:rPr>
        <w:t>șomerilor</w:t>
      </w:r>
      <w:r w:rsidRPr="00F362A1">
        <w:rPr>
          <w:rFonts w:ascii="Tahoma" w:hAnsi="Tahoma" w:cs="Tahoma"/>
          <w:sz w:val="24"/>
          <w:szCs w:val="24"/>
        </w:rPr>
        <w:t xml:space="preserve"> </w:t>
      </w:r>
      <w:r w:rsidR="002F1039" w:rsidRPr="00F362A1">
        <w:rPr>
          <w:rFonts w:ascii="Tahoma" w:hAnsi="Tahoma" w:cs="Tahoma"/>
          <w:sz w:val="24"/>
          <w:szCs w:val="24"/>
        </w:rPr>
        <w:t>înregistrați</w:t>
      </w:r>
      <w:r w:rsidRPr="00F362A1">
        <w:rPr>
          <w:rFonts w:ascii="Tahoma" w:hAnsi="Tahoma" w:cs="Tahoma"/>
          <w:sz w:val="24"/>
          <w:szCs w:val="24"/>
        </w:rPr>
        <w:t xml:space="preserve">, </w:t>
      </w:r>
      <w:r w:rsidR="002F1039" w:rsidRPr="00F362A1">
        <w:rPr>
          <w:rFonts w:ascii="Tahoma" w:hAnsi="Tahoma" w:cs="Tahoma"/>
          <w:sz w:val="24"/>
          <w:szCs w:val="24"/>
        </w:rPr>
        <w:t>urmați</w:t>
      </w:r>
      <w:r w:rsidRPr="00F362A1">
        <w:rPr>
          <w:rFonts w:ascii="Tahoma" w:hAnsi="Tahoma" w:cs="Tahoma"/>
          <w:sz w:val="24"/>
          <w:szCs w:val="24"/>
        </w:rPr>
        <w:t xml:space="preserve"> de grupele 50 - 55 de ani (19,6%), peste 55 de ani (18,9%) </w:t>
      </w:r>
      <w:r w:rsidR="002F1039" w:rsidRPr="00F362A1">
        <w:rPr>
          <w:rFonts w:ascii="Tahoma" w:hAnsi="Tahoma" w:cs="Tahoma"/>
          <w:sz w:val="24"/>
          <w:szCs w:val="24"/>
        </w:rPr>
        <w:t>și</w:t>
      </w:r>
      <w:r w:rsidRPr="00F362A1">
        <w:rPr>
          <w:rFonts w:ascii="Tahoma" w:hAnsi="Tahoma" w:cs="Tahoma"/>
          <w:sz w:val="24"/>
          <w:szCs w:val="24"/>
        </w:rPr>
        <w:t xml:space="preserve"> 30-39 ani (18,7%). </w:t>
      </w:r>
    </w:p>
    <w:p w:rsidR="000051D6" w:rsidRPr="00F362A1" w:rsidRDefault="000051D6" w:rsidP="002A6579">
      <w:pPr>
        <w:ind w:firstLine="720"/>
        <w:rPr>
          <w:rFonts w:ascii="Tahoma" w:hAnsi="Tahoma" w:cs="Tahoma"/>
          <w:sz w:val="24"/>
          <w:szCs w:val="24"/>
        </w:rPr>
      </w:pPr>
      <w:r w:rsidRPr="00F362A1">
        <w:rPr>
          <w:rFonts w:ascii="Tahoma" w:hAnsi="Tahoma" w:cs="Tahoma"/>
          <w:b/>
          <w:sz w:val="24"/>
          <w:szCs w:val="24"/>
        </w:rPr>
        <w:t>După nivelul de instruire</w:t>
      </w:r>
      <w:r w:rsidRPr="00F362A1">
        <w:rPr>
          <w:rFonts w:ascii="Tahoma" w:hAnsi="Tahoma" w:cs="Tahoma"/>
          <w:sz w:val="24"/>
          <w:szCs w:val="24"/>
        </w:rPr>
        <w:t xml:space="preserve">, </w:t>
      </w:r>
      <w:r w:rsidR="002F1039" w:rsidRPr="00F362A1">
        <w:rPr>
          <w:rFonts w:ascii="Tahoma" w:hAnsi="Tahoma" w:cs="Tahoma"/>
          <w:sz w:val="24"/>
          <w:szCs w:val="24"/>
        </w:rPr>
        <w:t>șomerii</w:t>
      </w:r>
      <w:r w:rsidRPr="00F362A1">
        <w:rPr>
          <w:rFonts w:ascii="Tahoma" w:hAnsi="Tahoma" w:cs="Tahoma"/>
          <w:sz w:val="24"/>
          <w:szCs w:val="24"/>
        </w:rPr>
        <w:t xml:space="preserve"> fără studii </w:t>
      </w:r>
      <w:r w:rsidR="002F1039" w:rsidRPr="00F362A1">
        <w:rPr>
          <w:rFonts w:ascii="Tahoma" w:hAnsi="Tahoma" w:cs="Tahoma"/>
          <w:sz w:val="24"/>
          <w:szCs w:val="24"/>
        </w:rPr>
        <w:t>și</w:t>
      </w:r>
      <w:r w:rsidRPr="00F362A1">
        <w:rPr>
          <w:rFonts w:ascii="Tahoma" w:hAnsi="Tahoma" w:cs="Tahoma"/>
          <w:sz w:val="24"/>
          <w:szCs w:val="24"/>
        </w:rPr>
        <w:t xml:space="preserve"> cei cu nivel de instruire primar, gimnazial şi profesional au ponderea cea mai mare în totalul </w:t>
      </w:r>
      <w:r w:rsidR="002F1039" w:rsidRPr="00F362A1">
        <w:rPr>
          <w:rFonts w:ascii="Tahoma" w:hAnsi="Tahoma" w:cs="Tahoma"/>
          <w:sz w:val="24"/>
          <w:szCs w:val="24"/>
        </w:rPr>
        <w:t>șomerilor</w:t>
      </w:r>
      <w:r w:rsidRPr="00F362A1">
        <w:rPr>
          <w:rFonts w:ascii="Tahoma" w:hAnsi="Tahoma" w:cs="Tahoma"/>
          <w:sz w:val="24"/>
          <w:szCs w:val="24"/>
        </w:rPr>
        <w:t xml:space="preserve"> </w:t>
      </w:r>
      <w:r w:rsidR="002F1039" w:rsidRPr="00F362A1">
        <w:rPr>
          <w:rFonts w:ascii="Tahoma" w:hAnsi="Tahoma" w:cs="Tahoma"/>
          <w:sz w:val="24"/>
          <w:szCs w:val="24"/>
        </w:rPr>
        <w:t>înregistrați</w:t>
      </w:r>
      <w:r w:rsidRPr="00F362A1">
        <w:rPr>
          <w:rFonts w:ascii="Tahoma" w:hAnsi="Tahoma" w:cs="Tahoma"/>
          <w:sz w:val="24"/>
          <w:szCs w:val="24"/>
        </w:rPr>
        <w:t xml:space="preserve"> de 71,0%. </w:t>
      </w:r>
      <w:r w:rsidR="002F1039" w:rsidRPr="00F362A1">
        <w:rPr>
          <w:rFonts w:ascii="Tahoma" w:hAnsi="Tahoma" w:cs="Tahoma"/>
          <w:sz w:val="24"/>
          <w:szCs w:val="24"/>
        </w:rPr>
        <w:t>Șomerii</w:t>
      </w:r>
      <w:r w:rsidRPr="00F362A1">
        <w:rPr>
          <w:rFonts w:ascii="Tahoma" w:hAnsi="Tahoma" w:cs="Tahoma"/>
          <w:sz w:val="24"/>
          <w:szCs w:val="24"/>
        </w:rPr>
        <w:t xml:space="preserve"> cu nivel de instruire liceal </w:t>
      </w:r>
      <w:r w:rsidR="002F1039" w:rsidRPr="00F362A1">
        <w:rPr>
          <w:rFonts w:ascii="Tahoma" w:hAnsi="Tahoma" w:cs="Tahoma"/>
          <w:sz w:val="24"/>
          <w:szCs w:val="24"/>
        </w:rPr>
        <w:t>și</w:t>
      </w:r>
      <w:r w:rsidRPr="00F362A1">
        <w:rPr>
          <w:rFonts w:ascii="Tahoma" w:hAnsi="Tahoma" w:cs="Tahoma"/>
          <w:sz w:val="24"/>
          <w:szCs w:val="24"/>
        </w:rPr>
        <w:t xml:space="preserve"> post-liceal reprezentau 21,2% din totalul </w:t>
      </w:r>
      <w:r w:rsidR="002F1039" w:rsidRPr="00F362A1">
        <w:rPr>
          <w:rFonts w:ascii="Tahoma" w:hAnsi="Tahoma" w:cs="Tahoma"/>
          <w:sz w:val="24"/>
          <w:szCs w:val="24"/>
        </w:rPr>
        <w:t>șomerilor</w:t>
      </w:r>
      <w:r w:rsidRPr="00F362A1">
        <w:rPr>
          <w:rFonts w:ascii="Tahoma" w:hAnsi="Tahoma" w:cs="Tahoma"/>
          <w:sz w:val="24"/>
          <w:szCs w:val="24"/>
        </w:rPr>
        <w:t xml:space="preserve"> </w:t>
      </w:r>
      <w:r w:rsidR="002F1039" w:rsidRPr="00F362A1">
        <w:rPr>
          <w:rFonts w:ascii="Tahoma" w:hAnsi="Tahoma" w:cs="Tahoma"/>
          <w:sz w:val="24"/>
          <w:szCs w:val="24"/>
        </w:rPr>
        <w:t>înregistrați</w:t>
      </w:r>
      <w:r w:rsidRPr="00F362A1">
        <w:rPr>
          <w:rFonts w:ascii="Tahoma" w:hAnsi="Tahoma" w:cs="Tahoma"/>
          <w:sz w:val="24"/>
          <w:szCs w:val="24"/>
        </w:rPr>
        <w:t xml:space="preserve">, iar cei cu studii universitare reprezentau 7,8%. </w:t>
      </w:r>
    </w:p>
    <w:p w:rsidR="000051D6" w:rsidRPr="00F362A1" w:rsidRDefault="000051D6" w:rsidP="002A6579">
      <w:pPr>
        <w:ind w:firstLine="720"/>
        <w:rPr>
          <w:rFonts w:ascii="Tahoma" w:hAnsi="Tahoma" w:cs="Tahoma"/>
          <w:sz w:val="24"/>
          <w:szCs w:val="24"/>
        </w:rPr>
      </w:pPr>
      <w:r w:rsidRPr="00F362A1">
        <w:rPr>
          <w:rFonts w:ascii="Tahoma" w:hAnsi="Tahoma" w:cs="Tahoma"/>
          <w:sz w:val="24"/>
          <w:szCs w:val="24"/>
        </w:rPr>
        <w:t xml:space="preserve">În ceea ce </w:t>
      </w:r>
      <w:r w:rsidR="002F1039" w:rsidRPr="00F362A1">
        <w:rPr>
          <w:rFonts w:ascii="Tahoma" w:hAnsi="Tahoma" w:cs="Tahoma"/>
          <w:sz w:val="24"/>
          <w:szCs w:val="24"/>
        </w:rPr>
        <w:t>privește</w:t>
      </w:r>
      <w:r w:rsidRPr="00F362A1">
        <w:rPr>
          <w:rFonts w:ascii="Tahoma" w:hAnsi="Tahoma" w:cs="Tahoma"/>
          <w:sz w:val="24"/>
          <w:szCs w:val="24"/>
        </w:rPr>
        <w:t xml:space="preserve"> </w:t>
      </w:r>
      <w:r w:rsidR="00CE2273" w:rsidRPr="00F362A1">
        <w:rPr>
          <w:rFonts w:ascii="Tahoma" w:hAnsi="Tahoma" w:cs="Tahoma"/>
          <w:b/>
          <w:sz w:val="24"/>
          <w:szCs w:val="24"/>
        </w:rPr>
        <w:t>șomajul</w:t>
      </w:r>
      <w:r w:rsidRPr="00F362A1">
        <w:rPr>
          <w:rFonts w:ascii="Tahoma" w:hAnsi="Tahoma" w:cs="Tahoma"/>
          <w:b/>
          <w:sz w:val="24"/>
          <w:szCs w:val="24"/>
        </w:rPr>
        <w:t xml:space="preserve"> de lungă durată</w:t>
      </w:r>
      <w:r w:rsidRPr="00F362A1">
        <w:rPr>
          <w:rFonts w:ascii="Tahoma" w:hAnsi="Tahoma" w:cs="Tahoma"/>
          <w:sz w:val="24"/>
          <w:szCs w:val="24"/>
        </w:rPr>
        <w:t xml:space="preserve">, la </w:t>
      </w:r>
      <w:r w:rsidR="00CE2273" w:rsidRPr="00F362A1">
        <w:rPr>
          <w:rFonts w:ascii="Tahoma" w:hAnsi="Tahoma" w:cs="Tahoma"/>
          <w:sz w:val="24"/>
          <w:szCs w:val="24"/>
        </w:rPr>
        <w:t>sfârșitul</w:t>
      </w:r>
      <w:r w:rsidRPr="00F362A1">
        <w:rPr>
          <w:rFonts w:ascii="Tahoma" w:hAnsi="Tahoma" w:cs="Tahoma"/>
          <w:sz w:val="24"/>
          <w:szCs w:val="24"/>
        </w:rPr>
        <w:t xml:space="preserve"> lunii iunie 2020 se aflau </w:t>
      </w:r>
      <w:r w:rsidR="00CE2273" w:rsidRPr="00F362A1">
        <w:rPr>
          <w:rFonts w:ascii="Tahoma" w:hAnsi="Tahoma" w:cs="Tahoma"/>
          <w:sz w:val="24"/>
          <w:szCs w:val="24"/>
        </w:rPr>
        <w:t>înregistrați</w:t>
      </w:r>
      <w:r w:rsidRPr="00F362A1">
        <w:rPr>
          <w:rFonts w:ascii="Tahoma" w:hAnsi="Tahoma" w:cs="Tahoma"/>
          <w:sz w:val="24"/>
          <w:szCs w:val="24"/>
        </w:rPr>
        <w:t xml:space="preserve"> 94,5 mii persoane din care 8,2 mii persoane din rândul tinerilor cu vârsta sub 25 de ani şi 86,3 mii persoane din rândul </w:t>
      </w:r>
      <w:r w:rsidR="00CE2273" w:rsidRPr="00F362A1">
        <w:rPr>
          <w:rFonts w:ascii="Tahoma" w:hAnsi="Tahoma" w:cs="Tahoma"/>
          <w:sz w:val="24"/>
          <w:szCs w:val="24"/>
        </w:rPr>
        <w:t>adulților</w:t>
      </w:r>
      <w:r w:rsidRPr="00F362A1">
        <w:rPr>
          <w:rFonts w:ascii="Tahoma" w:hAnsi="Tahoma" w:cs="Tahoma"/>
          <w:sz w:val="24"/>
          <w:szCs w:val="24"/>
        </w:rPr>
        <w:t xml:space="preserve"> cu vârsta peste 25 de ani. Ponderea </w:t>
      </w:r>
      <w:r w:rsidR="00CE2273" w:rsidRPr="00F362A1">
        <w:rPr>
          <w:rFonts w:ascii="Tahoma" w:hAnsi="Tahoma" w:cs="Tahoma"/>
          <w:sz w:val="24"/>
          <w:szCs w:val="24"/>
        </w:rPr>
        <w:t>șomerilor</w:t>
      </w:r>
      <w:r w:rsidRPr="00F362A1">
        <w:rPr>
          <w:rFonts w:ascii="Tahoma" w:hAnsi="Tahoma" w:cs="Tahoma"/>
          <w:sz w:val="24"/>
          <w:szCs w:val="24"/>
        </w:rPr>
        <w:t xml:space="preserve"> de lungă durată a </w:t>
      </w:r>
      <w:r w:rsidR="00CE2273" w:rsidRPr="00F362A1">
        <w:rPr>
          <w:rFonts w:ascii="Tahoma" w:hAnsi="Tahoma" w:cs="Tahoma"/>
          <w:sz w:val="24"/>
          <w:szCs w:val="24"/>
        </w:rPr>
        <w:t>adulților</w:t>
      </w:r>
      <w:r w:rsidRPr="00F362A1">
        <w:rPr>
          <w:rFonts w:ascii="Tahoma" w:hAnsi="Tahoma" w:cs="Tahoma"/>
          <w:sz w:val="24"/>
          <w:szCs w:val="24"/>
        </w:rPr>
        <w:t xml:space="preserve"> în numărul total de </w:t>
      </w:r>
      <w:r w:rsidR="00CE2273" w:rsidRPr="00F362A1">
        <w:rPr>
          <w:rFonts w:ascii="Tahoma" w:hAnsi="Tahoma" w:cs="Tahoma"/>
          <w:sz w:val="24"/>
          <w:szCs w:val="24"/>
        </w:rPr>
        <w:t>șomeri</w:t>
      </w:r>
      <w:r w:rsidRPr="00F362A1">
        <w:rPr>
          <w:rFonts w:ascii="Tahoma" w:hAnsi="Tahoma" w:cs="Tahoma"/>
          <w:sz w:val="24"/>
          <w:szCs w:val="24"/>
        </w:rPr>
        <w:t xml:space="preserve"> </w:t>
      </w:r>
      <w:r w:rsidR="00CE2273" w:rsidRPr="00F362A1">
        <w:rPr>
          <w:rFonts w:ascii="Tahoma" w:hAnsi="Tahoma" w:cs="Tahoma"/>
          <w:sz w:val="24"/>
          <w:szCs w:val="24"/>
        </w:rPr>
        <w:t>adulți</w:t>
      </w:r>
      <w:r w:rsidRPr="00F362A1">
        <w:rPr>
          <w:rFonts w:ascii="Tahoma" w:hAnsi="Tahoma" w:cs="Tahoma"/>
          <w:sz w:val="24"/>
          <w:szCs w:val="24"/>
        </w:rPr>
        <w:t xml:space="preserve"> a fost de 36,4%.</w:t>
      </w:r>
    </w:p>
    <w:p w:rsidR="000051D6" w:rsidRPr="00F362A1" w:rsidRDefault="000051D6" w:rsidP="002A6579">
      <w:pPr>
        <w:ind w:firstLine="720"/>
        <w:rPr>
          <w:rFonts w:ascii="Tahoma" w:hAnsi="Tahoma" w:cs="Tahoma"/>
          <w:sz w:val="24"/>
          <w:szCs w:val="24"/>
        </w:rPr>
      </w:pPr>
    </w:p>
    <w:p w:rsidR="000051D6" w:rsidRPr="00F362A1" w:rsidRDefault="000051D6" w:rsidP="002A6579">
      <w:pPr>
        <w:widowControl w:val="0"/>
        <w:suppressAutoHyphens/>
        <w:spacing w:before="120" w:after="120" w:line="276" w:lineRule="auto"/>
        <w:ind w:firstLine="720"/>
        <w:rPr>
          <w:rFonts w:ascii="Tahoma" w:eastAsia="Calibri" w:hAnsi="Tahoma" w:cs="Tahoma"/>
          <w:sz w:val="24"/>
          <w:szCs w:val="24"/>
        </w:rPr>
      </w:pPr>
    </w:p>
    <w:p w:rsidR="000051D6" w:rsidRPr="00F362A1" w:rsidRDefault="000051D6" w:rsidP="002A6579">
      <w:pPr>
        <w:pStyle w:val="ListParagraph"/>
        <w:keepNext/>
        <w:keepLines/>
        <w:spacing w:line="276" w:lineRule="auto"/>
        <w:ind w:left="0" w:firstLine="720"/>
        <w:outlineLvl w:val="0"/>
        <w:rPr>
          <w:rFonts w:ascii="Tahoma" w:hAnsi="Tahoma" w:cs="Tahoma"/>
          <w:b/>
          <w:sz w:val="24"/>
          <w:szCs w:val="24"/>
        </w:rPr>
      </w:pPr>
    </w:p>
    <w:p w:rsidR="000051D6" w:rsidRPr="00F362A1" w:rsidRDefault="000051D6" w:rsidP="002A6579">
      <w:pPr>
        <w:pStyle w:val="ListParagraph"/>
        <w:keepNext/>
        <w:keepLines/>
        <w:spacing w:line="276" w:lineRule="auto"/>
        <w:ind w:left="0" w:firstLine="720"/>
        <w:outlineLvl w:val="0"/>
        <w:rPr>
          <w:rFonts w:ascii="Tahoma" w:hAnsi="Tahoma" w:cs="Tahoma"/>
          <w:b/>
          <w:sz w:val="24"/>
          <w:szCs w:val="24"/>
        </w:rPr>
      </w:pPr>
    </w:p>
    <w:p w:rsidR="000051D6" w:rsidRPr="00F362A1" w:rsidRDefault="000051D6" w:rsidP="002A6579">
      <w:pPr>
        <w:pStyle w:val="ListParagraph"/>
        <w:keepNext/>
        <w:keepLines/>
        <w:spacing w:line="276" w:lineRule="auto"/>
        <w:ind w:left="0" w:firstLine="720"/>
        <w:outlineLvl w:val="0"/>
        <w:rPr>
          <w:rFonts w:ascii="Tahoma" w:hAnsi="Tahoma" w:cs="Tahoma"/>
          <w:b/>
          <w:sz w:val="24"/>
          <w:szCs w:val="24"/>
        </w:rPr>
      </w:pPr>
    </w:p>
    <w:p w:rsidR="00233ECC" w:rsidRPr="00F362A1" w:rsidRDefault="00233ECC" w:rsidP="002A6579">
      <w:pPr>
        <w:ind w:firstLine="720"/>
        <w:rPr>
          <w:rFonts w:ascii="Tahoma" w:hAnsi="Tahoma" w:cs="Tahoma"/>
          <w:sz w:val="24"/>
          <w:szCs w:val="24"/>
        </w:rPr>
      </w:pPr>
    </w:p>
    <w:p w:rsidR="00907B10" w:rsidRPr="00F362A1" w:rsidRDefault="00907B10" w:rsidP="002A6579">
      <w:pPr>
        <w:widowControl w:val="0"/>
        <w:suppressAutoHyphens/>
        <w:spacing w:before="120" w:after="120" w:line="276" w:lineRule="auto"/>
        <w:ind w:firstLine="720"/>
        <w:rPr>
          <w:rFonts w:ascii="Tahoma" w:eastAsia="Calibri" w:hAnsi="Tahoma" w:cs="Tahoma"/>
          <w:sz w:val="24"/>
          <w:szCs w:val="24"/>
        </w:rPr>
      </w:pPr>
    </w:p>
    <w:p w:rsidR="0056154D" w:rsidRPr="00F362A1" w:rsidRDefault="002548C2" w:rsidP="002A6579">
      <w:pPr>
        <w:pStyle w:val="ListParagraph"/>
        <w:keepNext/>
        <w:keepLines/>
        <w:numPr>
          <w:ilvl w:val="0"/>
          <w:numId w:val="1"/>
        </w:numPr>
        <w:tabs>
          <w:tab w:val="left" w:pos="7371"/>
        </w:tabs>
        <w:spacing w:line="276" w:lineRule="auto"/>
        <w:ind w:left="567" w:hanging="283"/>
        <w:outlineLvl w:val="0"/>
        <w:rPr>
          <w:rFonts w:ascii="Tahoma" w:hAnsi="Tahoma" w:cs="Tahoma"/>
          <w:b/>
          <w:sz w:val="24"/>
          <w:szCs w:val="24"/>
        </w:rPr>
      </w:pPr>
      <w:bookmarkStart w:id="8" w:name="_Toc456256933"/>
      <w:bookmarkStart w:id="9" w:name="_Toc456257457"/>
      <w:bookmarkStart w:id="10" w:name="_Toc456258315"/>
      <w:bookmarkStart w:id="11" w:name="_Toc456258420"/>
      <w:bookmarkStart w:id="12" w:name="_Toc47687145"/>
      <w:r w:rsidRPr="00F362A1">
        <w:rPr>
          <w:rFonts w:ascii="Tahoma" w:hAnsi="Tahoma" w:cs="Tahoma"/>
          <w:b/>
          <w:sz w:val="24"/>
          <w:szCs w:val="24"/>
        </w:rPr>
        <w:lastRenderedPageBreak/>
        <w:t>P</w:t>
      </w:r>
      <w:r w:rsidR="00E3087D" w:rsidRPr="00F362A1">
        <w:rPr>
          <w:rFonts w:ascii="Tahoma" w:hAnsi="Tahoma" w:cs="Tahoma"/>
          <w:b/>
          <w:sz w:val="24"/>
          <w:szCs w:val="24"/>
        </w:rPr>
        <w:t xml:space="preserve">olitica fiscal-bugetară </w:t>
      </w:r>
      <w:r w:rsidR="00191D8D" w:rsidRPr="00F362A1">
        <w:rPr>
          <w:rFonts w:ascii="Tahoma" w:hAnsi="Tahoma" w:cs="Tahoma"/>
          <w:b/>
          <w:sz w:val="24"/>
          <w:szCs w:val="24"/>
        </w:rPr>
        <w:t>aferentă</w:t>
      </w:r>
      <w:r w:rsidR="00E3087D" w:rsidRPr="00F362A1">
        <w:rPr>
          <w:rFonts w:ascii="Tahoma" w:hAnsi="Tahoma" w:cs="Tahoma"/>
          <w:b/>
          <w:sz w:val="24"/>
          <w:szCs w:val="24"/>
        </w:rPr>
        <w:t xml:space="preserve"> anul</w:t>
      </w:r>
      <w:r w:rsidR="00191D8D" w:rsidRPr="00F362A1">
        <w:rPr>
          <w:rFonts w:ascii="Tahoma" w:hAnsi="Tahoma" w:cs="Tahoma"/>
          <w:b/>
          <w:sz w:val="24"/>
          <w:szCs w:val="24"/>
        </w:rPr>
        <w:t>ui</w:t>
      </w:r>
      <w:bookmarkEnd w:id="8"/>
      <w:bookmarkEnd w:id="9"/>
      <w:bookmarkEnd w:id="10"/>
      <w:bookmarkEnd w:id="11"/>
      <w:r w:rsidR="001353BC" w:rsidRPr="00F362A1">
        <w:rPr>
          <w:rFonts w:ascii="Tahoma" w:hAnsi="Tahoma" w:cs="Tahoma"/>
          <w:b/>
          <w:sz w:val="24"/>
          <w:szCs w:val="24"/>
        </w:rPr>
        <w:t xml:space="preserve"> </w:t>
      </w:r>
      <w:r w:rsidR="00E3539E" w:rsidRPr="00F362A1">
        <w:rPr>
          <w:rFonts w:ascii="Tahoma" w:hAnsi="Tahoma" w:cs="Tahoma"/>
          <w:b/>
          <w:sz w:val="24"/>
          <w:szCs w:val="24"/>
        </w:rPr>
        <w:t>20</w:t>
      </w:r>
      <w:r w:rsidR="00C21D8D" w:rsidRPr="00F362A1">
        <w:rPr>
          <w:rFonts w:ascii="Tahoma" w:hAnsi="Tahoma" w:cs="Tahoma"/>
          <w:b/>
          <w:sz w:val="24"/>
          <w:szCs w:val="24"/>
        </w:rPr>
        <w:t>20</w:t>
      </w:r>
      <w:bookmarkEnd w:id="12"/>
    </w:p>
    <w:p w:rsidR="00D6065B" w:rsidRPr="00F362A1" w:rsidRDefault="00D6065B" w:rsidP="002A6579">
      <w:pPr>
        <w:pStyle w:val="ListParagraph"/>
        <w:keepNext/>
        <w:keepLines/>
        <w:spacing w:line="276" w:lineRule="auto"/>
        <w:ind w:left="567"/>
        <w:outlineLvl w:val="0"/>
        <w:rPr>
          <w:rFonts w:ascii="Tahoma" w:hAnsi="Tahoma" w:cs="Tahoma"/>
          <w:b/>
          <w:sz w:val="24"/>
          <w:szCs w:val="24"/>
        </w:rPr>
      </w:pPr>
    </w:p>
    <w:p w:rsidR="00642BCD" w:rsidRPr="00F362A1" w:rsidRDefault="00642BCD" w:rsidP="002A6579">
      <w:pPr>
        <w:keepNext/>
        <w:keepLines/>
        <w:tabs>
          <w:tab w:val="left" w:pos="851"/>
        </w:tabs>
        <w:spacing w:after="120" w:line="276" w:lineRule="auto"/>
        <w:ind w:firstLine="0"/>
        <w:rPr>
          <w:rFonts w:ascii="Tahoma" w:hAnsi="Tahoma" w:cs="Tahoma"/>
          <w:sz w:val="24"/>
          <w:szCs w:val="24"/>
        </w:rPr>
      </w:pPr>
      <w:r w:rsidRPr="00F362A1">
        <w:rPr>
          <w:rFonts w:ascii="Tahoma" w:hAnsi="Tahoma" w:cs="Tahoma"/>
          <w:sz w:val="24"/>
          <w:szCs w:val="24"/>
        </w:rPr>
        <w:t>Construcția bugetară pe anul 20</w:t>
      </w:r>
      <w:r w:rsidR="00C21D8D" w:rsidRPr="00F362A1">
        <w:rPr>
          <w:rFonts w:ascii="Tahoma" w:hAnsi="Tahoma" w:cs="Tahoma"/>
          <w:sz w:val="24"/>
          <w:szCs w:val="24"/>
        </w:rPr>
        <w:t>20</w:t>
      </w:r>
      <w:r w:rsidRPr="00F362A1">
        <w:rPr>
          <w:rFonts w:ascii="Tahoma" w:hAnsi="Tahoma" w:cs="Tahoma"/>
          <w:sz w:val="24"/>
          <w:szCs w:val="24"/>
        </w:rPr>
        <w:t xml:space="preserve"> a avut la bază următoarele obiective:</w:t>
      </w:r>
    </w:p>
    <w:p w:rsidR="00642BCD" w:rsidRPr="00F362A1" w:rsidRDefault="00791E81" w:rsidP="002A6579">
      <w:pPr>
        <w:pStyle w:val="ListParagraph"/>
        <w:keepNext/>
        <w:keepLines/>
        <w:numPr>
          <w:ilvl w:val="0"/>
          <w:numId w:val="3"/>
        </w:numPr>
        <w:tabs>
          <w:tab w:val="left" w:pos="851"/>
        </w:tabs>
        <w:spacing w:after="120" w:line="276" w:lineRule="auto"/>
        <w:ind w:left="994" w:hanging="274"/>
        <w:contextualSpacing w:val="0"/>
        <w:rPr>
          <w:rFonts w:ascii="Tahoma" w:hAnsi="Tahoma" w:cs="Tahoma"/>
          <w:sz w:val="24"/>
          <w:szCs w:val="24"/>
        </w:rPr>
      </w:pPr>
      <w:r w:rsidRPr="00F362A1">
        <w:rPr>
          <w:rFonts w:ascii="Tahoma" w:eastAsia="Calibri" w:hAnsi="Tahoma" w:cs="Tahoma"/>
          <w:sz w:val="24"/>
          <w:szCs w:val="24"/>
        </w:rPr>
        <w:t>Susținerea unei creșteri economice inteligente, sustenabile și incluzive</w:t>
      </w:r>
      <w:r w:rsidR="00C21D8D" w:rsidRPr="00F362A1">
        <w:rPr>
          <w:rFonts w:ascii="Tahoma" w:eastAsia="Calibri" w:hAnsi="Tahoma" w:cs="Tahoma"/>
          <w:sz w:val="24"/>
          <w:szCs w:val="24"/>
        </w:rPr>
        <w:t xml:space="preserve">, </w:t>
      </w:r>
      <w:r w:rsidRPr="00F362A1">
        <w:rPr>
          <w:rFonts w:ascii="Tahoma" w:hAnsi="Tahoma" w:cs="Tahoma"/>
          <w:sz w:val="24"/>
          <w:szCs w:val="24"/>
        </w:rPr>
        <w:t xml:space="preserve">prin utilizarea eficientă a factorilor de </w:t>
      </w:r>
      <w:r w:rsidR="005A11EE" w:rsidRPr="00F362A1">
        <w:rPr>
          <w:rFonts w:ascii="Tahoma" w:hAnsi="Tahoma" w:cs="Tahoma"/>
          <w:sz w:val="24"/>
          <w:szCs w:val="24"/>
        </w:rPr>
        <w:t>producție</w:t>
      </w:r>
      <w:r w:rsidRPr="00F362A1">
        <w:rPr>
          <w:rFonts w:ascii="Tahoma" w:hAnsi="Tahoma" w:cs="Tahoma"/>
          <w:sz w:val="24"/>
          <w:szCs w:val="24"/>
        </w:rPr>
        <w:t xml:space="preserve">, </w:t>
      </w:r>
      <w:r w:rsidR="005A11EE" w:rsidRPr="00F362A1">
        <w:rPr>
          <w:rFonts w:ascii="Tahoma" w:hAnsi="Tahoma" w:cs="Tahoma"/>
          <w:sz w:val="24"/>
          <w:szCs w:val="24"/>
        </w:rPr>
        <w:t>creșterea</w:t>
      </w:r>
      <w:r w:rsidR="001353BC" w:rsidRPr="00F362A1">
        <w:rPr>
          <w:rFonts w:ascii="Tahoma" w:hAnsi="Tahoma" w:cs="Tahoma"/>
          <w:sz w:val="24"/>
          <w:szCs w:val="24"/>
        </w:rPr>
        <w:t xml:space="preserve"> </w:t>
      </w:r>
      <w:r w:rsidR="005A11EE" w:rsidRPr="00F362A1">
        <w:rPr>
          <w:rFonts w:ascii="Tahoma" w:hAnsi="Tahoma" w:cs="Tahoma"/>
          <w:sz w:val="24"/>
          <w:szCs w:val="24"/>
        </w:rPr>
        <w:t>productivității</w:t>
      </w:r>
      <w:r w:rsidR="001353BC" w:rsidRPr="00F362A1">
        <w:rPr>
          <w:rFonts w:ascii="Tahoma" w:hAnsi="Tahoma" w:cs="Tahoma"/>
          <w:sz w:val="24"/>
          <w:szCs w:val="24"/>
        </w:rPr>
        <w:t xml:space="preserve"> </w:t>
      </w:r>
      <w:r w:rsidR="005A11EE" w:rsidRPr="00F362A1">
        <w:rPr>
          <w:rFonts w:ascii="Tahoma" w:hAnsi="Tahoma" w:cs="Tahoma"/>
          <w:sz w:val="24"/>
          <w:szCs w:val="24"/>
        </w:rPr>
        <w:t>și</w:t>
      </w:r>
      <w:r w:rsidRPr="00F362A1">
        <w:rPr>
          <w:rFonts w:ascii="Tahoma" w:hAnsi="Tahoma" w:cs="Tahoma"/>
          <w:sz w:val="24"/>
          <w:szCs w:val="24"/>
        </w:rPr>
        <w:t xml:space="preserve"> demararea </w:t>
      </w:r>
      <w:r w:rsidR="005A11EE" w:rsidRPr="00F362A1">
        <w:rPr>
          <w:rFonts w:ascii="Tahoma" w:hAnsi="Tahoma" w:cs="Tahoma"/>
          <w:sz w:val="24"/>
          <w:szCs w:val="24"/>
        </w:rPr>
        <w:t>investițiilor</w:t>
      </w:r>
      <w:r w:rsidRPr="00F362A1">
        <w:rPr>
          <w:rFonts w:ascii="Tahoma" w:hAnsi="Tahoma" w:cs="Tahoma"/>
          <w:sz w:val="24"/>
          <w:szCs w:val="24"/>
        </w:rPr>
        <w:t xml:space="preserve"> durabile</w:t>
      </w:r>
      <w:r w:rsidR="00642BCD" w:rsidRPr="00F362A1">
        <w:rPr>
          <w:rFonts w:ascii="Tahoma" w:hAnsi="Tahoma" w:cs="Tahoma"/>
          <w:sz w:val="24"/>
          <w:szCs w:val="24"/>
        </w:rPr>
        <w:t>;</w:t>
      </w:r>
    </w:p>
    <w:p w:rsidR="00642BCD" w:rsidRPr="00F362A1" w:rsidRDefault="00791E81" w:rsidP="002A6579">
      <w:pPr>
        <w:pStyle w:val="ListParagraph"/>
        <w:keepNext/>
        <w:keepLines/>
        <w:numPr>
          <w:ilvl w:val="0"/>
          <w:numId w:val="3"/>
        </w:numPr>
        <w:tabs>
          <w:tab w:val="left" w:pos="851"/>
        </w:tabs>
        <w:spacing w:after="120" w:line="276" w:lineRule="auto"/>
        <w:ind w:left="994" w:hanging="274"/>
        <w:contextualSpacing w:val="0"/>
        <w:rPr>
          <w:rFonts w:ascii="Tahoma" w:hAnsi="Tahoma" w:cs="Tahoma"/>
          <w:sz w:val="24"/>
          <w:szCs w:val="24"/>
        </w:rPr>
      </w:pPr>
      <w:r w:rsidRPr="00F362A1">
        <w:rPr>
          <w:rFonts w:ascii="Tahoma" w:eastAsia="Calibri" w:hAnsi="Tahoma" w:cs="Tahoma"/>
          <w:sz w:val="24"/>
          <w:szCs w:val="24"/>
        </w:rPr>
        <w:t xml:space="preserve">Crearea spațiului fiscal pentru alocarea unor sume importante pentru susținerea investițiilor publice majore și implementarea proiectelor finanțate din fonduri europene, cu efect multiplicator </w:t>
      </w:r>
      <w:r w:rsidR="005A11EE" w:rsidRPr="00F362A1">
        <w:rPr>
          <w:rFonts w:ascii="Tahoma" w:eastAsia="Calibri" w:hAnsi="Tahoma" w:cs="Tahoma"/>
          <w:sz w:val="24"/>
          <w:szCs w:val="24"/>
        </w:rPr>
        <w:t>și</w:t>
      </w:r>
      <w:r w:rsidRPr="00F362A1">
        <w:rPr>
          <w:rFonts w:ascii="Tahoma" w:eastAsia="Calibri" w:hAnsi="Tahoma" w:cs="Tahoma"/>
          <w:sz w:val="24"/>
          <w:szCs w:val="24"/>
        </w:rPr>
        <w:t xml:space="preserve"> aport direct la formarea brută de capital fix</w:t>
      </w:r>
      <w:r w:rsidR="00C21D8D" w:rsidRPr="00F362A1">
        <w:rPr>
          <w:rFonts w:ascii="Tahoma" w:hAnsi="Tahoma" w:cs="Tahoma"/>
          <w:sz w:val="24"/>
          <w:szCs w:val="24"/>
        </w:rPr>
        <w:t>;</w:t>
      </w:r>
    </w:p>
    <w:p w:rsidR="00642BCD" w:rsidRPr="00F362A1" w:rsidRDefault="00791E81" w:rsidP="002A6579">
      <w:pPr>
        <w:pStyle w:val="ListParagraph"/>
        <w:keepNext/>
        <w:keepLines/>
        <w:numPr>
          <w:ilvl w:val="0"/>
          <w:numId w:val="3"/>
        </w:numPr>
        <w:tabs>
          <w:tab w:val="left" w:pos="851"/>
        </w:tabs>
        <w:spacing w:after="120" w:line="276" w:lineRule="auto"/>
        <w:ind w:left="994" w:hanging="274"/>
        <w:contextualSpacing w:val="0"/>
        <w:rPr>
          <w:rFonts w:ascii="Tahoma" w:hAnsi="Tahoma" w:cs="Tahoma"/>
          <w:sz w:val="24"/>
          <w:szCs w:val="24"/>
        </w:rPr>
      </w:pPr>
      <w:r w:rsidRPr="00F362A1">
        <w:rPr>
          <w:rFonts w:ascii="Tahoma" w:eastAsia="Calibri" w:hAnsi="Tahoma" w:cs="Tahoma"/>
          <w:sz w:val="24"/>
          <w:szCs w:val="24"/>
        </w:rPr>
        <w:t xml:space="preserve">Crearea unei politici fiscale predictibile pentru susținerea </w:t>
      </w:r>
      <w:r w:rsidRPr="00F362A1">
        <w:rPr>
          <w:rFonts w:ascii="Tahoma" w:eastAsia="Calibri" w:hAnsi="Tahoma" w:cs="Tahoma"/>
          <w:sz w:val="24"/>
          <w:szCs w:val="24"/>
          <w:lang w:eastAsia="ro-RO"/>
        </w:rPr>
        <w:t xml:space="preserve">mediului de afaceri, </w:t>
      </w:r>
      <w:r w:rsidRPr="00F362A1">
        <w:rPr>
          <w:rFonts w:ascii="Tahoma" w:eastAsia="Calibri" w:hAnsi="Tahoma" w:cs="Tahoma"/>
          <w:sz w:val="24"/>
          <w:szCs w:val="24"/>
        </w:rPr>
        <w:t xml:space="preserve">simplificarea fiscalității și fluidizarea proceselor interne, </w:t>
      </w:r>
      <w:r w:rsidR="00C21D8D" w:rsidRPr="00F362A1">
        <w:rPr>
          <w:rFonts w:ascii="Tahoma" w:eastAsia="Calibri" w:hAnsi="Tahoma" w:cs="Tahoma"/>
          <w:sz w:val="24"/>
          <w:szCs w:val="24"/>
        </w:rPr>
        <w:t xml:space="preserve">pentru a crea </w:t>
      </w:r>
      <w:r w:rsidRPr="00F362A1">
        <w:rPr>
          <w:rFonts w:ascii="Tahoma" w:eastAsia="Calibri" w:hAnsi="Tahoma" w:cs="Tahoma"/>
          <w:sz w:val="24"/>
          <w:szCs w:val="24"/>
        </w:rPr>
        <w:t>premisa unei creșteri economice sustenabile;</w:t>
      </w:r>
    </w:p>
    <w:p w:rsidR="00642BCD" w:rsidRPr="00F362A1" w:rsidRDefault="00791E81" w:rsidP="002A6579">
      <w:pPr>
        <w:pStyle w:val="ListParagraph"/>
        <w:keepNext/>
        <w:keepLines/>
        <w:numPr>
          <w:ilvl w:val="0"/>
          <w:numId w:val="3"/>
        </w:numPr>
        <w:tabs>
          <w:tab w:val="left" w:pos="851"/>
        </w:tabs>
        <w:spacing w:after="120" w:line="276" w:lineRule="auto"/>
        <w:ind w:left="994" w:hanging="274"/>
        <w:contextualSpacing w:val="0"/>
        <w:rPr>
          <w:rFonts w:ascii="Tahoma" w:hAnsi="Tahoma" w:cs="Tahoma"/>
          <w:sz w:val="24"/>
          <w:szCs w:val="24"/>
        </w:rPr>
      </w:pPr>
      <w:r w:rsidRPr="00F362A1">
        <w:rPr>
          <w:rFonts w:ascii="Tahoma" w:eastAsia="Times New Roman" w:hAnsi="Tahoma" w:cs="Tahoma"/>
          <w:sz w:val="24"/>
          <w:szCs w:val="24"/>
        </w:rPr>
        <w:t>Adoptarea unor măsuri salariale, sociale pentru asigurarea protecției sociale și securității sociale pentru persoane vârstnice, pensionari și categoriile cele mai vulnerabile și aflate în dificultate, bine țintite care să corespundă nevoilor reale ale beneficiarilor</w:t>
      </w:r>
      <w:r w:rsidR="00C21D8D" w:rsidRPr="00F362A1">
        <w:rPr>
          <w:rFonts w:ascii="Tahoma" w:eastAsia="Times New Roman" w:hAnsi="Tahoma" w:cs="Tahoma"/>
          <w:sz w:val="24"/>
          <w:szCs w:val="24"/>
        </w:rPr>
        <w:t>;</w:t>
      </w:r>
    </w:p>
    <w:p w:rsidR="00C21D8D" w:rsidRPr="00F362A1" w:rsidRDefault="00791E81" w:rsidP="002A6579">
      <w:pPr>
        <w:pStyle w:val="ListParagraph"/>
        <w:keepNext/>
        <w:keepLines/>
        <w:numPr>
          <w:ilvl w:val="0"/>
          <w:numId w:val="3"/>
        </w:numPr>
        <w:tabs>
          <w:tab w:val="left" w:pos="851"/>
        </w:tabs>
        <w:spacing w:after="120" w:line="276" w:lineRule="auto"/>
        <w:ind w:left="994" w:hanging="274"/>
        <w:contextualSpacing w:val="0"/>
        <w:rPr>
          <w:rFonts w:ascii="Tahoma" w:hAnsi="Tahoma" w:cs="Tahoma"/>
          <w:sz w:val="24"/>
          <w:szCs w:val="24"/>
        </w:rPr>
      </w:pPr>
      <w:r w:rsidRPr="00F362A1">
        <w:rPr>
          <w:rFonts w:ascii="Tahoma" w:eastAsia="Times New Roman" w:hAnsi="Tahoma" w:cs="Tahoma"/>
          <w:sz w:val="24"/>
          <w:szCs w:val="24"/>
        </w:rPr>
        <w:t xml:space="preserve">Dezvoltarea </w:t>
      </w:r>
      <w:r w:rsidR="005A11EE" w:rsidRPr="00F362A1">
        <w:rPr>
          <w:rFonts w:ascii="Tahoma" w:eastAsia="Times New Roman" w:hAnsi="Tahoma" w:cs="Tahoma"/>
          <w:sz w:val="24"/>
          <w:szCs w:val="24"/>
        </w:rPr>
        <w:t>și</w:t>
      </w:r>
      <w:r w:rsidRPr="00F362A1">
        <w:rPr>
          <w:rFonts w:ascii="Tahoma" w:eastAsia="Times New Roman" w:hAnsi="Tahoma" w:cs="Tahoma"/>
          <w:sz w:val="24"/>
          <w:szCs w:val="24"/>
        </w:rPr>
        <w:t xml:space="preserve"> diversificarea instrumentelor de management ale datoriei publice</w:t>
      </w:r>
      <w:r w:rsidR="00642BCD" w:rsidRPr="00F362A1">
        <w:rPr>
          <w:rFonts w:ascii="Tahoma" w:hAnsi="Tahoma" w:cs="Tahoma"/>
          <w:sz w:val="24"/>
          <w:szCs w:val="24"/>
        </w:rPr>
        <w:t>;</w:t>
      </w:r>
    </w:p>
    <w:p w:rsidR="002E7CD9" w:rsidRPr="00F362A1" w:rsidRDefault="00C21D8D" w:rsidP="002A6579">
      <w:pPr>
        <w:pStyle w:val="ListParagraph"/>
        <w:keepNext/>
        <w:keepLines/>
        <w:numPr>
          <w:ilvl w:val="0"/>
          <w:numId w:val="3"/>
        </w:numPr>
        <w:tabs>
          <w:tab w:val="left" w:pos="851"/>
        </w:tabs>
        <w:spacing w:after="120" w:line="276" w:lineRule="auto"/>
        <w:ind w:left="994" w:hanging="274"/>
        <w:contextualSpacing w:val="0"/>
        <w:rPr>
          <w:rFonts w:ascii="Tahoma" w:hAnsi="Tahoma" w:cs="Tahoma"/>
          <w:sz w:val="24"/>
          <w:szCs w:val="24"/>
        </w:rPr>
      </w:pPr>
      <w:r w:rsidRPr="00F362A1">
        <w:rPr>
          <w:rFonts w:ascii="Tahoma" w:eastAsia="Calibri" w:hAnsi="Tahoma" w:cs="Tahoma"/>
          <w:sz w:val="24"/>
          <w:szCs w:val="24"/>
        </w:rPr>
        <w:t>Îmbunătățirea, aplicarea și consolidarea guvernanței bugetare, creșterea transparenței bugetare și eficientizarea cheltuielilor publice.</w:t>
      </w:r>
    </w:p>
    <w:p w:rsidR="00605688" w:rsidRPr="00F362A1" w:rsidRDefault="00605688" w:rsidP="002A6579">
      <w:pPr>
        <w:keepNext/>
        <w:keepLines/>
        <w:spacing w:line="276" w:lineRule="auto"/>
        <w:ind w:firstLine="680"/>
        <w:rPr>
          <w:rFonts w:ascii="Tahoma" w:hAnsi="Tahoma" w:cs="Tahoma"/>
          <w:b/>
          <w:bCs/>
          <w:sz w:val="24"/>
          <w:szCs w:val="24"/>
        </w:rPr>
      </w:pPr>
    </w:p>
    <w:p w:rsidR="00E3539E" w:rsidRPr="00F362A1" w:rsidRDefault="007C4F03" w:rsidP="002A6579">
      <w:pPr>
        <w:keepNext/>
        <w:keepLines/>
        <w:spacing w:after="120" w:line="276" w:lineRule="auto"/>
        <w:ind w:firstLine="0"/>
        <w:rPr>
          <w:rFonts w:ascii="Tahoma" w:hAnsi="Tahoma" w:cs="Tahoma"/>
          <w:b/>
          <w:bCs/>
          <w:sz w:val="24"/>
          <w:szCs w:val="24"/>
        </w:rPr>
      </w:pPr>
      <w:r w:rsidRPr="00F362A1">
        <w:rPr>
          <w:rFonts w:ascii="Tahoma" w:hAnsi="Tahoma" w:cs="Tahoma"/>
          <w:b/>
          <w:bCs/>
          <w:sz w:val="24"/>
          <w:szCs w:val="24"/>
        </w:rPr>
        <w:t xml:space="preserve">Principalele măsuri </w:t>
      </w:r>
      <w:r w:rsidR="008A09B8" w:rsidRPr="00F362A1">
        <w:rPr>
          <w:rFonts w:ascii="Tahoma" w:hAnsi="Tahoma" w:cs="Tahoma"/>
          <w:b/>
          <w:bCs/>
          <w:sz w:val="24"/>
          <w:szCs w:val="24"/>
        </w:rPr>
        <w:t>avute în vedere la elabora</w:t>
      </w:r>
      <w:r w:rsidR="001D00F4" w:rsidRPr="00F362A1">
        <w:rPr>
          <w:rFonts w:ascii="Tahoma" w:hAnsi="Tahoma" w:cs="Tahoma"/>
          <w:b/>
          <w:bCs/>
          <w:sz w:val="24"/>
          <w:szCs w:val="24"/>
        </w:rPr>
        <w:t xml:space="preserve">rea </w:t>
      </w:r>
      <w:r w:rsidRPr="00F362A1">
        <w:rPr>
          <w:rFonts w:ascii="Tahoma" w:hAnsi="Tahoma" w:cs="Tahoma"/>
          <w:b/>
          <w:bCs/>
          <w:sz w:val="24"/>
          <w:szCs w:val="24"/>
        </w:rPr>
        <w:t>bugetul</w:t>
      </w:r>
      <w:r w:rsidR="001D00F4" w:rsidRPr="00F362A1">
        <w:rPr>
          <w:rFonts w:ascii="Tahoma" w:hAnsi="Tahoma" w:cs="Tahoma"/>
          <w:b/>
          <w:bCs/>
          <w:sz w:val="24"/>
          <w:szCs w:val="24"/>
        </w:rPr>
        <w:t>ui</w:t>
      </w:r>
      <w:r w:rsidRPr="00F362A1">
        <w:rPr>
          <w:rFonts w:ascii="Tahoma" w:hAnsi="Tahoma" w:cs="Tahoma"/>
          <w:b/>
          <w:bCs/>
          <w:sz w:val="24"/>
          <w:szCs w:val="24"/>
        </w:rPr>
        <w:t xml:space="preserve"> pe anul </w:t>
      </w:r>
      <w:r w:rsidR="00DC7F79" w:rsidRPr="00F362A1">
        <w:rPr>
          <w:rFonts w:ascii="Tahoma" w:hAnsi="Tahoma" w:cs="Tahoma"/>
          <w:b/>
          <w:bCs/>
          <w:sz w:val="24"/>
          <w:szCs w:val="24"/>
        </w:rPr>
        <w:t>20</w:t>
      </w:r>
      <w:r w:rsidR="00605688" w:rsidRPr="00F362A1">
        <w:rPr>
          <w:rFonts w:ascii="Tahoma" w:hAnsi="Tahoma" w:cs="Tahoma"/>
          <w:b/>
          <w:bCs/>
          <w:sz w:val="24"/>
          <w:szCs w:val="24"/>
        </w:rPr>
        <w:t>20</w:t>
      </w:r>
      <w:r w:rsidRPr="00F362A1">
        <w:rPr>
          <w:rFonts w:ascii="Tahoma" w:hAnsi="Tahoma" w:cs="Tahoma"/>
          <w:b/>
          <w:bCs/>
          <w:sz w:val="24"/>
          <w:szCs w:val="24"/>
        </w:rPr>
        <w:t>:</w:t>
      </w:r>
    </w:p>
    <w:p w:rsidR="00D246D6" w:rsidRPr="00F362A1" w:rsidRDefault="00D246D6" w:rsidP="002A6579">
      <w:pPr>
        <w:numPr>
          <w:ilvl w:val="0"/>
          <w:numId w:val="9"/>
        </w:numPr>
        <w:spacing w:after="120" w:line="276" w:lineRule="auto"/>
        <w:textAlignment w:val="baseline"/>
        <w:rPr>
          <w:rFonts w:ascii="Tahoma" w:eastAsia="Times New Roman" w:hAnsi="Tahoma" w:cs="Tahoma"/>
          <w:sz w:val="24"/>
          <w:szCs w:val="24"/>
        </w:rPr>
      </w:pPr>
      <w:r w:rsidRPr="00F362A1">
        <w:rPr>
          <w:rFonts w:ascii="Tahoma" w:eastAsia="Times New Roman" w:hAnsi="Tahoma" w:cs="Tahoma"/>
          <w:color w:val="000000"/>
          <w:kern w:val="24"/>
          <w:sz w:val="24"/>
          <w:szCs w:val="24"/>
        </w:rPr>
        <w:t>Salariul de bază minim brut pe țară garantat în plată se majorează la 2.230 lei lunar, începând cu data de 1 ianuarie 2020, față de 2.080 lei în prezent, ceea ce reprezintă o creștere de 7,2% față de luna decembrie 2019.</w:t>
      </w:r>
    </w:p>
    <w:p w:rsidR="00D246D6" w:rsidRPr="00F362A1" w:rsidRDefault="00D246D6" w:rsidP="002A6579">
      <w:pPr>
        <w:numPr>
          <w:ilvl w:val="0"/>
          <w:numId w:val="9"/>
        </w:numPr>
        <w:spacing w:after="120" w:line="276" w:lineRule="auto"/>
        <w:textAlignment w:val="baseline"/>
        <w:rPr>
          <w:rFonts w:ascii="Tahoma" w:eastAsia="Times New Roman" w:hAnsi="Tahoma" w:cs="Tahoma"/>
          <w:sz w:val="24"/>
          <w:szCs w:val="24"/>
        </w:rPr>
      </w:pPr>
      <w:r w:rsidRPr="00F362A1">
        <w:rPr>
          <w:rFonts w:ascii="Tahoma" w:eastAsia="Calibri" w:hAnsi="Tahoma" w:cs="Tahoma"/>
          <w:color w:val="000000" w:themeColor="text1"/>
          <w:kern w:val="24"/>
          <w:sz w:val="24"/>
          <w:szCs w:val="24"/>
        </w:rPr>
        <w:t>La estimarea cheltuielilor de personal ale bugetului general consolidat pentru anul 2020 a fost avută în vedere aplicarea etapizată a Legii-cadru nr.153/2017 privind salarizarea personalului plătit din fonduri publice, cu modificările și completările ulterioare, conform prevederilor acestui act normative.</w:t>
      </w:r>
    </w:p>
    <w:p w:rsidR="00605688" w:rsidRPr="00F362A1" w:rsidRDefault="001353BC" w:rsidP="002A6579">
      <w:pPr>
        <w:numPr>
          <w:ilvl w:val="0"/>
          <w:numId w:val="9"/>
        </w:numPr>
        <w:suppressAutoHyphens/>
        <w:spacing w:after="120" w:line="276" w:lineRule="auto"/>
        <w:ind w:right="-1"/>
        <w:rPr>
          <w:rFonts w:ascii="Tahoma" w:eastAsia="Calibri" w:hAnsi="Tahoma" w:cs="Tahoma"/>
          <w:sz w:val="24"/>
          <w:szCs w:val="24"/>
          <w:lang w:eastAsia="zh-CN"/>
        </w:rPr>
      </w:pPr>
      <w:r w:rsidRPr="00F362A1">
        <w:rPr>
          <w:rFonts w:ascii="Tahoma" w:eastAsia="Calibri" w:hAnsi="Tahoma" w:cs="Tahoma"/>
          <w:sz w:val="24"/>
          <w:szCs w:val="24"/>
          <w:lang w:eastAsia="zh-CN"/>
        </w:rPr>
        <w:t>E</w:t>
      </w:r>
      <w:r w:rsidR="00605688" w:rsidRPr="00F362A1">
        <w:rPr>
          <w:rFonts w:ascii="Tahoma" w:eastAsia="Calibri" w:hAnsi="Tahoma" w:cs="Tahoma"/>
          <w:sz w:val="24"/>
          <w:szCs w:val="24"/>
          <w:lang w:eastAsia="zh-CN"/>
        </w:rPr>
        <w:t xml:space="preserve">liminarea mecanismului plății defalcate a TVA  în  vederea compatibilizării cu acquis-ul comunitar în domeniu; executarea silită a sumelor existente în contul de TVA se va aplica în mod corespunzător de către instituțiile de credit, în limita sumei totale a obligațiilor bugetare, astfel cum aceasta este individualizată în adresa de </w:t>
      </w:r>
      <w:r w:rsidR="00247A3D" w:rsidRPr="00F362A1">
        <w:rPr>
          <w:rFonts w:ascii="Tahoma" w:eastAsia="Calibri" w:hAnsi="Tahoma" w:cs="Tahoma"/>
          <w:sz w:val="24"/>
          <w:szCs w:val="24"/>
          <w:lang w:eastAsia="zh-CN"/>
        </w:rPr>
        <w:t>înființare</w:t>
      </w:r>
      <w:r w:rsidR="00605688" w:rsidRPr="00F362A1">
        <w:rPr>
          <w:rFonts w:ascii="Tahoma" w:eastAsia="Calibri" w:hAnsi="Tahoma" w:cs="Tahoma"/>
          <w:sz w:val="24"/>
          <w:szCs w:val="24"/>
          <w:lang w:eastAsia="zh-CN"/>
        </w:rPr>
        <w:t xml:space="preserve"> a </w:t>
      </w:r>
      <w:r w:rsidR="00247A3D" w:rsidRPr="00F362A1">
        <w:rPr>
          <w:rFonts w:ascii="Tahoma" w:eastAsia="Calibri" w:hAnsi="Tahoma" w:cs="Tahoma"/>
          <w:sz w:val="24"/>
          <w:szCs w:val="24"/>
          <w:lang w:eastAsia="zh-CN"/>
        </w:rPr>
        <w:t>popririi</w:t>
      </w:r>
      <w:r w:rsidR="00FE2F06" w:rsidRPr="00F362A1">
        <w:rPr>
          <w:rFonts w:ascii="Tahoma" w:eastAsia="Calibri" w:hAnsi="Tahoma" w:cs="Tahoma"/>
          <w:sz w:val="24"/>
          <w:szCs w:val="24"/>
          <w:lang w:eastAsia="zh-CN"/>
        </w:rPr>
        <w:t>;</w:t>
      </w:r>
    </w:p>
    <w:p w:rsidR="00605688" w:rsidRPr="00F362A1" w:rsidRDefault="001353BC" w:rsidP="002A6579">
      <w:pPr>
        <w:numPr>
          <w:ilvl w:val="0"/>
          <w:numId w:val="9"/>
        </w:numPr>
        <w:spacing w:after="120" w:line="276" w:lineRule="auto"/>
        <w:ind w:right="-1"/>
        <w:rPr>
          <w:rFonts w:ascii="Tahoma" w:eastAsia="Calibri" w:hAnsi="Tahoma" w:cs="Tahoma"/>
          <w:sz w:val="24"/>
          <w:szCs w:val="24"/>
        </w:rPr>
      </w:pPr>
      <w:r w:rsidRPr="00F362A1">
        <w:rPr>
          <w:rFonts w:ascii="Tahoma" w:eastAsia="Calibri" w:hAnsi="Tahoma" w:cs="Tahoma"/>
          <w:sz w:val="24"/>
          <w:szCs w:val="24"/>
        </w:rPr>
        <w:t>Î</w:t>
      </w:r>
      <w:r w:rsidR="00605688" w:rsidRPr="00F362A1">
        <w:rPr>
          <w:rFonts w:ascii="Tahoma" w:eastAsia="Calibri" w:hAnsi="Tahoma" w:cs="Tahoma"/>
          <w:sz w:val="24"/>
          <w:szCs w:val="24"/>
        </w:rPr>
        <w:t xml:space="preserve">ncepând cu 1 ianuarie 2020, </w:t>
      </w:r>
      <w:r w:rsidR="00247A3D" w:rsidRPr="00F362A1">
        <w:rPr>
          <w:rFonts w:ascii="Tahoma" w:eastAsia="Calibri" w:hAnsi="Tahoma" w:cs="Tahoma"/>
          <w:sz w:val="24"/>
          <w:szCs w:val="24"/>
        </w:rPr>
        <w:t>indemnizațiile</w:t>
      </w:r>
      <w:r w:rsidR="00605688" w:rsidRPr="00F362A1">
        <w:rPr>
          <w:rFonts w:ascii="Tahoma" w:eastAsia="Calibri" w:hAnsi="Tahoma" w:cs="Tahoma"/>
          <w:sz w:val="24"/>
          <w:szCs w:val="24"/>
        </w:rPr>
        <w:t xml:space="preserve"> lunare pentru </w:t>
      </w:r>
      <w:r w:rsidR="00247A3D" w:rsidRPr="00F362A1">
        <w:rPr>
          <w:rFonts w:ascii="Tahoma" w:eastAsia="Calibri" w:hAnsi="Tahoma" w:cs="Tahoma"/>
          <w:sz w:val="24"/>
          <w:szCs w:val="24"/>
        </w:rPr>
        <w:t>funcțiile</w:t>
      </w:r>
      <w:r w:rsidR="00605688" w:rsidRPr="00F362A1">
        <w:rPr>
          <w:rFonts w:ascii="Tahoma" w:eastAsia="Calibri" w:hAnsi="Tahoma" w:cs="Tahoma"/>
          <w:sz w:val="24"/>
          <w:szCs w:val="24"/>
        </w:rPr>
        <w:t xml:space="preserve"> de demnitate publică și funcțiile asimilate acestora, prevăzute în anexa IX la </w:t>
      </w:r>
      <w:r w:rsidR="00605688" w:rsidRPr="00F362A1">
        <w:rPr>
          <w:rFonts w:ascii="Tahoma" w:eastAsia="Calibri" w:hAnsi="Tahoma" w:cs="Tahoma"/>
          <w:sz w:val="24"/>
          <w:szCs w:val="24"/>
        </w:rPr>
        <w:lastRenderedPageBreak/>
        <w:t>Legea-cadru nr. 153/2017, cu modificările şi completările ulterioare, se mențin la nivelul aferent lunii decembrie 2019</w:t>
      </w:r>
      <w:r w:rsidR="00FE2F06" w:rsidRPr="00F362A1">
        <w:rPr>
          <w:rFonts w:ascii="Tahoma" w:eastAsia="Calibri" w:hAnsi="Tahoma" w:cs="Tahoma"/>
          <w:sz w:val="24"/>
          <w:szCs w:val="24"/>
        </w:rPr>
        <w:t>;</w:t>
      </w:r>
    </w:p>
    <w:p w:rsidR="00605688" w:rsidRPr="00F362A1" w:rsidRDefault="001353BC" w:rsidP="002A6579">
      <w:pPr>
        <w:numPr>
          <w:ilvl w:val="0"/>
          <w:numId w:val="9"/>
        </w:numPr>
        <w:spacing w:after="120" w:line="276" w:lineRule="auto"/>
        <w:ind w:right="-1"/>
        <w:rPr>
          <w:rFonts w:ascii="Tahoma" w:eastAsia="Calibri" w:hAnsi="Tahoma" w:cs="Tahoma"/>
          <w:sz w:val="24"/>
          <w:szCs w:val="24"/>
        </w:rPr>
      </w:pPr>
      <w:r w:rsidRPr="00F362A1">
        <w:rPr>
          <w:rFonts w:ascii="Tahoma" w:eastAsia="Calibri" w:hAnsi="Tahoma" w:cs="Tahoma"/>
          <w:sz w:val="24"/>
          <w:szCs w:val="24"/>
        </w:rPr>
        <w:t>V</w:t>
      </w:r>
      <w:r w:rsidR="00605688" w:rsidRPr="00F362A1">
        <w:rPr>
          <w:rFonts w:ascii="Tahoma" w:eastAsia="Calibri" w:hAnsi="Tahoma" w:cs="Tahoma"/>
          <w:sz w:val="24"/>
          <w:szCs w:val="24"/>
        </w:rPr>
        <w:t>aloarea indemnizației de hrană se menține la nivelul din anul 2019</w:t>
      </w:r>
      <w:r w:rsidR="00FE2F06" w:rsidRPr="00F362A1">
        <w:rPr>
          <w:rFonts w:ascii="Tahoma" w:eastAsia="Calibri" w:hAnsi="Tahoma" w:cs="Tahoma"/>
          <w:sz w:val="24"/>
          <w:szCs w:val="24"/>
        </w:rPr>
        <w:t> ;</w:t>
      </w:r>
    </w:p>
    <w:p w:rsidR="00605688" w:rsidRPr="00F362A1" w:rsidRDefault="001353BC" w:rsidP="002A6579">
      <w:pPr>
        <w:numPr>
          <w:ilvl w:val="0"/>
          <w:numId w:val="9"/>
        </w:numPr>
        <w:spacing w:after="120" w:line="276" w:lineRule="auto"/>
        <w:ind w:right="-1"/>
        <w:rPr>
          <w:rFonts w:ascii="Tahoma" w:eastAsia="Calibri" w:hAnsi="Tahoma" w:cs="Tahoma"/>
          <w:sz w:val="24"/>
          <w:szCs w:val="24"/>
        </w:rPr>
      </w:pPr>
      <w:r w:rsidRPr="00F362A1">
        <w:rPr>
          <w:rFonts w:ascii="Tahoma" w:eastAsia="Calibri" w:hAnsi="Tahoma" w:cs="Tahoma"/>
          <w:sz w:val="24"/>
          <w:szCs w:val="24"/>
        </w:rPr>
        <w:t>Î</w:t>
      </w:r>
      <w:r w:rsidR="00605688" w:rsidRPr="00F362A1">
        <w:rPr>
          <w:rFonts w:ascii="Tahoma" w:eastAsia="Calibri" w:hAnsi="Tahoma" w:cs="Tahoma"/>
          <w:sz w:val="24"/>
          <w:szCs w:val="24"/>
        </w:rPr>
        <w:t xml:space="preserve">ncepând cu luna ianuarie 2020, cuantumul lunar al </w:t>
      </w:r>
      <w:r w:rsidR="00247A3D" w:rsidRPr="00F362A1">
        <w:rPr>
          <w:rFonts w:ascii="Tahoma" w:eastAsia="Calibri" w:hAnsi="Tahoma" w:cs="Tahoma"/>
          <w:sz w:val="24"/>
          <w:szCs w:val="24"/>
        </w:rPr>
        <w:t>indemnizației</w:t>
      </w:r>
      <w:r w:rsidR="00605688" w:rsidRPr="00F362A1">
        <w:rPr>
          <w:rFonts w:ascii="Tahoma" w:eastAsia="Calibri" w:hAnsi="Tahoma" w:cs="Tahoma"/>
          <w:sz w:val="24"/>
          <w:szCs w:val="24"/>
        </w:rPr>
        <w:t xml:space="preserve"> de merit se menține la nivelul de 6.240 lei</w:t>
      </w:r>
      <w:r w:rsidR="00FE2F06" w:rsidRPr="00F362A1">
        <w:rPr>
          <w:rFonts w:ascii="Tahoma" w:eastAsia="Calibri" w:hAnsi="Tahoma" w:cs="Tahoma"/>
          <w:sz w:val="24"/>
          <w:szCs w:val="24"/>
        </w:rPr>
        <w:t> ;</w:t>
      </w:r>
    </w:p>
    <w:p w:rsidR="00605688" w:rsidRPr="00F362A1" w:rsidRDefault="001353BC" w:rsidP="002A6579">
      <w:pPr>
        <w:numPr>
          <w:ilvl w:val="0"/>
          <w:numId w:val="9"/>
        </w:numPr>
        <w:adjustRightInd w:val="0"/>
        <w:spacing w:after="120" w:line="276" w:lineRule="auto"/>
        <w:ind w:right="-1"/>
        <w:rPr>
          <w:rFonts w:ascii="Tahoma" w:eastAsia="Batang" w:hAnsi="Tahoma" w:cs="Tahoma"/>
          <w:sz w:val="24"/>
          <w:szCs w:val="24"/>
          <w:lang w:eastAsia="ko-KR"/>
        </w:rPr>
      </w:pPr>
      <w:r w:rsidRPr="00F362A1">
        <w:rPr>
          <w:rFonts w:ascii="Tahoma" w:eastAsia="Batang" w:hAnsi="Tahoma" w:cs="Tahoma"/>
          <w:sz w:val="24"/>
          <w:szCs w:val="24"/>
          <w:lang w:eastAsia="ko-KR"/>
        </w:rPr>
        <w:t>A</w:t>
      </w:r>
      <w:r w:rsidR="00605688" w:rsidRPr="00F362A1">
        <w:rPr>
          <w:rFonts w:ascii="Tahoma" w:eastAsia="Batang" w:hAnsi="Tahoma" w:cs="Tahoma"/>
          <w:sz w:val="24"/>
          <w:szCs w:val="24"/>
          <w:lang w:eastAsia="ko-KR"/>
        </w:rPr>
        <w:t>sigurarea a 2% din PIB pentru apărare.</w:t>
      </w:r>
    </w:p>
    <w:p w:rsidR="00D246D6" w:rsidRPr="00F362A1" w:rsidRDefault="00D246D6" w:rsidP="002A6579">
      <w:pPr>
        <w:spacing w:line="276" w:lineRule="auto"/>
        <w:rPr>
          <w:rFonts w:ascii="Tahoma" w:hAnsi="Tahoma" w:cs="Tahoma"/>
          <w:sz w:val="24"/>
          <w:szCs w:val="24"/>
          <w:lang w:eastAsia="ro-RO"/>
        </w:rPr>
      </w:pPr>
    </w:p>
    <w:p w:rsidR="00D246D6" w:rsidRPr="00F362A1" w:rsidRDefault="00D246D6" w:rsidP="002A6579">
      <w:pPr>
        <w:autoSpaceDE w:val="0"/>
        <w:autoSpaceDN w:val="0"/>
        <w:adjustRightInd w:val="0"/>
        <w:spacing w:after="0" w:line="276" w:lineRule="auto"/>
        <w:ind w:firstLine="0"/>
        <w:rPr>
          <w:rFonts w:ascii="Tahoma" w:hAnsi="Tahoma" w:cs="Tahoma"/>
          <w:sz w:val="24"/>
          <w:szCs w:val="24"/>
        </w:rPr>
      </w:pPr>
      <w:r w:rsidRPr="00F362A1">
        <w:rPr>
          <w:rFonts w:ascii="Tahoma" w:hAnsi="Tahoma" w:cs="Tahoma"/>
          <w:sz w:val="24"/>
          <w:szCs w:val="24"/>
          <w:lang w:eastAsia="ro-RO"/>
        </w:rPr>
        <w:t xml:space="preserve">Prima rectificare bugetară pe anul 2020 aprobată prin </w:t>
      </w:r>
      <w:r w:rsidR="00247A3D" w:rsidRPr="00F362A1">
        <w:rPr>
          <w:rFonts w:ascii="Tahoma" w:hAnsi="Tahoma" w:cs="Tahoma"/>
          <w:sz w:val="24"/>
          <w:szCs w:val="24"/>
          <w:lang w:eastAsia="ro-RO"/>
        </w:rPr>
        <w:t>Ordonanța</w:t>
      </w:r>
      <w:r w:rsidR="003756B8" w:rsidRPr="00F362A1">
        <w:rPr>
          <w:rFonts w:ascii="Tahoma" w:hAnsi="Tahoma" w:cs="Tahoma"/>
          <w:sz w:val="24"/>
          <w:szCs w:val="24"/>
          <w:lang w:eastAsia="ro-RO"/>
        </w:rPr>
        <w:t xml:space="preserve"> de </w:t>
      </w:r>
      <w:r w:rsidR="00247A3D" w:rsidRPr="00F362A1">
        <w:rPr>
          <w:rFonts w:ascii="Tahoma" w:hAnsi="Tahoma" w:cs="Tahoma"/>
          <w:sz w:val="24"/>
          <w:szCs w:val="24"/>
          <w:lang w:eastAsia="ro-RO"/>
        </w:rPr>
        <w:t>urgență</w:t>
      </w:r>
      <w:r w:rsidR="003756B8" w:rsidRPr="00F362A1">
        <w:rPr>
          <w:rFonts w:ascii="Tahoma" w:hAnsi="Tahoma" w:cs="Tahoma"/>
          <w:sz w:val="24"/>
          <w:szCs w:val="24"/>
          <w:lang w:eastAsia="ro-RO"/>
        </w:rPr>
        <w:t xml:space="preserve"> a Guvernului nr. 50/2020,cu privire la rectificarea bugetului de stat pe anul 2020 aprobată cu modificări prin Legea nr. 115/2020 </w:t>
      </w:r>
      <w:r w:rsidRPr="00F362A1">
        <w:rPr>
          <w:rFonts w:ascii="Tahoma" w:hAnsi="Tahoma" w:cs="Tahoma"/>
          <w:sz w:val="24"/>
          <w:szCs w:val="24"/>
          <w:lang w:eastAsia="ro-RO"/>
        </w:rPr>
        <w:t xml:space="preserve">și respectiv </w:t>
      </w:r>
      <w:r w:rsidR="00247A3D" w:rsidRPr="00F362A1">
        <w:rPr>
          <w:rFonts w:ascii="Tahoma" w:hAnsi="Tahoma" w:cs="Tahoma"/>
          <w:sz w:val="24"/>
          <w:szCs w:val="24"/>
          <w:lang w:eastAsia="ro-RO"/>
        </w:rPr>
        <w:t>Ordonanța</w:t>
      </w:r>
      <w:r w:rsidR="003756B8" w:rsidRPr="00F362A1">
        <w:rPr>
          <w:rFonts w:ascii="Tahoma" w:hAnsi="Tahoma" w:cs="Tahoma"/>
          <w:sz w:val="24"/>
          <w:szCs w:val="24"/>
          <w:lang w:eastAsia="ro-RO"/>
        </w:rPr>
        <w:t xml:space="preserve"> de </w:t>
      </w:r>
      <w:r w:rsidR="00247A3D" w:rsidRPr="00F362A1">
        <w:rPr>
          <w:rFonts w:ascii="Tahoma" w:hAnsi="Tahoma" w:cs="Tahoma"/>
          <w:sz w:val="24"/>
          <w:szCs w:val="24"/>
          <w:lang w:eastAsia="ro-RO"/>
        </w:rPr>
        <w:t>urgență</w:t>
      </w:r>
      <w:r w:rsidR="003756B8" w:rsidRPr="00F362A1">
        <w:rPr>
          <w:rFonts w:ascii="Tahoma" w:hAnsi="Tahoma" w:cs="Tahoma"/>
          <w:sz w:val="24"/>
          <w:szCs w:val="24"/>
          <w:lang w:eastAsia="ro-RO"/>
        </w:rPr>
        <w:t xml:space="preserve"> a Guvernului nr. 51/2020,</w:t>
      </w:r>
      <w:r w:rsidR="003756B8" w:rsidRPr="00F362A1">
        <w:rPr>
          <w:rFonts w:ascii="Tahoma" w:hAnsi="Tahoma" w:cs="Tahoma"/>
          <w:sz w:val="24"/>
          <w:szCs w:val="24"/>
        </w:rPr>
        <w:t xml:space="preserve"> pentru rectificarea bugetului asigurărilor sociale de stat pe anul 2020 </w:t>
      </w:r>
      <w:r w:rsidR="0014197B" w:rsidRPr="00F362A1">
        <w:rPr>
          <w:rFonts w:ascii="Tahoma" w:hAnsi="Tahoma" w:cs="Tahoma"/>
          <w:sz w:val="24"/>
          <w:szCs w:val="24"/>
          <w:lang w:eastAsia="ro-RO"/>
        </w:rPr>
        <w:t>și a avut la bază:</w:t>
      </w:r>
    </w:p>
    <w:p w:rsidR="00D246D6" w:rsidRPr="00F362A1" w:rsidRDefault="00D246D6" w:rsidP="002A6579">
      <w:pPr>
        <w:autoSpaceDE w:val="0"/>
        <w:autoSpaceDN w:val="0"/>
        <w:adjustRightInd w:val="0"/>
        <w:spacing w:after="0" w:line="276" w:lineRule="auto"/>
        <w:ind w:firstLine="0"/>
        <w:jc w:val="left"/>
        <w:rPr>
          <w:rFonts w:ascii="Tahoma" w:hAnsi="Tahoma" w:cs="Tahoma"/>
          <w:sz w:val="24"/>
          <w:szCs w:val="24"/>
          <w:lang w:eastAsia="ro-RO"/>
        </w:rPr>
      </w:pPr>
    </w:p>
    <w:p w:rsidR="00D246D6" w:rsidRPr="00F362A1" w:rsidRDefault="00D246D6" w:rsidP="002A6579">
      <w:pPr>
        <w:pStyle w:val="ListParagraph"/>
        <w:numPr>
          <w:ilvl w:val="0"/>
          <w:numId w:val="8"/>
        </w:numPr>
        <w:spacing w:after="120" w:line="276" w:lineRule="auto"/>
        <w:rPr>
          <w:rFonts w:ascii="Tahoma" w:hAnsi="Tahoma" w:cs="Tahoma"/>
          <w:sz w:val="24"/>
          <w:szCs w:val="24"/>
          <w:lang w:eastAsia="ro-RO"/>
        </w:rPr>
      </w:pPr>
      <w:r w:rsidRPr="00F362A1">
        <w:rPr>
          <w:rFonts w:ascii="Tahoma" w:hAnsi="Tahoma" w:cs="Tahoma"/>
          <w:sz w:val="24"/>
          <w:szCs w:val="24"/>
          <w:lang w:eastAsia="ro-RO"/>
        </w:rPr>
        <w:t xml:space="preserve">Necesitatea corelării planificării bugetare cu evoluția prognozată </w:t>
      </w:r>
      <w:r w:rsidR="001353BC" w:rsidRPr="00F362A1">
        <w:rPr>
          <w:rFonts w:ascii="Tahoma" w:hAnsi="Tahoma" w:cs="Tahoma"/>
          <w:sz w:val="24"/>
          <w:szCs w:val="24"/>
          <w:lang w:eastAsia="ro-RO"/>
        </w:rPr>
        <w:t>a indicatorilor macroeconomici î</w:t>
      </w:r>
      <w:r w:rsidRPr="00F362A1">
        <w:rPr>
          <w:rFonts w:ascii="Tahoma" w:hAnsi="Tahoma" w:cs="Tahoma"/>
          <w:sz w:val="24"/>
          <w:szCs w:val="24"/>
          <w:lang w:eastAsia="ro-RO"/>
        </w:rPr>
        <w:t>n contextul efectelor pandemiei de COVID-19. C</w:t>
      </w:r>
      <w:r w:rsidR="003E2B48" w:rsidRPr="00F362A1">
        <w:rPr>
          <w:rFonts w:ascii="Tahoma" w:hAnsi="Tahoma" w:cs="Tahoma"/>
          <w:sz w:val="24"/>
          <w:szCs w:val="24"/>
          <w:lang w:eastAsia="ro-RO"/>
        </w:rPr>
        <w:t xml:space="preserve">ontracția economică estimată este de </w:t>
      </w:r>
      <w:r w:rsidRPr="00F362A1">
        <w:rPr>
          <w:rFonts w:ascii="Tahoma" w:hAnsi="Tahoma" w:cs="Tahoma"/>
          <w:sz w:val="24"/>
          <w:szCs w:val="24"/>
          <w:lang w:eastAsia="ro-RO"/>
        </w:rPr>
        <w:t>1,9% pentru anul 2020 ceea ce, în condițiile unui deflator PIB de 4,1%, conduce la o valoare nominală a produsului intern brut de 1.082,1 miliarde lei, față de 1.129,2 miliarde lei cât s-a avut în vedere la bugetul inițial</w:t>
      </w:r>
      <w:r w:rsidR="001353BC" w:rsidRPr="00F362A1">
        <w:rPr>
          <w:rFonts w:ascii="Tahoma" w:hAnsi="Tahoma" w:cs="Tahoma"/>
          <w:sz w:val="24"/>
          <w:szCs w:val="24"/>
          <w:lang w:eastAsia="ro-RO"/>
        </w:rPr>
        <w:t>.</w:t>
      </w:r>
    </w:p>
    <w:p w:rsidR="0014197B" w:rsidRPr="00F362A1" w:rsidRDefault="001353BC" w:rsidP="002A6579">
      <w:pPr>
        <w:pStyle w:val="ListParagraph"/>
        <w:numPr>
          <w:ilvl w:val="0"/>
          <w:numId w:val="8"/>
        </w:numPr>
        <w:spacing w:after="120" w:line="276" w:lineRule="auto"/>
        <w:rPr>
          <w:rFonts w:ascii="Tahoma" w:hAnsi="Tahoma" w:cs="Tahoma"/>
          <w:sz w:val="24"/>
          <w:szCs w:val="24"/>
          <w:lang w:eastAsia="ro-RO"/>
        </w:rPr>
      </w:pPr>
      <w:r w:rsidRPr="00F362A1">
        <w:rPr>
          <w:rFonts w:ascii="Tahoma" w:hAnsi="Tahoma" w:cs="Tahoma"/>
          <w:sz w:val="24"/>
          <w:szCs w:val="24"/>
          <w:lang w:eastAsia="ro-RO"/>
        </w:rPr>
        <w:t>Necesitatea de a asigura î</w:t>
      </w:r>
      <w:r w:rsidR="00D246D6" w:rsidRPr="00F362A1">
        <w:rPr>
          <w:rFonts w:ascii="Tahoma" w:hAnsi="Tahoma" w:cs="Tahoma"/>
          <w:sz w:val="24"/>
          <w:szCs w:val="24"/>
          <w:lang w:eastAsia="ro-RO"/>
        </w:rPr>
        <w:t xml:space="preserve">n buget </w:t>
      </w:r>
      <w:r w:rsidR="003E2B48" w:rsidRPr="00F362A1">
        <w:rPr>
          <w:rFonts w:ascii="Tahoma" w:hAnsi="Tahoma" w:cs="Tahoma"/>
          <w:sz w:val="24"/>
          <w:szCs w:val="24"/>
          <w:lang w:eastAsia="ro-RO"/>
        </w:rPr>
        <w:t xml:space="preserve">sumele aferente </w:t>
      </w:r>
      <w:r w:rsidR="00247A3D" w:rsidRPr="00F362A1">
        <w:rPr>
          <w:rFonts w:ascii="Tahoma" w:hAnsi="Tahoma" w:cs="Tahoma"/>
          <w:sz w:val="24"/>
          <w:szCs w:val="24"/>
          <w:lang w:eastAsia="ro-RO"/>
        </w:rPr>
        <w:t>implementării</w:t>
      </w:r>
      <w:r w:rsidR="003E2B48" w:rsidRPr="00F362A1">
        <w:rPr>
          <w:rFonts w:ascii="Tahoma" w:hAnsi="Tahoma" w:cs="Tahoma"/>
          <w:sz w:val="24"/>
          <w:szCs w:val="24"/>
          <w:lang w:eastAsia="ro-RO"/>
        </w:rPr>
        <w:t xml:space="preserve"> mă</w:t>
      </w:r>
      <w:r w:rsidR="00D246D6" w:rsidRPr="00F362A1">
        <w:rPr>
          <w:rFonts w:ascii="Tahoma" w:hAnsi="Tahoma" w:cs="Tahoma"/>
          <w:sz w:val="24"/>
          <w:szCs w:val="24"/>
          <w:lang w:eastAsia="ro-RO"/>
        </w:rPr>
        <w:t>surilor luate în scopul prevenirii răspândirii virusului și pentru limitarea efectelor negative ale acestuia.</w:t>
      </w:r>
    </w:p>
    <w:p w:rsidR="00F66BFA" w:rsidRPr="00F362A1" w:rsidRDefault="00247A3D" w:rsidP="002A6579">
      <w:pPr>
        <w:spacing w:before="360" w:line="276" w:lineRule="auto"/>
        <w:ind w:firstLine="0"/>
        <w:rPr>
          <w:rFonts w:ascii="Tahoma" w:hAnsi="Tahoma" w:cs="Tahoma"/>
          <w:strike/>
          <w:sz w:val="24"/>
          <w:szCs w:val="24"/>
          <w:u w:val="single"/>
        </w:rPr>
      </w:pPr>
      <w:r w:rsidRPr="00F362A1">
        <w:rPr>
          <w:rFonts w:ascii="Tahoma" w:hAnsi="Tahoma" w:cs="Tahoma"/>
          <w:sz w:val="24"/>
          <w:szCs w:val="24"/>
        </w:rPr>
        <w:t>Ț</w:t>
      </w:r>
      <w:r w:rsidR="001353BC" w:rsidRPr="00F362A1">
        <w:rPr>
          <w:rFonts w:ascii="Tahoma" w:hAnsi="Tahoma" w:cs="Tahoma"/>
          <w:sz w:val="24"/>
          <w:szCs w:val="24"/>
        </w:rPr>
        <w:t>inta</w:t>
      </w:r>
      <w:r w:rsidR="00F66BFA" w:rsidRPr="00F362A1">
        <w:rPr>
          <w:rFonts w:ascii="Tahoma" w:hAnsi="Tahoma" w:cs="Tahoma"/>
          <w:sz w:val="24"/>
          <w:szCs w:val="24"/>
        </w:rPr>
        <w:t xml:space="preserve"> de deficit pentru anul 2020 a fost modificată odată cu aprobarea primei rectificări bugetare de la 3,6% din P</w:t>
      </w:r>
      <w:r w:rsidR="001353BC" w:rsidRPr="00F362A1">
        <w:rPr>
          <w:rFonts w:ascii="Tahoma" w:hAnsi="Tahoma" w:cs="Tahoma"/>
          <w:sz w:val="24"/>
          <w:szCs w:val="24"/>
        </w:rPr>
        <w:t>IB, cât a fost la legea inițială</w:t>
      </w:r>
      <w:r w:rsidR="00F66BFA" w:rsidRPr="00F362A1">
        <w:rPr>
          <w:rFonts w:ascii="Tahoma" w:hAnsi="Tahoma" w:cs="Tahoma"/>
          <w:sz w:val="24"/>
          <w:szCs w:val="24"/>
        </w:rPr>
        <w:t>, la 6,79% din PIB.</w:t>
      </w:r>
    </w:p>
    <w:p w:rsidR="00F66BFA" w:rsidRPr="00F362A1" w:rsidRDefault="00F66BFA" w:rsidP="002A6579">
      <w:pPr>
        <w:spacing w:after="120" w:line="276" w:lineRule="auto"/>
        <w:ind w:firstLine="0"/>
        <w:rPr>
          <w:rFonts w:ascii="Tahoma" w:hAnsi="Tahoma" w:cs="Tahoma"/>
          <w:sz w:val="24"/>
          <w:szCs w:val="24"/>
          <w:lang w:eastAsia="ro-RO"/>
        </w:rPr>
      </w:pPr>
    </w:p>
    <w:p w:rsidR="0014197B" w:rsidRPr="00F362A1" w:rsidRDefault="003E2B48" w:rsidP="002A6579">
      <w:pPr>
        <w:spacing w:after="0" w:line="276" w:lineRule="auto"/>
        <w:ind w:firstLine="0"/>
        <w:textAlignment w:val="baseline"/>
        <w:rPr>
          <w:rFonts w:ascii="Tahoma" w:eastAsia="Times New Roman" w:hAnsi="Tahoma" w:cs="Tahoma"/>
          <w:sz w:val="24"/>
          <w:szCs w:val="24"/>
        </w:rPr>
      </w:pPr>
      <w:r w:rsidRPr="00F362A1">
        <w:rPr>
          <w:rFonts w:ascii="Tahoma" w:eastAsiaTheme="minorEastAsia" w:hAnsi="Tahoma" w:cs="Tahoma"/>
          <w:bCs/>
          <w:color w:val="000000" w:themeColor="text1"/>
          <w:kern w:val="24"/>
          <w:sz w:val="24"/>
          <w:szCs w:val="24"/>
        </w:rPr>
        <w:t>Principalele mă</w:t>
      </w:r>
      <w:r w:rsidR="0014197B" w:rsidRPr="00F362A1">
        <w:rPr>
          <w:rFonts w:ascii="Tahoma" w:eastAsiaTheme="minorEastAsia" w:hAnsi="Tahoma" w:cs="Tahoma"/>
          <w:bCs/>
          <w:color w:val="000000" w:themeColor="text1"/>
          <w:kern w:val="24"/>
          <w:sz w:val="24"/>
          <w:szCs w:val="24"/>
        </w:rPr>
        <w:t xml:space="preserve">suri avute </w:t>
      </w:r>
      <w:r w:rsidR="00125108" w:rsidRPr="00F362A1">
        <w:rPr>
          <w:rFonts w:ascii="Tahoma" w:eastAsiaTheme="minorEastAsia" w:hAnsi="Tahoma" w:cs="Tahoma"/>
          <w:bCs/>
          <w:color w:val="000000" w:themeColor="text1"/>
          <w:kern w:val="24"/>
          <w:sz w:val="24"/>
          <w:szCs w:val="24"/>
        </w:rPr>
        <w:t>î</w:t>
      </w:r>
      <w:r w:rsidR="0014197B" w:rsidRPr="00F362A1">
        <w:rPr>
          <w:rFonts w:ascii="Tahoma" w:eastAsiaTheme="minorEastAsia" w:hAnsi="Tahoma" w:cs="Tahoma"/>
          <w:bCs/>
          <w:color w:val="000000" w:themeColor="text1"/>
          <w:kern w:val="24"/>
          <w:sz w:val="24"/>
          <w:szCs w:val="24"/>
        </w:rPr>
        <w:t>n vedere la rectificarea bugetar</w:t>
      </w:r>
      <w:r w:rsidR="00125108" w:rsidRPr="00F362A1">
        <w:rPr>
          <w:rFonts w:ascii="Tahoma" w:eastAsiaTheme="minorEastAsia" w:hAnsi="Tahoma" w:cs="Tahoma"/>
          <w:bCs/>
          <w:color w:val="000000" w:themeColor="text1"/>
          <w:kern w:val="24"/>
          <w:sz w:val="24"/>
          <w:szCs w:val="24"/>
        </w:rPr>
        <w:t>ă</w:t>
      </w:r>
      <w:r w:rsidR="0014197B" w:rsidRPr="00F362A1">
        <w:rPr>
          <w:rFonts w:ascii="Tahoma" w:eastAsiaTheme="minorEastAsia" w:hAnsi="Tahoma" w:cs="Tahoma"/>
          <w:bCs/>
          <w:color w:val="000000" w:themeColor="text1"/>
          <w:kern w:val="24"/>
          <w:sz w:val="24"/>
          <w:szCs w:val="24"/>
        </w:rPr>
        <w:t>:</w:t>
      </w:r>
    </w:p>
    <w:p w:rsidR="0014197B" w:rsidRPr="00F362A1" w:rsidRDefault="0014197B" w:rsidP="002A6579">
      <w:pPr>
        <w:spacing w:line="276" w:lineRule="auto"/>
        <w:ind w:firstLine="0"/>
        <w:rPr>
          <w:rFonts w:ascii="Tahoma" w:hAnsi="Tahoma" w:cs="Tahoma"/>
          <w:sz w:val="24"/>
          <w:szCs w:val="24"/>
          <w:lang w:eastAsia="ro-RO"/>
        </w:rPr>
      </w:pPr>
    </w:p>
    <w:p w:rsidR="0014197B" w:rsidRPr="00F362A1" w:rsidRDefault="0014197B" w:rsidP="002A6579">
      <w:pPr>
        <w:pStyle w:val="ListParagraph"/>
        <w:numPr>
          <w:ilvl w:val="0"/>
          <w:numId w:val="7"/>
        </w:numPr>
        <w:spacing w:after="120" w:line="276" w:lineRule="auto"/>
        <w:contextualSpacing w:val="0"/>
        <w:rPr>
          <w:rFonts w:ascii="Tahoma" w:hAnsi="Tahoma" w:cs="Tahoma"/>
          <w:sz w:val="24"/>
          <w:szCs w:val="24"/>
          <w:lang w:eastAsia="ro-RO"/>
        </w:rPr>
      </w:pPr>
      <w:r w:rsidRPr="00F362A1">
        <w:rPr>
          <w:rFonts w:ascii="Tahoma" w:hAnsi="Tahoma" w:cs="Tahoma"/>
          <w:sz w:val="24"/>
          <w:szCs w:val="24"/>
          <w:lang w:eastAsia="ro-RO"/>
        </w:rPr>
        <w:t xml:space="preserve">Programul de susținere a întreprinderilor mici și mijlocii – IMM INVEST ROMÂNIA: se redimensionează creditele ce vor fi garantate în cadrul Programului; se subvenționează dobânda pentru creditele ce urmează a fi garantate; se recalibrează durata maximă a finanțărilor, respectiv creșterea perioadei de garantare a creditelor/liniilor de credit pentru capital de lucru de la 24 la 36 de luni cu posibilitatea prelungirii cu 36 de luni; cheltuielile privind comisionul de administrare pentru acoperirea costurilor de acordare și monitorizare a garanțiilor acordate de F.N.G.C.I.M.M., în numele și contul statului, vor fi suportate din bugetul de stat, prin bugetul Ministerului Finanțelor Publice- Acțiuni Generale, în cadrul unei scheme de </w:t>
      </w:r>
      <w:r w:rsidRPr="00F362A1">
        <w:rPr>
          <w:rFonts w:ascii="Tahoma" w:hAnsi="Tahoma" w:cs="Tahoma"/>
          <w:sz w:val="24"/>
          <w:szCs w:val="24"/>
          <w:lang w:eastAsia="ro-RO"/>
        </w:rPr>
        <w:lastRenderedPageBreak/>
        <w:t>ajutor de stat/ de minimis asociată acestui program pe perioada acordării subvenției de dobândă;</w:t>
      </w:r>
    </w:p>
    <w:p w:rsidR="0014197B" w:rsidRPr="00F362A1" w:rsidRDefault="0014197B" w:rsidP="002A6579">
      <w:pPr>
        <w:pStyle w:val="ListParagraph"/>
        <w:numPr>
          <w:ilvl w:val="0"/>
          <w:numId w:val="7"/>
        </w:numPr>
        <w:spacing w:after="120" w:line="276" w:lineRule="auto"/>
        <w:contextualSpacing w:val="0"/>
        <w:rPr>
          <w:rFonts w:ascii="Tahoma" w:hAnsi="Tahoma" w:cs="Tahoma"/>
          <w:sz w:val="24"/>
          <w:szCs w:val="24"/>
          <w:lang w:eastAsia="ro-RO"/>
        </w:rPr>
      </w:pPr>
      <w:r w:rsidRPr="00F362A1">
        <w:rPr>
          <w:rFonts w:ascii="Tahoma" w:hAnsi="Tahoma" w:cs="Tahoma"/>
          <w:sz w:val="24"/>
          <w:szCs w:val="24"/>
          <w:lang w:eastAsia="ro-RO"/>
        </w:rPr>
        <w:t>având în vedere faptul că plata impozitelor locale datorate de către p</w:t>
      </w:r>
      <w:r w:rsidR="001353BC" w:rsidRPr="00F362A1">
        <w:rPr>
          <w:rFonts w:ascii="Tahoma" w:hAnsi="Tahoma" w:cs="Tahoma"/>
          <w:sz w:val="24"/>
          <w:szCs w:val="24"/>
          <w:lang w:eastAsia="ro-RO"/>
        </w:rPr>
        <w:t xml:space="preserve">ersoanele fizice, a fost amânată </w:t>
      </w:r>
      <w:r w:rsidRPr="00F362A1">
        <w:rPr>
          <w:rFonts w:ascii="Tahoma" w:hAnsi="Tahoma" w:cs="Tahoma"/>
          <w:sz w:val="24"/>
          <w:szCs w:val="24"/>
          <w:lang w:eastAsia="ro-RO"/>
        </w:rPr>
        <w:t>cu trei luni,  termenul scadent fiind 30 iunie 2020 și ținând cont că majoritatea veniturilor unităților/subdiviziunilor administrativ teritoriale provin din impozite și taxe, pentru a se evita blocarea conturilor în caz de neplată a obligațiilor scadente aferente împrumuturilor contractate de la Ministerul Finanțelor Publice, pentru o peri</w:t>
      </w:r>
      <w:r w:rsidR="001353BC" w:rsidRPr="00F362A1">
        <w:rPr>
          <w:rFonts w:ascii="Tahoma" w:hAnsi="Tahoma" w:cs="Tahoma"/>
          <w:sz w:val="24"/>
          <w:szCs w:val="24"/>
          <w:lang w:eastAsia="ro-RO"/>
        </w:rPr>
        <w:t>oadă</w:t>
      </w:r>
      <w:r w:rsidRPr="00F362A1">
        <w:rPr>
          <w:rFonts w:ascii="Tahoma" w:hAnsi="Tahoma" w:cs="Tahoma"/>
          <w:sz w:val="24"/>
          <w:szCs w:val="24"/>
          <w:lang w:eastAsia="ro-RO"/>
        </w:rPr>
        <w:t xml:space="preserve"> de trei luni se amână plata ratelor și dobânzilor aferente acestor împrumuturi;</w:t>
      </w:r>
    </w:p>
    <w:p w:rsidR="0014197B" w:rsidRPr="00F362A1" w:rsidRDefault="0014197B" w:rsidP="002A6579">
      <w:pPr>
        <w:pStyle w:val="ListParagraph"/>
        <w:numPr>
          <w:ilvl w:val="0"/>
          <w:numId w:val="7"/>
        </w:numPr>
        <w:spacing w:after="120" w:line="276" w:lineRule="auto"/>
        <w:contextualSpacing w:val="0"/>
        <w:textAlignment w:val="baseline"/>
        <w:rPr>
          <w:rFonts w:ascii="Tahoma" w:eastAsia="Times New Roman" w:hAnsi="Tahoma" w:cs="Tahoma"/>
          <w:sz w:val="24"/>
          <w:szCs w:val="24"/>
        </w:rPr>
      </w:pPr>
      <w:r w:rsidRPr="00F362A1">
        <w:rPr>
          <w:rFonts w:ascii="Tahoma" w:eastAsia="Times New Roman" w:hAnsi="Tahoma" w:cs="Tahoma"/>
          <w:color w:val="000000" w:themeColor="text1"/>
          <w:kern w:val="24"/>
          <w:sz w:val="24"/>
          <w:szCs w:val="24"/>
        </w:rPr>
        <w:t>prorogarea termenului de plată pentru impozitul pe clădiri, impozitul pe teren, respectiv impozitul pe mijloacele de transport de la 31 martie 2020 la 30 iunie 2020;</w:t>
      </w:r>
    </w:p>
    <w:p w:rsidR="0014197B" w:rsidRPr="00F362A1" w:rsidRDefault="0014197B" w:rsidP="002A6579">
      <w:pPr>
        <w:pStyle w:val="ListParagraph"/>
        <w:numPr>
          <w:ilvl w:val="0"/>
          <w:numId w:val="7"/>
        </w:numPr>
        <w:spacing w:after="120" w:line="276" w:lineRule="auto"/>
        <w:contextualSpacing w:val="0"/>
        <w:textAlignment w:val="baseline"/>
        <w:rPr>
          <w:rFonts w:ascii="Tahoma" w:eastAsia="Times New Roman" w:hAnsi="Tahoma" w:cs="Tahoma"/>
          <w:sz w:val="24"/>
          <w:szCs w:val="24"/>
        </w:rPr>
      </w:pPr>
      <w:r w:rsidRPr="00F362A1">
        <w:rPr>
          <w:rFonts w:ascii="Tahoma" w:eastAsia="Times New Roman" w:hAnsi="Tahoma" w:cs="Tahoma"/>
          <w:color w:val="000000" w:themeColor="text1"/>
          <w:kern w:val="24"/>
          <w:sz w:val="24"/>
          <w:szCs w:val="24"/>
        </w:rPr>
        <w:t>nu se calculează și nu se datorează dobânzi și penalități de întârziere pentru obligațiile fiscale scadente;</w:t>
      </w:r>
    </w:p>
    <w:p w:rsidR="0014197B" w:rsidRPr="00F362A1" w:rsidRDefault="0014197B" w:rsidP="002A6579">
      <w:pPr>
        <w:pStyle w:val="ListParagraph"/>
        <w:numPr>
          <w:ilvl w:val="0"/>
          <w:numId w:val="7"/>
        </w:numPr>
        <w:spacing w:after="120" w:line="276" w:lineRule="auto"/>
        <w:contextualSpacing w:val="0"/>
        <w:textAlignment w:val="baseline"/>
        <w:rPr>
          <w:rFonts w:ascii="Tahoma" w:eastAsia="Times New Roman" w:hAnsi="Tahoma" w:cs="Tahoma"/>
          <w:sz w:val="24"/>
          <w:szCs w:val="24"/>
        </w:rPr>
      </w:pPr>
      <w:r w:rsidRPr="00F362A1">
        <w:rPr>
          <w:rFonts w:ascii="Tahoma" w:eastAsia="Times New Roman" w:hAnsi="Tahoma" w:cs="Tahoma"/>
          <w:color w:val="000000" w:themeColor="text1"/>
          <w:kern w:val="24"/>
          <w:sz w:val="24"/>
          <w:szCs w:val="24"/>
        </w:rPr>
        <w:t>se modifică sistemul de declarare și plată a impozitului pe profit anual, cu plăți anticipate efectuate trimestrial, contribuabilii putând efectua plăți anticipate trimestriale la nivelul sumei rezultate din calculul impozitului pe profit trimestrial curent. Modul de calcul se păstrează pentru toate trimestrele anului fiscal 2020.</w:t>
      </w:r>
    </w:p>
    <w:p w:rsidR="0014197B" w:rsidRPr="00F362A1" w:rsidRDefault="0014197B" w:rsidP="002A6579">
      <w:pPr>
        <w:pStyle w:val="ListParagraph"/>
        <w:numPr>
          <w:ilvl w:val="0"/>
          <w:numId w:val="7"/>
        </w:numPr>
        <w:tabs>
          <w:tab w:val="left" w:pos="284"/>
        </w:tabs>
        <w:spacing w:after="120" w:line="276" w:lineRule="auto"/>
        <w:contextualSpacing w:val="0"/>
        <w:textAlignment w:val="baseline"/>
        <w:rPr>
          <w:rFonts w:ascii="Tahoma" w:eastAsia="Times New Roman" w:hAnsi="Tahoma" w:cs="Tahoma"/>
          <w:sz w:val="24"/>
          <w:szCs w:val="24"/>
        </w:rPr>
      </w:pPr>
      <w:r w:rsidRPr="00F362A1">
        <w:rPr>
          <w:rFonts w:ascii="Tahoma" w:eastAsia="Times New Roman" w:hAnsi="Tahoma" w:cs="Tahoma"/>
          <w:color w:val="000000"/>
          <w:kern w:val="24"/>
          <w:sz w:val="24"/>
          <w:szCs w:val="24"/>
        </w:rPr>
        <w:t>se acordă, fără întrerupere, beneficiile de asistență socială destinate copiilor și tinerilor, care au drept condiție frecventarea cursurilor școlare, pe perioada instituirii măsurilor de urgență;</w:t>
      </w:r>
    </w:p>
    <w:p w:rsidR="0014197B" w:rsidRPr="00F362A1" w:rsidRDefault="0014197B" w:rsidP="002A6579">
      <w:pPr>
        <w:pStyle w:val="ListParagraph"/>
        <w:numPr>
          <w:ilvl w:val="0"/>
          <w:numId w:val="7"/>
        </w:numPr>
        <w:tabs>
          <w:tab w:val="left" w:pos="177"/>
          <w:tab w:val="left" w:pos="462"/>
          <w:tab w:val="left" w:pos="777"/>
        </w:tabs>
        <w:spacing w:after="120" w:line="276" w:lineRule="auto"/>
        <w:contextualSpacing w:val="0"/>
        <w:textAlignment w:val="baseline"/>
        <w:rPr>
          <w:rFonts w:ascii="Tahoma" w:eastAsia="Times New Roman" w:hAnsi="Tahoma" w:cs="Tahoma"/>
          <w:sz w:val="24"/>
          <w:szCs w:val="24"/>
        </w:rPr>
      </w:pPr>
      <w:r w:rsidRPr="00F362A1">
        <w:rPr>
          <w:rFonts w:ascii="Tahoma" w:eastAsia="Times New Roman" w:hAnsi="Tahoma" w:cs="Tahoma"/>
          <w:color w:val="000000" w:themeColor="text1"/>
          <w:kern w:val="24"/>
          <w:sz w:val="24"/>
          <w:szCs w:val="24"/>
        </w:rPr>
        <w:t>se suportă din bugetul asigurărilor pentru șomaj, pentru perioada suspendării contractului individual de muncă din inițiativa angajatorului, în cazul întreruperii temporare a activității potrivit art. 52 alin. (1) lit. c) din Legea nr. 53/2003 - Codul muncii, cu modificările şi completările ulterioare, indemnizația de care beneficiază salariații, de minimum 75% din salariul de bază corespunzător locului de muncă ocupat plătite din fondul de salarii, dar nu mai mult de 75% din câștigul salarial mediu brut prevăzut de Legea nr. 6/2020 privind bugetul asigurărilor sociale de stat pe anul 2020;</w:t>
      </w:r>
    </w:p>
    <w:p w:rsidR="0014197B" w:rsidRPr="00F362A1" w:rsidRDefault="0014197B" w:rsidP="002A6579">
      <w:pPr>
        <w:pStyle w:val="ListParagraph"/>
        <w:numPr>
          <w:ilvl w:val="0"/>
          <w:numId w:val="7"/>
        </w:numPr>
        <w:spacing w:after="120" w:line="276" w:lineRule="auto"/>
        <w:contextualSpacing w:val="0"/>
        <w:textAlignment w:val="baseline"/>
        <w:rPr>
          <w:rFonts w:ascii="Tahoma" w:eastAsia="Times New Roman" w:hAnsi="Tahoma" w:cs="Tahoma"/>
          <w:sz w:val="24"/>
          <w:szCs w:val="24"/>
        </w:rPr>
      </w:pPr>
      <w:r w:rsidRPr="00F362A1">
        <w:rPr>
          <w:rFonts w:ascii="Tahoma" w:eastAsia="Times New Roman" w:hAnsi="Tahoma" w:cs="Tahoma"/>
          <w:color w:val="000000" w:themeColor="text1"/>
          <w:kern w:val="24"/>
          <w:sz w:val="24"/>
          <w:szCs w:val="24"/>
        </w:rPr>
        <w:t>obligația angajatorilor care beneficiază de măsura menționată mai sus de a menține raporturile de muncă ale persoanelor în cauză pe o perioadă de cel puțin 6 luni de la data reînceperii activității după suspendarea raporturilor de muncă conform art. 52 alin. (1) lit. c) din Legea nr. 53/2003 - Codul muncii, cu modificările şi completările ulterioare;</w:t>
      </w:r>
    </w:p>
    <w:p w:rsidR="0014197B" w:rsidRPr="00F362A1" w:rsidRDefault="0014197B" w:rsidP="002A6579">
      <w:pPr>
        <w:pStyle w:val="ListParagraph"/>
        <w:numPr>
          <w:ilvl w:val="0"/>
          <w:numId w:val="7"/>
        </w:numPr>
        <w:spacing w:after="120" w:line="276" w:lineRule="auto"/>
        <w:contextualSpacing w:val="0"/>
        <w:textAlignment w:val="baseline"/>
        <w:rPr>
          <w:rFonts w:ascii="Tahoma" w:eastAsia="Times New Roman" w:hAnsi="Tahoma" w:cs="Tahoma"/>
          <w:sz w:val="24"/>
          <w:szCs w:val="24"/>
        </w:rPr>
      </w:pPr>
      <w:r w:rsidRPr="00F362A1">
        <w:rPr>
          <w:rFonts w:ascii="Tahoma" w:eastAsia="Andale Sans UI" w:hAnsi="Tahoma" w:cs="Tahoma"/>
          <w:color w:val="000000"/>
          <w:sz w:val="24"/>
          <w:szCs w:val="24"/>
        </w:rPr>
        <w:t xml:space="preserve">contribuabilii plătitori de impozit pe profit, indiferent de sistemul de declarare și plată prevăzut la art. 41 din Legea nr.227/2015 privind Codul fiscal, cu modificările și completările ulterioare, care plătesc impozitul </w:t>
      </w:r>
      <w:r w:rsidRPr="00F362A1">
        <w:rPr>
          <w:rFonts w:ascii="Tahoma" w:eastAsia="Andale Sans UI" w:hAnsi="Tahoma" w:cs="Tahoma"/>
          <w:color w:val="000000"/>
          <w:sz w:val="24"/>
          <w:szCs w:val="24"/>
        </w:rPr>
        <w:lastRenderedPageBreak/>
        <w:t xml:space="preserve">datorat pentru trimestrul I al anului 2020, respectiv plata anticipată aferentă aceluiași trimestru, până la termenul scadent de 25 aprilie 2020 inclusiv, beneficiază de o bonificație calculată asupra impozitului pe profit datorat, astfel: 5% pentru contribuabilii mari și 10% pentru contribuabilii mijlocii și ceilalți contribuabili. Aceste prevederi se aplică în mod corespunzător și pentru contribuabilii care intră sub incidenta art.16 alin.(5) din Legea nr.227/2015 privind Codul fiscal, cu modificările și completările ulterioare. Determinarea profitului de plată se face prin scăderea din impozitul datorat a bonificației. Aceste prevederi se aplică în mod corespunzător și de către contribuabilii care intră sub incidența Legii </w:t>
      </w:r>
      <w:hyperlink r:id="rId12" w:history="1">
        <w:r w:rsidR="006C2F78" w:rsidRPr="00F362A1">
          <w:rPr>
            <w:rFonts w:ascii="Tahoma" w:eastAsia="Andale Sans UI" w:hAnsi="Tahoma" w:cs="Tahoma"/>
            <w:sz w:val="24"/>
            <w:szCs w:val="24"/>
          </w:rPr>
          <w:t>nr.170/2016</w:t>
        </w:r>
      </w:hyperlink>
      <w:r w:rsidRPr="00F362A1">
        <w:rPr>
          <w:rFonts w:ascii="Tahoma" w:eastAsia="Andale Sans UI" w:hAnsi="Tahoma" w:cs="Tahoma"/>
          <w:color w:val="000000"/>
          <w:sz w:val="24"/>
          <w:szCs w:val="24"/>
        </w:rPr>
        <w:t xml:space="preserve"> privind impozitul specific unor activități, pentru impozitul pe profit aferent trimestrului I al anului 2020, determinat pentru activitățile desfășurate, altele decât cele corespunzătoare codurilor CAEN prevăzute de lege;</w:t>
      </w:r>
    </w:p>
    <w:p w:rsidR="0014197B" w:rsidRPr="00F362A1" w:rsidRDefault="0014197B" w:rsidP="002A6579">
      <w:pPr>
        <w:pStyle w:val="ListParagraph"/>
        <w:numPr>
          <w:ilvl w:val="0"/>
          <w:numId w:val="7"/>
        </w:numPr>
        <w:tabs>
          <w:tab w:val="left" w:pos="342"/>
          <w:tab w:val="left" w:pos="507"/>
        </w:tabs>
        <w:kinsoku w:val="0"/>
        <w:overflowPunct w:val="0"/>
        <w:spacing w:after="120" w:line="276" w:lineRule="auto"/>
        <w:contextualSpacing w:val="0"/>
        <w:textAlignment w:val="baseline"/>
        <w:rPr>
          <w:rFonts w:ascii="Tahoma" w:eastAsia="Times New Roman" w:hAnsi="Tahoma" w:cs="Tahoma"/>
          <w:sz w:val="24"/>
          <w:szCs w:val="24"/>
        </w:rPr>
      </w:pPr>
      <w:r w:rsidRPr="00F362A1">
        <w:rPr>
          <w:rFonts w:ascii="Tahoma" w:eastAsia="Andale Sans UI" w:hAnsi="Tahoma" w:cs="Tahoma"/>
          <w:color w:val="000000" w:themeColor="text1"/>
          <w:kern w:val="24"/>
          <w:sz w:val="24"/>
          <w:szCs w:val="24"/>
        </w:rPr>
        <w:t xml:space="preserve">contribuabilii plătitori de impozit pe veniturile microîntreprinderilor aferent  trimestrului I al anului 2020, până la data de 25 aprilie 2020 inclusiv, beneficiază de o bonificație de 10% calculată asupra impozitului datorat pentru trimestrul respectiv. Determinarea impozitului </w:t>
      </w:r>
      <w:r w:rsidR="00795E7B" w:rsidRPr="00F362A1">
        <w:rPr>
          <w:rFonts w:ascii="Tahoma" w:eastAsia="Andale Sans UI" w:hAnsi="Tahoma" w:cs="Tahoma"/>
          <w:color w:val="000000" w:themeColor="text1"/>
          <w:kern w:val="24"/>
          <w:sz w:val="24"/>
          <w:szCs w:val="24"/>
        </w:rPr>
        <w:t xml:space="preserve">de plată </w:t>
      </w:r>
      <w:r w:rsidRPr="00F362A1">
        <w:rPr>
          <w:rFonts w:ascii="Tahoma" w:eastAsia="Andale Sans UI" w:hAnsi="Tahoma" w:cs="Tahoma"/>
          <w:color w:val="000000" w:themeColor="text1"/>
          <w:kern w:val="24"/>
          <w:sz w:val="24"/>
          <w:szCs w:val="24"/>
        </w:rPr>
        <w:t>pe profitul microîntreprinderilor se face prin scăderea din impozitul datorat a bonificației;</w:t>
      </w:r>
    </w:p>
    <w:p w:rsidR="0014197B" w:rsidRPr="00F362A1" w:rsidRDefault="0014197B" w:rsidP="002A6579">
      <w:pPr>
        <w:pStyle w:val="ListParagraph"/>
        <w:numPr>
          <w:ilvl w:val="0"/>
          <w:numId w:val="7"/>
        </w:numPr>
        <w:tabs>
          <w:tab w:val="left" w:pos="342"/>
          <w:tab w:val="left" w:pos="657"/>
        </w:tabs>
        <w:spacing w:after="120" w:line="276" w:lineRule="auto"/>
        <w:contextualSpacing w:val="0"/>
        <w:textAlignment w:val="baseline"/>
        <w:rPr>
          <w:rFonts w:ascii="Tahoma" w:eastAsia="Times New Roman" w:hAnsi="Tahoma" w:cs="Tahoma"/>
          <w:sz w:val="24"/>
          <w:szCs w:val="24"/>
        </w:rPr>
      </w:pPr>
      <w:r w:rsidRPr="00F362A1">
        <w:rPr>
          <w:rFonts w:ascii="Tahoma" w:eastAsia="Times New Roman" w:hAnsi="Tahoma" w:cs="Tahoma"/>
          <w:color w:val="000000" w:themeColor="text1"/>
          <w:kern w:val="24"/>
          <w:sz w:val="24"/>
          <w:szCs w:val="24"/>
        </w:rPr>
        <w:t>în vederea asigurării, în cel mai scurt timp posibil, a necesarului de medicamente, echipamente de protecție, alte dispozitive sau echipamente medicale și materiale sanitare care pot fi utilizate în prevenirea, limitare</w:t>
      </w:r>
      <w:r w:rsidR="00C40A07" w:rsidRPr="00F362A1">
        <w:rPr>
          <w:rFonts w:ascii="Tahoma" w:eastAsia="Times New Roman" w:hAnsi="Tahoma" w:cs="Tahoma"/>
          <w:color w:val="000000" w:themeColor="text1"/>
          <w:kern w:val="24"/>
          <w:sz w:val="24"/>
          <w:szCs w:val="24"/>
        </w:rPr>
        <w:t>a, tratarea și combaterea COVID</w:t>
      </w:r>
      <w:r w:rsidRPr="00F362A1">
        <w:rPr>
          <w:rFonts w:ascii="Tahoma" w:eastAsia="Times New Roman" w:hAnsi="Tahoma" w:cs="Tahoma"/>
          <w:color w:val="000000" w:themeColor="text1"/>
          <w:kern w:val="24"/>
          <w:sz w:val="24"/>
          <w:szCs w:val="24"/>
        </w:rPr>
        <w:t xml:space="preserve">-19 și pentru sprijinirea operatorilor economici înregistrați în scopuri de TVA conform art. 316 din Codul fiscal, care importă astfel de bunuri, se propune amânarea de la plata în vamă a TVA pentru importurile efectuate în perioada pentru care s-a instituit starea de urgență conform Decretului Președintelui României nr. 195/2020, și în următoarele 30 de zile calendaristice de la data încetării stării de urgență. </w:t>
      </w:r>
    </w:p>
    <w:p w:rsidR="0014197B" w:rsidRPr="00F362A1" w:rsidRDefault="00C40A07" w:rsidP="002A6579">
      <w:pPr>
        <w:pStyle w:val="ListParagraph"/>
        <w:numPr>
          <w:ilvl w:val="0"/>
          <w:numId w:val="7"/>
        </w:numPr>
        <w:tabs>
          <w:tab w:val="left" w:pos="851"/>
        </w:tabs>
        <w:spacing w:after="120" w:line="276" w:lineRule="auto"/>
        <w:contextualSpacing w:val="0"/>
        <w:textAlignment w:val="baseline"/>
        <w:rPr>
          <w:rFonts w:ascii="Tahoma" w:eastAsia="Times New Roman" w:hAnsi="Tahoma" w:cs="Tahoma"/>
          <w:sz w:val="24"/>
          <w:szCs w:val="24"/>
        </w:rPr>
      </w:pPr>
      <w:r w:rsidRPr="00F362A1">
        <w:rPr>
          <w:rFonts w:ascii="Tahoma" w:eastAsia="Times New Roman" w:hAnsi="Tahoma" w:cs="Tahoma"/>
          <w:color w:val="000000" w:themeColor="text1"/>
          <w:kern w:val="24"/>
          <w:sz w:val="24"/>
          <w:szCs w:val="24"/>
        </w:rPr>
        <w:t xml:space="preserve">   </w:t>
      </w:r>
      <w:r w:rsidR="0014197B" w:rsidRPr="00F362A1">
        <w:rPr>
          <w:rFonts w:ascii="Tahoma" w:eastAsia="Times New Roman" w:hAnsi="Tahoma" w:cs="Tahoma"/>
          <w:color w:val="000000" w:themeColor="text1"/>
          <w:kern w:val="24"/>
          <w:sz w:val="24"/>
          <w:szCs w:val="24"/>
        </w:rPr>
        <w:t>crearea facilității de suspendare la plată a  obligațiilor reprezentând rate de capital, dobânzi și comisioane aferente împrumuturilor acordate debitorilor persoane fizice, inclusiv persoanele fizice autorizate, întreprinderile individuale și întreprinderile familiale, profesiile liberale și cele care se exercită în baza unor legi speciale, precum și persoanele juridice din contractele de credit, respectiv leasing, cu excepția instituțiilor de credit, pe termen de până la 9 luni, dar nu mai mult de 31 decembrie 2020;</w:t>
      </w:r>
    </w:p>
    <w:p w:rsidR="0014197B" w:rsidRPr="00F362A1" w:rsidRDefault="00C40A07" w:rsidP="002A6579">
      <w:pPr>
        <w:pStyle w:val="ListParagraph"/>
        <w:numPr>
          <w:ilvl w:val="0"/>
          <w:numId w:val="7"/>
        </w:numPr>
        <w:tabs>
          <w:tab w:val="left" w:pos="851"/>
        </w:tabs>
        <w:spacing w:after="120" w:line="276" w:lineRule="auto"/>
        <w:contextualSpacing w:val="0"/>
        <w:textAlignment w:val="baseline"/>
        <w:rPr>
          <w:rFonts w:ascii="Tahoma" w:eastAsia="Times New Roman" w:hAnsi="Tahoma" w:cs="Tahoma"/>
          <w:sz w:val="24"/>
          <w:szCs w:val="24"/>
        </w:rPr>
      </w:pPr>
      <w:r w:rsidRPr="00F362A1">
        <w:rPr>
          <w:rFonts w:ascii="Tahoma" w:eastAsia="Times New Roman" w:hAnsi="Tahoma" w:cs="Tahoma"/>
          <w:color w:val="000000" w:themeColor="text1"/>
          <w:kern w:val="24"/>
          <w:sz w:val="24"/>
          <w:szCs w:val="24"/>
        </w:rPr>
        <w:t xml:space="preserve">   </w:t>
      </w:r>
      <w:r w:rsidR="0014197B" w:rsidRPr="00F362A1">
        <w:rPr>
          <w:rFonts w:ascii="Tahoma" w:eastAsia="Times New Roman" w:hAnsi="Tahoma" w:cs="Tahoma"/>
          <w:color w:val="000000" w:themeColor="text1"/>
          <w:kern w:val="24"/>
          <w:sz w:val="24"/>
          <w:szCs w:val="24"/>
        </w:rPr>
        <w:t xml:space="preserve">modificarea nivelului accizei pentru benzină și motorină, respectiv reducerea accizei  la nivelul de dinaintea majorării din 15 septembrie 2017. În anul 2020, potrivit art.342 alin.(2) Legea nr.227/2015 privind Codul fiscal, cu modificările și completările ulterioare, nivelul accizelor a fost </w:t>
      </w:r>
      <w:r w:rsidR="0014197B" w:rsidRPr="00F362A1">
        <w:rPr>
          <w:rFonts w:ascii="Tahoma" w:eastAsia="Times New Roman" w:hAnsi="Tahoma" w:cs="Tahoma"/>
          <w:color w:val="000000" w:themeColor="text1"/>
          <w:kern w:val="24"/>
          <w:sz w:val="24"/>
          <w:szCs w:val="24"/>
        </w:rPr>
        <w:lastRenderedPageBreak/>
        <w:t>majorat, iar pentru benzina cu plumb nivelul accizei a fost stabilit la 2.085,97 lei/1.000 de litri, pentru benzina fără plumb 1.773,46 lei/1.000 de litri și pentru motorină la 1.625,37 lei/1000 de litri;</w:t>
      </w:r>
    </w:p>
    <w:p w:rsidR="0014197B" w:rsidRPr="00F362A1" w:rsidRDefault="00C40A07" w:rsidP="002A6579">
      <w:pPr>
        <w:pStyle w:val="ListParagraph"/>
        <w:numPr>
          <w:ilvl w:val="0"/>
          <w:numId w:val="7"/>
        </w:numPr>
        <w:tabs>
          <w:tab w:val="left" w:pos="357"/>
          <w:tab w:val="left" w:pos="990"/>
        </w:tabs>
        <w:spacing w:after="120" w:line="276" w:lineRule="auto"/>
        <w:contextualSpacing w:val="0"/>
        <w:textAlignment w:val="baseline"/>
        <w:rPr>
          <w:rFonts w:ascii="Tahoma" w:eastAsia="Times New Roman" w:hAnsi="Tahoma" w:cs="Tahoma"/>
          <w:sz w:val="24"/>
          <w:szCs w:val="24"/>
        </w:rPr>
      </w:pPr>
      <w:r w:rsidRPr="00F362A1">
        <w:rPr>
          <w:rFonts w:ascii="Tahoma" w:eastAsia="Times New Roman" w:hAnsi="Tahoma" w:cs="Tahoma"/>
          <w:color w:val="000000" w:themeColor="text1"/>
          <w:kern w:val="24"/>
          <w:sz w:val="24"/>
          <w:szCs w:val="24"/>
        </w:rPr>
        <w:t xml:space="preserve"> </w:t>
      </w:r>
      <w:r w:rsidR="0014197B" w:rsidRPr="00F362A1">
        <w:rPr>
          <w:rFonts w:ascii="Tahoma" w:eastAsia="Times New Roman" w:hAnsi="Tahoma" w:cs="Tahoma"/>
          <w:color w:val="000000" w:themeColor="text1"/>
          <w:kern w:val="24"/>
          <w:sz w:val="24"/>
          <w:szCs w:val="24"/>
        </w:rPr>
        <w:t>modificarea bazei calcul a contribuției de asigurări sociale și a contribuției de asigurări sociale de sănătate datorată pentru salariații cu contract individual de muncă cu timp parțial (de la salariul de bază minim brut pe țară la venitul realizat).</w:t>
      </w:r>
    </w:p>
    <w:p w:rsidR="00AC672E" w:rsidRPr="00F362A1" w:rsidRDefault="00C40A07" w:rsidP="002A6579">
      <w:pPr>
        <w:pStyle w:val="ListParagraph"/>
        <w:numPr>
          <w:ilvl w:val="0"/>
          <w:numId w:val="7"/>
        </w:numPr>
        <w:tabs>
          <w:tab w:val="left" w:pos="357"/>
          <w:tab w:val="left" w:pos="990"/>
        </w:tabs>
        <w:spacing w:after="120" w:line="276" w:lineRule="auto"/>
        <w:contextualSpacing w:val="0"/>
        <w:textAlignment w:val="baseline"/>
        <w:rPr>
          <w:rFonts w:ascii="Tahoma" w:eastAsia="Times New Roman" w:hAnsi="Tahoma" w:cs="Tahoma"/>
          <w:sz w:val="24"/>
          <w:szCs w:val="24"/>
        </w:rPr>
      </w:pPr>
      <w:r w:rsidRPr="00F362A1">
        <w:rPr>
          <w:rFonts w:ascii="Tahoma" w:hAnsi="Tahoma" w:cs="Tahoma"/>
          <w:sz w:val="24"/>
          <w:szCs w:val="24"/>
        </w:rPr>
        <w:t xml:space="preserve"> </w:t>
      </w:r>
      <w:r w:rsidR="00AC672E" w:rsidRPr="00F362A1">
        <w:rPr>
          <w:rFonts w:ascii="Tahoma" w:hAnsi="Tahoma" w:cs="Tahoma"/>
          <w:sz w:val="24"/>
          <w:szCs w:val="24"/>
        </w:rPr>
        <w:t>acordarea unei indemnizații pentru p</w:t>
      </w:r>
      <w:r w:rsidRPr="00F362A1">
        <w:rPr>
          <w:rFonts w:ascii="Tahoma" w:hAnsi="Tahoma" w:cs="Tahoma"/>
          <w:sz w:val="24"/>
          <w:szCs w:val="24"/>
        </w:rPr>
        <w:t>ă</w:t>
      </w:r>
      <w:r w:rsidR="00AC672E" w:rsidRPr="00F362A1">
        <w:rPr>
          <w:rFonts w:ascii="Tahoma" w:hAnsi="Tahoma" w:cs="Tahoma"/>
          <w:sz w:val="24"/>
          <w:szCs w:val="24"/>
        </w:rPr>
        <w:t>rin</w:t>
      </w:r>
      <w:r w:rsidRPr="00F362A1">
        <w:rPr>
          <w:rFonts w:ascii="Tahoma" w:hAnsi="Tahoma" w:cs="Tahoma"/>
          <w:sz w:val="24"/>
          <w:szCs w:val="24"/>
        </w:rPr>
        <w:t>ț</w:t>
      </w:r>
      <w:r w:rsidR="00AC672E" w:rsidRPr="00F362A1">
        <w:rPr>
          <w:rFonts w:ascii="Tahoma" w:hAnsi="Tahoma" w:cs="Tahoma"/>
          <w:sz w:val="24"/>
          <w:szCs w:val="24"/>
        </w:rPr>
        <w:t>i pe perioada suspend</w:t>
      </w:r>
      <w:r w:rsidRPr="00F362A1">
        <w:rPr>
          <w:rFonts w:ascii="Tahoma" w:hAnsi="Tahoma" w:cs="Tahoma"/>
          <w:sz w:val="24"/>
          <w:szCs w:val="24"/>
        </w:rPr>
        <w:t>ă</w:t>
      </w:r>
      <w:r w:rsidR="00AC672E" w:rsidRPr="00F362A1">
        <w:rPr>
          <w:rFonts w:ascii="Tahoma" w:hAnsi="Tahoma" w:cs="Tahoma"/>
          <w:sz w:val="24"/>
          <w:szCs w:val="24"/>
        </w:rPr>
        <w:t>rii cursurilor potrivit prevederilor Legii nr.19/2020.</w:t>
      </w:r>
    </w:p>
    <w:p w:rsidR="0014197B" w:rsidRPr="00F362A1" w:rsidRDefault="0014197B" w:rsidP="002A6579">
      <w:pPr>
        <w:pStyle w:val="ListParagraph"/>
        <w:numPr>
          <w:ilvl w:val="0"/>
          <w:numId w:val="7"/>
        </w:numPr>
        <w:spacing w:after="120" w:line="276" w:lineRule="auto"/>
        <w:contextualSpacing w:val="0"/>
        <w:textAlignment w:val="baseline"/>
        <w:rPr>
          <w:rFonts w:ascii="Tahoma" w:eastAsia="Times New Roman" w:hAnsi="Tahoma" w:cs="Tahoma"/>
          <w:strike/>
          <w:sz w:val="24"/>
          <w:szCs w:val="24"/>
        </w:rPr>
      </w:pPr>
      <w:r w:rsidRPr="00F362A1">
        <w:rPr>
          <w:rFonts w:ascii="Tahoma" w:eastAsia="Times New Roman" w:hAnsi="Tahoma" w:cs="Tahoma"/>
          <w:color w:val="000000" w:themeColor="text1"/>
          <w:kern w:val="24"/>
          <w:sz w:val="24"/>
          <w:szCs w:val="24"/>
        </w:rPr>
        <w:t xml:space="preserve">prorogarea termenului de 15 martie inclusiv prevăzut pentru depunerea Declarației unice privind impozitul pe venit și contribuțiile sociale datorate de persoanele fizice, în situațiile prevăzute de Legea nr. 227/2015 privind Codul fiscal, cu modificările și completările ulterioare precum și în alte acte normative, la data de </w:t>
      </w:r>
      <w:r w:rsidR="00EE2CFD" w:rsidRPr="00F362A1">
        <w:rPr>
          <w:rFonts w:ascii="Tahoma" w:eastAsia="Times New Roman" w:hAnsi="Tahoma" w:cs="Tahoma"/>
          <w:color w:val="000000" w:themeColor="text1"/>
          <w:kern w:val="24"/>
          <w:sz w:val="24"/>
          <w:szCs w:val="24"/>
        </w:rPr>
        <w:t>25 mai</w:t>
      </w:r>
      <w:r w:rsidR="00247A3D" w:rsidRPr="00F362A1">
        <w:rPr>
          <w:rFonts w:ascii="Tahoma" w:eastAsia="Times New Roman" w:hAnsi="Tahoma" w:cs="Tahoma"/>
          <w:color w:val="000000" w:themeColor="text1"/>
          <w:kern w:val="24"/>
          <w:sz w:val="24"/>
          <w:szCs w:val="24"/>
        </w:rPr>
        <w:t>, prorogat până la 30 iunie.</w:t>
      </w:r>
    </w:p>
    <w:p w:rsidR="0014197B" w:rsidRPr="00F362A1" w:rsidRDefault="0014197B" w:rsidP="002A6579">
      <w:pPr>
        <w:pStyle w:val="ListParagraph"/>
        <w:numPr>
          <w:ilvl w:val="0"/>
          <w:numId w:val="7"/>
        </w:numPr>
        <w:spacing w:after="120" w:line="276" w:lineRule="auto"/>
        <w:contextualSpacing w:val="0"/>
        <w:textAlignment w:val="baseline"/>
        <w:rPr>
          <w:rFonts w:ascii="Tahoma" w:eastAsia="Times New Roman" w:hAnsi="Tahoma" w:cs="Tahoma"/>
          <w:sz w:val="24"/>
          <w:szCs w:val="24"/>
        </w:rPr>
      </w:pPr>
      <w:r w:rsidRPr="00F362A1">
        <w:rPr>
          <w:rFonts w:ascii="Tahoma" w:eastAsia="Times New Roman" w:hAnsi="Tahoma" w:cs="Tahoma"/>
          <w:color w:val="000000" w:themeColor="text1"/>
          <w:kern w:val="24"/>
          <w:sz w:val="24"/>
          <w:szCs w:val="24"/>
        </w:rPr>
        <w:t>se stabilește</w:t>
      </w:r>
      <w:r w:rsidR="00C40A07" w:rsidRPr="00F362A1">
        <w:rPr>
          <w:rFonts w:ascii="Tahoma" w:eastAsia="Times New Roman" w:hAnsi="Tahoma" w:cs="Tahoma"/>
          <w:color w:val="000000" w:themeColor="text1"/>
          <w:kern w:val="24"/>
          <w:sz w:val="24"/>
          <w:szCs w:val="24"/>
        </w:rPr>
        <w:t xml:space="preserve"> </w:t>
      </w:r>
      <w:r w:rsidRPr="00F362A1">
        <w:rPr>
          <w:rFonts w:ascii="Tahoma" w:eastAsia="Times New Roman" w:hAnsi="Tahoma" w:cs="Tahoma"/>
          <w:color w:val="000000" w:themeColor="text1"/>
          <w:kern w:val="24"/>
          <w:sz w:val="24"/>
          <w:szCs w:val="24"/>
        </w:rPr>
        <w:t>cuantumul taxei de licență pentru drepturile de utilizare a frecvențelor radio existente în banda de frecvențe radio duplex 1920-1980 MHz/2110-2170 MHz, ce ajung la termen în data de 31 martie 2020, pentru perioada 1 aprilie 2020-31 decembrie 2031, este echivalentul în lei a 30 milioane euro/licență</w:t>
      </w:r>
      <w:r w:rsidR="00125108" w:rsidRPr="00F362A1">
        <w:rPr>
          <w:rFonts w:ascii="Tahoma" w:eastAsia="Times New Roman" w:hAnsi="Tahoma" w:cs="Tahoma"/>
          <w:color w:val="000000" w:themeColor="text1"/>
          <w:kern w:val="24"/>
          <w:sz w:val="24"/>
          <w:szCs w:val="24"/>
        </w:rPr>
        <w:t>.</w:t>
      </w:r>
    </w:p>
    <w:p w:rsidR="00AC672E" w:rsidRPr="00F362A1" w:rsidRDefault="00AC672E" w:rsidP="002A6579">
      <w:pPr>
        <w:pStyle w:val="ListParagraph"/>
        <w:spacing w:after="240" w:line="276" w:lineRule="auto"/>
        <w:ind w:left="0" w:firstLine="567"/>
        <w:contextualSpacing w:val="0"/>
        <w:rPr>
          <w:rFonts w:ascii="Tahoma" w:hAnsi="Tahoma" w:cs="Tahoma"/>
          <w:sz w:val="24"/>
          <w:szCs w:val="24"/>
          <w:lang w:eastAsia="ro-RO"/>
        </w:rPr>
      </w:pPr>
      <w:r w:rsidRPr="00F362A1">
        <w:rPr>
          <w:rFonts w:ascii="Tahoma" w:hAnsi="Tahoma" w:cs="Tahoma"/>
          <w:sz w:val="24"/>
          <w:szCs w:val="24"/>
          <w:lang w:eastAsia="ro-RO"/>
        </w:rPr>
        <w:t>Totodată</w:t>
      </w:r>
      <w:r w:rsidR="00C40A07" w:rsidRPr="00F362A1">
        <w:rPr>
          <w:rFonts w:ascii="Tahoma" w:hAnsi="Tahoma" w:cs="Tahoma"/>
          <w:sz w:val="24"/>
          <w:szCs w:val="24"/>
          <w:lang w:eastAsia="ro-RO"/>
        </w:rPr>
        <w:t>,</w:t>
      </w:r>
      <w:r w:rsidRPr="00F362A1">
        <w:rPr>
          <w:rFonts w:ascii="Tahoma" w:hAnsi="Tahoma" w:cs="Tahoma"/>
          <w:sz w:val="24"/>
          <w:szCs w:val="24"/>
          <w:lang w:eastAsia="ro-RO"/>
        </w:rPr>
        <w:t xml:space="preserve"> din Fondul de rezervă bugetară la dispoziția Guvernului pentru asigurarea prevenției și tratarea afecțiunilor asociate COVID-19, în anul 2020, s-au alocat următoarele sume:</w:t>
      </w:r>
    </w:p>
    <w:p w:rsidR="00AC672E" w:rsidRPr="00F362A1" w:rsidRDefault="00AC672E" w:rsidP="002A6579">
      <w:pPr>
        <w:pStyle w:val="ListParagraph"/>
        <w:spacing w:after="120" w:line="276" w:lineRule="auto"/>
        <w:ind w:left="851" w:firstLine="0"/>
        <w:contextualSpacing w:val="0"/>
        <w:rPr>
          <w:rFonts w:ascii="Tahoma" w:hAnsi="Tahoma" w:cs="Tahoma"/>
          <w:sz w:val="24"/>
          <w:szCs w:val="24"/>
          <w:lang w:eastAsia="ro-RO"/>
        </w:rPr>
      </w:pPr>
      <w:r w:rsidRPr="00F362A1">
        <w:rPr>
          <w:rFonts w:ascii="Tahoma" w:hAnsi="Tahoma" w:cs="Tahoma"/>
          <w:sz w:val="24"/>
          <w:szCs w:val="24"/>
          <w:lang w:eastAsia="ro-RO"/>
        </w:rPr>
        <w:t>● 225.000 mii lei prin O.U.G. nr.11/2020 prin care s-a suplimentat bugetul Ministerului Afacerilor Interne pentru acoperirea necesităților de produse stocuri de urgență medicală, inclusiv a scannerelor termice, precum și unele măsuri aferente instituirii carantinei;</w:t>
      </w:r>
    </w:p>
    <w:p w:rsidR="00AC672E" w:rsidRPr="00F362A1" w:rsidRDefault="00AC672E" w:rsidP="002A6579">
      <w:pPr>
        <w:pStyle w:val="ListParagraph"/>
        <w:spacing w:after="120" w:line="276" w:lineRule="auto"/>
        <w:ind w:left="851" w:firstLine="0"/>
        <w:contextualSpacing w:val="0"/>
        <w:rPr>
          <w:rFonts w:ascii="Tahoma" w:hAnsi="Tahoma" w:cs="Tahoma"/>
          <w:sz w:val="24"/>
          <w:szCs w:val="24"/>
          <w:lang w:eastAsia="ro-RO"/>
        </w:rPr>
      </w:pPr>
      <w:r w:rsidRPr="00F362A1">
        <w:rPr>
          <w:rFonts w:ascii="Tahoma" w:hAnsi="Tahoma" w:cs="Tahoma"/>
          <w:sz w:val="24"/>
          <w:szCs w:val="24"/>
          <w:lang w:eastAsia="ro-RO"/>
        </w:rPr>
        <w:t>● 100.000 mii lei prin H.G. nr.206/2020 prin care s-a suplimentat bugetul Ministerului Afacerilor Interne în vederea gestionării infecțiilor cu coronavirusul SARS-CoV-2;</w:t>
      </w:r>
    </w:p>
    <w:p w:rsidR="00AC672E" w:rsidRPr="00F362A1" w:rsidRDefault="00AC672E" w:rsidP="002A6579">
      <w:pPr>
        <w:pStyle w:val="ListParagraph"/>
        <w:spacing w:after="120" w:line="276" w:lineRule="auto"/>
        <w:ind w:left="851" w:firstLine="0"/>
        <w:contextualSpacing w:val="0"/>
        <w:rPr>
          <w:rFonts w:ascii="Tahoma" w:hAnsi="Tahoma" w:cs="Tahoma"/>
          <w:sz w:val="24"/>
          <w:szCs w:val="24"/>
          <w:lang w:eastAsia="ro-RO"/>
        </w:rPr>
      </w:pPr>
      <w:r w:rsidRPr="00F362A1">
        <w:rPr>
          <w:rFonts w:ascii="Tahoma" w:hAnsi="Tahoma" w:cs="Tahoma"/>
          <w:sz w:val="24"/>
          <w:szCs w:val="24"/>
          <w:lang w:eastAsia="ro-RO"/>
        </w:rPr>
        <w:t>● 200.000 mii lei prin O.U.G. nr.63/2020 prin care s-a suplimentat bugetul Secretariatului General al Guvernului pentru organizarea și desfășurarea unor campanii de informare publică în contextul situației epidemiologice determinate de răspândirea COVID-19;</w:t>
      </w:r>
    </w:p>
    <w:p w:rsidR="00AC672E" w:rsidRPr="00F362A1" w:rsidRDefault="00AC672E" w:rsidP="002A6579">
      <w:pPr>
        <w:pStyle w:val="ListParagraph"/>
        <w:spacing w:after="120" w:line="276" w:lineRule="auto"/>
        <w:ind w:left="851" w:firstLine="0"/>
        <w:contextualSpacing w:val="0"/>
        <w:rPr>
          <w:rFonts w:ascii="Tahoma" w:hAnsi="Tahoma" w:cs="Tahoma"/>
          <w:sz w:val="24"/>
          <w:szCs w:val="24"/>
          <w:lang w:eastAsia="ro-RO"/>
        </w:rPr>
      </w:pPr>
      <w:r w:rsidRPr="00F362A1">
        <w:rPr>
          <w:rFonts w:ascii="Tahoma" w:hAnsi="Tahoma" w:cs="Tahoma"/>
          <w:sz w:val="24"/>
          <w:szCs w:val="24"/>
          <w:lang w:eastAsia="ro-RO"/>
        </w:rPr>
        <w:t xml:space="preserve">● 150.000 mii lei prin H.G. nr.370/2020 prin care s-a suplimentat bugetul Ministerului Educației și Cercetării și aprobarea Programului național "Școala de acasă" în vederea achiziționării de dispozitive electronice cu conexiune la internet, necesare dotării unităților de învățământ preuniversitar de stat în </w:t>
      </w:r>
      <w:r w:rsidRPr="00F362A1">
        <w:rPr>
          <w:rFonts w:ascii="Tahoma" w:hAnsi="Tahoma" w:cs="Tahoma"/>
          <w:sz w:val="24"/>
          <w:szCs w:val="24"/>
          <w:lang w:eastAsia="ro-RO"/>
        </w:rPr>
        <w:lastRenderedPageBreak/>
        <w:t>vederea facilitării activităților didactice la distanță pentru elevii din medii defavorizate, înmatriculați în unitățile de învățământ preuniversitar de stat;</w:t>
      </w:r>
    </w:p>
    <w:p w:rsidR="00AC672E" w:rsidRPr="00F362A1" w:rsidRDefault="00AC672E" w:rsidP="002A6579">
      <w:pPr>
        <w:pStyle w:val="ListParagraph"/>
        <w:spacing w:after="120" w:line="276" w:lineRule="auto"/>
        <w:ind w:left="851" w:firstLine="0"/>
        <w:contextualSpacing w:val="0"/>
        <w:rPr>
          <w:rFonts w:ascii="Tahoma" w:hAnsi="Tahoma" w:cs="Tahoma"/>
          <w:sz w:val="24"/>
          <w:szCs w:val="24"/>
          <w:lang w:eastAsia="ro-RO"/>
        </w:rPr>
      </w:pPr>
      <w:r w:rsidRPr="00F362A1">
        <w:rPr>
          <w:rFonts w:ascii="Tahoma" w:hAnsi="Tahoma" w:cs="Tahoma"/>
          <w:sz w:val="24"/>
          <w:szCs w:val="24"/>
          <w:lang w:eastAsia="ro-RO"/>
        </w:rPr>
        <w:t>● 350.000 mii lei prin H.G. nr.171/2020 prin care s-a suplimentat bugetul Ministerului Sănătății pentru pregătirea unităților sanitare din România în vederea îngrijirii pacienților infectați cu Coronavirus - COVID19, precum și pentru optimizarea derulării acțiunilor prioritare necesare îngrijirii și acordării tratamentului pacienților critici, în acest context, în conformitate cu legislația aferentă modului de administrare, finanțare și implementare a acțiunilor prioritare;</w:t>
      </w:r>
    </w:p>
    <w:p w:rsidR="00AC672E" w:rsidRPr="00F362A1" w:rsidRDefault="00AC672E" w:rsidP="002A6579">
      <w:pPr>
        <w:pStyle w:val="ListParagraph"/>
        <w:spacing w:after="120" w:line="276" w:lineRule="auto"/>
        <w:ind w:left="851" w:firstLine="0"/>
        <w:contextualSpacing w:val="0"/>
        <w:rPr>
          <w:rFonts w:ascii="Tahoma" w:hAnsi="Tahoma" w:cs="Tahoma"/>
          <w:sz w:val="24"/>
          <w:szCs w:val="24"/>
          <w:lang w:eastAsia="ro-RO"/>
        </w:rPr>
      </w:pPr>
      <w:r w:rsidRPr="00F362A1">
        <w:rPr>
          <w:rFonts w:ascii="Tahoma" w:hAnsi="Tahoma" w:cs="Tahoma"/>
          <w:sz w:val="24"/>
          <w:szCs w:val="24"/>
          <w:lang w:eastAsia="ro-RO"/>
        </w:rPr>
        <w:t>● 42.000 mii lei prin H.G. nr.201/2020 prin care s-a suplimentat bugetul Ministerului Sănătății pentru aprobarea normelor metodologice pentru stabilirea cheltuielilor pentru carantină și luarea unor măsuri în domeniul sănătății;</w:t>
      </w:r>
    </w:p>
    <w:p w:rsidR="00AC672E" w:rsidRPr="00F362A1" w:rsidRDefault="00AC672E" w:rsidP="002A6579">
      <w:pPr>
        <w:pStyle w:val="ListParagraph"/>
        <w:spacing w:after="120" w:line="276" w:lineRule="auto"/>
        <w:ind w:left="851" w:firstLine="0"/>
        <w:contextualSpacing w:val="0"/>
        <w:rPr>
          <w:rFonts w:ascii="Tahoma" w:hAnsi="Tahoma" w:cs="Tahoma"/>
          <w:sz w:val="24"/>
          <w:szCs w:val="24"/>
          <w:lang w:eastAsia="ro-RO"/>
        </w:rPr>
      </w:pPr>
      <w:r w:rsidRPr="00F362A1">
        <w:rPr>
          <w:rFonts w:ascii="Tahoma" w:hAnsi="Tahoma" w:cs="Tahoma"/>
          <w:sz w:val="24"/>
          <w:szCs w:val="24"/>
          <w:lang w:eastAsia="ro-RO"/>
        </w:rPr>
        <w:t>● 16.500 mii lei prin H.G. nr.334/2020 prin care s-a suplimentat bugetul Ministerului Sănătății în vederea acordării de către România a unui ajutor umanitar extern, cu titlu gratuit, pentru Republica Moldova pentru achiziționarea de medicamente, dezinfectanți, dispozitive medicale și materiale sanitare care asigură prevenția și tratarea afecțiunilor asociate COVID-19;</w:t>
      </w:r>
    </w:p>
    <w:p w:rsidR="00AC672E" w:rsidRPr="00F362A1" w:rsidRDefault="00AC672E" w:rsidP="002A6579">
      <w:pPr>
        <w:pStyle w:val="ListParagraph"/>
        <w:spacing w:after="120" w:line="276" w:lineRule="auto"/>
        <w:ind w:left="851" w:firstLine="0"/>
        <w:contextualSpacing w:val="0"/>
        <w:rPr>
          <w:rFonts w:ascii="Tahoma" w:hAnsi="Tahoma" w:cs="Tahoma"/>
          <w:sz w:val="24"/>
          <w:szCs w:val="24"/>
          <w:lang w:eastAsia="ro-RO"/>
        </w:rPr>
      </w:pPr>
      <w:r w:rsidRPr="00F362A1">
        <w:rPr>
          <w:rFonts w:ascii="Tahoma" w:hAnsi="Tahoma" w:cs="Tahoma"/>
          <w:sz w:val="24"/>
          <w:szCs w:val="24"/>
          <w:lang w:eastAsia="ro-RO"/>
        </w:rPr>
        <w:t xml:space="preserve">● 230.000 mii lei prin O.U.G. nr.78/2020 prin care s-a suplimentat bugetul Ministerului Sănătății în vederea acordării de către Ministerul </w:t>
      </w:r>
      <w:r w:rsidR="00247A3D" w:rsidRPr="00F362A1">
        <w:rPr>
          <w:rFonts w:ascii="Tahoma" w:hAnsi="Tahoma" w:cs="Tahoma"/>
          <w:sz w:val="24"/>
          <w:szCs w:val="24"/>
          <w:lang w:eastAsia="ro-RO"/>
        </w:rPr>
        <w:t>Sănătății</w:t>
      </w:r>
      <w:r w:rsidRPr="00F362A1">
        <w:rPr>
          <w:rFonts w:ascii="Tahoma" w:hAnsi="Tahoma" w:cs="Tahoma"/>
          <w:sz w:val="24"/>
          <w:szCs w:val="24"/>
          <w:lang w:eastAsia="ro-RO"/>
        </w:rPr>
        <w:t xml:space="preserve">, prin </w:t>
      </w:r>
      <w:r w:rsidR="00247A3D" w:rsidRPr="00F362A1">
        <w:rPr>
          <w:rFonts w:ascii="Tahoma" w:hAnsi="Tahoma" w:cs="Tahoma"/>
          <w:sz w:val="24"/>
          <w:szCs w:val="24"/>
          <w:lang w:eastAsia="ro-RO"/>
        </w:rPr>
        <w:t>direcțiile</w:t>
      </w:r>
      <w:r w:rsidRPr="00F362A1">
        <w:rPr>
          <w:rFonts w:ascii="Tahoma" w:hAnsi="Tahoma" w:cs="Tahoma"/>
          <w:sz w:val="24"/>
          <w:szCs w:val="24"/>
          <w:lang w:eastAsia="ro-RO"/>
        </w:rPr>
        <w:t xml:space="preserve"> de sănătate publică județene </w:t>
      </w:r>
      <w:r w:rsidR="00247A3D" w:rsidRPr="00F362A1">
        <w:rPr>
          <w:rFonts w:ascii="Tahoma" w:hAnsi="Tahoma" w:cs="Tahoma"/>
          <w:sz w:val="24"/>
          <w:szCs w:val="24"/>
          <w:lang w:eastAsia="ro-RO"/>
        </w:rPr>
        <w:t>și</w:t>
      </w:r>
      <w:r w:rsidRPr="00F362A1">
        <w:rPr>
          <w:rFonts w:ascii="Tahoma" w:hAnsi="Tahoma" w:cs="Tahoma"/>
          <w:sz w:val="24"/>
          <w:szCs w:val="24"/>
          <w:lang w:eastAsia="ro-RO"/>
        </w:rPr>
        <w:t xml:space="preserve"> a municipiului </w:t>
      </w:r>
      <w:r w:rsidR="00247A3D" w:rsidRPr="00F362A1">
        <w:rPr>
          <w:rFonts w:ascii="Tahoma" w:hAnsi="Tahoma" w:cs="Tahoma"/>
          <w:sz w:val="24"/>
          <w:szCs w:val="24"/>
          <w:lang w:eastAsia="ro-RO"/>
        </w:rPr>
        <w:t>București</w:t>
      </w:r>
      <w:r w:rsidRPr="00F362A1">
        <w:rPr>
          <w:rFonts w:ascii="Tahoma" w:hAnsi="Tahoma" w:cs="Tahoma"/>
          <w:sz w:val="24"/>
          <w:szCs w:val="24"/>
          <w:lang w:eastAsia="ro-RO"/>
        </w:rPr>
        <w:t xml:space="preserve">, </w:t>
      </w:r>
      <w:r w:rsidR="00247A3D" w:rsidRPr="00F362A1">
        <w:rPr>
          <w:rFonts w:ascii="Tahoma" w:hAnsi="Tahoma" w:cs="Tahoma"/>
          <w:sz w:val="24"/>
          <w:szCs w:val="24"/>
          <w:lang w:eastAsia="ro-RO"/>
        </w:rPr>
        <w:t>autorităților</w:t>
      </w:r>
      <w:r w:rsidRPr="00F362A1">
        <w:rPr>
          <w:rFonts w:ascii="Tahoma" w:hAnsi="Tahoma" w:cs="Tahoma"/>
          <w:sz w:val="24"/>
          <w:szCs w:val="24"/>
          <w:lang w:eastAsia="ro-RO"/>
        </w:rPr>
        <w:t xml:space="preserve"> publice locale a necesarului de </w:t>
      </w:r>
      <w:r w:rsidR="00247A3D" w:rsidRPr="00F362A1">
        <w:rPr>
          <w:rFonts w:ascii="Tahoma" w:hAnsi="Tahoma" w:cs="Tahoma"/>
          <w:sz w:val="24"/>
          <w:szCs w:val="24"/>
          <w:lang w:eastAsia="ro-RO"/>
        </w:rPr>
        <w:t>măști</w:t>
      </w:r>
      <w:r w:rsidRPr="00F362A1">
        <w:rPr>
          <w:rFonts w:ascii="Tahoma" w:hAnsi="Tahoma" w:cs="Tahoma"/>
          <w:sz w:val="24"/>
          <w:szCs w:val="24"/>
          <w:lang w:eastAsia="ro-RO"/>
        </w:rPr>
        <w:t xml:space="preserve"> de </w:t>
      </w:r>
      <w:r w:rsidR="00247A3D" w:rsidRPr="00F362A1">
        <w:rPr>
          <w:rFonts w:ascii="Tahoma" w:hAnsi="Tahoma" w:cs="Tahoma"/>
          <w:sz w:val="24"/>
          <w:szCs w:val="24"/>
          <w:lang w:eastAsia="ro-RO"/>
        </w:rPr>
        <w:t>protecție</w:t>
      </w:r>
      <w:r w:rsidRPr="00F362A1">
        <w:rPr>
          <w:rFonts w:ascii="Tahoma" w:hAnsi="Tahoma" w:cs="Tahoma"/>
          <w:sz w:val="24"/>
          <w:szCs w:val="24"/>
          <w:lang w:eastAsia="ro-RO"/>
        </w:rPr>
        <w:t xml:space="preserve"> pentru familiile </w:t>
      </w:r>
      <w:r w:rsidR="00247A3D" w:rsidRPr="00F362A1">
        <w:rPr>
          <w:rFonts w:ascii="Tahoma" w:hAnsi="Tahoma" w:cs="Tahoma"/>
          <w:sz w:val="24"/>
          <w:szCs w:val="24"/>
          <w:lang w:eastAsia="ro-RO"/>
        </w:rPr>
        <w:t>și</w:t>
      </w:r>
      <w:r w:rsidRPr="00F362A1">
        <w:rPr>
          <w:rFonts w:ascii="Tahoma" w:hAnsi="Tahoma" w:cs="Tahoma"/>
          <w:sz w:val="24"/>
          <w:szCs w:val="24"/>
          <w:lang w:eastAsia="ro-RO"/>
        </w:rPr>
        <w:t xml:space="preserve"> persoanele defavorizate de pe raza </w:t>
      </w:r>
      <w:r w:rsidR="00247A3D" w:rsidRPr="00F362A1">
        <w:rPr>
          <w:rFonts w:ascii="Tahoma" w:hAnsi="Tahoma" w:cs="Tahoma"/>
          <w:sz w:val="24"/>
          <w:szCs w:val="24"/>
          <w:lang w:eastAsia="ro-RO"/>
        </w:rPr>
        <w:t>unităților</w:t>
      </w:r>
      <w:r w:rsidRPr="00F362A1">
        <w:rPr>
          <w:rFonts w:ascii="Tahoma" w:hAnsi="Tahoma" w:cs="Tahoma"/>
          <w:sz w:val="24"/>
          <w:szCs w:val="24"/>
          <w:lang w:eastAsia="ro-RO"/>
        </w:rPr>
        <w:t xml:space="preserve"> administrativ-teritoriale;</w:t>
      </w:r>
    </w:p>
    <w:p w:rsidR="00AC672E" w:rsidRPr="00F362A1" w:rsidRDefault="00AC672E" w:rsidP="002A6579">
      <w:pPr>
        <w:pStyle w:val="ListParagraph"/>
        <w:spacing w:after="120" w:line="276" w:lineRule="auto"/>
        <w:ind w:left="851" w:firstLine="0"/>
        <w:contextualSpacing w:val="0"/>
        <w:rPr>
          <w:rFonts w:ascii="Tahoma" w:hAnsi="Tahoma" w:cs="Tahoma"/>
          <w:sz w:val="24"/>
          <w:szCs w:val="24"/>
          <w:lang w:eastAsia="ro-RO"/>
        </w:rPr>
      </w:pPr>
      <w:r w:rsidRPr="00F362A1">
        <w:rPr>
          <w:rFonts w:ascii="Tahoma" w:hAnsi="Tahoma" w:cs="Tahoma"/>
          <w:sz w:val="24"/>
          <w:szCs w:val="24"/>
          <w:lang w:eastAsia="ro-RO"/>
        </w:rPr>
        <w:t>● 600.000 mii lei prin H.G. nr.419/2020 prin care s-a suplimentat bugetul Ministerului Sănătății pentru decontarea cheltuielilor pentru carantină, precum și decontarea alocației de hrană și stabilirea măsurilor de sprijinire a persoanelor vulnerabile care se află în izolare la domiciliu, ca urmare a măsurilor de limitare a răspândirii COVID-19;</w:t>
      </w:r>
    </w:p>
    <w:p w:rsidR="00AC672E" w:rsidRPr="00F362A1" w:rsidRDefault="00AC672E" w:rsidP="002A6579">
      <w:pPr>
        <w:pStyle w:val="ListParagraph"/>
        <w:spacing w:after="120" w:line="276" w:lineRule="auto"/>
        <w:ind w:left="851" w:firstLine="0"/>
        <w:contextualSpacing w:val="0"/>
        <w:rPr>
          <w:rFonts w:ascii="Tahoma" w:hAnsi="Tahoma" w:cs="Tahoma"/>
          <w:sz w:val="24"/>
          <w:szCs w:val="24"/>
          <w:lang w:eastAsia="ro-RO"/>
        </w:rPr>
      </w:pPr>
      <w:r w:rsidRPr="00F362A1">
        <w:rPr>
          <w:rFonts w:ascii="Tahoma" w:hAnsi="Tahoma" w:cs="Tahoma"/>
          <w:sz w:val="24"/>
          <w:szCs w:val="24"/>
          <w:lang w:eastAsia="ro-RO"/>
        </w:rPr>
        <w:t>● 8.500 mii lei prin H.G. nr.464/2020 prin care s-a suplimentat bugetul Ministerului Sănătății în vederea acordării de către România a unui ajutor umanitar extern, cu titlu gratuit, pentru Ucraina pentru achiziționarea de medicamente, dezinfectanți, dispozitive medicale, echipamente medicale și materiale sanitare care asigură prevenția și tratarea afecțiunilor asociate COVID-19;</w:t>
      </w:r>
    </w:p>
    <w:p w:rsidR="00AC672E" w:rsidRPr="00F362A1" w:rsidRDefault="00AC672E" w:rsidP="002A6579">
      <w:pPr>
        <w:pStyle w:val="ListParagraph"/>
        <w:spacing w:after="120" w:line="276" w:lineRule="auto"/>
        <w:ind w:left="851" w:firstLine="0"/>
        <w:contextualSpacing w:val="0"/>
        <w:rPr>
          <w:rFonts w:ascii="Tahoma" w:hAnsi="Tahoma" w:cs="Tahoma"/>
          <w:sz w:val="24"/>
          <w:szCs w:val="24"/>
          <w:lang w:eastAsia="ro-RO"/>
        </w:rPr>
      </w:pPr>
      <w:r w:rsidRPr="00F362A1">
        <w:rPr>
          <w:rFonts w:ascii="Tahoma" w:hAnsi="Tahoma" w:cs="Tahoma"/>
          <w:sz w:val="24"/>
          <w:szCs w:val="24"/>
          <w:lang w:eastAsia="ro-RO"/>
        </w:rPr>
        <w:t xml:space="preserve">● 10.379 mii lei prin H.G. nr.205/2020 prin care s-a suplimentat bugetul Serviciului de Telecomunicații Speciale în vederea implementării soluțiilor de comunicații și tehnologia informației necesare pentru asigurarea desfășurării în condiții de izolare a activității membrilor Guvernului și ai Parlamentului </w:t>
      </w:r>
      <w:r w:rsidRPr="00F362A1">
        <w:rPr>
          <w:rFonts w:ascii="Tahoma" w:hAnsi="Tahoma" w:cs="Tahoma"/>
          <w:sz w:val="24"/>
          <w:szCs w:val="24"/>
          <w:lang w:eastAsia="ro-RO"/>
        </w:rPr>
        <w:lastRenderedPageBreak/>
        <w:t>României, precum și a activității celorlalte instituții publice implicate în combaterea epidemiei de coronavirus și limitarea răspândirii acesteia;</w:t>
      </w:r>
    </w:p>
    <w:p w:rsidR="0014197B" w:rsidRPr="00F362A1" w:rsidRDefault="00AC672E" w:rsidP="002A6579">
      <w:pPr>
        <w:pStyle w:val="ListParagraph"/>
        <w:spacing w:after="120" w:line="276" w:lineRule="auto"/>
        <w:ind w:left="851" w:firstLine="0"/>
        <w:contextualSpacing w:val="0"/>
        <w:rPr>
          <w:rFonts w:ascii="Tahoma" w:hAnsi="Tahoma" w:cs="Tahoma"/>
          <w:sz w:val="24"/>
          <w:szCs w:val="24"/>
          <w:lang w:eastAsia="ro-RO"/>
        </w:rPr>
      </w:pPr>
      <w:r w:rsidRPr="00F362A1">
        <w:rPr>
          <w:rFonts w:ascii="Tahoma" w:hAnsi="Tahoma" w:cs="Tahoma"/>
          <w:sz w:val="24"/>
          <w:szCs w:val="24"/>
          <w:lang w:eastAsia="ro-RO"/>
        </w:rPr>
        <w:t>● 15.638 mii lei prin H.G. nr.329/2020 prin care s-au suplimentat bugetele locale în vederea finanțării cheltuielilor cu alocația de hrană și cu indemnizația de cazare pentru personalul din serviciile sociale publice și private de tipul centrelor rezidențiale de îngrijire și asistență a persoanelor vârstnice, centrelor rezidențiale pentru copii și adulți, cu și fără dizabilități, precum și pentru alte categorii vulnerabile aflat în izolare preventivă la locul de muncă sau în zone special dedicate în care nu au acces persoane din exterior.</w:t>
      </w:r>
    </w:p>
    <w:p w:rsidR="00AC672E" w:rsidRPr="00F362A1" w:rsidRDefault="00AC672E" w:rsidP="002A6579">
      <w:pPr>
        <w:spacing w:after="240" w:line="276" w:lineRule="auto"/>
        <w:ind w:firstLine="567"/>
        <w:rPr>
          <w:rFonts w:ascii="Tahoma" w:hAnsi="Tahoma" w:cs="Tahoma"/>
          <w:sz w:val="24"/>
          <w:szCs w:val="24"/>
          <w:lang w:eastAsia="ro-RO"/>
        </w:rPr>
      </w:pPr>
      <w:r w:rsidRPr="00F362A1">
        <w:rPr>
          <w:rFonts w:ascii="Tahoma" w:hAnsi="Tahoma" w:cs="Tahoma"/>
          <w:sz w:val="24"/>
          <w:szCs w:val="24"/>
          <w:lang w:eastAsia="ro-RO"/>
        </w:rPr>
        <w:t>După aprobarea primei rectificări bugetare au fost adoptate o serie măsuri bugetare care să conducă la înlăturarea efectelor generate de pandemia de SARS-COV-19 menite să susțină mediul de afaceri,  să ofere ajutor cetățenilor și sectoarelor celor mai afectate, măsuri care vor fi avute în vedere</w:t>
      </w:r>
      <w:r w:rsidR="00C40A07" w:rsidRPr="00F362A1">
        <w:rPr>
          <w:rFonts w:ascii="Tahoma" w:hAnsi="Tahoma" w:cs="Tahoma"/>
          <w:sz w:val="24"/>
          <w:szCs w:val="24"/>
          <w:lang w:eastAsia="ro-RO"/>
        </w:rPr>
        <w:t xml:space="preserve"> </w:t>
      </w:r>
      <w:r w:rsidRPr="00F362A1">
        <w:rPr>
          <w:rFonts w:ascii="Tahoma" w:hAnsi="Tahoma" w:cs="Tahoma"/>
          <w:sz w:val="24"/>
          <w:szCs w:val="24"/>
          <w:lang w:eastAsia="ro-RO"/>
        </w:rPr>
        <w:t>pentru perioada următoare</w:t>
      </w:r>
      <w:r w:rsidR="00A33947" w:rsidRPr="00F362A1">
        <w:rPr>
          <w:rFonts w:ascii="Tahoma" w:hAnsi="Tahoma" w:cs="Tahoma"/>
          <w:sz w:val="24"/>
          <w:szCs w:val="24"/>
          <w:lang w:eastAsia="ro-RO"/>
        </w:rPr>
        <w:t>,</w:t>
      </w:r>
      <w:r w:rsidRPr="00F362A1">
        <w:rPr>
          <w:rFonts w:ascii="Tahoma" w:hAnsi="Tahoma" w:cs="Tahoma"/>
          <w:sz w:val="24"/>
          <w:szCs w:val="24"/>
          <w:lang w:eastAsia="ro-RO"/>
        </w:rPr>
        <w:t xml:space="preserve"> cum ar fi: </w:t>
      </w:r>
    </w:p>
    <w:p w:rsidR="002F1039" w:rsidRPr="00F362A1" w:rsidRDefault="0035563D" w:rsidP="002A6579">
      <w:pPr>
        <w:numPr>
          <w:ilvl w:val="0"/>
          <w:numId w:val="11"/>
        </w:numPr>
        <w:spacing w:line="276" w:lineRule="auto"/>
        <w:ind w:left="851" w:hanging="284"/>
        <w:rPr>
          <w:rFonts w:ascii="Tahoma" w:hAnsi="Tahoma" w:cs="Tahoma"/>
          <w:sz w:val="24"/>
          <w:szCs w:val="24"/>
          <w:lang w:eastAsia="ro-RO"/>
        </w:rPr>
      </w:pPr>
      <w:r w:rsidRPr="00F362A1">
        <w:rPr>
          <w:rFonts w:ascii="Tahoma" w:hAnsi="Tahoma" w:cs="Tahoma"/>
          <w:sz w:val="24"/>
          <w:szCs w:val="24"/>
          <w:lang w:eastAsia="ro-RO"/>
        </w:rPr>
        <w:t xml:space="preserve">Începând cu data de 1 iunie 2020, angajatorii ai căror </w:t>
      </w:r>
      <w:r w:rsidR="00C1502A" w:rsidRPr="00F362A1">
        <w:rPr>
          <w:rFonts w:ascii="Tahoma" w:hAnsi="Tahoma" w:cs="Tahoma"/>
          <w:sz w:val="24"/>
          <w:szCs w:val="24"/>
          <w:lang w:eastAsia="ro-RO"/>
        </w:rPr>
        <w:t>angajați</w:t>
      </w:r>
      <w:r w:rsidRPr="00F362A1">
        <w:rPr>
          <w:rFonts w:ascii="Tahoma" w:hAnsi="Tahoma" w:cs="Tahoma"/>
          <w:sz w:val="24"/>
          <w:szCs w:val="24"/>
          <w:lang w:eastAsia="ro-RO"/>
        </w:rPr>
        <w:t xml:space="preserve"> au beneficiat de prevederile </w:t>
      </w:r>
      <w:r w:rsidR="00247A3D" w:rsidRPr="00F362A1">
        <w:rPr>
          <w:rFonts w:ascii="Tahoma" w:hAnsi="Tahoma" w:cs="Tahoma"/>
          <w:sz w:val="24"/>
          <w:szCs w:val="24"/>
          <w:lang w:eastAsia="ro-RO"/>
        </w:rPr>
        <w:t>Ordonanței</w:t>
      </w:r>
      <w:r w:rsidRPr="00F362A1">
        <w:rPr>
          <w:rFonts w:ascii="Tahoma" w:hAnsi="Tahoma" w:cs="Tahoma"/>
          <w:sz w:val="24"/>
          <w:szCs w:val="24"/>
          <w:lang w:eastAsia="ro-RO"/>
        </w:rPr>
        <w:t xml:space="preserve"> de </w:t>
      </w:r>
      <w:r w:rsidR="00247A3D" w:rsidRPr="00F362A1">
        <w:rPr>
          <w:rFonts w:ascii="Tahoma" w:hAnsi="Tahoma" w:cs="Tahoma"/>
          <w:sz w:val="24"/>
          <w:szCs w:val="24"/>
          <w:lang w:eastAsia="ro-RO"/>
        </w:rPr>
        <w:t>urgență</w:t>
      </w:r>
      <w:r w:rsidRPr="00F362A1">
        <w:rPr>
          <w:rFonts w:ascii="Tahoma" w:hAnsi="Tahoma" w:cs="Tahoma"/>
          <w:sz w:val="24"/>
          <w:szCs w:val="24"/>
          <w:lang w:eastAsia="ro-RO"/>
        </w:rPr>
        <w:t xml:space="preserve"> a Guvernului nr. 30/2020, precum </w:t>
      </w:r>
      <w:r w:rsidR="00247A3D" w:rsidRPr="00F362A1">
        <w:rPr>
          <w:rFonts w:ascii="Tahoma" w:hAnsi="Tahoma" w:cs="Tahoma"/>
          <w:sz w:val="24"/>
          <w:szCs w:val="24"/>
          <w:lang w:eastAsia="ro-RO"/>
        </w:rPr>
        <w:t>și</w:t>
      </w:r>
      <w:r w:rsidRPr="00F362A1">
        <w:rPr>
          <w:rFonts w:ascii="Tahoma" w:hAnsi="Tahoma" w:cs="Tahoma"/>
          <w:sz w:val="24"/>
          <w:szCs w:val="24"/>
          <w:lang w:eastAsia="ro-RO"/>
        </w:rPr>
        <w:t xml:space="preserve"> angajatorii ai căror </w:t>
      </w:r>
      <w:r w:rsidR="00247A3D" w:rsidRPr="00F362A1">
        <w:rPr>
          <w:rFonts w:ascii="Tahoma" w:hAnsi="Tahoma" w:cs="Tahoma"/>
          <w:sz w:val="24"/>
          <w:szCs w:val="24"/>
          <w:lang w:eastAsia="ro-RO"/>
        </w:rPr>
        <w:t>angajați</w:t>
      </w:r>
      <w:r w:rsidRPr="00F362A1">
        <w:rPr>
          <w:rFonts w:ascii="Tahoma" w:hAnsi="Tahoma" w:cs="Tahoma"/>
          <w:sz w:val="24"/>
          <w:szCs w:val="24"/>
          <w:lang w:eastAsia="ro-RO"/>
        </w:rPr>
        <w:t xml:space="preserve"> au avut contractele individuale de muncă suspendate şi nu au beneficiat de prevederile </w:t>
      </w:r>
      <w:r w:rsidR="00C1502A" w:rsidRPr="00F362A1">
        <w:rPr>
          <w:rFonts w:ascii="Tahoma" w:hAnsi="Tahoma" w:cs="Tahoma"/>
          <w:sz w:val="24"/>
          <w:szCs w:val="24"/>
          <w:lang w:eastAsia="ro-RO"/>
        </w:rPr>
        <w:t>Ordonanței</w:t>
      </w:r>
      <w:r w:rsidRPr="00F362A1">
        <w:rPr>
          <w:rFonts w:ascii="Tahoma" w:hAnsi="Tahoma" w:cs="Tahoma"/>
          <w:sz w:val="24"/>
          <w:szCs w:val="24"/>
          <w:lang w:eastAsia="ro-RO"/>
        </w:rPr>
        <w:t xml:space="preserve"> de </w:t>
      </w:r>
      <w:r w:rsidR="00C1502A" w:rsidRPr="00F362A1">
        <w:rPr>
          <w:rFonts w:ascii="Tahoma" w:hAnsi="Tahoma" w:cs="Tahoma"/>
          <w:sz w:val="24"/>
          <w:szCs w:val="24"/>
          <w:lang w:eastAsia="ro-RO"/>
        </w:rPr>
        <w:t>urgență</w:t>
      </w:r>
      <w:r w:rsidRPr="00F362A1">
        <w:rPr>
          <w:rFonts w:ascii="Tahoma" w:hAnsi="Tahoma" w:cs="Tahoma"/>
          <w:sz w:val="24"/>
          <w:szCs w:val="24"/>
          <w:lang w:eastAsia="ro-RO"/>
        </w:rPr>
        <w:t xml:space="preserve"> a Guvernului nr. 30/2020 în perioada stării de </w:t>
      </w:r>
      <w:r w:rsidR="00247A3D" w:rsidRPr="00F362A1">
        <w:rPr>
          <w:rFonts w:ascii="Tahoma" w:hAnsi="Tahoma" w:cs="Tahoma"/>
          <w:sz w:val="24"/>
          <w:szCs w:val="24"/>
          <w:lang w:eastAsia="ro-RO"/>
        </w:rPr>
        <w:t>urgență</w:t>
      </w:r>
      <w:r w:rsidRPr="00F362A1">
        <w:rPr>
          <w:rFonts w:ascii="Tahoma" w:hAnsi="Tahoma" w:cs="Tahoma"/>
          <w:sz w:val="24"/>
          <w:szCs w:val="24"/>
          <w:lang w:eastAsia="ro-RO"/>
        </w:rPr>
        <w:t xml:space="preserve"> sau alertă, beneficiază, pentru o perioadă de trei luni, de decontarea unei </w:t>
      </w:r>
      <w:r w:rsidR="00247A3D" w:rsidRPr="00F362A1">
        <w:rPr>
          <w:rFonts w:ascii="Tahoma" w:hAnsi="Tahoma" w:cs="Tahoma"/>
          <w:sz w:val="24"/>
          <w:szCs w:val="24"/>
          <w:lang w:eastAsia="ro-RO"/>
        </w:rPr>
        <w:t>părți</w:t>
      </w:r>
      <w:r w:rsidRPr="00F362A1">
        <w:rPr>
          <w:rFonts w:ascii="Tahoma" w:hAnsi="Tahoma" w:cs="Tahoma"/>
          <w:sz w:val="24"/>
          <w:szCs w:val="24"/>
          <w:lang w:eastAsia="ro-RO"/>
        </w:rPr>
        <w:t xml:space="preserve"> din salariu, </w:t>
      </w:r>
      <w:r w:rsidRPr="00F362A1">
        <w:rPr>
          <w:rFonts w:ascii="Tahoma" w:hAnsi="Tahoma" w:cs="Tahoma"/>
          <w:b/>
          <w:bCs/>
          <w:sz w:val="24"/>
          <w:szCs w:val="24"/>
          <w:lang w:eastAsia="ro-RO"/>
        </w:rPr>
        <w:t xml:space="preserve">suportată din bugetul asigurărilor pentru </w:t>
      </w:r>
      <w:r w:rsidR="00247A3D" w:rsidRPr="00F362A1">
        <w:rPr>
          <w:rFonts w:ascii="Tahoma" w:hAnsi="Tahoma" w:cs="Tahoma"/>
          <w:b/>
          <w:bCs/>
          <w:sz w:val="24"/>
          <w:szCs w:val="24"/>
          <w:lang w:eastAsia="ro-RO"/>
        </w:rPr>
        <w:t>șomaj</w:t>
      </w:r>
      <w:r w:rsidRPr="00F362A1">
        <w:rPr>
          <w:rFonts w:ascii="Tahoma" w:hAnsi="Tahoma" w:cs="Tahoma"/>
          <w:sz w:val="24"/>
          <w:szCs w:val="24"/>
          <w:lang w:eastAsia="ro-RO"/>
        </w:rPr>
        <w:t xml:space="preserve">, reprezentând 41,5% din salariul de bază brut corespunzător locului de muncă ocupat, dar nu mai mult de 41,5% din </w:t>
      </w:r>
      <w:r w:rsidR="00247A3D" w:rsidRPr="00F362A1">
        <w:rPr>
          <w:rFonts w:ascii="Tahoma" w:hAnsi="Tahoma" w:cs="Tahoma"/>
          <w:sz w:val="24"/>
          <w:szCs w:val="24"/>
          <w:lang w:eastAsia="ro-RO"/>
        </w:rPr>
        <w:t>câștigul</w:t>
      </w:r>
      <w:r w:rsidRPr="00F362A1">
        <w:rPr>
          <w:rFonts w:ascii="Tahoma" w:hAnsi="Tahoma" w:cs="Tahoma"/>
          <w:sz w:val="24"/>
          <w:szCs w:val="24"/>
          <w:lang w:eastAsia="ro-RO"/>
        </w:rPr>
        <w:t xml:space="preserve"> salarial mediu brut prevăzut de Legea nr. 6/2020.</w:t>
      </w:r>
    </w:p>
    <w:p w:rsidR="002F1039" w:rsidRPr="00F362A1" w:rsidRDefault="0035563D" w:rsidP="002A6579">
      <w:pPr>
        <w:numPr>
          <w:ilvl w:val="0"/>
          <w:numId w:val="11"/>
        </w:numPr>
        <w:spacing w:line="276" w:lineRule="auto"/>
        <w:ind w:left="851" w:hanging="425"/>
        <w:rPr>
          <w:rFonts w:ascii="Tahoma" w:hAnsi="Tahoma" w:cs="Tahoma"/>
          <w:sz w:val="24"/>
          <w:szCs w:val="24"/>
          <w:lang w:eastAsia="ro-RO"/>
        </w:rPr>
      </w:pPr>
      <w:r w:rsidRPr="00F362A1">
        <w:rPr>
          <w:rFonts w:ascii="Tahoma" w:hAnsi="Tahoma" w:cs="Tahoma"/>
          <w:sz w:val="24"/>
          <w:szCs w:val="24"/>
          <w:lang w:eastAsia="ro-RO"/>
        </w:rPr>
        <w:t xml:space="preserve">Angajatorii care în perioada 1 iunie 2020 - 31 decembrie 2020 încadrează în muncă, pe perioadă nedeterminată, cu normă întreagă, persoane în vârstă de peste 50 de ani ale căror raporturi de muncă au încetat  în perioada stării de </w:t>
      </w:r>
      <w:r w:rsidR="00247A3D" w:rsidRPr="00F362A1">
        <w:rPr>
          <w:rFonts w:ascii="Tahoma" w:hAnsi="Tahoma" w:cs="Tahoma"/>
          <w:sz w:val="24"/>
          <w:szCs w:val="24"/>
          <w:lang w:eastAsia="ro-RO"/>
        </w:rPr>
        <w:t>urgență</w:t>
      </w:r>
      <w:r w:rsidRPr="00F362A1">
        <w:rPr>
          <w:rFonts w:ascii="Tahoma" w:hAnsi="Tahoma" w:cs="Tahoma"/>
          <w:sz w:val="24"/>
          <w:szCs w:val="24"/>
          <w:lang w:eastAsia="ro-RO"/>
        </w:rPr>
        <w:t xml:space="preserve"> și de alertă </w:t>
      </w:r>
      <w:r w:rsidR="00247A3D" w:rsidRPr="00F362A1">
        <w:rPr>
          <w:rFonts w:ascii="Tahoma" w:hAnsi="Tahoma" w:cs="Tahoma"/>
          <w:sz w:val="24"/>
          <w:szCs w:val="24"/>
          <w:lang w:eastAsia="ro-RO"/>
        </w:rPr>
        <w:t>înregistrați</w:t>
      </w:r>
      <w:r w:rsidRPr="00F362A1">
        <w:rPr>
          <w:rFonts w:ascii="Tahoma" w:hAnsi="Tahoma" w:cs="Tahoma"/>
          <w:sz w:val="24"/>
          <w:szCs w:val="24"/>
          <w:lang w:eastAsia="ro-RO"/>
        </w:rPr>
        <w:t xml:space="preserve"> ca </w:t>
      </w:r>
      <w:r w:rsidR="00247A3D" w:rsidRPr="00F362A1">
        <w:rPr>
          <w:rFonts w:ascii="Tahoma" w:hAnsi="Tahoma" w:cs="Tahoma"/>
          <w:sz w:val="24"/>
          <w:szCs w:val="24"/>
          <w:lang w:eastAsia="ro-RO"/>
        </w:rPr>
        <w:t>șomeri</w:t>
      </w:r>
      <w:r w:rsidRPr="00F362A1">
        <w:rPr>
          <w:rFonts w:ascii="Tahoma" w:hAnsi="Tahoma" w:cs="Tahoma"/>
          <w:sz w:val="24"/>
          <w:szCs w:val="24"/>
          <w:lang w:eastAsia="ro-RO"/>
        </w:rPr>
        <w:t xml:space="preserve">, primesc lunar, pe o perioadă de 12 luni, pentru fiecare persoană angajată din această categorie, 50% din salariul angajatului, dar nu mai mult de 2.500 lei. </w:t>
      </w:r>
      <w:r w:rsidRPr="00F362A1">
        <w:rPr>
          <w:rFonts w:ascii="Tahoma" w:hAnsi="Tahoma" w:cs="Tahoma"/>
          <w:b/>
          <w:bCs/>
          <w:sz w:val="24"/>
          <w:szCs w:val="24"/>
          <w:lang w:eastAsia="ro-RO"/>
        </w:rPr>
        <w:t xml:space="preserve">Sumele se asigură din bugetul asigurărilor pentru </w:t>
      </w:r>
      <w:r w:rsidR="00247A3D" w:rsidRPr="00F362A1">
        <w:rPr>
          <w:rFonts w:ascii="Tahoma" w:hAnsi="Tahoma" w:cs="Tahoma"/>
          <w:b/>
          <w:bCs/>
          <w:sz w:val="24"/>
          <w:szCs w:val="24"/>
          <w:lang w:eastAsia="ro-RO"/>
        </w:rPr>
        <w:t>șomaj</w:t>
      </w:r>
      <w:r w:rsidR="00C1502A" w:rsidRPr="00F362A1">
        <w:rPr>
          <w:rFonts w:ascii="Tahoma" w:hAnsi="Tahoma" w:cs="Tahoma"/>
          <w:b/>
          <w:bCs/>
          <w:sz w:val="24"/>
          <w:szCs w:val="24"/>
          <w:lang w:eastAsia="ro-RO"/>
        </w:rPr>
        <w:t>.</w:t>
      </w:r>
    </w:p>
    <w:p w:rsidR="00AC672E" w:rsidRPr="00F362A1" w:rsidRDefault="0035563D" w:rsidP="002A6579">
      <w:pPr>
        <w:numPr>
          <w:ilvl w:val="0"/>
          <w:numId w:val="11"/>
        </w:numPr>
        <w:spacing w:line="276" w:lineRule="auto"/>
        <w:ind w:left="851" w:hanging="425"/>
        <w:rPr>
          <w:rFonts w:ascii="Tahoma" w:hAnsi="Tahoma" w:cs="Tahoma"/>
          <w:sz w:val="24"/>
          <w:szCs w:val="24"/>
          <w:lang w:eastAsia="ro-RO"/>
        </w:rPr>
      </w:pPr>
      <w:r w:rsidRPr="00F362A1">
        <w:rPr>
          <w:rFonts w:ascii="Tahoma" w:hAnsi="Tahoma" w:cs="Tahoma"/>
          <w:sz w:val="24"/>
          <w:szCs w:val="24"/>
          <w:lang w:eastAsia="ro-RO"/>
        </w:rPr>
        <w:t xml:space="preserve">Angajatorii care încadrează în muncă, dar nu mai târziu de data de 31 decembrie 2020, pe perioadă nedeterminată, cu normă întreagă, persoane cu vârsta cuprinsă între 16 </w:t>
      </w:r>
      <w:r w:rsidR="00247A3D" w:rsidRPr="00F362A1">
        <w:rPr>
          <w:rFonts w:ascii="Tahoma" w:hAnsi="Tahoma" w:cs="Tahoma"/>
          <w:sz w:val="24"/>
          <w:szCs w:val="24"/>
          <w:lang w:eastAsia="ro-RO"/>
        </w:rPr>
        <w:t>și</w:t>
      </w:r>
      <w:r w:rsidRPr="00F362A1">
        <w:rPr>
          <w:rFonts w:ascii="Tahoma" w:hAnsi="Tahoma" w:cs="Tahoma"/>
          <w:sz w:val="24"/>
          <w:szCs w:val="24"/>
          <w:lang w:eastAsia="ro-RO"/>
        </w:rPr>
        <w:t xml:space="preserve"> 29 de ani </w:t>
      </w:r>
      <w:r w:rsidR="00247A3D" w:rsidRPr="00F362A1">
        <w:rPr>
          <w:rFonts w:ascii="Tahoma" w:hAnsi="Tahoma" w:cs="Tahoma"/>
          <w:sz w:val="24"/>
          <w:szCs w:val="24"/>
          <w:lang w:eastAsia="ro-RO"/>
        </w:rPr>
        <w:t>înregistrați</w:t>
      </w:r>
      <w:r w:rsidRPr="00F362A1">
        <w:rPr>
          <w:rFonts w:ascii="Tahoma" w:hAnsi="Tahoma" w:cs="Tahoma"/>
          <w:sz w:val="24"/>
          <w:szCs w:val="24"/>
          <w:lang w:eastAsia="ro-RO"/>
        </w:rPr>
        <w:t xml:space="preserve"> ca </w:t>
      </w:r>
      <w:r w:rsidR="00247A3D" w:rsidRPr="00F362A1">
        <w:rPr>
          <w:rFonts w:ascii="Tahoma" w:hAnsi="Tahoma" w:cs="Tahoma"/>
          <w:sz w:val="24"/>
          <w:szCs w:val="24"/>
          <w:lang w:eastAsia="ro-RO"/>
        </w:rPr>
        <w:t>șomeri</w:t>
      </w:r>
      <w:r w:rsidRPr="00F362A1">
        <w:rPr>
          <w:rFonts w:ascii="Tahoma" w:hAnsi="Tahoma" w:cs="Tahoma"/>
          <w:sz w:val="24"/>
          <w:szCs w:val="24"/>
          <w:lang w:eastAsia="ro-RO"/>
        </w:rPr>
        <w:t xml:space="preserve"> primesc lunar, pe o perioadă de 12 luni, pentru fiecare persoană angajată din această categorie, 50% din salariul angajatului, dar nu mai mult de 2.500 lei.</w:t>
      </w:r>
      <w:r w:rsidR="00C40A07" w:rsidRPr="00F362A1">
        <w:rPr>
          <w:rFonts w:ascii="Tahoma" w:hAnsi="Tahoma" w:cs="Tahoma"/>
          <w:sz w:val="24"/>
          <w:szCs w:val="24"/>
          <w:lang w:eastAsia="ro-RO"/>
        </w:rPr>
        <w:t xml:space="preserve"> </w:t>
      </w:r>
      <w:r w:rsidRPr="00F362A1">
        <w:rPr>
          <w:rFonts w:ascii="Tahoma" w:hAnsi="Tahoma" w:cs="Tahoma"/>
          <w:b/>
          <w:bCs/>
          <w:sz w:val="24"/>
          <w:szCs w:val="24"/>
          <w:lang w:eastAsia="ro-RO"/>
        </w:rPr>
        <w:t xml:space="preserve">Sumele se asigură din bugetul asigurărilor pentru </w:t>
      </w:r>
      <w:r w:rsidR="00247A3D" w:rsidRPr="00F362A1">
        <w:rPr>
          <w:rFonts w:ascii="Tahoma" w:hAnsi="Tahoma" w:cs="Tahoma"/>
          <w:b/>
          <w:bCs/>
          <w:sz w:val="24"/>
          <w:szCs w:val="24"/>
          <w:lang w:eastAsia="ro-RO"/>
        </w:rPr>
        <w:t>șomaj.</w:t>
      </w:r>
    </w:p>
    <w:p w:rsidR="00AC672E" w:rsidRPr="00F362A1" w:rsidRDefault="00247A3D" w:rsidP="002A6579">
      <w:pPr>
        <w:numPr>
          <w:ilvl w:val="0"/>
          <w:numId w:val="11"/>
        </w:numPr>
        <w:spacing w:line="276" w:lineRule="auto"/>
        <w:ind w:left="851" w:hanging="425"/>
        <w:rPr>
          <w:rFonts w:ascii="Tahoma" w:hAnsi="Tahoma" w:cs="Tahoma"/>
          <w:sz w:val="24"/>
          <w:szCs w:val="24"/>
          <w:lang w:eastAsia="ro-RO"/>
        </w:rPr>
      </w:pPr>
      <w:r w:rsidRPr="00F362A1">
        <w:rPr>
          <w:rFonts w:ascii="Tahoma" w:hAnsi="Tahoma" w:cs="Tahoma"/>
          <w:sz w:val="24"/>
          <w:szCs w:val="24"/>
          <w:lang w:eastAsia="ro-RO"/>
        </w:rPr>
        <w:t>Salariații</w:t>
      </w:r>
      <w:r w:rsidR="00AC672E" w:rsidRPr="00F362A1">
        <w:rPr>
          <w:rFonts w:ascii="Tahoma" w:hAnsi="Tahoma" w:cs="Tahoma"/>
          <w:sz w:val="24"/>
          <w:szCs w:val="24"/>
          <w:lang w:eastAsia="ro-RO"/>
        </w:rPr>
        <w:t xml:space="preserve"> angajatorilor a căror activitate a fost suspendată ca urmare a anchetei epidemiologice efectuate de </w:t>
      </w:r>
      <w:r w:rsidRPr="00F362A1">
        <w:rPr>
          <w:rFonts w:ascii="Tahoma" w:hAnsi="Tahoma" w:cs="Tahoma"/>
          <w:sz w:val="24"/>
          <w:szCs w:val="24"/>
          <w:lang w:eastAsia="ro-RO"/>
        </w:rPr>
        <w:t>direcțiile</w:t>
      </w:r>
      <w:r w:rsidR="00AC672E" w:rsidRPr="00F362A1">
        <w:rPr>
          <w:rFonts w:ascii="Tahoma" w:hAnsi="Tahoma" w:cs="Tahoma"/>
          <w:sz w:val="24"/>
          <w:szCs w:val="24"/>
          <w:lang w:eastAsia="ro-RO"/>
        </w:rPr>
        <w:t xml:space="preserve"> de sănătate publică </w:t>
      </w:r>
      <w:r w:rsidRPr="00F362A1">
        <w:rPr>
          <w:rFonts w:ascii="Tahoma" w:hAnsi="Tahoma" w:cs="Tahoma"/>
          <w:sz w:val="24"/>
          <w:szCs w:val="24"/>
          <w:lang w:eastAsia="ro-RO"/>
        </w:rPr>
        <w:t>județene</w:t>
      </w:r>
      <w:r w:rsidR="00AC672E" w:rsidRPr="00F362A1">
        <w:rPr>
          <w:rFonts w:ascii="Tahoma" w:hAnsi="Tahoma" w:cs="Tahoma"/>
          <w:sz w:val="24"/>
          <w:szCs w:val="24"/>
          <w:lang w:eastAsia="ro-RO"/>
        </w:rPr>
        <w:t xml:space="preserve">, </w:t>
      </w:r>
      <w:r w:rsidR="00AC672E" w:rsidRPr="00F362A1">
        <w:rPr>
          <w:rFonts w:ascii="Tahoma" w:hAnsi="Tahoma" w:cs="Tahoma"/>
          <w:sz w:val="24"/>
          <w:szCs w:val="24"/>
          <w:lang w:eastAsia="ro-RO"/>
        </w:rPr>
        <w:lastRenderedPageBreak/>
        <w:t xml:space="preserve">respectiv a municipiului </w:t>
      </w:r>
      <w:r w:rsidRPr="00F362A1">
        <w:rPr>
          <w:rFonts w:ascii="Tahoma" w:hAnsi="Tahoma" w:cs="Tahoma"/>
          <w:sz w:val="24"/>
          <w:szCs w:val="24"/>
          <w:lang w:eastAsia="ro-RO"/>
        </w:rPr>
        <w:t>București</w:t>
      </w:r>
      <w:r w:rsidR="00AC672E" w:rsidRPr="00F362A1">
        <w:rPr>
          <w:rFonts w:ascii="Tahoma" w:hAnsi="Tahoma" w:cs="Tahoma"/>
          <w:sz w:val="24"/>
          <w:szCs w:val="24"/>
          <w:lang w:eastAsia="ro-RO"/>
        </w:rPr>
        <w:t xml:space="preserve"> beneficiază de acordarea </w:t>
      </w:r>
      <w:r w:rsidRPr="00F362A1">
        <w:rPr>
          <w:rFonts w:ascii="Tahoma" w:hAnsi="Tahoma" w:cs="Tahoma"/>
          <w:sz w:val="24"/>
          <w:szCs w:val="24"/>
          <w:lang w:eastAsia="ro-RO"/>
        </w:rPr>
        <w:t>indemnizației</w:t>
      </w:r>
      <w:r w:rsidR="00AC672E" w:rsidRPr="00F362A1">
        <w:rPr>
          <w:rFonts w:ascii="Tahoma" w:hAnsi="Tahoma" w:cs="Tahoma"/>
          <w:sz w:val="24"/>
          <w:szCs w:val="24"/>
          <w:lang w:eastAsia="ro-RO"/>
        </w:rPr>
        <w:t xml:space="preserve"> prevăzute de </w:t>
      </w:r>
      <w:r w:rsidRPr="00F362A1">
        <w:rPr>
          <w:rFonts w:ascii="Tahoma" w:hAnsi="Tahoma" w:cs="Tahoma"/>
          <w:sz w:val="24"/>
          <w:szCs w:val="24"/>
          <w:lang w:eastAsia="ro-RO"/>
        </w:rPr>
        <w:t>Ordonanța</w:t>
      </w:r>
      <w:r w:rsidR="00AC672E" w:rsidRPr="00F362A1">
        <w:rPr>
          <w:rFonts w:ascii="Tahoma" w:hAnsi="Tahoma" w:cs="Tahoma"/>
          <w:sz w:val="24"/>
          <w:szCs w:val="24"/>
          <w:lang w:eastAsia="ro-RO"/>
        </w:rPr>
        <w:t xml:space="preserve"> de </w:t>
      </w:r>
      <w:r w:rsidRPr="00F362A1">
        <w:rPr>
          <w:rFonts w:ascii="Tahoma" w:hAnsi="Tahoma" w:cs="Tahoma"/>
          <w:sz w:val="24"/>
          <w:szCs w:val="24"/>
          <w:lang w:eastAsia="ro-RO"/>
        </w:rPr>
        <w:t>urgență</w:t>
      </w:r>
      <w:r w:rsidR="00AC672E" w:rsidRPr="00F362A1">
        <w:rPr>
          <w:rFonts w:ascii="Tahoma" w:hAnsi="Tahoma" w:cs="Tahoma"/>
          <w:sz w:val="24"/>
          <w:szCs w:val="24"/>
          <w:lang w:eastAsia="ro-RO"/>
        </w:rPr>
        <w:t xml:space="preserve"> a Guvernului nr. 30/2020 pentru modificarea </w:t>
      </w:r>
      <w:r w:rsidRPr="00F362A1">
        <w:rPr>
          <w:rFonts w:ascii="Tahoma" w:hAnsi="Tahoma" w:cs="Tahoma"/>
          <w:sz w:val="24"/>
          <w:szCs w:val="24"/>
          <w:lang w:eastAsia="ro-RO"/>
        </w:rPr>
        <w:t>și</w:t>
      </w:r>
      <w:r w:rsidR="00AC672E" w:rsidRPr="00F362A1">
        <w:rPr>
          <w:rFonts w:ascii="Tahoma" w:hAnsi="Tahoma" w:cs="Tahoma"/>
          <w:sz w:val="24"/>
          <w:szCs w:val="24"/>
          <w:lang w:eastAsia="ro-RO"/>
        </w:rPr>
        <w:t xml:space="preserve"> completarea unor acte normative, precum </w:t>
      </w:r>
      <w:r w:rsidRPr="00F362A1">
        <w:rPr>
          <w:rFonts w:ascii="Tahoma" w:hAnsi="Tahoma" w:cs="Tahoma"/>
          <w:sz w:val="24"/>
          <w:szCs w:val="24"/>
          <w:lang w:eastAsia="ro-RO"/>
        </w:rPr>
        <w:t>și</w:t>
      </w:r>
      <w:r w:rsidR="00AC672E" w:rsidRPr="00F362A1">
        <w:rPr>
          <w:rFonts w:ascii="Tahoma" w:hAnsi="Tahoma" w:cs="Tahoma"/>
          <w:sz w:val="24"/>
          <w:szCs w:val="24"/>
          <w:lang w:eastAsia="ro-RO"/>
        </w:rPr>
        <w:t xml:space="preserve"> pentru stabilirea unor măsuri în domeniul </w:t>
      </w:r>
      <w:r w:rsidRPr="00F362A1">
        <w:rPr>
          <w:rFonts w:ascii="Tahoma" w:hAnsi="Tahoma" w:cs="Tahoma"/>
          <w:sz w:val="24"/>
          <w:szCs w:val="24"/>
          <w:lang w:eastAsia="ro-RO"/>
        </w:rPr>
        <w:t>protecției</w:t>
      </w:r>
      <w:r w:rsidR="00AC672E" w:rsidRPr="00F362A1">
        <w:rPr>
          <w:rFonts w:ascii="Tahoma" w:hAnsi="Tahoma" w:cs="Tahoma"/>
          <w:sz w:val="24"/>
          <w:szCs w:val="24"/>
          <w:lang w:eastAsia="ro-RO"/>
        </w:rPr>
        <w:t xml:space="preserve"> sociale în contextul </w:t>
      </w:r>
      <w:r w:rsidRPr="00F362A1">
        <w:rPr>
          <w:rFonts w:ascii="Tahoma" w:hAnsi="Tahoma" w:cs="Tahoma"/>
          <w:sz w:val="24"/>
          <w:szCs w:val="24"/>
          <w:lang w:eastAsia="ro-RO"/>
        </w:rPr>
        <w:t>situației</w:t>
      </w:r>
      <w:r w:rsidR="00AC672E" w:rsidRPr="00F362A1">
        <w:rPr>
          <w:rFonts w:ascii="Tahoma" w:hAnsi="Tahoma" w:cs="Tahoma"/>
          <w:sz w:val="24"/>
          <w:szCs w:val="24"/>
          <w:lang w:eastAsia="ro-RO"/>
        </w:rPr>
        <w:t xml:space="preserve"> epidemiologice determinate de răspândirea coronavirusului SARS-CoV-2, aprobată cu modificări </w:t>
      </w:r>
      <w:r w:rsidRPr="00F362A1">
        <w:rPr>
          <w:rFonts w:ascii="Tahoma" w:hAnsi="Tahoma" w:cs="Tahoma"/>
          <w:sz w:val="24"/>
          <w:szCs w:val="24"/>
          <w:lang w:eastAsia="ro-RO"/>
        </w:rPr>
        <w:t>și</w:t>
      </w:r>
      <w:r w:rsidR="00C40A07" w:rsidRPr="00F362A1">
        <w:rPr>
          <w:rFonts w:ascii="Tahoma" w:hAnsi="Tahoma" w:cs="Tahoma"/>
          <w:sz w:val="24"/>
          <w:szCs w:val="24"/>
          <w:lang w:eastAsia="ro-RO"/>
        </w:rPr>
        <w:t xml:space="preserve"> </w:t>
      </w:r>
      <w:r w:rsidR="00AC672E" w:rsidRPr="00F362A1">
        <w:rPr>
          <w:rFonts w:ascii="Tahoma" w:hAnsi="Tahoma" w:cs="Tahoma"/>
          <w:sz w:val="24"/>
          <w:szCs w:val="24"/>
          <w:lang w:eastAsia="ro-RO"/>
        </w:rPr>
        <w:t>completări prin Legea nr. 59/2020. cu completările ulterioare.</w:t>
      </w:r>
      <w:r w:rsidR="00C40A07" w:rsidRPr="00F362A1">
        <w:rPr>
          <w:rFonts w:ascii="Tahoma" w:hAnsi="Tahoma" w:cs="Tahoma"/>
          <w:sz w:val="24"/>
          <w:szCs w:val="24"/>
          <w:lang w:eastAsia="ro-RO"/>
        </w:rPr>
        <w:t xml:space="preserve"> </w:t>
      </w:r>
      <w:r w:rsidR="00AC672E" w:rsidRPr="00F362A1">
        <w:rPr>
          <w:rFonts w:ascii="Tahoma" w:hAnsi="Tahoma" w:cs="Tahoma"/>
          <w:b/>
          <w:bCs/>
          <w:sz w:val="24"/>
          <w:szCs w:val="24"/>
          <w:lang w:eastAsia="ro-RO"/>
        </w:rPr>
        <w:t xml:space="preserve">Sumele se asigură din bugetul asigurărilor pentru </w:t>
      </w:r>
      <w:r w:rsidRPr="00F362A1">
        <w:rPr>
          <w:rFonts w:ascii="Tahoma" w:hAnsi="Tahoma" w:cs="Tahoma"/>
          <w:b/>
          <w:bCs/>
          <w:sz w:val="24"/>
          <w:szCs w:val="24"/>
          <w:lang w:eastAsia="ro-RO"/>
        </w:rPr>
        <w:t>șomaj.</w:t>
      </w:r>
    </w:p>
    <w:p w:rsidR="00AC672E" w:rsidRPr="00F362A1" w:rsidRDefault="00AC672E" w:rsidP="002A6579">
      <w:pPr>
        <w:spacing w:line="276" w:lineRule="auto"/>
        <w:ind w:firstLine="567"/>
        <w:rPr>
          <w:rFonts w:ascii="Tahoma" w:hAnsi="Tahoma" w:cs="Tahoma"/>
          <w:sz w:val="24"/>
          <w:szCs w:val="24"/>
          <w:lang w:eastAsia="ro-RO"/>
        </w:rPr>
      </w:pPr>
      <w:r w:rsidRPr="00F362A1">
        <w:rPr>
          <w:rFonts w:ascii="Tahoma" w:hAnsi="Tahoma" w:cs="Tahoma"/>
          <w:sz w:val="24"/>
          <w:szCs w:val="24"/>
          <w:lang w:eastAsia="ro-RO"/>
        </w:rPr>
        <w:t>Totodată în această perioad</w:t>
      </w:r>
      <w:r w:rsidR="00C40A07" w:rsidRPr="00F362A1">
        <w:rPr>
          <w:rFonts w:ascii="Tahoma" w:hAnsi="Tahoma" w:cs="Tahoma"/>
          <w:sz w:val="24"/>
          <w:szCs w:val="24"/>
          <w:lang w:eastAsia="ro-RO"/>
        </w:rPr>
        <w:t>ă</w:t>
      </w:r>
      <w:r w:rsidRPr="00F362A1">
        <w:rPr>
          <w:rFonts w:ascii="Tahoma" w:hAnsi="Tahoma" w:cs="Tahoma"/>
          <w:sz w:val="24"/>
          <w:szCs w:val="24"/>
          <w:lang w:eastAsia="ro-RO"/>
        </w:rPr>
        <w:t xml:space="preserve"> au fost adoptate o serie de acte normative în domeniul fondurilor europene cum ar fi:</w:t>
      </w:r>
    </w:p>
    <w:p w:rsidR="00AC672E" w:rsidRPr="00F362A1" w:rsidRDefault="00AC672E" w:rsidP="002A6579">
      <w:pPr>
        <w:pStyle w:val="ListParagraph"/>
        <w:numPr>
          <w:ilvl w:val="0"/>
          <w:numId w:val="13"/>
        </w:numPr>
        <w:spacing w:line="276" w:lineRule="auto"/>
        <w:rPr>
          <w:rFonts w:ascii="Tahoma" w:hAnsi="Tahoma" w:cs="Tahoma"/>
          <w:sz w:val="24"/>
          <w:szCs w:val="24"/>
          <w:lang w:eastAsia="ro-RO"/>
        </w:rPr>
      </w:pPr>
      <w:r w:rsidRPr="00F362A1">
        <w:rPr>
          <w:rFonts w:ascii="Tahoma" w:hAnsi="Tahoma" w:cs="Tahoma"/>
          <w:sz w:val="24"/>
          <w:szCs w:val="24"/>
          <w:lang w:eastAsia="ro-RO"/>
        </w:rPr>
        <w:t>Ordo</w:t>
      </w:r>
      <w:r w:rsidR="003E2B48" w:rsidRPr="00F362A1">
        <w:rPr>
          <w:rFonts w:ascii="Tahoma" w:hAnsi="Tahoma" w:cs="Tahoma"/>
          <w:sz w:val="24"/>
          <w:szCs w:val="24"/>
          <w:lang w:eastAsia="ro-RO"/>
        </w:rPr>
        <w:t>nanța de urgență a Guvernului  n</w:t>
      </w:r>
      <w:r w:rsidRPr="00F362A1">
        <w:rPr>
          <w:rFonts w:ascii="Tahoma" w:hAnsi="Tahoma" w:cs="Tahoma"/>
          <w:sz w:val="24"/>
          <w:szCs w:val="24"/>
          <w:lang w:eastAsia="ro-RO"/>
        </w:rPr>
        <w:t xml:space="preserve">r. 60/2020 din 30 aprilie 2020 privind unele măsuri financiare în vederea implementării proiectelor de infrastructură fazate din perioada de programare 2007 - 2013, </w:t>
      </w:r>
      <w:r w:rsidR="00247A3D" w:rsidRPr="00F362A1">
        <w:rPr>
          <w:rFonts w:ascii="Tahoma" w:hAnsi="Tahoma" w:cs="Tahoma"/>
          <w:sz w:val="24"/>
          <w:szCs w:val="24"/>
          <w:lang w:eastAsia="ro-RO"/>
        </w:rPr>
        <w:t>finanțate</w:t>
      </w:r>
      <w:r w:rsidRPr="00F362A1">
        <w:rPr>
          <w:rFonts w:ascii="Tahoma" w:hAnsi="Tahoma" w:cs="Tahoma"/>
          <w:sz w:val="24"/>
          <w:szCs w:val="24"/>
          <w:lang w:eastAsia="ro-RO"/>
        </w:rPr>
        <w:t xml:space="preserve"> din fondurile Uniunii Europene aferente perioadei de programare 2014 – 2020</w:t>
      </w:r>
      <w:r w:rsidR="003E2B48" w:rsidRPr="00F362A1">
        <w:rPr>
          <w:rFonts w:ascii="Tahoma" w:hAnsi="Tahoma" w:cs="Tahoma"/>
          <w:sz w:val="24"/>
          <w:szCs w:val="24"/>
          <w:lang w:eastAsia="ro-RO"/>
        </w:rPr>
        <w:t>.</w:t>
      </w:r>
    </w:p>
    <w:p w:rsidR="00AC672E" w:rsidRPr="00F362A1" w:rsidRDefault="00AC672E" w:rsidP="002A6579">
      <w:pPr>
        <w:pStyle w:val="ListParagraph"/>
        <w:numPr>
          <w:ilvl w:val="0"/>
          <w:numId w:val="13"/>
        </w:numPr>
        <w:spacing w:line="276" w:lineRule="auto"/>
        <w:rPr>
          <w:rFonts w:ascii="Tahoma" w:hAnsi="Tahoma" w:cs="Tahoma"/>
          <w:sz w:val="24"/>
          <w:szCs w:val="24"/>
          <w:lang w:eastAsia="ro-RO"/>
        </w:rPr>
      </w:pPr>
      <w:r w:rsidRPr="00F362A1">
        <w:rPr>
          <w:rFonts w:ascii="Tahoma" w:hAnsi="Tahoma" w:cs="Tahoma"/>
          <w:sz w:val="24"/>
          <w:szCs w:val="24"/>
          <w:lang w:eastAsia="ro-RO"/>
        </w:rPr>
        <w:t>Ordo</w:t>
      </w:r>
      <w:r w:rsidR="003E2B48" w:rsidRPr="00F362A1">
        <w:rPr>
          <w:rFonts w:ascii="Tahoma" w:hAnsi="Tahoma" w:cs="Tahoma"/>
          <w:sz w:val="24"/>
          <w:szCs w:val="24"/>
          <w:lang w:eastAsia="ro-RO"/>
        </w:rPr>
        <w:t>nanța de urgență a Guvernului  n</w:t>
      </w:r>
      <w:r w:rsidRPr="00F362A1">
        <w:rPr>
          <w:rFonts w:ascii="Tahoma" w:hAnsi="Tahoma" w:cs="Tahoma"/>
          <w:sz w:val="24"/>
          <w:szCs w:val="24"/>
          <w:lang w:eastAsia="ro-RO"/>
        </w:rPr>
        <w:t xml:space="preserve">r. 88/2020 din 27 mai 2020 privind instituirea unor măsuri, precum </w:t>
      </w:r>
      <w:r w:rsidR="00247A3D" w:rsidRPr="00F362A1">
        <w:rPr>
          <w:rFonts w:ascii="Tahoma" w:hAnsi="Tahoma" w:cs="Tahoma"/>
          <w:sz w:val="24"/>
          <w:szCs w:val="24"/>
          <w:lang w:eastAsia="ro-RO"/>
        </w:rPr>
        <w:t>și</w:t>
      </w:r>
      <w:r w:rsidRPr="00F362A1">
        <w:rPr>
          <w:rFonts w:ascii="Tahoma" w:hAnsi="Tahoma" w:cs="Tahoma"/>
          <w:sz w:val="24"/>
          <w:szCs w:val="24"/>
          <w:lang w:eastAsia="ro-RO"/>
        </w:rPr>
        <w:t xml:space="preserve"> acordarea unui sprijin financiar pentru pregătirea portofoliului de proiecte în domenii strategice considerate prioritare pentru perioada de programare 2021 - 2027, destinat </w:t>
      </w:r>
      <w:r w:rsidR="00247A3D" w:rsidRPr="00F362A1">
        <w:rPr>
          <w:rFonts w:ascii="Tahoma" w:hAnsi="Tahoma" w:cs="Tahoma"/>
          <w:sz w:val="24"/>
          <w:szCs w:val="24"/>
          <w:lang w:eastAsia="ro-RO"/>
        </w:rPr>
        <w:t>finanțării</w:t>
      </w:r>
      <w:r w:rsidRPr="00F362A1">
        <w:rPr>
          <w:rFonts w:ascii="Tahoma" w:hAnsi="Tahoma" w:cs="Tahoma"/>
          <w:sz w:val="24"/>
          <w:szCs w:val="24"/>
          <w:lang w:eastAsia="ro-RO"/>
        </w:rPr>
        <w:t xml:space="preserve"> prin Programul </w:t>
      </w:r>
      <w:r w:rsidR="00247A3D" w:rsidRPr="00F362A1">
        <w:rPr>
          <w:rFonts w:ascii="Tahoma" w:hAnsi="Tahoma" w:cs="Tahoma"/>
          <w:sz w:val="24"/>
          <w:szCs w:val="24"/>
          <w:lang w:eastAsia="ro-RO"/>
        </w:rPr>
        <w:t>Operațional</w:t>
      </w:r>
      <w:r w:rsidR="00C40A07" w:rsidRPr="00F362A1">
        <w:rPr>
          <w:rFonts w:ascii="Tahoma" w:hAnsi="Tahoma" w:cs="Tahoma"/>
          <w:sz w:val="24"/>
          <w:szCs w:val="24"/>
          <w:lang w:eastAsia="ro-RO"/>
        </w:rPr>
        <w:t xml:space="preserve"> </w:t>
      </w:r>
      <w:r w:rsidR="00247A3D" w:rsidRPr="00F362A1">
        <w:rPr>
          <w:rFonts w:ascii="Tahoma" w:hAnsi="Tahoma" w:cs="Tahoma"/>
          <w:sz w:val="24"/>
          <w:szCs w:val="24"/>
          <w:lang w:eastAsia="ro-RO"/>
        </w:rPr>
        <w:t>Asistență T</w:t>
      </w:r>
      <w:r w:rsidRPr="00F362A1">
        <w:rPr>
          <w:rFonts w:ascii="Tahoma" w:hAnsi="Tahoma" w:cs="Tahoma"/>
          <w:sz w:val="24"/>
          <w:szCs w:val="24"/>
          <w:lang w:eastAsia="ro-RO"/>
        </w:rPr>
        <w:t>ehnică 2014 - 2020 (</w:t>
      </w:r>
      <w:r w:rsidR="00247A3D" w:rsidRPr="00F362A1">
        <w:rPr>
          <w:rFonts w:ascii="Tahoma" w:hAnsi="Tahoma" w:cs="Tahoma"/>
          <w:sz w:val="24"/>
          <w:szCs w:val="24"/>
          <w:lang w:eastAsia="ro-RO"/>
        </w:rPr>
        <w:t>POAT 2014 - 2020) şi Programul Operațional</w:t>
      </w:r>
      <w:r w:rsidRPr="00F362A1">
        <w:rPr>
          <w:rFonts w:ascii="Tahoma" w:hAnsi="Tahoma" w:cs="Tahoma"/>
          <w:sz w:val="24"/>
          <w:szCs w:val="24"/>
          <w:lang w:eastAsia="ro-RO"/>
        </w:rPr>
        <w:t xml:space="preserve"> Infrastructură mare 2014 - 2020 (POIM)</w:t>
      </w:r>
      <w:r w:rsidR="003E2B48" w:rsidRPr="00F362A1">
        <w:rPr>
          <w:rFonts w:ascii="Tahoma" w:hAnsi="Tahoma" w:cs="Tahoma"/>
          <w:sz w:val="24"/>
          <w:szCs w:val="24"/>
          <w:lang w:eastAsia="ro-RO"/>
        </w:rPr>
        <w:t>.</w:t>
      </w:r>
    </w:p>
    <w:p w:rsidR="00AC672E" w:rsidRPr="00F362A1" w:rsidRDefault="00AC672E" w:rsidP="002A6579">
      <w:pPr>
        <w:pStyle w:val="ListParagraph"/>
        <w:numPr>
          <w:ilvl w:val="0"/>
          <w:numId w:val="13"/>
        </w:numPr>
        <w:spacing w:line="276" w:lineRule="auto"/>
        <w:rPr>
          <w:rFonts w:ascii="Tahoma" w:hAnsi="Tahoma" w:cs="Tahoma"/>
          <w:sz w:val="24"/>
          <w:szCs w:val="24"/>
          <w:lang w:eastAsia="ro-RO"/>
        </w:rPr>
      </w:pPr>
      <w:r w:rsidRPr="00F362A1">
        <w:rPr>
          <w:rFonts w:ascii="Tahoma" w:hAnsi="Tahoma" w:cs="Tahoma"/>
          <w:sz w:val="24"/>
          <w:szCs w:val="24"/>
          <w:lang w:eastAsia="ro-RO"/>
        </w:rPr>
        <w:t>Ordo</w:t>
      </w:r>
      <w:r w:rsidR="003E2B48" w:rsidRPr="00F362A1">
        <w:rPr>
          <w:rFonts w:ascii="Tahoma" w:hAnsi="Tahoma" w:cs="Tahoma"/>
          <w:sz w:val="24"/>
          <w:szCs w:val="24"/>
          <w:lang w:eastAsia="ro-RO"/>
        </w:rPr>
        <w:t>nanța de urgență a Guvernului  n</w:t>
      </w:r>
      <w:r w:rsidRPr="00F362A1">
        <w:rPr>
          <w:rFonts w:ascii="Tahoma" w:hAnsi="Tahoma" w:cs="Tahoma"/>
          <w:sz w:val="24"/>
          <w:szCs w:val="24"/>
          <w:lang w:eastAsia="ro-RO"/>
        </w:rPr>
        <w:t xml:space="preserve">r. 84/2020 din 21 mai 2020 pentru stabilirea unor măsuri necesare în vederea implementării Programului </w:t>
      </w:r>
      <w:r w:rsidR="00247A3D" w:rsidRPr="00F362A1">
        <w:rPr>
          <w:rFonts w:ascii="Tahoma" w:hAnsi="Tahoma" w:cs="Tahoma"/>
          <w:sz w:val="24"/>
          <w:szCs w:val="24"/>
          <w:lang w:eastAsia="ro-RO"/>
        </w:rPr>
        <w:t>Operațional</w:t>
      </w:r>
      <w:r w:rsidRPr="00F362A1">
        <w:rPr>
          <w:rFonts w:ascii="Tahoma" w:hAnsi="Tahoma" w:cs="Tahoma"/>
          <w:sz w:val="24"/>
          <w:szCs w:val="24"/>
          <w:lang w:eastAsia="ro-RO"/>
        </w:rPr>
        <w:t xml:space="preserve"> Ajutorarea persoanelor defavorizate </w:t>
      </w:r>
      <w:r w:rsidR="001D7612" w:rsidRPr="00F362A1">
        <w:rPr>
          <w:rFonts w:ascii="Tahoma" w:hAnsi="Tahoma" w:cs="Tahoma"/>
          <w:sz w:val="24"/>
          <w:szCs w:val="24"/>
          <w:lang w:eastAsia="ro-RO"/>
        </w:rPr>
        <w:t>–</w:t>
      </w:r>
      <w:r w:rsidRPr="00F362A1">
        <w:rPr>
          <w:rFonts w:ascii="Tahoma" w:hAnsi="Tahoma" w:cs="Tahoma"/>
          <w:sz w:val="24"/>
          <w:szCs w:val="24"/>
          <w:lang w:eastAsia="ro-RO"/>
        </w:rPr>
        <w:t xml:space="preserve"> POAD</w:t>
      </w:r>
      <w:r w:rsidR="001D7612" w:rsidRPr="00F362A1">
        <w:rPr>
          <w:rFonts w:ascii="Tahoma" w:hAnsi="Tahoma" w:cs="Tahoma"/>
          <w:sz w:val="24"/>
          <w:szCs w:val="24"/>
          <w:lang w:eastAsia="ro-RO"/>
        </w:rPr>
        <w:t>.</w:t>
      </w:r>
    </w:p>
    <w:p w:rsidR="003E2B48" w:rsidRPr="00F362A1" w:rsidRDefault="00AC672E" w:rsidP="002A6579">
      <w:pPr>
        <w:pStyle w:val="ListParagraph"/>
        <w:numPr>
          <w:ilvl w:val="0"/>
          <w:numId w:val="13"/>
        </w:numPr>
        <w:spacing w:line="276" w:lineRule="auto"/>
        <w:rPr>
          <w:rFonts w:ascii="Tahoma" w:hAnsi="Tahoma" w:cs="Tahoma"/>
          <w:sz w:val="24"/>
          <w:szCs w:val="24"/>
          <w:lang w:eastAsia="ro-RO"/>
        </w:rPr>
      </w:pPr>
      <w:r w:rsidRPr="00F362A1">
        <w:rPr>
          <w:rFonts w:ascii="Tahoma" w:hAnsi="Tahoma" w:cs="Tahoma"/>
          <w:sz w:val="24"/>
          <w:szCs w:val="24"/>
          <w:lang w:eastAsia="ro-RO"/>
        </w:rPr>
        <w:t>Ordo</w:t>
      </w:r>
      <w:r w:rsidR="003E2B48" w:rsidRPr="00F362A1">
        <w:rPr>
          <w:rFonts w:ascii="Tahoma" w:hAnsi="Tahoma" w:cs="Tahoma"/>
          <w:sz w:val="24"/>
          <w:szCs w:val="24"/>
          <w:lang w:eastAsia="ro-RO"/>
        </w:rPr>
        <w:t>nanța de urgență a Guvernului  n</w:t>
      </w:r>
      <w:r w:rsidRPr="00F362A1">
        <w:rPr>
          <w:rFonts w:ascii="Tahoma" w:hAnsi="Tahoma" w:cs="Tahoma"/>
          <w:sz w:val="24"/>
          <w:szCs w:val="24"/>
          <w:lang w:eastAsia="ro-RO"/>
        </w:rPr>
        <w:t xml:space="preserve">r. 94/2020 din 4 iunie 2020 privind unele măsuri pentru </w:t>
      </w:r>
      <w:r w:rsidR="00247A3D" w:rsidRPr="00F362A1">
        <w:rPr>
          <w:rFonts w:ascii="Tahoma" w:hAnsi="Tahoma" w:cs="Tahoma"/>
          <w:sz w:val="24"/>
          <w:szCs w:val="24"/>
          <w:lang w:eastAsia="ro-RO"/>
        </w:rPr>
        <w:t>finanțarea</w:t>
      </w:r>
      <w:r w:rsidRPr="00F362A1">
        <w:rPr>
          <w:rFonts w:ascii="Tahoma" w:hAnsi="Tahoma" w:cs="Tahoma"/>
          <w:sz w:val="24"/>
          <w:szCs w:val="24"/>
          <w:lang w:eastAsia="ro-RO"/>
        </w:rPr>
        <w:t xml:space="preserve"> din fonduri europene a unor programe </w:t>
      </w:r>
      <w:r w:rsidR="00247A3D" w:rsidRPr="00F362A1">
        <w:rPr>
          <w:rFonts w:ascii="Tahoma" w:hAnsi="Tahoma" w:cs="Tahoma"/>
          <w:sz w:val="24"/>
          <w:szCs w:val="24"/>
          <w:lang w:eastAsia="ro-RO"/>
        </w:rPr>
        <w:t>naționale</w:t>
      </w:r>
      <w:r w:rsidR="001D7612" w:rsidRPr="00F362A1">
        <w:rPr>
          <w:rFonts w:ascii="Tahoma" w:hAnsi="Tahoma" w:cs="Tahoma"/>
          <w:sz w:val="24"/>
          <w:szCs w:val="24"/>
          <w:lang w:eastAsia="ro-RO"/>
        </w:rPr>
        <w:t>.</w:t>
      </w:r>
    </w:p>
    <w:p w:rsidR="00AC672E" w:rsidRPr="00F362A1" w:rsidRDefault="00AC672E" w:rsidP="002A6579">
      <w:pPr>
        <w:pStyle w:val="ListParagraph"/>
        <w:numPr>
          <w:ilvl w:val="0"/>
          <w:numId w:val="13"/>
        </w:numPr>
        <w:spacing w:line="276" w:lineRule="auto"/>
        <w:rPr>
          <w:rFonts w:ascii="Tahoma" w:hAnsi="Tahoma" w:cs="Tahoma"/>
          <w:sz w:val="24"/>
          <w:szCs w:val="24"/>
          <w:lang w:eastAsia="ro-RO"/>
        </w:rPr>
      </w:pPr>
      <w:r w:rsidRPr="00F362A1">
        <w:rPr>
          <w:rFonts w:ascii="Tahoma" w:hAnsi="Tahoma" w:cs="Tahoma"/>
          <w:sz w:val="24"/>
          <w:szCs w:val="24"/>
          <w:lang w:eastAsia="ro-RO"/>
        </w:rPr>
        <w:t>Ordo</w:t>
      </w:r>
      <w:r w:rsidR="003E2B48" w:rsidRPr="00F362A1">
        <w:rPr>
          <w:rFonts w:ascii="Tahoma" w:hAnsi="Tahoma" w:cs="Tahoma"/>
          <w:sz w:val="24"/>
          <w:szCs w:val="24"/>
          <w:lang w:eastAsia="ro-RO"/>
        </w:rPr>
        <w:t>nanța de urgență a Guvernului  n</w:t>
      </w:r>
      <w:r w:rsidRPr="00F362A1">
        <w:rPr>
          <w:rFonts w:ascii="Tahoma" w:hAnsi="Tahoma" w:cs="Tahoma"/>
          <w:sz w:val="24"/>
          <w:szCs w:val="24"/>
          <w:lang w:eastAsia="ro-RO"/>
        </w:rPr>
        <w:t xml:space="preserve">r. 101/2020 din 25 iunie 2020 privind unele măsuri pentru implementarea proiectelor cu </w:t>
      </w:r>
      <w:r w:rsidR="00247A3D" w:rsidRPr="00F362A1">
        <w:rPr>
          <w:rFonts w:ascii="Tahoma" w:hAnsi="Tahoma" w:cs="Tahoma"/>
          <w:sz w:val="24"/>
          <w:szCs w:val="24"/>
          <w:lang w:eastAsia="ro-RO"/>
        </w:rPr>
        <w:t>finanțare</w:t>
      </w:r>
      <w:r w:rsidRPr="00F362A1">
        <w:rPr>
          <w:rFonts w:ascii="Tahoma" w:hAnsi="Tahoma" w:cs="Tahoma"/>
          <w:sz w:val="24"/>
          <w:szCs w:val="24"/>
          <w:lang w:eastAsia="ro-RO"/>
        </w:rPr>
        <w:t xml:space="preserve"> din fonduri europene în vederea evitării riscului de dezangajare pentru perioada de programare 2014 </w:t>
      </w:r>
      <w:r w:rsidR="001D7612" w:rsidRPr="00F362A1">
        <w:rPr>
          <w:rFonts w:ascii="Tahoma" w:hAnsi="Tahoma" w:cs="Tahoma"/>
          <w:sz w:val="24"/>
          <w:szCs w:val="24"/>
          <w:lang w:eastAsia="ro-RO"/>
        </w:rPr>
        <w:t>–</w:t>
      </w:r>
      <w:r w:rsidRPr="00F362A1">
        <w:rPr>
          <w:rFonts w:ascii="Tahoma" w:hAnsi="Tahoma" w:cs="Tahoma"/>
          <w:sz w:val="24"/>
          <w:szCs w:val="24"/>
          <w:lang w:eastAsia="ro-RO"/>
        </w:rPr>
        <w:t xml:space="preserve"> 2020</w:t>
      </w:r>
      <w:r w:rsidR="001D7612" w:rsidRPr="00F362A1">
        <w:rPr>
          <w:rFonts w:ascii="Tahoma" w:hAnsi="Tahoma" w:cs="Tahoma"/>
          <w:sz w:val="24"/>
          <w:szCs w:val="24"/>
          <w:lang w:eastAsia="ro-RO"/>
        </w:rPr>
        <w:t>.</w:t>
      </w:r>
    </w:p>
    <w:p w:rsidR="00AC672E" w:rsidRPr="00F362A1" w:rsidRDefault="003E2B48" w:rsidP="002A6579">
      <w:pPr>
        <w:pStyle w:val="ListParagraph"/>
        <w:numPr>
          <w:ilvl w:val="0"/>
          <w:numId w:val="13"/>
        </w:numPr>
        <w:spacing w:line="276" w:lineRule="auto"/>
        <w:rPr>
          <w:rFonts w:ascii="Tahoma" w:hAnsi="Tahoma" w:cs="Tahoma"/>
          <w:sz w:val="24"/>
          <w:szCs w:val="24"/>
          <w:lang w:eastAsia="ro-RO"/>
        </w:rPr>
      </w:pPr>
      <w:r w:rsidRPr="00F362A1">
        <w:rPr>
          <w:rFonts w:ascii="Tahoma" w:hAnsi="Tahoma" w:cs="Tahoma"/>
          <w:sz w:val="24"/>
          <w:szCs w:val="24"/>
          <w:lang w:eastAsia="ro-RO"/>
        </w:rPr>
        <w:t>Ordonanța de urgență a Guvernului  n</w:t>
      </w:r>
      <w:r w:rsidR="00AC672E" w:rsidRPr="00F362A1">
        <w:rPr>
          <w:rFonts w:ascii="Tahoma" w:hAnsi="Tahoma" w:cs="Tahoma"/>
          <w:sz w:val="24"/>
          <w:szCs w:val="24"/>
          <w:lang w:eastAsia="ro-RO"/>
        </w:rPr>
        <w:t>r. 115/2020 din 16 iulie 2020 privind unele măsuri pentru sprijinirea categoriilor de persoane cele mai defavorizate care beneficiază de mese calde pe bază de tichete sociale pe suport electronic pentru mese calde, acordate din fonduri externe nerambursabile, precum şi unele măsuri de distribuire a acestora</w:t>
      </w:r>
      <w:r w:rsidR="001D7612" w:rsidRPr="00F362A1">
        <w:rPr>
          <w:rFonts w:ascii="Tahoma" w:hAnsi="Tahoma" w:cs="Tahoma"/>
          <w:sz w:val="24"/>
          <w:szCs w:val="24"/>
          <w:lang w:eastAsia="ro-RO"/>
        </w:rPr>
        <w:t>.</w:t>
      </w:r>
    </w:p>
    <w:p w:rsidR="00D57688" w:rsidRPr="00F362A1" w:rsidRDefault="00AC672E" w:rsidP="002A6579">
      <w:pPr>
        <w:pStyle w:val="ListParagraph"/>
        <w:numPr>
          <w:ilvl w:val="0"/>
          <w:numId w:val="13"/>
        </w:numPr>
        <w:tabs>
          <w:tab w:val="left" w:pos="720"/>
          <w:tab w:val="left" w:pos="900"/>
        </w:tabs>
        <w:spacing w:line="276" w:lineRule="auto"/>
        <w:rPr>
          <w:rFonts w:ascii="Tahoma" w:hAnsi="Tahoma" w:cs="Tahoma"/>
          <w:sz w:val="24"/>
          <w:szCs w:val="24"/>
          <w:lang w:eastAsia="ro-RO"/>
        </w:rPr>
      </w:pPr>
      <w:r w:rsidRPr="00F362A1">
        <w:rPr>
          <w:rFonts w:ascii="Tahoma" w:hAnsi="Tahoma" w:cs="Tahoma"/>
          <w:sz w:val="24"/>
          <w:szCs w:val="24"/>
          <w:lang w:eastAsia="ro-RO"/>
        </w:rPr>
        <w:t xml:space="preserve">Hotărâre a Guvernului Nr. 558/2020 din 16 iulie 2020 privind aprobarea Programului </w:t>
      </w:r>
      <w:r w:rsidR="00247A3D" w:rsidRPr="00F362A1">
        <w:rPr>
          <w:rFonts w:ascii="Tahoma" w:hAnsi="Tahoma" w:cs="Tahoma"/>
          <w:sz w:val="24"/>
          <w:szCs w:val="24"/>
          <w:lang w:eastAsia="ro-RO"/>
        </w:rPr>
        <w:t>Național</w:t>
      </w:r>
      <w:r w:rsidRPr="00F362A1">
        <w:rPr>
          <w:rFonts w:ascii="Tahoma" w:hAnsi="Tahoma" w:cs="Tahoma"/>
          <w:sz w:val="24"/>
          <w:szCs w:val="24"/>
          <w:lang w:eastAsia="ro-RO"/>
        </w:rPr>
        <w:t xml:space="preserve"> INNOTECH STUDENT, </w:t>
      </w:r>
      <w:r w:rsidR="00247A3D" w:rsidRPr="00F362A1">
        <w:rPr>
          <w:rFonts w:ascii="Tahoma" w:hAnsi="Tahoma" w:cs="Tahoma"/>
          <w:sz w:val="24"/>
          <w:szCs w:val="24"/>
          <w:lang w:eastAsia="ro-RO"/>
        </w:rPr>
        <w:t>finanțat</w:t>
      </w:r>
      <w:r w:rsidRPr="00F362A1">
        <w:rPr>
          <w:rFonts w:ascii="Tahoma" w:hAnsi="Tahoma" w:cs="Tahoma"/>
          <w:sz w:val="24"/>
          <w:szCs w:val="24"/>
          <w:lang w:eastAsia="ro-RO"/>
        </w:rPr>
        <w:t xml:space="preserve"> în cadrul Pro</w:t>
      </w:r>
      <w:r w:rsidR="00247A3D" w:rsidRPr="00F362A1">
        <w:rPr>
          <w:rFonts w:ascii="Tahoma" w:hAnsi="Tahoma" w:cs="Tahoma"/>
          <w:sz w:val="24"/>
          <w:szCs w:val="24"/>
          <w:lang w:eastAsia="ro-RO"/>
        </w:rPr>
        <w:t>gramului Operațional</w:t>
      </w:r>
      <w:r w:rsidRPr="00F362A1">
        <w:rPr>
          <w:rFonts w:ascii="Tahoma" w:hAnsi="Tahoma" w:cs="Tahoma"/>
          <w:sz w:val="24"/>
          <w:szCs w:val="24"/>
          <w:lang w:eastAsia="ro-RO"/>
        </w:rPr>
        <w:t xml:space="preserve"> Capital uman 2014 </w:t>
      </w:r>
      <w:r w:rsidR="001D7612" w:rsidRPr="00F362A1">
        <w:rPr>
          <w:rFonts w:ascii="Tahoma" w:hAnsi="Tahoma" w:cs="Tahoma"/>
          <w:sz w:val="24"/>
          <w:szCs w:val="24"/>
          <w:lang w:eastAsia="ro-RO"/>
        </w:rPr>
        <w:t>–</w:t>
      </w:r>
      <w:r w:rsidRPr="00F362A1">
        <w:rPr>
          <w:rFonts w:ascii="Tahoma" w:hAnsi="Tahoma" w:cs="Tahoma"/>
          <w:sz w:val="24"/>
          <w:szCs w:val="24"/>
          <w:lang w:eastAsia="ro-RO"/>
        </w:rPr>
        <w:t xml:space="preserve"> 2020</w:t>
      </w:r>
      <w:r w:rsidR="001D7612" w:rsidRPr="00F362A1">
        <w:rPr>
          <w:rFonts w:ascii="Tahoma" w:hAnsi="Tahoma" w:cs="Tahoma"/>
          <w:sz w:val="24"/>
          <w:szCs w:val="24"/>
          <w:lang w:eastAsia="ro-RO"/>
        </w:rPr>
        <w:t>.</w:t>
      </w:r>
      <w:r w:rsidR="00D57688" w:rsidRPr="00F362A1">
        <w:rPr>
          <w:rFonts w:ascii="Tahoma" w:hAnsi="Tahoma" w:cs="Tahoma"/>
          <w:sz w:val="24"/>
          <w:szCs w:val="24"/>
          <w:lang w:eastAsia="ro-RO"/>
        </w:rPr>
        <w:br w:type="page"/>
      </w:r>
    </w:p>
    <w:p w:rsidR="00593AD9" w:rsidRPr="00F362A1" w:rsidRDefault="001069C2" w:rsidP="002A6579">
      <w:pPr>
        <w:keepNext/>
        <w:keepLines/>
        <w:spacing w:line="276" w:lineRule="auto"/>
        <w:ind w:firstLine="680"/>
        <w:jc w:val="center"/>
        <w:rPr>
          <w:rFonts w:ascii="Tahoma" w:hAnsi="Tahoma" w:cs="Tahoma"/>
          <w:b/>
          <w:bCs/>
          <w:sz w:val="24"/>
          <w:szCs w:val="24"/>
        </w:rPr>
      </w:pPr>
      <w:r w:rsidRPr="00F362A1">
        <w:rPr>
          <w:rFonts w:ascii="Tahoma" w:hAnsi="Tahoma" w:cs="Tahoma"/>
          <w:b/>
          <w:bCs/>
          <w:sz w:val="24"/>
          <w:szCs w:val="24"/>
        </w:rPr>
        <w:lastRenderedPageBreak/>
        <w:t xml:space="preserve">Măsuri destinate îmbunătățirii nivelului de colectare a veniturilor bugetare avute în vedere de către Agenția Națională de Administrare Fiscală </w:t>
      </w:r>
    </w:p>
    <w:p w:rsidR="00AA6F58" w:rsidRPr="00F362A1" w:rsidRDefault="00AA6F58" w:rsidP="002A6579">
      <w:pPr>
        <w:pStyle w:val="ListParagraph"/>
        <w:keepNext/>
        <w:spacing w:after="240" w:line="276" w:lineRule="auto"/>
        <w:ind w:left="0" w:firstLine="720"/>
        <w:contextualSpacing w:val="0"/>
        <w:outlineLvl w:val="0"/>
        <w:rPr>
          <w:rFonts w:ascii="Tahoma" w:hAnsi="Tahoma" w:cs="Tahoma"/>
          <w:sz w:val="24"/>
          <w:szCs w:val="24"/>
        </w:rPr>
      </w:pPr>
      <w:bookmarkStart w:id="13" w:name="_Toc299543080"/>
      <w:bookmarkStart w:id="14" w:name="_Toc425320858"/>
      <w:bookmarkStart w:id="15" w:name="_Toc425428327"/>
      <w:bookmarkStart w:id="16" w:name="_Toc456256137"/>
      <w:bookmarkStart w:id="17" w:name="_Toc456256934"/>
      <w:bookmarkStart w:id="18" w:name="_Toc456257458"/>
      <w:bookmarkStart w:id="19" w:name="_Toc456258316"/>
      <w:bookmarkStart w:id="20" w:name="_Toc456258421"/>
    </w:p>
    <w:p w:rsidR="00C42E49" w:rsidRPr="00F362A1" w:rsidRDefault="00DD550F" w:rsidP="002A6579">
      <w:pPr>
        <w:pStyle w:val="ListParagraph"/>
        <w:keepNext/>
        <w:spacing w:after="240" w:line="276" w:lineRule="auto"/>
        <w:ind w:left="0" w:firstLine="720"/>
        <w:contextualSpacing w:val="0"/>
        <w:outlineLvl w:val="0"/>
        <w:rPr>
          <w:rFonts w:ascii="Tahoma" w:hAnsi="Tahoma" w:cs="Tahoma"/>
          <w:sz w:val="24"/>
          <w:szCs w:val="24"/>
        </w:rPr>
      </w:pPr>
      <w:bookmarkStart w:id="21" w:name="_Toc47687146"/>
      <w:r w:rsidRPr="00F362A1">
        <w:rPr>
          <w:rFonts w:ascii="Tahoma" w:hAnsi="Tahoma" w:cs="Tahoma"/>
          <w:sz w:val="24"/>
          <w:szCs w:val="24"/>
        </w:rPr>
        <w:t>Î</w:t>
      </w:r>
      <w:r w:rsidR="00C42E49" w:rsidRPr="00F362A1">
        <w:rPr>
          <w:rFonts w:ascii="Tahoma" w:hAnsi="Tahoma" w:cs="Tahoma"/>
          <w:sz w:val="24"/>
          <w:szCs w:val="24"/>
        </w:rPr>
        <w:t>ncepând cu luna martie a.c. au fost adoptate o serie de măsu</w:t>
      </w:r>
      <w:r w:rsidRPr="00F362A1">
        <w:rPr>
          <w:rFonts w:ascii="Tahoma" w:hAnsi="Tahoma" w:cs="Tahoma"/>
          <w:sz w:val="24"/>
          <w:szCs w:val="24"/>
        </w:rPr>
        <w:t>ri legislative de natura fiscală</w:t>
      </w:r>
      <w:r w:rsidR="00C42E49" w:rsidRPr="00F362A1">
        <w:rPr>
          <w:rFonts w:ascii="Tahoma" w:hAnsi="Tahoma" w:cs="Tahoma"/>
          <w:sz w:val="24"/>
          <w:szCs w:val="24"/>
        </w:rPr>
        <w:t xml:space="preserve"> în vederea sprijinirii mediului de afaceri. În același sens Agenția Națională de Administrare Fiscală a </w:t>
      </w:r>
      <w:r w:rsidR="00F66BFA" w:rsidRPr="00F362A1">
        <w:rPr>
          <w:rFonts w:ascii="Tahoma" w:hAnsi="Tahoma" w:cs="Tahoma"/>
          <w:sz w:val="24"/>
          <w:szCs w:val="24"/>
        </w:rPr>
        <w:t>întreprins o serie de demersuri</w:t>
      </w:r>
      <w:r w:rsidR="00C42E49" w:rsidRPr="00F362A1">
        <w:rPr>
          <w:rFonts w:ascii="Tahoma" w:hAnsi="Tahoma" w:cs="Tahoma"/>
          <w:sz w:val="24"/>
          <w:szCs w:val="24"/>
        </w:rPr>
        <w:t>, respectiv :</w:t>
      </w:r>
      <w:bookmarkEnd w:id="21"/>
    </w:p>
    <w:p w:rsidR="00C42E49" w:rsidRPr="00F362A1" w:rsidRDefault="00DD550F" w:rsidP="002A6579">
      <w:pPr>
        <w:pStyle w:val="ListParagraph"/>
        <w:keepNext/>
        <w:numPr>
          <w:ilvl w:val="1"/>
          <w:numId w:val="1"/>
        </w:numPr>
        <w:spacing w:after="240" w:line="276" w:lineRule="auto"/>
        <w:contextualSpacing w:val="0"/>
        <w:outlineLvl w:val="0"/>
        <w:rPr>
          <w:rFonts w:ascii="Tahoma" w:hAnsi="Tahoma" w:cs="Tahoma"/>
          <w:sz w:val="24"/>
          <w:szCs w:val="24"/>
        </w:rPr>
      </w:pPr>
      <w:bookmarkStart w:id="22" w:name="_Toc47687147"/>
      <w:r w:rsidRPr="00F362A1">
        <w:rPr>
          <w:rFonts w:ascii="Tahoma" w:hAnsi="Tahoma" w:cs="Tahoma"/>
          <w:sz w:val="24"/>
          <w:szCs w:val="24"/>
        </w:rPr>
        <w:t>I</w:t>
      </w:r>
      <w:r w:rsidR="00C42E49" w:rsidRPr="00F362A1">
        <w:rPr>
          <w:rFonts w:ascii="Tahoma" w:hAnsi="Tahoma" w:cs="Tahoma"/>
          <w:sz w:val="24"/>
          <w:szCs w:val="24"/>
        </w:rPr>
        <w:t>mplementarea obligațiilor de plată în platforma “ghiseul.ro” pentru facilitatea îndeplinirii obligațiilor de plată ale contribuabililor;</w:t>
      </w:r>
      <w:bookmarkEnd w:id="22"/>
    </w:p>
    <w:p w:rsidR="00C42E49" w:rsidRPr="00F362A1" w:rsidRDefault="00C42E49" w:rsidP="002A6579">
      <w:pPr>
        <w:pStyle w:val="ListParagraph"/>
        <w:keepNext/>
        <w:numPr>
          <w:ilvl w:val="1"/>
          <w:numId w:val="1"/>
        </w:numPr>
        <w:spacing w:after="240" w:line="276" w:lineRule="auto"/>
        <w:contextualSpacing w:val="0"/>
        <w:outlineLvl w:val="0"/>
        <w:rPr>
          <w:rFonts w:ascii="Tahoma" w:hAnsi="Tahoma" w:cs="Tahoma"/>
          <w:sz w:val="24"/>
          <w:szCs w:val="24"/>
        </w:rPr>
      </w:pPr>
      <w:bookmarkStart w:id="23" w:name="_Toc47687148"/>
      <w:r w:rsidRPr="00F362A1">
        <w:rPr>
          <w:rFonts w:ascii="Tahoma" w:hAnsi="Tahoma" w:cs="Tahoma"/>
          <w:sz w:val="24"/>
          <w:szCs w:val="24"/>
        </w:rPr>
        <w:t>Introducerea de noi documente pe baza cărora contribuabilii persoane fizice să se poată identifica electronic în SPV  (alte acte administrative începând cu 1.04.2020);</w:t>
      </w:r>
      <w:bookmarkEnd w:id="23"/>
    </w:p>
    <w:p w:rsidR="00C42E49" w:rsidRPr="00F362A1" w:rsidRDefault="00C42E49" w:rsidP="002A6579">
      <w:pPr>
        <w:pStyle w:val="ListParagraph"/>
        <w:keepNext/>
        <w:numPr>
          <w:ilvl w:val="1"/>
          <w:numId w:val="1"/>
        </w:numPr>
        <w:spacing w:after="240" w:line="276" w:lineRule="auto"/>
        <w:contextualSpacing w:val="0"/>
        <w:outlineLvl w:val="0"/>
        <w:rPr>
          <w:rFonts w:ascii="Tahoma" w:hAnsi="Tahoma" w:cs="Tahoma"/>
          <w:sz w:val="24"/>
          <w:szCs w:val="24"/>
        </w:rPr>
      </w:pPr>
      <w:bookmarkStart w:id="24" w:name="_Toc47687149"/>
      <w:r w:rsidRPr="00F362A1">
        <w:rPr>
          <w:rFonts w:ascii="Tahoma" w:hAnsi="Tahoma" w:cs="Tahoma"/>
          <w:sz w:val="24"/>
          <w:szCs w:val="24"/>
        </w:rPr>
        <w:t>Asigurarea cadrului legal împreună cu MFP în vederea depunerii electronice și a altor formulare specifice evitării dublei impuneri și acorduri fiscale internaționale (OMFP 1830/2020);</w:t>
      </w:r>
      <w:bookmarkEnd w:id="24"/>
    </w:p>
    <w:p w:rsidR="00C42E49" w:rsidRPr="00F362A1" w:rsidRDefault="00C42E49" w:rsidP="002A6579">
      <w:pPr>
        <w:pStyle w:val="ListParagraph"/>
        <w:keepNext/>
        <w:numPr>
          <w:ilvl w:val="1"/>
          <w:numId w:val="1"/>
        </w:numPr>
        <w:spacing w:after="240" w:line="276" w:lineRule="auto"/>
        <w:contextualSpacing w:val="0"/>
        <w:outlineLvl w:val="0"/>
        <w:rPr>
          <w:rFonts w:ascii="Tahoma" w:hAnsi="Tahoma" w:cs="Tahoma"/>
          <w:sz w:val="24"/>
          <w:szCs w:val="24"/>
        </w:rPr>
      </w:pPr>
      <w:bookmarkStart w:id="25" w:name="_Toc47687150"/>
      <w:r w:rsidRPr="00F362A1">
        <w:rPr>
          <w:rFonts w:ascii="Tahoma" w:hAnsi="Tahoma" w:cs="Tahoma"/>
          <w:sz w:val="24"/>
          <w:szCs w:val="24"/>
        </w:rPr>
        <w:t>Soluționarea la distanță a solicitărilor contribuabililor de către 900 de inspectori, care au acces la bazele de date necesare desfășurării unor activități specifice (ex. certifica</w:t>
      </w:r>
      <w:r w:rsidR="00DD550F" w:rsidRPr="00F362A1">
        <w:rPr>
          <w:rFonts w:ascii="Tahoma" w:hAnsi="Tahoma" w:cs="Tahoma"/>
          <w:sz w:val="24"/>
          <w:szCs w:val="24"/>
        </w:rPr>
        <w:t>te de atestare fiscală, rambursă</w:t>
      </w:r>
      <w:r w:rsidRPr="00F362A1">
        <w:rPr>
          <w:rFonts w:ascii="Tahoma" w:hAnsi="Tahoma" w:cs="Tahoma"/>
          <w:sz w:val="24"/>
          <w:szCs w:val="24"/>
        </w:rPr>
        <w:t>ri TVA, alte categorii de solicitări);</w:t>
      </w:r>
      <w:bookmarkEnd w:id="25"/>
    </w:p>
    <w:p w:rsidR="00C42E49" w:rsidRPr="00F362A1" w:rsidRDefault="00C42E49" w:rsidP="002A6579">
      <w:pPr>
        <w:pStyle w:val="ListParagraph"/>
        <w:keepNext/>
        <w:numPr>
          <w:ilvl w:val="1"/>
          <w:numId w:val="1"/>
        </w:numPr>
        <w:spacing w:after="240" w:line="276" w:lineRule="auto"/>
        <w:contextualSpacing w:val="0"/>
        <w:outlineLvl w:val="0"/>
        <w:rPr>
          <w:rFonts w:ascii="Tahoma" w:hAnsi="Tahoma" w:cs="Tahoma"/>
          <w:sz w:val="24"/>
          <w:szCs w:val="24"/>
        </w:rPr>
      </w:pPr>
      <w:bookmarkStart w:id="26" w:name="_Toc47687151"/>
      <w:r w:rsidRPr="00F362A1">
        <w:rPr>
          <w:rFonts w:ascii="Tahoma" w:hAnsi="Tahoma" w:cs="Tahoma"/>
          <w:sz w:val="24"/>
          <w:szCs w:val="24"/>
        </w:rPr>
        <w:t>Aprobarea, pe perioada stării de urgență, a susținerii contestației în fața organelor de soluționare a contestațiilor și prin intermediul mijloacelor electronice de comunicare la  distanță/telefon,  direcția de specialitate menținând  legătura  permanent  cu  contribuabilii  pentru  găsirea celor  mai  bune  soluții;</w:t>
      </w:r>
      <w:bookmarkEnd w:id="26"/>
    </w:p>
    <w:p w:rsidR="00C42E49" w:rsidRPr="00F362A1" w:rsidRDefault="00C42E49" w:rsidP="002A6579">
      <w:pPr>
        <w:pStyle w:val="ListParagraph"/>
        <w:keepNext/>
        <w:numPr>
          <w:ilvl w:val="1"/>
          <w:numId w:val="1"/>
        </w:numPr>
        <w:spacing w:after="240" w:line="276" w:lineRule="auto"/>
        <w:contextualSpacing w:val="0"/>
        <w:outlineLvl w:val="0"/>
        <w:rPr>
          <w:rFonts w:ascii="Tahoma" w:hAnsi="Tahoma" w:cs="Tahoma"/>
          <w:sz w:val="24"/>
          <w:szCs w:val="24"/>
        </w:rPr>
      </w:pPr>
      <w:bookmarkStart w:id="27" w:name="_Toc47687152"/>
      <w:r w:rsidRPr="00F362A1">
        <w:rPr>
          <w:rFonts w:ascii="Tahoma" w:hAnsi="Tahoma" w:cs="Tahoma"/>
          <w:sz w:val="24"/>
          <w:szCs w:val="24"/>
        </w:rPr>
        <w:t>Asigurarea de la distanță a serviciului de asistență a contribuabililor  în domeniul fiscal și IT în vederea îndeplinirii obligațiilor fiscale (SPV, Call - Center și Formularul de Contact) pentru asigurarea conformării fiscale;</w:t>
      </w:r>
      <w:bookmarkEnd w:id="27"/>
    </w:p>
    <w:p w:rsidR="00C42E49" w:rsidRPr="00F362A1" w:rsidRDefault="00C42E49" w:rsidP="002A6579">
      <w:pPr>
        <w:pStyle w:val="ListParagraph"/>
        <w:keepNext/>
        <w:numPr>
          <w:ilvl w:val="1"/>
          <w:numId w:val="1"/>
        </w:numPr>
        <w:spacing w:after="240" w:line="276" w:lineRule="auto"/>
        <w:contextualSpacing w:val="0"/>
        <w:outlineLvl w:val="0"/>
        <w:rPr>
          <w:rFonts w:ascii="Tahoma" w:hAnsi="Tahoma" w:cs="Tahoma"/>
          <w:sz w:val="24"/>
          <w:szCs w:val="24"/>
        </w:rPr>
      </w:pPr>
      <w:bookmarkStart w:id="28" w:name="_Toc47687153"/>
      <w:r w:rsidRPr="00F362A1">
        <w:rPr>
          <w:rFonts w:ascii="Tahoma" w:hAnsi="Tahoma" w:cs="Tahoma"/>
          <w:sz w:val="24"/>
          <w:szCs w:val="24"/>
        </w:rPr>
        <w:t>Direcția Generală a Vămilor și Direcția Generală Antifraudă Fiscală lucrează în prima linie pentru a pune în aplicare ordonanțele militare din perspectiva atribuțiilor ANAF;</w:t>
      </w:r>
      <w:bookmarkEnd w:id="28"/>
    </w:p>
    <w:p w:rsidR="00C42E49" w:rsidRPr="00F362A1" w:rsidRDefault="00C42E49" w:rsidP="002A6579">
      <w:pPr>
        <w:pStyle w:val="ListParagraph"/>
        <w:keepNext/>
        <w:numPr>
          <w:ilvl w:val="1"/>
          <w:numId w:val="1"/>
        </w:numPr>
        <w:spacing w:after="240" w:line="276" w:lineRule="auto"/>
        <w:contextualSpacing w:val="0"/>
        <w:outlineLvl w:val="0"/>
        <w:rPr>
          <w:rFonts w:ascii="Tahoma" w:hAnsi="Tahoma" w:cs="Tahoma"/>
          <w:sz w:val="24"/>
          <w:szCs w:val="24"/>
        </w:rPr>
      </w:pPr>
      <w:bookmarkStart w:id="29" w:name="_Toc47687154"/>
      <w:r w:rsidRPr="00F362A1">
        <w:rPr>
          <w:rFonts w:ascii="Tahoma" w:hAnsi="Tahoma" w:cs="Tahoma"/>
          <w:sz w:val="24"/>
          <w:szCs w:val="24"/>
        </w:rPr>
        <w:t>Desfășurarea de campanii în rândul contribuabililor care au solicitat rambursarea de TVA, pentru a fi pregătite cu rapiditate compensările și restituirile de taxe, necesare în derularea procedurii de rambursare;</w:t>
      </w:r>
      <w:bookmarkEnd w:id="29"/>
    </w:p>
    <w:p w:rsidR="00AA6F58" w:rsidRPr="00F362A1" w:rsidRDefault="00C42E49" w:rsidP="002A6579">
      <w:pPr>
        <w:pStyle w:val="ListParagraph"/>
        <w:keepNext/>
        <w:numPr>
          <w:ilvl w:val="1"/>
          <w:numId w:val="1"/>
        </w:numPr>
        <w:spacing w:after="240" w:line="276" w:lineRule="auto"/>
        <w:contextualSpacing w:val="0"/>
        <w:outlineLvl w:val="0"/>
        <w:rPr>
          <w:rFonts w:ascii="Tahoma" w:hAnsi="Tahoma" w:cs="Tahoma"/>
          <w:b/>
          <w:sz w:val="24"/>
          <w:szCs w:val="24"/>
        </w:rPr>
      </w:pPr>
      <w:bookmarkStart w:id="30" w:name="_Toc47687155"/>
      <w:r w:rsidRPr="00F362A1">
        <w:rPr>
          <w:rFonts w:ascii="Tahoma" w:hAnsi="Tahoma" w:cs="Tahoma"/>
          <w:sz w:val="24"/>
          <w:szCs w:val="24"/>
        </w:rPr>
        <w:lastRenderedPageBreak/>
        <w:t>Monitorizarea contribuabililor mari și mijlocii din punct de vedere al sumelor declarate la termenele legale și a nivelului plăților efectuate, corelate cu disponibilitățile bănești, aflate în conturi bancare precum și a rulajelor conturilor din perspectiva încasărilor și plăților derulate în perioada de raportare.</w:t>
      </w:r>
      <w:bookmarkEnd w:id="30"/>
    </w:p>
    <w:p w:rsidR="00461A21" w:rsidRPr="00F362A1" w:rsidRDefault="00C42E49" w:rsidP="002A6579">
      <w:pPr>
        <w:pStyle w:val="ListParagraph"/>
        <w:keepNext/>
        <w:numPr>
          <w:ilvl w:val="1"/>
          <w:numId w:val="1"/>
        </w:numPr>
        <w:tabs>
          <w:tab w:val="left" w:pos="1530"/>
        </w:tabs>
        <w:spacing w:after="240" w:line="276" w:lineRule="auto"/>
        <w:contextualSpacing w:val="0"/>
        <w:outlineLvl w:val="0"/>
        <w:rPr>
          <w:rFonts w:ascii="Tahoma" w:hAnsi="Tahoma" w:cs="Tahoma"/>
          <w:b/>
          <w:sz w:val="24"/>
          <w:szCs w:val="24"/>
        </w:rPr>
      </w:pPr>
      <w:bookmarkStart w:id="31" w:name="_Toc47687156"/>
      <w:r w:rsidRPr="00F362A1">
        <w:rPr>
          <w:rFonts w:ascii="Tahoma" w:hAnsi="Tahoma" w:cs="Tahoma"/>
          <w:sz w:val="24"/>
          <w:szCs w:val="24"/>
        </w:rPr>
        <w:t>Constituirea Grupului de analiză fiscală pentru comunicarea rapidă cu reprezentanții mediului de afaceri și ai mediului academic, în care se discută și se propun măsuri economice și fiscale care să vină, în continuare, în sprijinul contribuabililor.</w:t>
      </w:r>
      <w:bookmarkEnd w:id="31"/>
    </w:p>
    <w:p w:rsidR="009D0987" w:rsidRPr="00F362A1" w:rsidRDefault="00395E39" w:rsidP="002A6579">
      <w:pPr>
        <w:pStyle w:val="ListParagraph"/>
        <w:pageBreakBefore/>
        <w:numPr>
          <w:ilvl w:val="0"/>
          <w:numId w:val="1"/>
        </w:numPr>
        <w:spacing w:after="240" w:line="276" w:lineRule="auto"/>
        <w:ind w:left="562" w:firstLine="0"/>
        <w:contextualSpacing w:val="0"/>
        <w:outlineLvl w:val="0"/>
        <w:rPr>
          <w:rFonts w:ascii="Tahoma" w:hAnsi="Tahoma" w:cs="Tahoma"/>
          <w:b/>
          <w:sz w:val="24"/>
          <w:szCs w:val="24"/>
        </w:rPr>
      </w:pPr>
      <w:bookmarkStart w:id="32" w:name="_Toc47687157"/>
      <w:r w:rsidRPr="00F362A1">
        <w:rPr>
          <w:rFonts w:ascii="Tahoma" w:hAnsi="Tahoma" w:cs="Tahoma"/>
          <w:b/>
          <w:sz w:val="24"/>
          <w:szCs w:val="24"/>
        </w:rPr>
        <w:lastRenderedPageBreak/>
        <w:t xml:space="preserve"> </w:t>
      </w:r>
      <w:r w:rsidR="00E3087D" w:rsidRPr="00F362A1">
        <w:rPr>
          <w:rFonts w:ascii="Tahoma" w:hAnsi="Tahoma" w:cs="Tahoma"/>
          <w:b/>
          <w:sz w:val="24"/>
          <w:szCs w:val="24"/>
        </w:rPr>
        <w:t xml:space="preserve">Execuția bugetară pe </w:t>
      </w:r>
      <w:r w:rsidR="00BD4E32" w:rsidRPr="00F362A1">
        <w:rPr>
          <w:rFonts w:ascii="Tahoma" w:hAnsi="Tahoma" w:cs="Tahoma"/>
          <w:b/>
          <w:sz w:val="24"/>
          <w:szCs w:val="24"/>
        </w:rPr>
        <w:t xml:space="preserve">primul semestru al </w:t>
      </w:r>
      <w:r w:rsidR="00E3087D" w:rsidRPr="00F362A1">
        <w:rPr>
          <w:rFonts w:ascii="Tahoma" w:hAnsi="Tahoma" w:cs="Tahoma"/>
          <w:b/>
          <w:sz w:val="24"/>
          <w:szCs w:val="24"/>
        </w:rPr>
        <w:t>anului</w:t>
      </w:r>
      <w:bookmarkEnd w:id="13"/>
      <w:bookmarkEnd w:id="14"/>
      <w:bookmarkEnd w:id="15"/>
      <w:bookmarkEnd w:id="16"/>
      <w:bookmarkEnd w:id="17"/>
      <w:bookmarkEnd w:id="18"/>
      <w:bookmarkEnd w:id="19"/>
      <w:bookmarkEnd w:id="20"/>
      <w:r w:rsidRPr="00F362A1">
        <w:rPr>
          <w:rFonts w:ascii="Tahoma" w:hAnsi="Tahoma" w:cs="Tahoma"/>
          <w:b/>
          <w:sz w:val="24"/>
          <w:szCs w:val="24"/>
        </w:rPr>
        <w:t xml:space="preserve"> </w:t>
      </w:r>
      <w:r w:rsidR="00DD17E0" w:rsidRPr="00F362A1">
        <w:rPr>
          <w:rFonts w:ascii="Tahoma" w:hAnsi="Tahoma" w:cs="Tahoma"/>
          <w:b/>
          <w:sz w:val="24"/>
          <w:szCs w:val="24"/>
        </w:rPr>
        <w:t>20</w:t>
      </w:r>
      <w:r w:rsidR="00E10878" w:rsidRPr="00F362A1">
        <w:rPr>
          <w:rFonts w:ascii="Tahoma" w:hAnsi="Tahoma" w:cs="Tahoma"/>
          <w:b/>
          <w:sz w:val="24"/>
          <w:szCs w:val="24"/>
        </w:rPr>
        <w:t>20</w:t>
      </w:r>
      <w:bookmarkEnd w:id="32"/>
    </w:p>
    <w:p w:rsidR="002F1D42" w:rsidRPr="00F362A1" w:rsidRDefault="004D6D76" w:rsidP="002A6579">
      <w:pPr>
        <w:spacing w:before="120" w:line="276" w:lineRule="auto"/>
        <w:ind w:firstLine="677"/>
        <w:rPr>
          <w:rFonts w:ascii="Tahoma" w:hAnsi="Tahoma" w:cs="Tahoma"/>
          <w:b/>
          <w:sz w:val="24"/>
          <w:szCs w:val="24"/>
        </w:rPr>
      </w:pPr>
      <w:r w:rsidRPr="00F362A1">
        <w:rPr>
          <w:rFonts w:ascii="Tahoma" w:hAnsi="Tahoma" w:cs="Tahoma"/>
          <w:sz w:val="24"/>
          <w:szCs w:val="24"/>
        </w:rPr>
        <w:t>Conform datelor operative, execuția bugetului general consolidat pe primul semestru al anului 20</w:t>
      </w:r>
      <w:r w:rsidR="00E10878" w:rsidRPr="00F362A1">
        <w:rPr>
          <w:rFonts w:ascii="Tahoma" w:hAnsi="Tahoma" w:cs="Tahoma"/>
          <w:sz w:val="24"/>
          <w:szCs w:val="24"/>
        </w:rPr>
        <w:t>20</w:t>
      </w:r>
      <w:r w:rsidRPr="00F362A1">
        <w:rPr>
          <w:rFonts w:ascii="Tahoma" w:hAnsi="Tahoma" w:cs="Tahoma"/>
          <w:sz w:val="24"/>
          <w:szCs w:val="24"/>
        </w:rPr>
        <w:t xml:space="preserve"> (Anexa nr. 1 </w:t>
      </w:r>
      <w:r w:rsidR="00C27F72" w:rsidRPr="00F362A1">
        <w:rPr>
          <w:rFonts w:ascii="Tahoma" w:hAnsi="Tahoma" w:cs="Tahoma"/>
          <w:sz w:val="24"/>
          <w:szCs w:val="24"/>
        </w:rPr>
        <w:t>și</w:t>
      </w:r>
      <w:r w:rsidRPr="00F362A1">
        <w:rPr>
          <w:rFonts w:ascii="Tahoma" w:hAnsi="Tahoma" w:cs="Tahoma"/>
          <w:sz w:val="24"/>
          <w:szCs w:val="24"/>
        </w:rPr>
        <w:t xml:space="preserve"> Anexa nr. 2) s-a încheiat cu un </w:t>
      </w:r>
      <w:r w:rsidRPr="00F362A1">
        <w:rPr>
          <w:rFonts w:ascii="Tahoma" w:hAnsi="Tahoma" w:cs="Tahoma"/>
          <w:b/>
          <w:sz w:val="24"/>
          <w:szCs w:val="24"/>
        </w:rPr>
        <w:t xml:space="preserve">deficit de </w:t>
      </w:r>
      <w:r w:rsidR="00862FCF" w:rsidRPr="00F362A1">
        <w:rPr>
          <w:rFonts w:ascii="Tahoma" w:hAnsi="Tahoma" w:cs="Tahoma"/>
          <w:b/>
          <w:sz w:val="24"/>
          <w:szCs w:val="24"/>
        </w:rPr>
        <w:t>45</w:t>
      </w:r>
      <w:r w:rsidR="00461A21" w:rsidRPr="00F362A1">
        <w:rPr>
          <w:rFonts w:ascii="Tahoma" w:hAnsi="Tahoma" w:cs="Tahoma"/>
          <w:b/>
          <w:sz w:val="24"/>
          <w:szCs w:val="24"/>
        </w:rPr>
        <w:t>.</w:t>
      </w:r>
      <w:r w:rsidR="00862FCF" w:rsidRPr="00F362A1">
        <w:rPr>
          <w:rFonts w:ascii="Tahoma" w:hAnsi="Tahoma" w:cs="Tahoma"/>
          <w:b/>
          <w:sz w:val="24"/>
          <w:szCs w:val="24"/>
        </w:rPr>
        <w:t>173,6</w:t>
      </w:r>
      <w:r w:rsidRPr="00F362A1">
        <w:rPr>
          <w:rFonts w:ascii="Tahoma" w:hAnsi="Tahoma" w:cs="Tahoma"/>
          <w:b/>
          <w:sz w:val="24"/>
          <w:szCs w:val="24"/>
        </w:rPr>
        <w:t xml:space="preserve"> milioane lei (</w:t>
      </w:r>
      <w:r w:rsidR="00862FCF" w:rsidRPr="00F362A1">
        <w:rPr>
          <w:rFonts w:ascii="Tahoma" w:hAnsi="Tahoma" w:cs="Tahoma"/>
          <w:b/>
          <w:sz w:val="24"/>
          <w:szCs w:val="24"/>
        </w:rPr>
        <w:t>4,</w:t>
      </w:r>
      <w:r w:rsidR="00461A21" w:rsidRPr="00F362A1">
        <w:rPr>
          <w:rFonts w:ascii="Tahoma" w:hAnsi="Tahoma" w:cs="Tahoma"/>
          <w:b/>
          <w:sz w:val="24"/>
          <w:szCs w:val="24"/>
        </w:rPr>
        <w:t>17</w:t>
      </w:r>
      <w:r w:rsidRPr="00F362A1">
        <w:rPr>
          <w:rFonts w:ascii="Tahoma" w:hAnsi="Tahoma" w:cs="Tahoma"/>
          <w:b/>
          <w:sz w:val="24"/>
          <w:szCs w:val="24"/>
        </w:rPr>
        <w:t>% din PIB)</w:t>
      </w:r>
      <w:r w:rsidR="00395E39" w:rsidRPr="00F362A1">
        <w:rPr>
          <w:rFonts w:ascii="Tahoma" w:hAnsi="Tahoma" w:cs="Tahoma"/>
          <w:b/>
          <w:sz w:val="24"/>
          <w:szCs w:val="24"/>
        </w:rPr>
        <w:t xml:space="preserve"> </w:t>
      </w:r>
      <w:r w:rsidR="002E0C30" w:rsidRPr="00F362A1">
        <w:rPr>
          <w:rFonts w:ascii="Tahoma" w:hAnsi="Tahoma" w:cs="Tahoma"/>
          <w:sz w:val="24"/>
          <w:szCs w:val="24"/>
        </w:rPr>
        <w:t>sub ținta stabilit</w:t>
      </w:r>
      <w:r w:rsidR="00395E39" w:rsidRPr="00F362A1">
        <w:rPr>
          <w:rFonts w:ascii="Tahoma" w:hAnsi="Tahoma" w:cs="Tahoma"/>
          <w:sz w:val="24"/>
          <w:szCs w:val="24"/>
        </w:rPr>
        <w:t>ă</w:t>
      </w:r>
      <w:r w:rsidR="002E0C30" w:rsidRPr="00F362A1">
        <w:rPr>
          <w:rFonts w:ascii="Tahoma" w:hAnsi="Tahoma" w:cs="Tahoma"/>
          <w:sz w:val="24"/>
          <w:szCs w:val="24"/>
        </w:rPr>
        <w:t xml:space="preserve"> pe semestrul I</w:t>
      </w:r>
      <w:r w:rsidR="002F1D42" w:rsidRPr="00F362A1">
        <w:rPr>
          <w:rFonts w:ascii="Tahoma" w:hAnsi="Tahoma" w:cs="Tahoma"/>
          <w:b/>
          <w:sz w:val="24"/>
          <w:szCs w:val="24"/>
        </w:rPr>
        <w:t>.</w:t>
      </w:r>
    </w:p>
    <w:p w:rsidR="002E0C30" w:rsidRPr="00F362A1" w:rsidRDefault="002E0C30" w:rsidP="002A6579">
      <w:pPr>
        <w:spacing w:before="120" w:line="276" w:lineRule="auto"/>
        <w:ind w:firstLine="677"/>
        <w:rPr>
          <w:rFonts w:ascii="Tahoma" w:hAnsi="Tahoma" w:cs="Tahoma"/>
          <w:sz w:val="24"/>
          <w:szCs w:val="24"/>
        </w:rPr>
      </w:pPr>
      <w:r w:rsidRPr="00F362A1">
        <w:rPr>
          <w:rFonts w:ascii="Tahoma" w:hAnsi="Tahoma" w:cs="Tahoma"/>
          <w:sz w:val="24"/>
          <w:szCs w:val="24"/>
        </w:rPr>
        <w:t xml:space="preserve">Mai mult de jumătate din deficit, </w:t>
      </w:r>
      <w:r w:rsidRPr="00F362A1">
        <w:rPr>
          <w:rFonts w:ascii="Tahoma" w:hAnsi="Tahoma" w:cs="Tahoma"/>
          <w:b/>
          <w:sz w:val="24"/>
          <w:szCs w:val="24"/>
        </w:rPr>
        <w:t>respectiv 23,04 mld lei (2,13% din PIB)</w:t>
      </w:r>
      <w:r w:rsidRPr="00F362A1">
        <w:rPr>
          <w:rFonts w:ascii="Tahoma" w:hAnsi="Tahoma" w:cs="Tahoma"/>
          <w:sz w:val="24"/>
          <w:szCs w:val="24"/>
        </w:rPr>
        <w:t xml:space="preserve">, este generat de sumele lăsate în mediul economic prin facilitățile fiscale și cheltuieli excepționale adoptate pentru combaterea efectelor epidemiei de COVID-19. </w:t>
      </w:r>
    </w:p>
    <w:p w:rsidR="002E0C30" w:rsidRPr="00F362A1" w:rsidRDefault="002E0C30" w:rsidP="002A6579">
      <w:pPr>
        <w:spacing w:before="120" w:line="276" w:lineRule="auto"/>
        <w:ind w:firstLine="677"/>
        <w:rPr>
          <w:rFonts w:ascii="Tahoma" w:hAnsi="Tahoma" w:cs="Tahoma"/>
          <w:sz w:val="24"/>
          <w:szCs w:val="24"/>
        </w:rPr>
      </w:pPr>
      <w:r w:rsidRPr="00F362A1">
        <w:rPr>
          <w:rFonts w:ascii="Tahoma" w:hAnsi="Tahoma" w:cs="Tahoma"/>
          <w:sz w:val="24"/>
          <w:szCs w:val="24"/>
        </w:rPr>
        <w:t>Creșterea deficitul bugetar aferent primelor șase luni ale anului curent, comparativ cu cel înregistrat în perioada similară a anului trecut, este explicată, pe partea venituri, (i) de evoluția nefavorabilă a încasărilor bugetare în perioada martie-mai, ca urmare a amânării plății unor obligații fiscale de către agenții economici pe perioada crizei (10,2 mld lei)</w:t>
      </w:r>
      <w:r w:rsidR="00395E39" w:rsidRPr="00F362A1">
        <w:rPr>
          <w:rFonts w:ascii="Tahoma" w:hAnsi="Tahoma" w:cs="Tahoma"/>
          <w:sz w:val="24"/>
          <w:szCs w:val="24"/>
        </w:rPr>
        <w:t>,</w:t>
      </w:r>
      <w:r w:rsidRPr="00F362A1">
        <w:rPr>
          <w:rFonts w:ascii="Tahoma" w:hAnsi="Tahoma" w:cs="Tahoma"/>
          <w:sz w:val="24"/>
          <w:szCs w:val="24"/>
        </w:rPr>
        <w:t xml:space="preserve"> (ii) de creșterea cu 2,94 mld lei a restituirilor de TVA, față de nivelul aferent perioadei ian</w:t>
      </w:r>
      <w:r w:rsidR="00395E39" w:rsidRPr="00F362A1">
        <w:rPr>
          <w:rFonts w:ascii="Tahoma" w:hAnsi="Tahoma" w:cs="Tahoma"/>
          <w:sz w:val="24"/>
          <w:szCs w:val="24"/>
        </w:rPr>
        <w:t>uarie</w:t>
      </w:r>
      <w:r w:rsidRPr="00F362A1">
        <w:rPr>
          <w:rFonts w:ascii="Tahoma" w:hAnsi="Tahoma" w:cs="Tahoma"/>
          <w:sz w:val="24"/>
          <w:szCs w:val="24"/>
        </w:rPr>
        <w:t xml:space="preserve">-iunie 2019, pentru susținerea lichidității în sectorul privat, (iii) precum și de bonificațiile acordate pentru plata la scadență a impozitului pe profit și a celui pe veniturile microîntreprinderilor, în valoare de 0,25 mld lei. </w:t>
      </w:r>
    </w:p>
    <w:p w:rsidR="00F66BFA" w:rsidRPr="00F362A1" w:rsidRDefault="002E0C30" w:rsidP="002A6579">
      <w:pPr>
        <w:spacing w:before="120" w:line="276" w:lineRule="auto"/>
        <w:ind w:firstLine="677"/>
        <w:rPr>
          <w:rFonts w:ascii="Tahoma" w:hAnsi="Tahoma" w:cs="Tahoma"/>
          <w:sz w:val="24"/>
          <w:szCs w:val="24"/>
        </w:rPr>
      </w:pPr>
      <w:r w:rsidRPr="00F362A1">
        <w:rPr>
          <w:rFonts w:ascii="Tahoma" w:hAnsi="Tahoma" w:cs="Tahoma"/>
          <w:sz w:val="24"/>
          <w:szCs w:val="24"/>
        </w:rPr>
        <w:t>De asemenea, pe partea de cheltuieli, față de creșterea bugetară prin efectul legilor s-a înregistrat o creștere a cheltuielilor de investiții cu 3,79 mld lei față de aceeași perioadă a anului precedent, precum și plăți cu caracter excepțional generate de epidemia COVID-19 de aproximativ 5,86 mld lei.</w:t>
      </w:r>
    </w:p>
    <w:p w:rsidR="004D6D76" w:rsidRPr="00F362A1" w:rsidRDefault="004D6D76" w:rsidP="002A6579">
      <w:pPr>
        <w:spacing w:line="276" w:lineRule="auto"/>
        <w:ind w:firstLine="680"/>
        <w:rPr>
          <w:rFonts w:ascii="Tahoma" w:hAnsi="Tahoma" w:cs="Tahoma"/>
          <w:sz w:val="24"/>
          <w:szCs w:val="24"/>
        </w:rPr>
      </w:pPr>
      <w:r w:rsidRPr="00F362A1">
        <w:rPr>
          <w:rFonts w:ascii="Tahoma" w:hAnsi="Tahoma" w:cs="Tahoma"/>
          <w:b/>
          <w:sz w:val="24"/>
          <w:szCs w:val="24"/>
          <w:u w:val="single"/>
        </w:rPr>
        <w:t>Veniturile bugetului general consolidat</w:t>
      </w:r>
      <w:r w:rsidRPr="00F362A1">
        <w:rPr>
          <w:rFonts w:ascii="Tahoma" w:hAnsi="Tahoma" w:cs="Tahoma"/>
          <w:sz w:val="24"/>
          <w:szCs w:val="24"/>
        </w:rPr>
        <w:t xml:space="preserve"> au fost în sumă de </w:t>
      </w:r>
      <w:r w:rsidR="00461A21" w:rsidRPr="00F362A1">
        <w:rPr>
          <w:rFonts w:ascii="Tahoma" w:hAnsi="Tahoma" w:cs="Tahoma"/>
          <w:b/>
          <w:sz w:val="24"/>
          <w:szCs w:val="24"/>
        </w:rPr>
        <w:t>146.254,8</w:t>
      </w:r>
      <w:r w:rsidRPr="00F362A1">
        <w:rPr>
          <w:rFonts w:ascii="Tahoma" w:hAnsi="Tahoma" w:cs="Tahoma"/>
          <w:b/>
          <w:sz w:val="24"/>
          <w:szCs w:val="24"/>
        </w:rPr>
        <w:t xml:space="preserve"> milioane lei</w:t>
      </w:r>
      <w:r w:rsidRPr="00F362A1">
        <w:rPr>
          <w:rFonts w:ascii="Tahoma" w:hAnsi="Tahoma" w:cs="Tahoma"/>
          <w:sz w:val="24"/>
          <w:szCs w:val="24"/>
        </w:rPr>
        <w:t xml:space="preserve">, cu 1,6% mai </w:t>
      </w:r>
      <w:r w:rsidR="00461A21" w:rsidRPr="00F362A1">
        <w:rPr>
          <w:rFonts w:ascii="Tahoma" w:hAnsi="Tahoma" w:cs="Tahoma"/>
          <w:sz w:val="24"/>
          <w:szCs w:val="24"/>
        </w:rPr>
        <w:t>mici</w:t>
      </w:r>
      <w:r w:rsidRPr="00F362A1">
        <w:rPr>
          <w:rFonts w:ascii="Tahoma" w:hAnsi="Tahoma" w:cs="Tahoma"/>
          <w:sz w:val="24"/>
          <w:szCs w:val="24"/>
        </w:rPr>
        <w:t xml:space="preserve"> comparativ cu aceeași perioadă a anului precedent </w:t>
      </w:r>
      <w:r w:rsidR="00A40CBD" w:rsidRPr="00F362A1">
        <w:rPr>
          <w:rFonts w:ascii="Tahoma" w:hAnsi="Tahoma" w:cs="Tahoma"/>
          <w:sz w:val="24"/>
          <w:szCs w:val="24"/>
        </w:rPr>
        <w:t>și</w:t>
      </w:r>
      <w:r w:rsidRPr="00F362A1">
        <w:rPr>
          <w:rFonts w:ascii="Tahoma" w:hAnsi="Tahoma" w:cs="Tahoma"/>
          <w:sz w:val="24"/>
          <w:szCs w:val="24"/>
        </w:rPr>
        <w:t xml:space="preserve"> cu un grad de realizare al programului de încasări pe primul semestru de </w:t>
      </w:r>
      <w:r w:rsidR="00461A21" w:rsidRPr="00F362A1">
        <w:rPr>
          <w:rFonts w:ascii="Tahoma" w:hAnsi="Tahoma" w:cs="Tahoma"/>
          <w:b/>
          <w:sz w:val="24"/>
          <w:szCs w:val="24"/>
        </w:rPr>
        <w:t>95%</w:t>
      </w:r>
      <w:r w:rsidRPr="00F362A1">
        <w:rPr>
          <w:rFonts w:ascii="Tahoma" w:hAnsi="Tahoma" w:cs="Tahoma"/>
          <w:sz w:val="24"/>
          <w:szCs w:val="24"/>
        </w:rPr>
        <w:t xml:space="preserve">. </w:t>
      </w:r>
    </w:p>
    <w:p w:rsidR="004D6D76" w:rsidRPr="00F362A1" w:rsidRDefault="004D6D76" w:rsidP="002A6579">
      <w:pPr>
        <w:spacing w:line="276" w:lineRule="auto"/>
        <w:ind w:firstLine="680"/>
        <w:rPr>
          <w:rFonts w:ascii="Tahoma" w:hAnsi="Tahoma" w:cs="Tahoma"/>
          <w:sz w:val="24"/>
          <w:szCs w:val="24"/>
        </w:rPr>
      </w:pPr>
      <w:r w:rsidRPr="00F362A1">
        <w:rPr>
          <w:rFonts w:ascii="Tahoma" w:hAnsi="Tahoma" w:cs="Tahoma"/>
          <w:sz w:val="24"/>
          <w:szCs w:val="24"/>
        </w:rPr>
        <w:t xml:space="preserve">Veniturile bugetului general consolidat, ca procent în PIB, </w:t>
      </w:r>
      <w:r w:rsidR="00461A21" w:rsidRPr="00F362A1">
        <w:rPr>
          <w:rFonts w:ascii="Tahoma" w:hAnsi="Tahoma" w:cs="Tahoma"/>
          <w:sz w:val="24"/>
          <w:szCs w:val="24"/>
        </w:rPr>
        <w:t>s-au diminuat</w:t>
      </w:r>
      <w:r w:rsidRPr="00F362A1">
        <w:rPr>
          <w:rFonts w:ascii="Tahoma" w:hAnsi="Tahoma" w:cs="Tahoma"/>
          <w:sz w:val="24"/>
          <w:szCs w:val="24"/>
        </w:rPr>
        <w:t xml:space="preserve"> în perioada analizată cu 0,</w:t>
      </w:r>
      <w:r w:rsidR="00461A21" w:rsidRPr="00F362A1">
        <w:rPr>
          <w:rFonts w:ascii="Tahoma" w:hAnsi="Tahoma" w:cs="Tahoma"/>
          <w:sz w:val="24"/>
          <w:szCs w:val="24"/>
        </w:rPr>
        <w:t>5</w:t>
      </w:r>
      <w:r w:rsidRPr="00F362A1">
        <w:rPr>
          <w:rFonts w:ascii="Tahoma" w:hAnsi="Tahoma" w:cs="Tahoma"/>
          <w:sz w:val="24"/>
          <w:szCs w:val="24"/>
        </w:rPr>
        <w:t xml:space="preserve"> puncte procentuale comparativ cu aceeași perioadă a anului anterior de la 14,</w:t>
      </w:r>
      <w:r w:rsidR="00962D99" w:rsidRPr="00F362A1">
        <w:rPr>
          <w:rFonts w:ascii="Tahoma" w:hAnsi="Tahoma" w:cs="Tahoma"/>
          <w:sz w:val="24"/>
          <w:szCs w:val="24"/>
        </w:rPr>
        <w:t>0</w:t>
      </w:r>
      <w:r w:rsidRPr="00F362A1">
        <w:rPr>
          <w:rFonts w:ascii="Tahoma" w:hAnsi="Tahoma" w:cs="Tahoma"/>
          <w:sz w:val="24"/>
          <w:szCs w:val="24"/>
        </w:rPr>
        <w:t>% în PIB în semestru I 201</w:t>
      </w:r>
      <w:r w:rsidR="00461A21" w:rsidRPr="00F362A1">
        <w:rPr>
          <w:rFonts w:ascii="Tahoma" w:hAnsi="Tahoma" w:cs="Tahoma"/>
          <w:sz w:val="24"/>
          <w:szCs w:val="24"/>
        </w:rPr>
        <w:t>9</w:t>
      </w:r>
      <w:r w:rsidRPr="00F362A1">
        <w:rPr>
          <w:rFonts w:ascii="Tahoma" w:hAnsi="Tahoma" w:cs="Tahoma"/>
          <w:sz w:val="24"/>
          <w:szCs w:val="24"/>
        </w:rPr>
        <w:t xml:space="preserve"> la </w:t>
      </w:r>
      <w:r w:rsidR="00461A21" w:rsidRPr="00F362A1">
        <w:rPr>
          <w:rFonts w:ascii="Tahoma" w:hAnsi="Tahoma" w:cs="Tahoma"/>
          <w:sz w:val="24"/>
          <w:szCs w:val="24"/>
        </w:rPr>
        <w:t>13,5</w:t>
      </w:r>
      <w:r w:rsidRPr="00F362A1">
        <w:rPr>
          <w:rFonts w:ascii="Tahoma" w:hAnsi="Tahoma" w:cs="Tahoma"/>
          <w:sz w:val="24"/>
          <w:szCs w:val="24"/>
        </w:rPr>
        <w:t>% din PIB în semestrul I 20</w:t>
      </w:r>
      <w:r w:rsidR="00461A21" w:rsidRPr="00F362A1">
        <w:rPr>
          <w:rFonts w:ascii="Tahoma" w:hAnsi="Tahoma" w:cs="Tahoma"/>
          <w:sz w:val="24"/>
          <w:szCs w:val="24"/>
        </w:rPr>
        <w:t>20</w:t>
      </w:r>
      <w:r w:rsidRPr="00F362A1">
        <w:rPr>
          <w:rFonts w:ascii="Tahoma" w:hAnsi="Tahoma" w:cs="Tahoma"/>
          <w:sz w:val="24"/>
          <w:szCs w:val="24"/>
        </w:rPr>
        <w:t>.</w:t>
      </w:r>
    </w:p>
    <w:p w:rsidR="001B5B69" w:rsidRPr="00F362A1" w:rsidRDefault="001B5B69" w:rsidP="002A6579">
      <w:pPr>
        <w:spacing w:line="276" w:lineRule="auto"/>
        <w:ind w:firstLine="0"/>
        <w:rPr>
          <w:rFonts w:ascii="Tahoma" w:hAnsi="Tahoma" w:cs="Tahoma"/>
          <w:b/>
          <w:sz w:val="24"/>
          <w:szCs w:val="24"/>
        </w:rPr>
      </w:pPr>
      <w:r w:rsidRPr="00F362A1">
        <w:rPr>
          <w:rFonts w:ascii="Tahoma" w:hAnsi="Tahoma" w:cs="Tahoma"/>
          <w:b/>
          <w:noProof/>
          <w:sz w:val="24"/>
          <w:szCs w:val="24"/>
        </w:rPr>
        <w:lastRenderedPageBreak/>
        <w:drawing>
          <wp:inline distT="0" distB="0" distL="0" distR="0">
            <wp:extent cx="5817235" cy="29927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5436" cy="3012408"/>
                    </a:xfrm>
                    <a:prstGeom prst="rect">
                      <a:avLst/>
                    </a:prstGeom>
                    <a:noFill/>
                  </pic:spPr>
                </pic:pic>
              </a:graphicData>
            </a:graphic>
          </wp:inline>
        </w:drawing>
      </w:r>
    </w:p>
    <w:p w:rsidR="004D6D76" w:rsidRPr="00F362A1" w:rsidRDefault="004D6D76" w:rsidP="002A6579">
      <w:pPr>
        <w:spacing w:line="276" w:lineRule="auto"/>
        <w:ind w:firstLine="680"/>
        <w:rPr>
          <w:rFonts w:ascii="Tahoma" w:hAnsi="Tahoma" w:cs="Tahoma"/>
          <w:sz w:val="24"/>
          <w:szCs w:val="24"/>
        </w:rPr>
      </w:pPr>
      <w:r w:rsidRPr="00F362A1">
        <w:rPr>
          <w:rFonts w:ascii="Tahoma" w:hAnsi="Tahoma" w:cs="Tahoma"/>
          <w:b/>
          <w:sz w:val="24"/>
          <w:szCs w:val="24"/>
        </w:rPr>
        <w:t>Veniturile încasate din economia internă</w:t>
      </w:r>
      <w:r w:rsidRPr="00F362A1">
        <w:rPr>
          <w:rFonts w:ascii="Tahoma" w:hAnsi="Tahoma" w:cs="Tahoma"/>
          <w:sz w:val="24"/>
          <w:szCs w:val="24"/>
        </w:rPr>
        <w:t xml:space="preserve"> (fără fonduri de la Uniunea Europeană pre și post-aderare) au fost în sumă de </w:t>
      </w:r>
      <w:r w:rsidR="00461A21" w:rsidRPr="00F362A1">
        <w:rPr>
          <w:rFonts w:ascii="Tahoma" w:hAnsi="Tahoma" w:cs="Tahoma"/>
          <w:sz w:val="24"/>
          <w:szCs w:val="24"/>
        </w:rPr>
        <w:t>137.273,9</w:t>
      </w:r>
      <w:r w:rsidRPr="00F362A1">
        <w:rPr>
          <w:rFonts w:ascii="Tahoma" w:hAnsi="Tahoma" w:cs="Tahoma"/>
          <w:sz w:val="24"/>
          <w:szCs w:val="24"/>
        </w:rPr>
        <w:t xml:space="preserve"> milioane lei (1</w:t>
      </w:r>
      <w:r w:rsidR="00461A21" w:rsidRPr="00F362A1">
        <w:rPr>
          <w:rFonts w:ascii="Tahoma" w:hAnsi="Tahoma" w:cs="Tahoma"/>
          <w:sz w:val="24"/>
          <w:szCs w:val="24"/>
        </w:rPr>
        <w:t>2</w:t>
      </w:r>
      <w:r w:rsidRPr="00F362A1">
        <w:rPr>
          <w:rFonts w:ascii="Tahoma" w:hAnsi="Tahoma" w:cs="Tahoma"/>
          <w:sz w:val="24"/>
          <w:szCs w:val="24"/>
        </w:rPr>
        <w:t xml:space="preserve">,7% din PIB), cu </w:t>
      </w:r>
      <w:r w:rsidRPr="00F362A1">
        <w:rPr>
          <w:rFonts w:ascii="Tahoma" w:hAnsi="Tahoma" w:cs="Tahoma"/>
          <w:b/>
          <w:sz w:val="24"/>
          <w:szCs w:val="24"/>
        </w:rPr>
        <w:t xml:space="preserve">2,7% mai </w:t>
      </w:r>
      <w:r w:rsidR="00461A21" w:rsidRPr="00F362A1">
        <w:rPr>
          <w:rFonts w:ascii="Tahoma" w:hAnsi="Tahoma" w:cs="Tahoma"/>
          <w:b/>
          <w:sz w:val="24"/>
          <w:szCs w:val="24"/>
        </w:rPr>
        <w:t>mici</w:t>
      </w:r>
      <w:r w:rsidRPr="00F362A1">
        <w:rPr>
          <w:rFonts w:ascii="Tahoma" w:hAnsi="Tahoma" w:cs="Tahoma"/>
          <w:sz w:val="24"/>
          <w:szCs w:val="24"/>
        </w:rPr>
        <w:t xml:space="preserve"> comparativ cu încasările semestrului I 201</w:t>
      </w:r>
      <w:r w:rsidR="00563406" w:rsidRPr="00F362A1">
        <w:rPr>
          <w:rFonts w:ascii="Tahoma" w:hAnsi="Tahoma" w:cs="Tahoma"/>
          <w:sz w:val="24"/>
          <w:szCs w:val="24"/>
        </w:rPr>
        <w:t>9</w:t>
      </w:r>
      <w:r w:rsidR="00395E39" w:rsidRPr="00F362A1">
        <w:rPr>
          <w:rFonts w:ascii="Tahoma" w:hAnsi="Tahoma" w:cs="Tahoma"/>
          <w:sz w:val="24"/>
          <w:szCs w:val="24"/>
        </w:rPr>
        <w:t xml:space="preserve"> </w:t>
      </w:r>
      <w:r w:rsidR="00A40CBD" w:rsidRPr="00F362A1">
        <w:rPr>
          <w:rFonts w:ascii="Tahoma" w:hAnsi="Tahoma" w:cs="Tahoma"/>
          <w:sz w:val="24"/>
          <w:szCs w:val="24"/>
        </w:rPr>
        <w:t>și</w:t>
      </w:r>
      <w:r w:rsidRPr="00F362A1">
        <w:rPr>
          <w:rFonts w:ascii="Tahoma" w:hAnsi="Tahoma" w:cs="Tahoma"/>
          <w:sz w:val="24"/>
          <w:szCs w:val="24"/>
        </w:rPr>
        <w:t xml:space="preserve"> un grad de realizare a programul</w:t>
      </w:r>
      <w:r w:rsidR="00C426B5" w:rsidRPr="00F362A1">
        <w:rPr>
          <w:rFonts w:ascii="Tahoma" w:hAnsi="Tahoma" w:cs="Tahoma"/>
          <w:sz w:val="24"/>
          <w:szCs w:val="24"/>
        </w:rPr>
        <w:t>ui</w:t>
      </w:r>
      <w:r w:rsidRPr="00F362A1">
        <w:rPr>
          <w:rFonts w:ascii="Tahoma" w:hAnsi="Tahoma" w:cs="Tahoma"/>
          <w:sz w:val="24"/>
          <w:szCs w:val="24"/>
        </w:rPr>
        <w:t xml:space="preserve"> semestrial de </w:t>
      </w:r>
      <w:r w:rsidR="00563406" w:rsidRPr="00F362A1">
        <w:rPr>
          <w:rFonts w:ascii="Tahoma" w:hAnsi="Tahoma" w:cs="Tahoma"/>
          <w:b/>
          <w:sz w:val="24"/>
          <w:szCs w:val="24"/>
        </w:rPr>
        <w:t>98,2</w:t>
      </w:r>
      <w:r w:rsidRPr="00F362A1">
        <w:rPr>
          <w:rFonts w:ascii="Tahoma" w:hAnsi="Tahoma" w:cs="Tahoma"/>
          <w:b/>
          <w:sz w:val="24"/>
          <w:szCs w:val="24"/>
        </w:rPr>
        <w:t>%</w:t>
      </w:r>
      <w:r w:rsidRPr="00F362A1">
        <w:rPr>
          <w:rFonts w:ascii="Tahoma" w:hAnsi="Tahoma" w:cs="Tahoma"/>
          <w:sz w:val="24"/>
          <w:szCs w:val="24"/>
        </w:rPr>
        <w:t xml:space="preserve">.  </w:t>
      </w:r>
    </w:p>
    <w:p w:rsidR="002E7CD9" w:rsidRPr="00F362A1" w:rsidRDefault="004D6D76" w:rsidP="002A6579">
      <w:pPr>
        <w:spacing w:after="240" w:line="276" w:lineRule="auto"/>
        <w:ind w:firstLine="677"/>
        <w:rPr>
          <w:rFonts w:ascii="Tahoma" w:hAnsi="Tahoma" w:cs="Tahoma"/>
          <w:sz w:val="24"/>
          <w:szCs w:val="24"/>
        </w:rPr>
      </w:pPr>
      <w:r w:rsidRPr="00F362A1">
        <w:rPr>
          <w:rFonts w:ascii="Tahoma" w:hAnsi="Tahoma" w:cs="Tahoma"/>
          <w:sz w:val="24"/>
          <w:szCs w:val="24"/>
        </w:rPr>
        <w:t>Veniturile încasate din economia</w:t>
      </w:r>
      <w:r w:rsidR="00563406" w:rsidRPr="00F362A1">
        <w:rPr>
          <w:rFonts w:ascii="Tahoma" w:hAnsi="Tahoma" w:cs="Tahoma"/>
          <w:sz w:val="24"/>
          <w:szCs w:val="24"/>
        </w:rPr>
        <w:t xml:space="preserve"> internă, ca procent în PIB, s-au diminuat </w:t>
      </w:r>
      <w:r w:rsidRPr="00F362A1">
        <w:rPr>
          <w:rFonts w:ascii="Tahoma" w:hAnsi="Tahoma" w:cs="Tahoma"/>
          <w:sz w:val="24"/>
          <w:szCs w:val="24"/>
        </w:rPr>
        <w:t>cu 0,</w:t>
      </w:r>
      <w:r w:rsidR="00563406" w:rsidRPr="00F362A1">
        <w:rPr>
          <w:rFonts w:ascii="Tahoma" w:hAnsi="Tahoma" w:cs="Tahoma"/>
          <w:sz w:val="24"/>
          <w:szCs w:val="24"/>
        </w:rPr>
        <w:t>6</w:t>
      </w:r>
      <w:r w:rsidR="00395E39" w:rsidRPr="00F362A1">
        <w:rPr>
          <w:rFonts w:ascii="Tahoma" w:hAnsi="Tahoma" w:cs="Tahoma"/>
          <w:sz w:val="24"/>
          <w:szCs w:val="24"/>
        </w:rPr>
        <w:t xml:space="preserve"> </w:t>
      </w:r>
      <w:r w:rsidRPr="00F362A1">
        <w:rPr>
          <w:rFonts w:ascii="Tahoma" w:hAnsi="Tahoma" w:cs="Tahoma"/>
          <w:sz w:val="24"/>
          <w:szCs w:val="24"/>
        </w:rPr>
        <w:t>puncte procentuale de la 13,3% din PIB, cât au reprezentat în semestrul I 201</w:t>
      </w:r>
      <w:r w:rsidR="00563406" w:rsidRPr="00F362A1">
        <w:rPr>
          <w:rFonts w:ascii="Tahoma" w:hAnsi="Tahoma" w:cs="Tahoma"/>
          <w:sz w:val="24"/>
          <w:szCs w:val="24"/>
        </w:rPr>
        <w:t>9</w:t>
      </w:r>
      <w:r w:rsidRPr="00F362A1">
        <w:rPr>
          <w:rFonts w:ascii="Tahoma" w:hAnsi="Tahoma" w:cs="Tahoma"/>
          <w:sz w:val="24"/>
          <w:szCs w:val="24"/>
        </w:rPr>
        <w:t xml:space="preserve"> la </w:t>
      </w:r>
      <w:r w:rsidR="00563406" w:rsidRPr="00F362A1">
        <w:rPr>
          <w:rFonts w:ascii="Tahoma" w:hAnsi="Tahoma" w:cs="Tahoma"/>
          <w:sz w:val="24"/>
          <w:szCs w:val="24"/>
        </w:rPr>
        <w:t>12</w:t>
      </w:r>
      <w:r w:rsidRPr="00F362A1">
        <w:rPr>
          <w:rFonts w:ascii="Tahoma" w:hAnsi="Tahoma" w:cs="Tahoma"/>
          <w:sz w:val="24"/>
          <w:szCs w:val="24"/>
        </w:rPr>
        <w:t>,7% din PIB în semestrul I 20</w:t>
      </w:r>
      <w:r w:rsidR="00563406" w:rsidRPr="00F362A1">
        <w:rPr>
          <w:rFonts w:ascii="Tahoma" w:hAnsi="Tahoma" w:cs="Tahoma"/>
          <w:sz w:val="24"/>
          <w:szCs w:val="24"/>
        </w:rPr>
        <w:t>20</w:t>
      </w:r>
      <w:r w:rsidRPr="00F362A1">
        <w:rPr>
          <w:rFonts w:ascii="Tahoma" w:hAnsi="Tahoma" w:cs="Tahoma"/>
          <w:sz w:val="24"/>
          <w:szCs w:val="24"/>
        </w:rPr>
        <w:t>.</w:t>
      </w:r>
    </w:p>
    <w:p w:rsidR="002F1D42" w:rsidRPr="00F362A1" w:rsidRDefault="001B5B69" w:rsidP="002A6579">
      <w:pPr>
        <w:spacing w:line="276" w:lineRule="auto"/>
        <w:ind w:firstLine="0"/>
        <w:rPr>
          <w:rFonts w:ascii="Tahoma" w:hAnsi="Tahoma" w:cs="Tahoma"/>
          <w:sz w:val="24"/>
          <w:szCs w:val="24"/>
        </w:rPr>
      </w:pPr>
      <w:r w:rsidRPr="00F362A1">
        <w:rPr>
          <w:rFonts w:ascii="Tahoma" w:hAnsi="Tahoma" w:cs="Tahoma"/>
          <w:noProof/>
          <w:sz w:val="24"/>
          <w:szCs w:val="24"/>
        </w:rPr>
        <w:drawing>
          <wp:inline distT="0" distB="0" distL="0" distR="0">
            <wp:extent cx="5795492" cy="27086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8793" cy="2728932"/>
                    </a:xfrm>
                    <a:prstGeom prst="rect">
                      <a:avLst/>
                    </a:prstGeom>
                    <a:noFill/>
                  </pic:spPr>
                </pic:pic>
              </a:graphicData>
            </a:graphic>
          </wp:inline>
        </w:drawing>
      </w:r>
    </w:p>
    <w:p w:rsidR="004D6D76" w:rsidRPr="00F362A1" w:rsidRDefault="005275F7" w:rsidP="002A6579">
      <w:pPr>
        <w:spacing w:before="240" w:line="276" w:lineRule="auto"/>
        <w:rPr>
          <w:rFonts w:ascii="Tahoma" w:hAnsi="Tahoma" w:cs="Tahoma"/>
          <w:sz w:val="24"/>
          <w:szCs w:val="24"/>
        </w:rPr>
      </w:pPr>
      <w:r w:rsidRPr="00F362A1">
        <w:rPr>
          <w:rFonts w:ascii="Tahoma" w:hAnsi="Tahoma" w:cs="Tahoma"/>
          <w:b/>
          <w:bCs/>
          <w:sz w:val="24"/>
          <w:szCs w:val="24"/>
        </w:rPr>
        <w:tab/>
      </w:r>
      <w:r w:rsidR="00243CA2" w:rsidRPr="00F362A1">
        <w:rPr>
          <w:rFonts w:ascii="Tahoma" w:hAnsi="Tahoma" w:cs="Tahoma"/>
          <w:b/>
          <w:bCs/>
          <w:sz w:val="24"/>
          <w:szCs w:val="24"/>
        </w:rPr>
        <w:tab/>
      </w:r>
      <w:r w:rsidR="004D6D76" w:rsidRPr="00F362A1">
        <w:rPr>
          <w:rFonts w:ascii="Tahoma" w:hAnsi="Tahoma" w:cs="Tahoma"/>
          <w:b/>
          <w:bCs/>
          <w:sz w:val="24"/>
          <w:szCs w:val="24"/>
        </w:rPr>
        <w:t>Veniturile fiscale</w:t>
      </w:r>
      <w:r w:rsidR="004D6D76" w:rsidRPr="00F362A1">
        <w:rPr>
          <w:rFonts w:ascii="Tahoma" w:hAnsi="Tahoma" w:cs="Tahoma"/>
          <w:sz w:val="24"/>
          <w:szCs w:val="24"/>
        </w:rPr>
        <w:t xml:space="preserve"> au fost în sumă de </w:t>
      </w:r>
      <w:r w:rsidR="00563406" w:rsidRPr="00F362A1">
        <w:rPr>
          <w:rFonts w:ascii="Tahoma" w:hAnsi="Tahoma" w:cs="Tahoma"/>
          <w:b/>
          <w:sz w:val="24"/>
          <w:szCs w:val="24"/>
        </w:rPr>
        <w:t>70.317,5</w:t>
      </w:r>
      <w:r w:rsidR="004D6D76" w:rsidRPr="00F362A1">
        <w:rPr>
          <w:rFonts w:ascii="Tahoma" w:hAnsi="Tahoma" w:cs="Tahoma"/>
          <w:b/>
          <w:sz w:val="24"/>
          <w:szCs w:val="24"/>
        </w:rPr>
        <w:t xml:space="preserve"> milioane lei</w:t>
      </w:r>
      <w:r w:rsidR="004D6D76" w:rsidRPr="00F362A1">
        <w:rPr>
          <w:rFonts w:ascii="Tahoma" w:hAnsi="Tahoma" w:cs="Tahoma"/>
          <w:sz w:val="24"/>
          <w:szCs w:val="24"/>
        </w:rPr>
        <w:t xml:space="preserve">, cu </w:t>
      </w:r>
      <w:r w:rsidR="00563406" w:rsidRPr="00F362A1">
        <w:rPr>
          <w:rFonts w:ascii="Tahoma" w:hAnsi="Tahoma" w:cs="Tahoma"/>
          <w:sz w:val="24"/>
          <w:szCs w:val="24"/>
        </w:rPr>
        <w:t>3,0%</w:t>
      </w:r>
      <w:r w:rsidR="00395E39" w:rsidRPr="00F362A1">
        <w:rPr>
          <w:rFonts w:ascii="Tahoma" w:hAnsi="Tahoma" w:cs="Tahoma"/>
          <w:sz w:val="24"/>
          <w:szCs w:val="24"/>
        </w:rPr>
        <w:t xml:space="preserve"> </w:t>
      </w:r>
      <w:r w:rsidR="004D6D76" w:rsidRPr="00F362A1">
        <w:rPr>
          <w:rFonts w:ascii="Tahoma" w:hAnsi="Tahoma" w:cs="Tahoma"/>
          <w:sz w:val="24"/>
          <w:szCs w:val="24"/>
        </w:rPr>
        <w:t xml:space="preserve">mai </w:t>
      </w:r>
      <w:r w:rsidR="00563406" w:rsidRPr="00F362A1">
        <w:rPr>
          <w:rFonts w:ascii="Tahoma" w:hAnsi="Tahoma" w:cs="Tahoma"/>
          <w:sz w:val="24"/>
          <w:szCs w:val="24"/>
        </w:rPr>
        <w:t>mici</w:t>
      </w:r>
      <w:r w:rsidR="004D6D76" w:rsidRPr="00F362A1">
        <w:rPr>
          <w:rFonts w:ascii="Tahoma" w:hAnsi="Tahoma" w:cs="Tahoma"/>
          <w:sz w:val="24"/>
          <w:szCs w:val="24"/>
        </w:rPr>
        <w:t xml:space="preserve"> comparativ cu perioada similară din anul precedent și s-au realizat în proporție de </w:t>
      </w:r>
      <w:r w:rsidR="00563406" w:rsidRPr="00F362A1">
        <w:rPr>
          <w:rFonts w:ascii="Tahoma" w:hAnsi="Tahoma" w:cs="Tahoma"/>
          <w:sz w:val="24"/>
          <w:szCs w:val="24"/>
        </w:rPr>
        <w:t>97,6</w:t>
      </w:r>
      <w:r w:rsidR="004D6D76" w:rsidRPr="00F362A1">
        <w:rPr>
          <w:rFonts w:ascii="Tahoma" w:hAnsi="Tahoma" w:cs="Tahoma"/>
          <w:sz w:val="24"/>
          <w:szCs w:val="24"/>
        </w:rPr>
        <w:t>%.</w:t>
      </w:r>
    </w:p>
    <w:p w:rsidR="004D6D76" w:rsidRPr="00F362A1" w:rsidRDefault="004D6D76" w:rsidP="002A6579">
      <w:pPr>
        <w:spacing w:line="276" w:lineRule="auto"/>
        <w:ind w:firstLine="720"/>
        <w:rPr>
          <w:rFonts w:ascii="Tahoma" w:hAnsi="Tahoma" w:cs="Tahoma"/>
          <w:sz w:val="24"/>
          <w:szCs w:val="24"/>
        </w:rPr>
      </w:pPr>
      <w:r w:rsidRPr="00F362A1">
        <w:rPr>
          <w:rFonts w:ascii="Tahoma" w:hAnsi="Tahoma" w:cs="Tahoma"/>
          <w:sz w:val="24"/>
          <w:szCs w:val="24"/>
        </w:rPr>
        <w:t>În structură</w:t>
      </w:r>
      <w:r w:rsidR="009904E3" w:rsidRPr="00F362A1">
        <w:rPr>
          <w:rFonts w:ascii="Tahoma" w:hAnsi="Tahoma" w:cs="Tahoma"/>
          <w:sz w:val="24"/>
          <w:szCs w:val="24"/>
        </w:rPr>
        <w:t>,</w:t>
      </w:r>
      <w:r w:rsidRPr="00F362A1">
        <w:rPr>
          <w:rFonts w:ascii="Tahoma" w:hAnsi="Tahoma" w:cs="Tahoma"/>
          <w:sz w:val="24"/>
          <w:szCs w:val="24"/>
        </w:rPr>
        <w:t xml:space="preserve"> veniturile fiscale au avut următoarea evoluție:</w:t>
      </w:r>
    </w:p>
    <w:p w:rsidR="00575968" w:rsidRPr="00F362A1" w:rsidRDefault="00575968" w:rsidP="002A6579">
      <w:pPr>
        <w:spacing w:after="120" w:line="276" w:lineRule="auto"/>
        <w:ind w:firstLine="720"/>
        <w:rPr>
          <w:rFonts w:ascii="Tahoma" w:hAnsi="Tahoma" w:cs="Tahoma"/>
          <w:sz w:val="24"/>
          <w:szCs w:val="24"/>
        </w:rPr>
      </w:pPr>
      <w:r w:rsidRPr="00F362A1">
        <w:rPr>
          <w:rFonts w:ascii="Tahoma" w:hAnsi="Tahoma" w:cs="Tahoma"/>
          <w:b/>
          <w:sz w:val="24"/>
          <w:szCs w:val="24"/>
        </w:rPr>
        <w:lastRenderedPageBreak/>
        <w:t>Încasările din impozitul pe profit</w:t>
      </w:r>
      <w:r w:rsidRPr="00F362A1">
        <w:rPr>
          <w:rFonts w:ascii="Tahoma" w:hAnsi="Tahoma" w:cs="Tahoma"/>
          <w:sz w:val="24"/>
          <w:szCs w:val="24"/>
        </w:rPr>
        <w:t xml:space="preserve"> în semestrul </w:t>
      </w:r>
      <w:r w:rsidR="00395E39" w:rsidRPr="00F362A1">
        <w:rPr>
          <w:rFonts w:ascii="Tahoma" w:hAnsi="Tahoma" w:cs="Tahoma"/>
          <w:sz w:val="24"/>
          <w:szCs w:val="24"/>
        </w:rPr>
        <w:t xml:space="preserve">I 2020 de 7.525,5 milioane lei, </w:t>
      </w:r>
      <w:r w:rsidRPr="00F362A1">
        <w:rPr>
          <w:rFonts w:ascii="Tahoma" w:hAnsi="Tahoma" w:cs="Tahoma"/>
          <w:sz w:val="24"/>
          <w:szCs w:val="24"/>
        </w:rPr>
        <w:t xml:space="preserve">în </w:t>
      </w:r>
      <w:r w:rsidR="00247A3D" w:rsidRPr="00F362A1">
        <w:rPr>
          <w:rFonts w:ascii="Tahoma" w:hAnsi="Tahoma" w:cs="Tahoma"/>
          <w:sz w:val="24"/>
          <w:szCs w:val="24"/>
        </w:rPr>
        <w:t>scădere</w:t>
      </w:r>
      <w:r w:rsidRPr="00F362A1">
        <w:rPr>
          <w:rFonts w:ascii="Tahoma" w:hAnsi="Tahoma" w:cs="Tahoma"/>
          <w:sz w:val="24"/>
          <w:szCs w:val="24"/>
        </w:rPr>
        <w:t xml:space="preserve"> cu 7,5% comparativ cu aceeași perioadă a anului precedent, înregistrează un grad de realizare față de programul stabilit pentru această perioadă de 96,2% (-0,3 mld. lei).</w:t>
      </w:r>
    </w:p>
    <w:p w:rsidR="00575968" w:rsidRPr="00F362A1" w:rsidRDefault="00575968" w:rsidP="002A6579">
      <w:pPr>
        <w:spacing w:line="276" w:lineRule="auto"/>
        <w:ind w:left="720" w:hanging="360"/>
        <w:rPr>
          <w:rFonts w:ascii="Tahoma" w:hAnsi="Tahoma" w:cs="Tahoma"/>
          <w:sz w:val="24"/>
          <w:szCs w:val="24"/>
        </w:rPr>
      </w:pPr>
      <w:r w:rsidRPr="00F362A1">
        <w:rPr>
          <w:rFonts w:ascii="Tahoma" w:hAnsi="Tahoma" w:cs="Tahoma"/>
          <w:sz w:val="24"/>
          <w:szCs w:val="24"/>
        </w:rPr>
        <w:t>Evoluția impozitului pe profit în structură este următoarea:</w:t>
      </w:r>
    </w:p>
    <w:p w:rsidR="00575968" w:rsidRPr="00F362A1" w:rsidRDefault="00575968" w:rsidP="002A6579">
      <w:pPr>
        <w:spacing w:line="276" w:lineRule="auto"/>
        <w:ind w:left="720" w:hanging="360"/>
        <w:rPr>
          <w:rFonts w:ascii="Tahoma" w:hAnsi="Tahoma" w:cs="Tahoma"/>
          <w:sz w:val="24"/>
          <w:szCs w:val="24"/>
        </w:rPr>
      </w:pPr>
    </w:p>
    <w:p w:rsidR="00575968" w:rsidRPr="00F362A1" w:rsidRDefault="00575968" w:rsidP="002A6579">
      <w:pPr>
        <w:pStyle w:val="ListParagraph"/>
        <w:numPr>
          <w:ilvl w:val="0"/>
          <w:numId w:val="10"/>
        </w:numPr>
        <w:spacing w:after="240" w:line="276" w:lineRule="auto"/>
        <w:ind w:left="1080"/>
        <w:contextualSpacing w:val="0"/>
        <w:rPr>
          <w:rFonts w:ascii="Tahoma" w:hAnsi="Tahoma" w:cs="Tahoma"/>
          <w:sz w:val="24"/>
          <w:szCs w:val="24"/>
        </w:rPr>
      </w:pPr>
      <w:r w:rsidRPr="00F362A1">
        <w:rPr>
          <w:rFonts w:ascii="Tahoma" w:hAnsi="Tahoma" w:cs="Tahoma"/>
          <w:sz w:val="24"/>
          <w:szCs w:val="24"/>
        </w:rPr>
        <w:t xml:space="preserve">impozitul pe profit virat de agenții economici atinge </w:t>
      </w:r>
      <w:r w:rsidR="00395E39" w:rsidRPr="00F362A1">
        <w:rPr>
          <w:rFonts w:ascii="Tahoma" w:hAnsi="Tahoma" w:cs="Tahoma"/>
          <w:sz w:val="24"/>
          <w:szCs w:val="24"/>
        </w:rPr>
        <w:t>ț</w:t>
      </w:r>
      <w:r w:rsidRPr="00F362A1">
        <w:rPr>
          <w:rFonts w:ascii="Tahoma" w:hAnsi="Tahoma" w:cs="Tahoma"/>
          <w:sz w:val="24"/>
          <w:szCs w:val="24"/>
        </w:rPr>
        <w:t>inta de program semestrial estimat (grad de re</w:t>
      </w:r>
      <w:r w:rsidR="00395E39" w:rsidRPr="00F362A1">
        <w:rPr>
          <w:rFonts w:ascii="Tahoma" w:hAnsi="Tahoma" w:cs="Tahoma"/>
          <w:sz w:val="24"/>
          <w:szCs w:val="24"/>
        </w:rPr>
        <w:t>alizare de 100,2%), pe fondul mă</w:t>
      </w:r>
      <w:r w:rsidRPr="00F362A1">
        <w:rPr>
          <w:rFonts w:ascii="Tahoma" w:hAnsi="Tahoma" w:cs="Tahoma"/>
          <w:sz w:val="24"/>
          <w:szCs w:val="24"/>
        </w:rPr>
        <w:t>surilor</w:t>
      </w:r>
      <w:r w:rsidR="00395E39" w:rsidRPr="00F362A1">
        <w:rPr>
          <w:rFonts w:ascii="Tahoma" w:hAnsi="Tahoma" w:cs="Tahoma"/>
          <w:sz w:val="24"/>
          <w:szCs w:val="24"/>
        </w:rPr>
        <w:t xml:space="preserve"> legislative adoptate în această</w:t>
      </w:r>
      <w:r w:rsidRPr="00F362A1">
        <w:rPr>
          <w:rFonts w:ascii="Tahoma" w:hAnsi="Tahoma" w:cs="Tahoma"/>
          <w:sz w:val="24"/>
          <w:szCs w:val="24"/>
        </w:rPr>
        <w:t xml:space="preserve"> perioadă privind acordarea de bonificații pentru plata anticipată efectuată trimestrial, pentru anul 2020, la nivelul sumei rezultate din calculul impozitului pe profit trimestrial curent. </w:t>
      </w:r>
    </w:p>
    <w:p w:rsidR="00575968" w:rsidRPr="00F362A1" w:rsidRDefault="00575968" w:rsidP="002A6579">
      <w:pPr>
        <w:pStyle w:val="ListParagraph"/>
        <w:numPr>
          <w:ilvl w:val="0"/>
          <w:numId w:val="10"/>
        </w:numPr>
        <w:spacing w:after="240" w:line="276" w:lineRule="auto"/>
        <w:ind w:left="1080"/>
        <w:contextualSpacing w:val="0"/>
        <w:rPr>
          <w:rFonts w:ascii="Tahoma" w:hAnsi="Tahoma" w:cs="Tahoma"/>
          <w:sz w:val="24"/>
          <w:szCs w:val="24"/>
        </w:rPr>
      </w:pPr>
      <w:r w:rsidRPr="00F362A1">
        <w:rPr>
          <w:rFonts w:ascii="Tahoma" w:hAnsi="Tahoma" w:cs="Tahoma"/>
          <w:sz w:val="24"/>
          <w:szCs w:val="24"/>
        </w:rPr>
        <w:t xml:space="preserve">impozitul pe profit virat de băncile comerciale se află sub nivelul viramentelor din primul semestru al anului precedent cu 0,4 mld. </w:t>
      </w:r>
      <w:r w:rsidR="00395E39" w:rsidRPr="00F362A1">
        <w:rPr>
          <w:rFonts w:ascii="Tahoma" w:hAnsi="Tahoma" w:cs="Tahoma"/>
          <w:sz w:val="24"/>
          <w:szCs w:val="24"/>
        </w:rPr>
        <w:t>l</w:t>
      </w:r>
      <w:r w:rsidRPr="00F362A1">
        <w:rPr>
          <w:rFonts w:ascii="Tahoma" w:hAnsi="Tahoma" w:cs="Tahoma"/>
          <w:sz w:val="24"/>
          <w:szCs w:val="24"/>
        </w:rPr>
        <w:t>ei</w:t>
      </w:r>
      <w:r w:rsidR="00395E39" w:rsidRPr="00F362A1">
        <w:rPr>
          <w:rFonts w:ascii="Tahoma" w:hAnsi="Tahoma" w:cs="Tahoma"/>
          <w:sz w:val="24"/>
          <w:szCs w:val="24"/>
        </w:rPr>
        <w:t xml:space="preserve">        </w:t>
      </w:r>
      <w:r w:rsidRPr="00F362A1">
        <w:rPr>
          <w:rFonts w:ascii="Tahoma" w:hAnsi="Tahoma" w:cs="Tahoma"/>
          <w:sz w:val="24"/>
          <w:szCs w:val="24"/>
        </w:rPr>
        <w:t xml:space="preserve"> (-48,2%), cu un grad de realizare al programului semestrial de 57,5% </w:t>
      </w:r>
      <w:r w:rsidR="00395E39" w:rsidRPr="00F362A1">
        <w:rPr>
          <w:rFonts w:ascii="Tahoma" w:hAnsi="Tahoma" w:cs="Tahoma"/>
          <w:sz w:val="24"/>
          <w:szCs w:val="24"/>
        </w:rPr>
        <w:t xml:space="preserve">     (-0,3 mld. lei). </w:t>
      </w:r>
      <w:r w:rsidRPr="00F362A1">
        <w:rPr>
          <w:rFonts w:ascii="Tahoma" w:hAnsi="Tahoma" w:cs="Tahoma"/>
          <w:sz w:val="24"/>
          <w:szCs w:val="24"/>
        </w:rPr>
        <w:t xml:space="preserve">Nerealizarea programului de </w:t>
      </w:r>
      <w:r w:rsidR="00746146" w:rsidRPr="00F362A1">
        <w:rPr>
          <w:rFonts w:ascii="Tahoma" w:hAnsi="Tahoma" w:cs="Tahoma"/>
          <w:sz w:val="24"/>
          <w:szCs w:val="24"/>
        </w:rPr>
        <w:t>î</w:t>
      </w:r>
      <w:r w:rsidRPr="00F362A1">
        <w:rPr>
          <w:rFonts w:ascii="Tahoma" w:hAnsi="Tahoma" w:cs="Tahoma"/>
          <w:sz w:val="24"/>
          <w:szCs w:val="24"/>
        </w:rPr>
        <w:t>ncas</w:t>
      </w:r>
      <w:r w:rsidR="00746146" w:rsidRPr="00F362A1">
        <w:rPr>
          <w:rFonts w:ascii="Tahoma" w:hAnsi="Tahoma" w:cs="Tahoma"/>
          <w:sz w:val="24"/>
          <w:szCs w:val="24"/>
        </w:rPr>
        <w:t>ă</w:t>
      </w:r>
      <w:r w:rsidRPr="00F362A1">
        <w:rPr>
          <w:rFonts w:ascii="Tahoma" w:hAnsi="Tahoma" w:cs="Tahoma"/>
          <w:sz w:val="24"/>
          <w:szCs w:val="24"/>
        </w:rPr>
        <w:t xml:space="preserve">ri semestrial se </w:t>
      </w:r>
      <w:r w:rsidR="00247A3D" w:rsidRPr="00F362A1">
        <w:rPr>
          <w:rFonts w:ascii="Tahoma" w:hAnsi="Tahoma" w:cs="Tahoma"/>
          <w:sz w:val="24"/>
          <w:szCs w:val="24"/>
        </w:rPr>
        <w:t>datorează</w:t>
      </w:r>
      <w:r w:rsidRPr="00F362A1">
        <w:rPr>
          <w:rFonts w:ascii="Tahoma" w:hAnsi="Tahoma" w:cs="Tahoma"/>
          <w:sz w:val="24"/>
          <w:szCs w:val="24"/>
        </w:rPr>
        <w:t xml:space="preserve">, </w:t>
      </w:r>
      <w:r w:rsidR="00746146" w:rsidRPr="00F362A1">
        <w:rPr>
          <w:rFonts w:ascii="Tahoma" w:hAnsi="Tahoma" w:cs="Tahoma"/>
          <w:sz w:val="24"/>
          <w:szCs w:val="24"/>
        </w:rPr>
        <w:t>î</w:t>
      </w:r>
      <w:r w:rsidRPr="00F362A1">
        <w:rPr>
          <w:rFonts w:ascii="Tahoma" w:hAnsi="Tahoma" w:cs="Tahoma"/>
          <w:sz w:val="24"/>
          <w:szCs w:val="24"/>
        </w:rPr>
        <w:t xml:space="preserve">n principal: (i) scăderii volumului creditelor acordate </w:t>
      </w:r>
      <w:r w:rsidR="00395E39" w:rsidRPr="00F362A1">
        <w:rPr>
          <w:rFonts w:ascii="Tahoma" w:hAnsi="Tahoma" w:cs="Tahoma"/>
          <w:sz w:val="24"/>
          <w:szCs w:val="24"/>
        </w:rPr>
        <w:t>pop</w:t>
      </w:r>
      <w:r w:rsidR="00247A3D" w:rsidRPr="00F362A1">
        <w:rPr>
          <w:rFonts w:ascii="Tahoma" w:hAnsi="Tahoma" w:cs="Tahoma"/>
          <w:sz w:val="24"/>
          <w:szCs w:val="24"/>
        </w:rPr>
        <w:t>ulației</w:t>
      </w:r>
      <w:r w:rsidRPr="00F362A1">
        <w:rPr>
          <w:rFonts w:ascii="Tahoma" w:hAnsi="Tahoma" w:cs="Tahoma"/>
          <w:sz w:val="24"/>
          <w:szCs w:val="24"/>
        </w:rPr>
        <w:t xml:space="preserve"> și </w:t>
      </w:r>
      <w:r w:rsidR="00247A3D" w:rsidRPr="00F362A1">
        <w:rPr>
          <w:rFonts w:ascii="Tahoma" w:hAnsi="Tahoma" w:cs="Tahoma"/>
          <w:sz w:val="24"/>
          <w:szCs w:val="24"/>
        </w:rPr>
        <w:t>întreprinderilor</w:t>
      </w:r>
      <w:r w:rsidRPr="00F362A1">
        <w:rPr>
          <w:rFonts w:ascii="Tahoma" w:hAnsi="Tahoma" w:cs="Tahoma"/>
          <w:sz w:val="24"/>
          <w:szCs w:val="24"/>
        </w:rPr>
        <w:t>; (ii) reducer</w:t>
      </w:r>
      <w:r w:rsidR="00746146" w:rsidRPr="00F362A1">
        <w:rPr>
          <w:rFonts w:ascii="Tahoma" w:hAnsi="Tahoma" w:cs="Tahoma"/>
          <w:sz w:val="24"/>
          <w:szCs w:val="24"/>
        </w:rPr>
        <w:t>ii</w:t>
      </w:r>
      <w:r w:rsidR="00395E39" w:rsidRPr="00F362A1">
        <w:rPr>
          <w:rFonts w:ascii="Tahoma" w:hAnsi="Tahoma" w:cs="Tahoma"/>
          <w:sz w:val="24"/>
          <w:szCs w:val="24"/>
        </w:rPr>
        <w:t xml:space="preserve"> ratei dobânzii de politică monetară</w:t>
      </w:r>
      <w:r w:rsidRPr="00F362A1">
        <w:rPr>
          <w:rFonts w:ascii="Tahoma" w:hAnsi="Tahoma" w:cs="Tahoma"/>
          <w:sz w:val="24"/>
          <w:szCs w:val="24"/>
        </w:rPr>
        <w:t xml:space="preserve"> cu 0,5 puncte procentuale, începând cu data de 23 martie de la 2,5% la 2,0% pe an, respectiv la 1,75% pe an începând cu data de 02 iunie 2020; (ii</w:t>
      </w:r>
      <w:r w:rsidR="00746146" w:rsidRPr="00F362A1">
        <w:rPr>
          <w:rFonts w:ascii="Tahoma" w:hAnsi="Tahoma" w:cs="Tahoma"/>
          <w:sz w:val="24"/>
          <w:szCs w:val="24"/>
        </w:rPr>
        <w:t>i</w:t>
      </w:r>
      <w:r w:rsidRPr="00F362A1">
        <w:rPr>
          <w:rFonts w:ascii="Tahoma" w:hAnsi="Tahoma" w:cs="Tahoma"/>
          <w:sz w:val="24"/>
          <w:szCs w:val="24"/>
        </w:rPr>
        <w:t xml:space="preserve">) </w:t>
      </w:r>
      <w:r w:rsidR="00247A3D" w:rsidRPr="00F362A1">
        <w:rPr>
          <w:rFonts w:ascii="Tahoma" w:hAnsi="Tahoma" w:cs="Tahoma"/>
          <w:sz w:val="24"/>
          <w:szCs w:val="24"/>
        </w:rPr>
        <w:t>suspendării</w:t>
      </w:r>
      <w:r w:rsidRPr="00F362A1">
        <w:rPr>
          <w:rFonts w:ascii="Tahoma" w:hAnsi="Tahoma" w:cs="Tahoma"/>
          <w:sz w:val="24"/>
          <w:szCs w:val="24"/>
        </w:rPr>
        <w:t xml:space="preserve"> de la plată a ratelor scadente aferente împrumuturilor, reprezentând rate de capital, dobânzi și comisioane, acordate debitorilor de către creditor la cererea debitorului cu până la 9 luni, dar nu mai mult de 31.12.2020. </w:t>
      </w:r>
    </w:p>
    <w:p w:rsidR="00746146" w:rsidRPr="00F362A1" w:rsidRDefault="00746146" w:rsidP="002A6579">
      <w:pPr>
        <w:suppressAutoHyphens/>
        <w:spacing w:after="0" w:line="276" w:lineRule="auto"/>
        <w:ind w:firstLine="720"/>
        <w:rPr>
          <w:rFonts w:ascii="Tahoma" w:hAnsi="Tahoma" w:cs="Tahoma"/>
          <w:sz w:val="24"/>
          <w:szCs w:val="24"/>
        </w:rPr>
      </w:pPr>
      <w:r w:rsidRPr="00F362A1">
        <w:rPr>
          <w:rFonts w:ascii="Tahoma" w:hAnsi="Tahoma" w:cs="Tahoma"/>
          <w:b/>
          <w:sz w:val="24"/>
          <w:szCs w:val="24"/>
        </w:rPr>
        <w:t>Încasările din impozitul pe venit</w:t>
      </w:r>
      <w:r w:rsidRPr="00F362A1">
        <w:rPr>
          <w:rFonts w:ascii="Tahoma" w:hAnsi="Tahoma" w:cs="Tahoma"/>
          <w:sz w:val="24"/>
          <w:szCs w:val="24"/>
        </w:rPr>
        <w:t xml:space="preserve"> în semestrul I 2020 au totalizat 12.222,6 milio</w:t>
      </w:r>
      <w:r w:rsidR="00A47438" w:rsidRPr="00F362A1">
        <w:rPr>
          <w:rFonts w:ascii="Tahoma" w:hAnsi="Tahoma" w:cs="Tahoma"/>
          <w:sz w:val="24"/>
          <w:szCs w:val="24"/>
        </w:rPr>
        <w:t xml:space="preserve">ane lei, în  creștere cu 10,4% </w:t>
      </w:r>
      <w:r w:rsidRPr="00F362A1">
        <w:rPr>
          <w:rFonts w:ascii="Tahoma" w:hAnsi="Tahoma" w:cs="Tahoma"/>
          <w:sz w:val="24"/>
          <w:szCs w:val="24"/>
        </w:rPr>
        <w:t>comparativ cu aceeași perioadă a anului precedent. Gradul de realizare al impozitului pe venit față de programul stabilit pentru această perioadă a fost de 105,6% (+0,6 mld. lei).</w:t>
      </w:r>
    </w:p>
    <w:p w:rsidR="00746146" w:rsidRPr="00F362A1" w:rsidRDefault="00746146" w:rsidP="002A6579">
      <w:pPr>
        <w:suppressAutoHyphens/>
        <w:spacing w:after="0" w:line="276" w:lineRule="auto"/>
        <w:ind w:firstLine="720"/>
        <w:rPr>
          <w:rFonts w:ascii="Tahoma" w:hAnsi="Tahoma" w:cs="Tahoma"/>
          <w:sz w:val="24"/>
          <w:szCs w:val="24"/>
        </w:rPr>
      </w:pPr>
      <w:r w:rsidRPr="00F362A1">
        <w:rPr>
          <w:rFonts w:ascii="Tahoma" w:hAnsi="Tahoma" w:cs="Tahoma"/>
          <w:sz w:val="24"/>
          <w:szCs w:val="24"/>
        </w:rPr>
        <w:t xml:space="preserve">În structură, impozitul pe venitul din salarii a înregistrat un grad de realizare de 103,8%. Comparativ cu aceeași perioadă a anului 2019, încasările din impozit pe venit din salarii cresc cu 0,9%. Această creștere se situează sub creșterea fondului de salarii de </w:t>
      </w:r>
      <w:r w:rsidR="00BB23A6" w:rsidRPr="00F362A1">
        <w:rPr>
          <w:rFonts w:ascii="Tahoma" w:eastAsia="Calibri" w:hAnsi="Tahoma" w:cs="Tahoma"/>
          <w:sz w:val="24"/>
          <w:szCs w:val="24"/>
        </w:rPr>
        <w:t>6,1%</w:t>
      </w:r>
      <w:r w:rsidR="00BB23A6" w:rsidRPr="00F362A1">
        <w:rPr>
          <w:rStyle w:val="FootnoteReference"/>
          <w:rFonts w:ascii="Tahoma" w:eastAsia="Calibri" w:hAnsi="Tahoma" w:cs="Tahoma"/>
          <w:sz w:val="24"/>
          <w:szCs w:val="24"/>
        </w:rPr>
        <w:footnoteReference w:id="1"/>
      </w:r>
      <w:r w:rsidR="00BB23A6" w:rsidRPr="00F362A1">
        <w:rPr>
          <w:rFonts w:ascii="Tahoma" w:eastAsia="Calibri" w:hAnsi="Tahoma" w:cs="Tahoma"/>
          <w:sz w:val="24"/>
          <w:szCs w:val="24"/>
        </w:rPr>
        <w:t>,</w:t>
      </w:r>
      <w:r w:rsidRPr="00F362A1">
        <w:rPr>
          <w:rFonts w:ascii="Tahoma" w:hAnsi="Tahoma" w:cs="Tahoma"/>
          <w:sz w:val="24"/>
          <w:szCs w:val="24"/>
        </w:rPr>
        <w:t xml:space="preserve"> fiind influențată și de amânarea la plată a obligațiilor </w:t>
      </w:r>
      <w:r w:rsidR="00BB23A6" w:rsidRPr="00F362A1">
        <w:rPr>
          <w:rFonts w:ascii="Tahoma" w:eastAsia="Calibri" w:hAnsi="Tahoma" w:cs="Tahoma"/>
          <w:sz w:val="24"/>
          <w:szCs w:val="24"/>
        </w:rPr>
        <w:t>fiscale</w:t>
      </w:r>
      <w:r w:rsidR="00BB23A6" w:rsidRPr="00F362A1">
        <w:rPr>
          <w:rStyle w:val="FootnoteReference"/>
          <w:rFonts w:ascii="Tahoma" w:eastAsia="Calibri" w:hAnsi="Tahoma" w:cs="Tahoma"/>
          <w:sz w:val="24"/>
          <w:szCs w:val="24"/>
        </w:rPr>
        <w:footnoteReference w:id="2"/>
      </w:r>
      <w:r w:rsidRPr="00F362A1">
        <w:rPr>
          <w:rFonts w:ascii="Tahoma" w:hAnsi="Tahoma" w:cs="Tahoma"/>
          <w:sz w:val="24"/>
          <w:szCs w:val="24"/>
        </w:rPr>
        <w:t xml:space="preserve">. </w:t>
      </w:r>
    </w:p>
    <w:p w:rsidR="00746146" w:rsidRPr="00F362A1" w:rsidRDefault="00746146" w:rsidP="002A6579">
      <w:pPr>
        <w:suppressAutoHyphens/>
        <w:spacing w:after="240" w:line="276" w:lineRule="auto"/>
        <w:ind w:firstLine="720"/>
        <w:rPr>
          <w:rFonts w:ascii="Tahoma" w:hAnsi="Tahoma" w:cs="Tahoma"/>
          <w:sz w:val="24"/>
          <w:szCs w:val="24"/>
        </w:rPr>
      </w:pPr>
      <w:r w:rsidRPr="00F362A1">
        <w:rPr>
          <w:rFonts w:ascii="Tahoma" w:hAnsi="Tahoma" w:cs="Tahoma"/>
          <w:sz w:val="24"/>
          <w:szCs w:val="24"/>
        </w:rPr>
        <w:t>O evoluție pozitivă au înregistrat-o încasările din impozitul pe venit aferent declarației unice cu termen de plata de pana la 30.06.2020 (OUG nr. 69/2020), în creștere cu 0,8 mld lei comparativ cu aceeași perioadă a anului precedent când termenul de plat</w:t>
      </w:r>
      <w:r w:rsidR="00EC46DD" w:rsidRPr="00F362A1">
        <w:rPr>
          <w:rFonts w:ascii="Tahoma" w:hAnsi="Tahoma" w:cs="Tahoma"/>
          <w:sz w:val="24"/>
          <w:szCs w:val="24"/>
        </w:rPr>
        <w:t>ă</w:t>
      </w:r>
      <w:r w:rsidRPr="00F362A1">
        <w:rPr>
          <w:rFonts w:ascii="Tahoma" w:hAnsi="Tahoma" w:cs="Tahoma"/>
          <w:sz w:val="24"/>
          <w:szCs w:val="24"/>
        </w:rPr>
        <w:t xml:space="preserve"> a fost data de 31.07.2019. Gradul de realizare este de 145,1% </w:t>
      </w:r>
      <w:r w:rsidRPr="00F362A1">
        <w:rPr>
          <w:rFonts w:ascii="Tahoma" w:hAnsi="Tahoma" w:cs="Tahoma"/>
          <w:sz w:val="24"/>
          <w:szCs w:val="24"/>
        </w:rPr>
        <w:lastRenderedPageBreak/>
        <w:t>(+0,4 mld. lei</w:t>
      </w:r>
      <w:r w:rsidR="00A819FF" w:rsidRPr="00F362A1">
        <w:rPr>
          <w:rFonts w:ascii="Tahoma" w:hAnsi="Tahoma" w:cs="Tahoma"/>
          <w:sz w:val="24"/>
          <w:szCs w:val="24"/>
        </w:rPr>
        <w:t>), pe fondul acordării bonificaț</w:t>
      </w:r>
      <w:r w:rsidRPr="00F362A1">
        <w:rPr>
          <w:rFonts w:ascii="Tahoma" w:hAnsi="Tahoma" w:cs="Tahoma"/>
          <w:sz w:val="24"/>
          <w:szCs w:val="24"/>
        </w:rPr>
        <w:t xml:space="preserve">iilor pentru declararea </w:t>
      </w:r>
      <w:r w:rsidR="00EC46DD" w:rsidRPr="00F362A1">
        <w:rPr>
          <w:rFonts w:ascii="Tahoma" w:hAnsi="Tahoma" w:cs="Tahoma"/>
          <w:sz w:val="24"/>
          <w:szCs w:val="24"/>
        </w:rPr>
        <w:t>ș</w:t>
      </w:r>
      <w:r w:rsidRPr="00F362A1">
        <w:rPr>
          <w:rFonts w:ascii="Tahoma" w:hAnsi="Tahoma" w:cs="Tahoma"/>
          <w:sz w:val="24"/>
          <w:szCs w:val="24"/>
        </w:rPr>
        <w:t>i plata la termen de p</w:t>
      </w:r>
      <w:r w:rsidR="00EC46DD" w:rsidRPr="00F362A1">
        <w:rPr>
          <w:rFonts w:ascii="Tahoma" w:hAnsi="Tahoma" w:cs="Tahoma"/>
          <w:sz w:val="24"/>
          <w:szCs w:val="24"/>
        </w:rPr>
        <w:t>â</w:t>
      </w:r>
      <w:r w:rsidRPr="00F362A1">
        <w:rPr>
          <w:rFonts w:ascii="Tahoma" w:hAnsi="Tahoma" w:cs="Tahoma"/>
          <w:sz w:val="24"/>
          <w:szCs w:val="24"/>
        </w:rPr>
        <w:t>n</w:t>
      </w:r>
      <w:r w:rsidR="00EC46DD" w:rsidRPr="00F362A1">
        <w:rPr>
          <w:rFonts w:ascii="Tahoma" w:hAnsi="Tahoma" w:cs="Tahoma"/>
          <w:sz w:val="24"/>
          <w:szCs w:val="24"/>
        </w:rPr>
        <w:t>ă</w:t>
      </w:r>
      <w:r w:rsidRPr="00F362A1">
        <w:rPr>
          <w:rFonts w:ascii="Tahoma" w:hAnsi="Tahoma" w:cs="Tahoma"/>
          <w:sz w:val="24"/>
          <w:szCs w:val="24"/>
        </w:rPr>
        <w:t xml:space="preserve"> la 30.06.2020, inclusiv.</w:t>
      </w:r>
    </w:p>
    <w:p w:rsidR="00746146" w:rsidRPr="00F362A1" w:rsidRDefault="004D6D76" w:rsidP="002A6579">
      <w:pPr>
        <w:suppressAutoHyphens/>
        <w:spacing w:after="0" w:line="276" w:lineRule="auto"/>
        <w:ind w:firstLine="720"/>
        <w:rPr>
          <w:rFonts w:ascii="Tahoma" w:hAnsi="Tahoma" w:cs="Tahoma"/>
          <w:sz w:val="24"/>
          <w:szCs w:val="24"/>
        </w:rPr>
      </w:pPr>
      <w:r w:rsidRPr="00F362A1">
        <w:rPr>
          <w:rFonts w:ascii="Tahoma" w:hAnsi="Tahoma" w:cs="Tahoma"/>
          <w:sz w:val="24"/>
          <w:szCs w:val="24"/>
        </w:rPr>
        <w:t xml:space="preserve">Încasările din </w:t>
      </w:r>
      <w:r w:rsidRPr="00F362A1">
        <w:rPr>
          <w:rFonts w:ascii="Tahoma" w:hAnsi="Tahoma" w:cs="Tahoma"/>
          <w:b/>
          <w:sz w:val="24"/>
          <w:szCs w:val="24"/>
        </w:rPr>
        <w:t>impozitele</w:t>
      </w:r>
      <w:r w:rsidR="00EC46DD" w:rsidRPr="00F362A1">
        <w:rPr>
          <w:rFonts w:ascii="Tahoma" w:hAnsi="Tahoma" w:cs="Tahoma"/>
          <w:b/>
          <w:sz w:val="24"/>
          <w:szCs w:val="24"/>
        </w:rPr>
        <w:t xml:space="preserve"> </w:t>
      </w:r>
      <w:r w:rsidRPr="00F362A1">
        <w:rPr>
          <w:rFonts w:ascii="Tahoma" w:hAnsi="Tahoma" w:cs="Tahoma"/>
          <w:b/>
          <w:bCs/>
          <w:sz w:val="24"/>
          <w:szCs w:val="24"/>
        </w:rPr>
        <w:t xml:space="preserve">și taxele pe proprietate </w:t>
      </w:r>
      <w:r w:rsidRPr="00F362A1">
        <w:rPr>
          <w:rFonts w:ascii="Tahoma" w:hAnsi="Tahoma" w:cs="Tahoma"/>
          <w:bCs/>
          <w:sz w:val="24"/>
          <w:szCs w:val="24"/>
        </w:rPr>
        <w:t xml:space="preserve">au totalizat </w:t>
      </w:r>
      <w:r w:rsidR="00746146" w:rsidRPr="00F362A1">
        <w:rPr>
          <w:rFonts w:ascii="Tahoma" w:hAnsi="Tahoma" w:cs="Tahoma"/>
          <w:bCs/>
          <w:sz w:val="24"/>
          <w:szCs w:val="24"/>
        </w:rPr>
        <w:t>3.988,1</w:t>
      </w:r>
      <w:r w:rsidRPr="00F362A1">
        <w:rPr>
          <w:rFonts w:ascii="Tahoma" w:hAnsi="Tahoma" w:cs="Tahoma"/>
          <w:bCs/>
          <w:sz w:val="24"/>
          <w:szCs w:val="24"/>
        </w:rPr>
        <w:t xml:space="preserve"> milioane lei (0,4% din PIB) cu </w:t>
      </w:r>
      <w:r w:rsidR="00746146" w:rsidRPr="00F362A1">
        <w:rPr>
          <w:rFonts w:ascii="Tahoma" w:hAnsi="Tahoma" w:cs="Tahoma"/>
          <w:bCs/>
          <w:sz w:val="24"/>
          <w:szCs w:val="24"/>
        </w:rPr>
        <w:t>1,9</w:t>
      </w:r>
      <w:r w:rsidRPr="00F362A1">
        <w:rPr>
          <w:rFonts w:ascii="Tahoma" w:hAnsi="Tahoma" w:cs="Tahoma"/>
          <w:bCs/>
          <w:sz w:val="24"/>
          <w:szCs w:val="24"/>
        </w:rPr>
        <w:t xml:space="preserve">% </w:t>
      </w:r>
      <w:r w:rsidR="00746146" w:rsidRPr="00F362A1">
        <w:rPr>
          <w:rFonts w:ascii="Tahoma" w:hAnsi="Tahoma" w:cs="Tahoma"/>
          <w:bCs/>
          <w:sz w:val="24"/>
          <w:szCs w:val="24"/>
        </w:rPr>
        <w:t xml:space="preserve">sub încasările </w:t>
      </w:r>
      <w:r w:rsidRPr="00F362A1">
        <w:rPr>
          <w:rFonts w:ascii="Tahoma" w:hAnsi="Tahoma" w:cs="Tahoma"/>
          <w:sz w:val="24"/>
          <w:szCs w:val="24"/>
        </w:rPr>
        <w:t>semestrul</w:t>
      </w:r>
      <w:r w:rsidR="00746146" w:rsidRPr="00F362A1">
        <w:rPr>
          <w:rFonts w:ascii="Tahoma" w:hAnsi="Tahoma" w:cs="Tahoma"/>
          <w:sz w:val="24"/>
          <w:szCs w:val="24"/>
        </w:rPr>
        <w:t>ui</w:t>
      </w:r>
      <w:r w:rsidRPr="00F362A1">
        <w:rPr>
          <w:rFonts w:ascii="Tahoma" w:hAnsi="Tahoma" w:cs="Tahoma"/>
          <w:sz w:val="24"/>
          <w:szCs w:val="24"/>
        </w:rPr>
        <w:t xml:space="preserve"> I </w:t>
      </w:r>
      <w:r w:rsidR="00746146" w:rsidRPr="00F362A1">
        <w:rPr>
          <w:rFonts w:ascii="Tahoma" w:hAnsi="Tahoma" w:cs="Tahoma"/>
          <w:sz w:val="24"/>
          <w:szCs w:val="24"/>
        </w:rPr>
        <w:t>2019</w:t>
      </w:r>
      <w:r w:rsidRPr="00F362A1">
        <w:rPr>
          <w:rFonts w:ascii="Tahoma" w:hAnsi="Tahoma" w:cs="Tahoma"/>
          <w:sz w:val="24"/>
          <w:szCs w:val="24"/>
        </w:rPr>
        <w:t xml:space="preserve">, gradul de realizare al programului de încasări fiind de </w:t>
      </w:r>
      <w:r w:rsidR="00746146" w:rsidRPr="00F362A1">
        <w:rPr>
          <w:rFonts w:ascii="Tahoma" w:hAnsi="Tahoma" w:cs="Tahoma"/>
          <w:sz w:val="24"/>
          <w:szCs w:val="24"/>
        </w:rPr>
        <w:t>106,1</w:t>
      </w:r>
      <w:r w:rsidRPr="00F362A1">
        <w:rPr>
          <w:rFonts w:ascii="Tahoma" w:hAnsi="Tahoma" w:cs="Tahoma"/>
          <w:sz w:val="24"/>
          <w:szCs w:val="24"/>
        </w:rPr>
        <w:t xml:space="preserve">%. </w:t>
      </w:r>
    </w:p>
    <w:p w:rsidR="00746146" w:rsidRPr="00F362A1" w:rsidRDefault="00746146" w:rsidP="002A6579">
      <w:pPr>
        <w:suppressAutoHyphens/>
        <w:spacing w:after="0" w:line="276" w:lineRule="auto"/>
        <w:ind w:firstLine="720"/>
        <w:rPr>
          <w:rFonts w:ascii="Tahoma" w:hAnsi="Tahoma" w:cs="Tahoma"/>
          <w:sz w:val="24"/>
          <w:szCs w:val="24"/>
        </w:rPr>
      </w:pPr>
      <w:r w:rsidRPr="00F362A1">
        <w:rPr>
          <w:rFonts w:ascii="Tahoma" w:hAnsi="Tahoma" w:cs="Tahoma"/>
          <w:sz w:val="24"/>
          <w:szCs w:val="24"/>
        </w:rPr>
        <w:t>Scăderea încasărilor din impozitele pe proprietate față de anul a</w:t>
      </w:r>
      <w:r w:rsidR="00EC46DD" w:rsidRPr="00F362A1">
        <w:rPr>
          <w:rFonts w:ascii="Tahoma" w:hAnsi="Tahoma" w:cs="Tahoma"/>
          <w:sz w:val="24"/>
          <w:szCs w:val="24"/>
        </w:rPr>
        <w:t>nterior a fost influențată de mă</w:t>
      </w:r>
      <w:r w:rsidRPr="00F362A1">
        <w:rPr>
          <w:rFonts w:ascii="Tahoma" w:hAnsi="Tahoma" w:cs="Tahoma"/>
          <w:sz w:val="24"/>
          <w:szCs w:val="24"/>
        </w:rPr>
        <w:t xml:space="preserve">surile legislative </w:t>
      </w:r>
      <w:r w:rsidR="00BB23A6" w:rsidRPr="00F362A1">
        <w:rPr>
          <w:rFonts w:ascii="Tahoma" w:eastAsia="Calibri" w:hAnsi="Tahoma" w:cs="Tahoma"/>
          <w:sz w:val="24"/>
          <w:szCs w:val="24"/>
        </w:rPr>
        <w:t>aprobate</w:t>
      </w:r>
      <w:r w:rsidR="00BB23A6" w:rsidRPr="00F362A1">
        <w:rPr>
          <w:rStyle w:val="FootnoteReference"/>
          <w:rFonts w:ascii="Tahoma" w:eastAsia="Calibri" w:hAnsi="Tahoma" w:cs="Tahoma"/>
          <w:sz w:val="24"/>
          <w:szCs w:val="24"/>
        </w:rPr>
        <w:footnoteReference w:id="3"/>
      </w:r>
      <w:r w:rsidRPr="00F362A1">
        <w:rPr>
          <w:rFonts w:ascii="Tahoma" w:hAnsi="Tahoma" w:cs="Tahoma"/>
          <w:sz w:val="24"/>
          <w:szCs w:val="24"/>
        </w:rPr>
        <w:t xml:space="preserve"> în anul 2020, potrivit cărora, consiliile locale, respectiv Consiliul General al Municipiului București, pot adopta hotărâri până la data de 14 august 2020 privind: </w:t>
      </w:r>
    </w:p>
    <w:p w:rsidR="00746146" w:rsidRPr="00F362A1" w:rsidRDefault="00746146" w:rsidP="002A6579">
      <w:pPr>
        <w:suppressAutoHyphens/>
        <w:spacing w:after="0" w:line="276" w:lineRule="auto"/>
        <w:ind w:firstLine="720"/>
        <w:rPr>
          <w:rFonts w:ascii="Tahoma" w:hAnsi="Tahoma" w:cs="Tahoma"/>
          <w:sz w:val="24"/>
          <w:szCs w:val="24"/>
        </w:rPr>
      </w:pPr>
      <w:r w:rsidRPr="00F362A1">
        <w:rPr>
          <w:rFonts w:ascii="Tahoma" w:hAnsi="Tahoma" w:cs="Tahoma"/>
          <w:sz w:val="24"/>
          <w:szCs w:val="24"/>
        </w:rPr>
        <w:t xml:space="preserve">a) reducerea impozitului anual pe clădiri cu o cotă de până la 50%, pentru clădirile nerezidențiale, aflate în proprietatea persoanelor fizice sau juridice; </w:t>
      </w:r>
    </w:p>
    <w:p w:rsidR="004D6D76" w:rsidRPr="00F362A1" w:rsidRDefault="00746146" w:rsidP="002A6579">
      <w:pPr>
        <w:suppressAutoHyphens/>
        <w:spacing w:after="240" w:line="276" w:lineRule="auto"/>
        <w:ind w:firstLine="720"/>
        <w:rPr>
          <w:rFonts w:ascii="Tahoma" w:hAnsi="Tahoma" w:cs="Tahoma"/>
          <w:sz w:val="24"/>
          <w:szCs w:val="24"/>
        </w:rPr>
      </w:pPr>
      <w:r w:rsidRPr="00F362A1">
        <w:rPr>
          <w:rFonts w:ascii="Tahoma" w:hAnsi="Tahoma" w:cs="Tahoma"/>
          <w:sz w:val="24"/>
          <w:szCs w:val="24"/>
        </w:rPr>
        <w:t>b) scutirea de la plata taxei lunare pe clădiri datorate de către concesionari, locatari, titularii dreptului de administrare sau de folosință a unei clădiri proprietatea publică sau privată a statului ori a unităților administrativ-teritoriale.</w:t>
      </w:r>
    </w:p>
    <w:p w:rsidR="00BB23A6" w:rsidRPr="00F362A1" w:rsidRDefault="00BB23A6" w:rsidP="002A6579">
      <w:pPr>
        <w:autoSpaceDE w:val="0"/>
        <w:autoSpaceDN w:val="0"/>
        <w:adjustRightInd w:val="0"/>
        <w:spacing w:line="276" w:lineRule="auto"/>
        <w:ind w:firstLine="720"/>
        <w:rPr>
          <w:rFonts w:ascii="Tahoma" w:hAnsi="Tahoma" w:cs="Tahoma"/>
          <w:sz w:val="24"/>
          <w:szCs w:val="24"/>
        </w:rPr>
      </w:pPr>
      <w:r w:rsidRPr="00F362A1">
        <w:rPr>
          <w:rFonts w:ascii="Tahoma" w:hAnsi="Tahoma" w:cs="Tahoma"/>
          <w:b/>
          <w:sz w:val="24"/>
          <w:szCs w:val="24"/>
        </w:rPr>
        <w:t>Încasările din taxa pe valoarea adăugată</w:t>
      </w:r>
      <w:r w:rsidRPr="00F362A1">
        <w:rPr>
          <w:rFonts w:ascii="Tahoma" w:hAnsi="Tahoma" w:cs="Tahoma"/>
          <w:sz w:val="24"/>
          <w:szCs w:val="24"/>
        </w:rPr>
        <w:t xml:space="preserve"> au totalizat 25.</w:t>
      </w:r>
      <w:r w:rsidR="00A819FF" w:rsidRPr="00F362A1">
        <w:rPr>
          <w:rFonts w:ascii="Tahoma" w:hAnsi="Tahoma" w:cs="Tahoma"/>
          <w:sz w:val="24"/>
          <w:szCs w:val="24"/>
        </w:rPr>
        <w:t>3</w:t>
      </w:r>
      <w:r w:rsidRPr="00F362A1">
        <w:rPr>
          <w:rFonts w:ascii="Tahoma" w:hAnsi="Tahoma" w:cs="Tahoma"/>
          <w:sz w:val="24"/>
          <w:szCs w:val="24"/>
        </w:rPr>
        <w:t>85,4 milioane lei, cu</w:t>
      </w:r>
      <w:r w:rsidR="00EC46DD" w:rsidRPr="00F362A1">
        <w:rPr>
          <w:rFonts w:ascii="Tahoma" w:hAnsi="Tahoma" w:cs="Tahoma"/>
          <w:sz w:val="24"/>
          <w:szCs w:val="24"/>
        </w:rPr>
        <w:t xml:space="preserve"> </w:t>
      </w:r>
      <w:r w:rsidRPr="00F362A1">
        <w:rPr>
          <w:rFonts w:ascii="Tahoma" w:hAnsi="Tahoma" w:cs="Tahoma"/>
          <w:sz w:val="24"/>
          <w:szCs w:val="24"/>
        </w:rPr>
        <w:t>15,8% sub încas</w:t>
      </w:r>
      <w:r w:rsidR="008F794B" w:rsidRPr="00F362A1">
        <w:rPr>
          <w:rFonts w:ascii="Tahoma" w:hAnsi="Tahoma" w:cs="Tahoma"/>
          <w:sz w:val="24"/>
          <w:szCs w:val="24"/>
        </w:rPr>
        <w:t>ă</w:t>
      </w:r>
      <w:r w:rsidRPr="00F362A1">
        <w:rPr>
          <w:rFonts w:ascii="Tahoma" w:hAnsi="Tahoma" w:cs="Tahoma"/>
          <w:sz w:val="24"/>
          <w:szCs w:val="24"/>
        </w:rPr>
        <w:t xml:space="preserve">rile înregistrate în aceeași perioadă a anului precedent, iar gradul de realizare al programului de încasări a fost de 91,2%. </w:t>
      </w:r>
    </w:p>
    <w:p w:rsidR="00BB23A6" w:rsidRPr="00F362A1" w:rsidRDefault="00BB23A6" w:rsidP="002A6579">
      <w:pPr>
        <w:autoSpaceDE w:val="0"/>
        <w:autoSpaceDN w:val="0"/>
        <w:adjustRightInd w:val="0"/>
        <w:spacing w:line="276" w:lineRule="auto"/>
        <w:ind w:firstLine="720"/>
        <w:rPr>
          <w:rFonts w:ascii="Tahoma" w:hAnsi="Tahoma" w:cs="Tahoma"/>
          <w:sz w:val="24"/>
          <w:szCs w:val="24"/>
        </w:rPr>
      </w:pPr>
      <w:r w:rsidRPr="00F362A1">
        <w:rPr>
          <w:rFonts w:ascii="Tahoma" w:hAnsi="Tahoma" w:cs="Tahoma"/>
          <w:sz w:val="24"/>
          <w:szCs w:val="24"/>
        </w:rPr>
        <w:t>Evoluția încasărilor nete de TVA în primul semestru al anului a fost influențată negativ de: (i) creșterea rambursărilor de TVA cu 32,1% (+3 mld lei an/an), cu scopul de a asigura companiilor un nivel de lichiditate suplimentar pe perioada crizei; (ii) prorogarea termenului de plată a obligațiilor fiscale declarate; (iii) evoluțiile economice nefavorabile din sectoarele econ</w:t>
      </w:r>
      <w:r w:rsidR="00EC46DD" w:rsidRPr="00F362A1">
        <w:rPr>
          <w:rFonts w:ascii="Tahoma" w:hAnsi="Tahoma" w:cs="Tahoma"/>
          <w:sz w:val="24"/>
          <w:szCs w:val="24"/>
        </w:rPr>
        <w:t xml:space="preserve">omice, începând cu luna martie: </w:t>
      </w:r>
      <w:r w:rsidRPr="00F362A1">
        <w:rPr>
          <w:rFonts w:ascii="Tahoma" w:hAnsi="Tahoma" w:cs="Tahoma"/>
          <w:sz w:val="24"/>
          <w:szCs w:val="24"/>
        </w:rPr>
        <w:t xml:space="preserve">în principal serviciile de piață prestate populației, industria și comerțul. </w:t>
      </w:r>
    </w:p>
    <w:p w:rsidR="00BB23A6" w:rsidRPr="00F362A1" w:rsidRDefault="00BB23A6" w:rsidP="002A6579">
      <w:pPr>
        <w:autoSpaceDE w:val="0"/>
        <w:autoSpaceDN w:val="0"/>
        <w:adjustRightInd w:val="0"/>
        <w:spacing w:line="276" w:lineRule="auto"/>
        <w:ind w:firstLine="720"/>
        <w:rPr>
          <w:rFonts w:ascii="Tahoma" w:hAnsi="Tahoma" w:cs="Tahoma"/>
          <w:sz w:val="24"/>
          <w:szCs w:val="24"/>
        </w:rPr>
      </w:pPr>
      <w:r w:rsidRPr="00F362A1">
        <w:rPr>
          <w:rFonts w:ascii="Tahoma" w:hAnsi="Tahoma" w:cs="Tahoma"/>
          <w:sz w:val="24"/>
          <w:szCs w:val="24"/>
        </w:rPr>
        <w:t xml:space="preserve">În ceea ce privește volumul cifrei de afaceri din </w:t>
      </w:r>
      <w:r w:rsidR="00247A3D" w:rsidRPr="00F362A1">
        <w:rPr>
          <w:rFonts w:ascii="Tahoma" w:hAnsi="Tahoma" w:cs="Tahoma"/>
          <w:sz w:val="24"/>
          <w:szCs w:val="24"/>
        </w:rPr>
        <w:t>comerțul</w:t>
      </w:r>
      <w:r w:rsidRPr="00F362A1">
        <w:rPr>
          <w:rFonts w:ascii="Tahoma" w:hAnsi="Tahoma" w:cs="Tahoma"/>
          <w:sz w:val="24"/>
          <w:szCs w:val="24"/>
        </w:rPr>
        <w:t xml:space="preserve"> cu amănuntul (cu </w:t>
      </w:r>
      <w:r w:rsidR="00247A3D" w:rsidRPr="00F362A1">
        <w:rPr>
          <w:rFonts w:ascii="Tahoma" w:hAnsi="Tahoma" w:cs="Tahoma"/>
          <w:sz w:val="24"/>
          <w:szCs w:val="24"/>
        </w:rPr>
        <w:t>excepția</w:t>
      </w:r>
      <w:r w:rsidR="00EC46DD" w:rsidRPr="00F362A1">
        <w:rPr>
          <w:rFonts w:ascii="Tahoma" w:hAnsi="Tahoma" w:cs="Tahoma"/>
          <w:sz w:val="24"/>
          <w:szCs w:val="24"/>
        </w:rPr>
        <w:t xml:space="preserve"> </w:t>
      </w:r>
      <w:r w:rsidR="00247A3D" w:rsidRPr="00F362A1">
        <w:rPr>
          <w:rFonts w:ascii="Tahoma" w:hAnsi="Tahoma" w:cs="Tahoma"/>
          <w:sz w:val="24"/>
          <w:szCs w:val="24"/>
        </w:rPr>
        <w:t>comerțului</w:t>
      </w:r>
      <w:r w:rsidRPr="00F362A1">
        <w:rPr>
          <w:rFonts w:ascii="Tahoma" w:hAnsi="Tahoma" w:cs="Tahoma"/>
          <w:sz w:val="24"/>
          <w:szCs w:val="24"/>
        </w:rPr>
        <w:t xml:space="preserve"> cu autovehicule şi motociclete), serie brută, în perioada 1.I-31.V.2020, comparativ cu perioada 1.I-31.V.2019, a înregistrat o </w:t>
      </w:r>
      <w:r w:rsidR="00247A3D" w:rsidRPr="00F362A1">
        <w:rPr>
          <w:rFonts w:ascii="Tahoma" w:hAnsi="Tahoma" w:cs="Tahoma"/>
          <w:sz w:val="24"/>
          <w:szCs w:val="24"/>
        </w:rPr>
        <w:t>creștere</w:t>
      </w:r>
      <w:r w:rsidRPr="00F362A1">
        <w:rPr>
          <w:rFonts w:ascii="Tahoma" w:hAnsi="Tahoma" w:cs="Tahoma"/>
          <w:sz w:val="24"/>
          <w:szCs w:val="24"/>
        </w:rPr>
        <w:t xml:space="preserve"> cu 0,1% datorită </w:t>
      </w:r>
      <w:r w:rsidR="00247A3D" w:rsidRPr="00F362A1">
        <w:rPr>
          <w:rFonts w:ascii="Tahoma" w:hAnsi="Tahoma" w:cs="Tahoma"/>
          <w:sz w:val="24"/>
          <w:szCs w:val="24"/>
        </w:rPr>
        <w:t>creșterii</w:t>
      </w:r>
      <w:r w:rsidRPr="00F362A1">
        <w:rPr>
          <w:rFonts w:ascii="Tahoma" w:hAnsi="Tahoma" w:cs="Tahoma"/>
          <w:sz w:val="24"/>
          <w:szCs w:val="24"/>
        </w:rPr>
        <w:t xml:space="preserve"> vânzărilor de produse alimentare, băuturi şi tutun (+8,5%). Scăderi au înregistrat </w:t>
      </w:r>
      <w:r w:rsidR="00247A3D" w:rsidRPr="00F362A1">
        <w:rPr>
          <w:rFonts w:ascii="Tahoma" w:hAnsi="Tahoma" w:cs="Tahoma"/>
          <w:sz w:val="24"/>
          <w:szCs w:val="24"/>
        </w:rPr>
        <w:t>comerțul</w:t>
      </w:r>
      <w:r w:rsidRPr="00F362A1">
        <w:rPr>
          <w:rFonts w:ascii="Tahoma" w:hAnsi="Tahoma" w:cs="Tahoma"/>
          <w:sz w:val="24"/>
          <w:szCs w:val="24"/>
        </w:rPr>
        <w:t xml:space="preserve"> cu amănuntul al </w:t>
      </w:r>
      <w:r w:rsidR="00247A3D" w:rsidRPr="00F362A1">
        <w:rPr>
          <w:rFonts w:ascii="Tahoma" w:hAnsi="Tahoma" w:cs="Tahoma"/>
          <w:sz w:val="24"/>
          <w:szCs w:val="24"/>
        </w:rPr>
        <w:t>carburanților</w:t>
      </w:r>
      <w:r w:rsidRPr="00F362A1">
        <w:rPr>
          <w:rFonts w:ascii="Tahoma" w:hAnsi="Tahoma" w:cs="Tahoma"/>
          <w:sz w:val="24"/>
          <w:szCs w:val="24"/>
        </w:rPr>
        <w:t xml:space="preserve"> pentru autovehicule în magazine specializate (-11,2%) şi vânzările de produse nealimentare (-1,6%) .</w:t>
      </w:r>
    </w:p>
    <w:p w:rsidR="00BB23A6" w:rsidRPr="00F362A1" w:rsidRDefault="00BB23A6" w:rsidP="002A6579">
      <w:pPr>
        <w:autoSpaceDE w:val="0"/>
        <w:autoSpaceDN w:val="0"/>
        <w:adjustRightInd w:val="0"/>
        <w:spacing w:after="240" w:line="276" w:lineRule="auto"/>
        <w:ind w:firstLine="720"/>
        <w:rPr>
          <w:rFonts w:ascii="Tahoma" w:hAnsi="Tahoma" w:cs="Tahoma"/>
          <w:sz w:val="24"/>
          <w:szCs w:val="24"/>
        </w:rPr>
      </w:pPr>
      <w:r w:rsidRPr="00F362A1">
        <w:rPr>
          <w:rFonts w:ascii="Tahoma" w:hAnsi="Tahoma" w:cs="Tahoma"/>
          <w:sz w:val="24"/>
          <w:szCs w:val="24"/>
        </w:rPr>
        <w:t xml:space="preserve">Referitor la valoarea schimburilor extracomunitare de bunuri (Extra-UE27) aceasta </w:t>
      </w:r>
      <w:r w:rsidR="00A86FB2" w:rsidRPr="00F362A1">
        <w:rPr>
          <w:rFonts w:ascii="Tahoma" w:hAnsi="Tahoma" w:cs="Tahoma"/>
          <w:sz w:val="24"/>
          <w:szCs w:val="24"/>
        </w:rPr>
        <w:t xml:space="preserve">a scăzut cu 12,3% la importuri </w:t>
      </w:r>
      <w:r w:rsidRPr="00F362A1">
        <w:rPr>
          <w:rFonts w:ascii="Tahoma" w:hAnsi="Tahoma" w:cs="Tahoma"/>
          <w:sz w:val="24"/>
          <w:szCs w:val="24"/>
        </w:rPr>
        <w:t>și cu 14,6% la exporturi (la valori exprimate în lei) în primele cinci luni ale anului 2020 comparativ cu perioada similară a anului precedent.</w:t>
      </w:r>
    </w:p>
    <w:p w:rsidR="00BB23A6" w:rsidRPr="00F362A1" w:rsidRDefault="00BB23A6" w:rsidP="002A6579">
      <w:pPr>
        <w:tabs>
          <w:tab w:val="left" w:pos="284"/>
        </w:tabs>
        <w:autoSpaceDE w:val="0"/>
        <w:autoSpaceDN w:val="0"/>
        <w:adjustRightInd w:val="0"/>
        <w:spacing w:after="120" w:line="276" w:lineRule="auto"/>
        <w:ind w:firstLine="720"/>
        <w:rPr>
          <w:rFonts w:ascii="Tahoma" w:eastAsia="Calibri" w:hAnsi="Tahoma" w:cs="Tahoma"/>
          <w:sz w:val="24"/>
          <w:szCs w:val="24"/>
        </w:rPr>
      </w:pPr>
      <w:r w:rsidRPr="00F362A1">
        <w:rPr>
          <w:rFonts w:ascii="Tahoma" w:hAnsi="Tahoma" w:cs="Tahoma"/>
          <w:b/>
          <w:sz w:val="24"/>
          <w:szCs w:val="24"/>
        </w:rPr>
        <w:t xml:space="preserve">Încasările din </w:t>
      </w:r>
      <w:r w:rsidRPr="00F362A1">
        <w:rPr>
          <w:rFonts w:ascii="Tahoma" w:eastAsia="Calibri" w:hAnsi="Tahoma" w:cs="Tahoma"/>
          <w:b/>
          <w:sz w:val="24"/>
          <w:szCs w:val="24"/>
        </w:rPr>
        <w:t>accize</w:t>
      </w:r>
      <w:r w:rsidRPr="00F362A1">
        <w:rPr>
          <w:rFonts w:ascii="Tahoma" w:eastAsia="Calibri" w:hAnsi="Tahoma" w:cs="Tahoma"/>
          <w:sz w:val="24"/>
          <w:szCs w:val="24"/>
        </w:rPr>
        <w:t xml:space="preserve"> au însumat 13.644,0 milioane lei în semestrul I al anului 2020, în scădere cu 3,3 % (-0,5 mld. lei) comparativ cu aceeași perioadă a anului precedent. Gradul de realizare al programului stabilit pentru această perioadă a fost de 99,7%.</w:t>
      </w:r>
    </w:p>
    <w:p w:rsidR="00BB23A6" w:rsidRPr="00F362A1" w:rsidRDefault="00BB23A6" w:rsidP="002A6579">
      <w:pPr>
        <w:tabs>
          <w:tab w:val="left" w:pos="284"/>
        </w:tabs>
        <w:autoSpaceDE w:val="0"/>
        <w:autoSpaceDN w:val="0"/>
        <w:adjustRightInd w:val="0"/>
        <w:spacing w:after="240" w:line="276" w:lineRule="auto"/>
        <w:ind w:firstLine="720"/>
        <w:rPr>
          <w:rFonts w:ascii="Tahoma" w:eastAsia="Calibri" w:hAnsi="Tahoma" w:cs="Tahoma"/>
          <w:sz w:val="24"/>
          <w:szCs w:val="24"/>
        </w:rPr>
      </w:pPr>
      <w:r w:rsidRPr="00F362A1">
        <w:rPr>
          <w:rFonts w:ascii="Tahoma" w:eastAsia="Calibri" w:hAnsi="Tahoma" w:cs="Tahoma"/>
          <w:sz w:val="24"/>
          <w:szCs w:val="24"/>
        </w:rPr>
        <w:lastRenderedPageBreak/>
        <w:t xml:space="preserve">În structură, veniturile din accize pentru produse energetice au înregistrat o evoluție negativă de -15,1% în principal ca urmare a diminuării încasărilor începând cu luna martie, de altfel așteptată în contextul instituirii stării de urgență, în timp ce veniturile din accize pentru produsele din tutun au înregistrat o evoluție pozitivă de 11,2% </w:t>
      </w:r>
      <w:r w:rsidR="00247A3D" w:rsidRPr="00F362A1">
        <w:rPr>
          <w:rFonts w:ascii="Tahoma" w:eastAsia="Calibri" w:hAnsi="Tahoma" w:cs="Tahoma"/>
          <w:sz w:val="24"/>
          <w:szCs w:val="24"/>
        </w:rPr>
        <w:t>susținută</w:t>
      </w:r>
      <w:r w:rsidRPr="00F362A1">
        <w:rPr>
          <w:rFonts w:ascii="Tahoma" w:eastAsia="Calibri" w:hAnsi="Tahoma" w:cs="Tahoma"/>
          <w:sz w:val="24"/>
          <w:szCs w:val="24"/>
        </w:rPr>
        <w:t xml:space="preserve"> de majorarea cu 4,2% a nivelului accizelor la </w:t>
      </w:r>
      <w:r w:rsidR="00247A3D" w:rsidRPr="00F362A1">
        <w:rPr>
          <w:rFonts w:ascii="Tahoma" w:eastAsia="Calibri" w:hAnsi="Tahoma" w:cs="Tahoma"/>
          <w:sz w:val="24"/>
          <w:szCs w:val="24"/>
        </w:rPr>
        <w:t>țigarete</w:t>
      </w:r>
      <w:r w:rsidRPr="00F362A1">
        <w:rPr>
          <w:rFonts w:ascii="Tahoma" w:eastAsia="Calibri" w:hAnsi="Tahoma" w:cs="Tahoma"/>
          <w:sz w:val="24"/>
          <w:szCs w:val="24"/>
        </w:rPr>
        <w:t>.</w:t>
      </w:r>
    </w:p>
    <w:p w:rsidR="00A86FB2" w:rsidRPr="00F362A1" w:rsidRDefault="004D6D76" w:rsidP="002A6579">
      <w:pPr>
        <w:spacing w:after="240" w:line="276" w:lineRule="auto"/>
        <w:ind w:firstLine="720"/>
        <w:rPr>
          <w:rFonts w:ascii="Tahoma" w:eastAsia="Times New Roman" w:hAnsi="Tahoma" w:cs="Tahoma"/>
          <w:bCs/>
          <w:color w:val="000000"/>
          <w:sz w:val="24"/>
          <w:szCs w:val="24"/>
        </w:rPr>
      </w:pPr>
      <w:r w:rsidRPr="00F362A1">
        <w:rPr>
          <w:rFonts w:ascii="Tahoma" w:hAnsi="Tahoma" w:cs="Tahoma"/>
          <w:b/>
          <w:sz w:val="24"/>
          <w:szCs w:val="24"/>
        </w:rPr>
        <w:t xml:space="preserve">Încasările din alte impozite și taxe pe bunuri și servicii </w:t>
      </w:r>
      <w:r w:rsidRPr="00F362A1">
        <w:rPr>
          <w:rFonts w:ascii="Tahoma" w:hAnsi="Tahoma" w:cs="Tahoma"/>
          <w:sz w:val="24"/>
          <w:szCs w:val="24"/>
        </w:rPr>
        <w:t xml:space="preserve">au însumat </w:t>
      </w:r>
      <w:r w:rsidR="00C0259A" w:rsidRPr="00F362A1">
        <w:rPr>
          <w:rFonts w:ascii="Tahoma" w:hAnsi="Tahoma" w:cs="Tahoma"/>
          <w:sz w:val="24"/>
          <w:szCs w:val="24"/>
        </w:rPr>
        <w:t>2.847,8</w:t>
      </w:r>
      <w:r w:rsidRPr="00F362A1">
        <w:rPr>
          <w:rFonts w:ascii="Tahoma" w:hAnsi="Tahoma" w:cs="Tahoma"/>
          <w:sz w:val="24"/>
          <w:szCs w:val="24"/>
        </w:rPr>
        <w:t xml:space="preserve"> milioane lei (0,</w:t>
      </w:r>
      <w:r w:rsidR="00C0259A" w:rsidRPr="00F362A1">
        <w:rPr>
          <w:rFonts w:ascii="Tahoma" w:hAnsi="Tahoma" w:cs="Tahoma"/>
          <w:sz w:val="24"/>
          <w:szCs w:val="24"/>
        </w:rPr>
        <w:t>3</w:t>
      </w:r>
      <w:r w:rsidRPr="00F362A1">
        <w:rPr>
          <w:rFonts w:ascii="Tahoma" w:hAnsi="Tahoma" w:cs="Tahoma"/>
          <w:sz w:val="24"/>
          <w:szCs w:val="24"/>
        </w:rPr>
        <w:t xml:space="preserve">% din PIB) cu </w:t>
      </w:r>
      <w:r w:rsidR="00C0259A" w:rsidRPr="00F362A1">
        <w:rPr>
          <w:rFonts w:ascii="Tahoma" w:hAnsi="Tahoma" w:cs="Tahoma"/>
          <w:sz w:val="24"/>
          <w:szCs w:val="24"/>
        </w:rPr>
        <w:t>23,2</w:t>
      </w:r>
      <w:r w:rsidRPr="00F362A1">
        <w:rPr>
          <w:rFonts w:ascii="Tahoma" w:hAnsi="Tahoma" w:cs="Tahoma"/>
          <w:sz w:val="24"/>
          <w:szCs w:val="24"/>
        </w:rPr>
        <w:t xml:space="preserve">% mai mari comparativ cu aceeași perioadă a anului anterior, gradul de realizare al programului de încasări fiind de </w:t>
      </w:r>
      <w:r w:rsidR="00C0259A" w:rsidRPr="00F362A1">
        <w:rPr>
          <w:rFonts w:ascii="Tahoma" w:hAnsi="Tahoma" w:cs="Tahoma"/>
          <w:sz w:val="24"/>
          <w:szCs w:val="24"/>
        </w:rPr>
        <w:t>137,1</w:t>
      </w:r>
      <w:r w:rsidRPr="00F362A1">
        <w:rPr>
          <w:rFonts w:ascii="Tahoma" w:hAnsi="Tahoma" w:cs="Tahoma"/>
          <w:sz w:val="24"/>
          <w:szCs w:val="24"/>
        </w:rPr>
        <w:t xml:space="preserve">%. </w:t>
      </w:r>
      <w:r w:rsidR="00C0259A" w:rsidRPr="00F362A1">
        <w:rPr>
          <w:rFonts w:ascii="Tahoma" w:hAnsi="Tahoma" w:cs="Tahoma"/>
          <w:sz w:val="24"/>
          <w:szCs w:val="24"/>
        </w:rPr>
        <w:t xml:space="preserve">Evoluția încasărilor din alte impozite și taxe pe bunuri și servicii a fost determinată de creșterea încasărilor la bugetul </w:t>
      </w:r>
      <w:r w:rsidR="00A86FB2" w:rsidRPr="00F362A1">
        <w:rPr>
          <w:rFonts w:ascii="Tahoma" w:hAnsi="Tahoma" w:cs="Tahoma"/>
          <w:sz w:val="24"/>
          <w:szCs w:val="24"/>
        </w:rPr>
        <w:t>F</w:t>
      </w:r>
      <w:r w:rsidR="00C0259A" w:rsidRPr="00F362A1">
        <w:rPr>
          <w:rFonts w:ascii="Tahoma" w:hAnsi="Tahoma" w:cs="Tahoma"/>
          <w:sz w:val="24"/>
          <w:szCs w:val="24"/>
        </w:rPr>
        <w:t xml:space="preserve">ondului național unic de asigurări sociale de sănătate </w:t>
      </w:r>
      <w:r w:rsidR="00A86FB2" w:rsidRPr="00F362A1">
        <w:rPr>
          <w:rFonts w:ascii="Tahoma" w:hAnsi="Tahoma" w:cs="Tahoma"/>
          <w:sz w:val="24"/>
          <w:szCs w:val="24"/>
        </w:rPr>
        <w:t xml:space="preserve">în primul semestru al anului 2020 comparativ cu primul semestru al anului 2019 cu </w:t>
      </w:r>
      <w:r w:rsidR="00C0259A" w:rsidRPr="00F362A1">
        <w:rPr>
          <w:rFonts w:ascii="Tahoma" w:hAnsi="Tahoma" w:cs="Tahoma"/>
          <w:sz w:val="24"/>
          <w:szCs w:val="24"/>
        </w:rPr>
        <w:t xml:space="preserve">38,2% ca urmare a creșterii </w:t>
      </w:r>
      <w:r w:rsidR="004E4C99" w:rsidRPr="00F362A1">
        <w:rPr>
          <w:rFonts w:ascii="Tahoma" w:hAnsi="Tahoma" w:cs="Tahoma"/>
          <w:bCs/>
          <w:sz w:val="24"/>
          <w:szCs w:val="24"/>
        </w:rPr>
        <w:t>veniturilor din contribuț</w:t>
      </w:r>
      <w:r w:rsidR="00C0259A" w:rsidRPr="00F362A1">
        <w:rPr>
          <w:rFonts w:ascii="Tahoma" w:hAnsi="Tahoma" w:cs="Tahoma"/>
          <w:bCs/>
          <w:sz w:val="24"/>
          <w:szCs w:val="24"/>
        </w:rPr>
        <w:t>ia da</w:t>
      </w:r>
      <w:r w:rsidR="004E4C99" w:rsidRPr="00F362A1">
        <w:rPr>
          <w:rFonts w:ascii="Tahoma" w:hAnsi="Tahoma" w:cs="Tahoma"/>
          <w:bCs/>
          <w:sz w:val="24"/>
          <w:szCs w:val="24"/>
        </w:rPr>
        <w:t>torata pentru medicamente finanț</w:t>
      </w:r>
      <w:r w:rsidR="00EC46DD" w:rsidRPr="00F362A1">
        <w:rPr>
          <w:rFonts w:ascii="Tahoma" w:hAnsi="Tahoma" w:cs="Tahoma"/>
          <w:bCs/>
          <w:sz w:val="24"/>
          <w:szCs w:val="24"/>
        </w:rPr>
        <w:t xml:space="preserve">ate din Fondul </w:t>
      </w:r>
      <w:r w:rsidR="00CE2273" w:rsidRPr="00F362A1">
        <w:rPr>
          <w:rFonts w:ascii="Tahoma" w:hAnsi="Tahoma" w:cs="Tahoma"/>
          <w:bCs/>
          <w:sz w:val="24"/>
          <w:szCs w:val="24"/>
        </w:rPr>
        <w:t>național</w:t>
      </w:r>
      <w:r w:rsidR="00C0259A" w:rsidRPr="00F362A1">
        <w:rPr>
          <w:rFonts w:ascii="Tahoma" w:hAnsi="Tahoma" w:cs="Tahoma"/>
          <w:bCs/>
          <w:sz w:val="24"/>
          <w:szCs w:val="24"/>
        </w:rPr>
        <w:t xml:space="preserve"> unic de </w:t>
      </w:r>
      <w:r w:rsidR="00247A3D" w:rsidRPr="00F362A1">
        <w:rPr>
          <w:rFonts w:ascii="Tahoma" w:hAnsi="Tahoma" w:cs="Tahoma"/>
          <w:bCs/>
          <w:sz w:val="24"/>
          <w:szCs w:val="24"/>
        </w:rPr>
        <w:t>asigurări</w:t>
      </w:r>
      <w:r w:rsidR="00C0259A" w:rsidRPr="00F362A1">
        <w:rPr>
          <w:rFonts w:ascii="Tahoma" w:hAnsi="Tahoma" w:cs="Tahoma"/>
          <w:bCs/>
          <w:sz w:val="24"/>
          <w:szCs w:val="24"/>
        </w:rPr>
        <w:t xml:space="preserve"> sociale de </w:t>
      </w:r>
      <w:r w:rsidR="00247A3D" w:rsidRPr="00F362A1">
        <w:rPr>
          <w:rFonts w:ascii="Tahoma" w:hAnsi="Tahoma" w:cs="Tahoma"/>
          <w:bCs/>
          <w:sz w:val="24"/>
          <w:szCs w:val="24"/>
        </w:rPr>
        <w:t>sănătate</w:t>
      </w:r>
      <w:r w:rsidR="00C0259A" w:rsidRPr="00F362A1">
        <w:rPr>
          <w:rFonts w:ascii="Tahoma" w:hAnsi="Tahoma" w:cs="Tahoma"/>
          <w:bCs/>
          <w:sz w:val="24"/>
          <w:szCs w:val="24"/>
        </w:rPr>
        <w:t xml:space="preserve"> </w:t>
      </w:r>
      <w:r w:rsidR="00EC46DD" w:rsidRPr="00F362A1">
        <w:rPr>
          <w:rFonts w:ascii="Tahoma" w:hAnsi="Tahoma" w:cs="Tahoma"/>
          <w:bCs/>
          <w:sz w:val="24"/>
          <w:szCs w:val="24"/>
        </w:rPr>
        <w:t>ș</w:t>
      </w:r>
      <w:r w:rsidR="00C0259A" w:rsidRPr="00F362A1">
        <w:rPr>
          <w:rFonts w:ascii="Tahoma" w:hAnsi="Tahoma" w:cs="Tahoma"/>
          <w:bCs/>
          <w:sz w:val="24"/>
          <w:szCs w:val="24"/>
        </w:rPr>
        <w:t xml:space="preserve">i </w:t>
      </w:r>
      <w:r w:rsidR="004E4C99" w:rsidRPr="00F362A1">
        <w:rPr>
          <w:rFonts w:ascii="Tahoma" w:hAnsi="Tahoma" w:cs="Tahoma"/>
          <w:bCs/>
          <w:sz w:val="24"/>
          <w:szCs w:val="24"/>
        </w:rPr>
        <w:t xml:space="preserve">din bugetul Ministerului </w:t>
      </w:r>
      <w:r w:rsidR="00247A3D" w:rsidRPr="00F362A1">
        <w:rPr>
          <w:rFonts w:ascii="Tahoma" w:hAnsi="Tahoma" w:cs="Tahoma"/>
          <w:bCs/>
          <w:sz w:val="24"/>
          <w:szCs w:val="24"/>
        </w:rPr>
        <w:t>Sănătății</w:t>
      </w:r>
      <w:r w:rsidR="00EC46DD" w:rsidRPr="00F362A1">
        <w:rPr>
          <w:rFonts w:ascii="Tahoma" w:hAnsi="Tahoma" w:cs="Tahoma"/>
          <w:bCs/>
          <w:sz w:val="24"/>
          <w:szCs w:val="24"/>
        </w:rPr>
        <w:t xml:space="preserve"> </w:t>
      </w:r>
      <w:r w:rsidR="00C0259A" w:rsidRPr="00F362A1">
        <w:rPr>
          <w:rFonts w:ascii="Tahoma" w:hAnsi="Tahoma" w:cs="Tahoma"/>
          <w:bCs/>
          <w:sz w:val="24"/>
          <w:szCs w:val="24"/>
        </w:rPr>
        <w:t>(+19,5%)</w:t>
      </w:r>
      <w:r w:rsidR="00A86FB2" w:rsidRPr="00F362A1">
        <w:rPr>
          <w:rFonts w:ascii="Tahoma" w:hAnsi="Tahoma" w:cs="Tahoma"/>
          <w:bCs/>
          <w:sz w:val="24"/>
          <w:szCs w:val="24"/>
        </w:rPr>
        <w:t xml:space="preserve"> a </w:t>
      </w:r>
      <w:r w:rsidR="004E4C99" w:rsidRPr="00F362A1">
        <w:rPr>
          <w:rFonts w:ascii="Tahoma" w:eastAsia="Times New Roman" w:hAnsi="Tahoma" w:cs="Tahoma"/>
          <w:color w:val="000000"/>
          <w:sz w:val="24"/>
          <w:szCs w:val="24"/>
        </w:rPr>
        <w:t>veniturilor din contribuția datorată</w:t>
      </w:r>
      <w:r w:rsidR="00A86FB2" w:rsidRPr="00F362A1">
        <w:rPr>
          <w:rFonts w:ascii="Tahoma" w:eastAsia="Times New Roman" w:hAnsi="Tahoma" w:cs="Tahoma"/>
          <w:color w:val="000000"/>
          <w:sz w:val="24"/>
          <w:szCs w:val="24"/>
        </w:rPr>
        <w:t xml:space="preserve"> pentru contractele cost-volum/cost-volum-rezultat(+89,6%) și</w:t>
      </w:r>
      <w:r w:rsidR="00EC46DD" w:rsidRPr="00F362A1">
        <w:rPr>
          <w:rFonts w:ascii="Tahoma" w:eastAsia="Times New Roman" w:hAnsi="Tahoma" w:cs="Tahoma"/>
          <w:color w:val="000000"/>
          <w:sz w:val="24"/>
          <w:szCs w:val="24"/>
        </w:rPr>
        <w:t xml:space="preserve"> </w:t>
      </w:r>
      <w:r w:rsidR="00A86FB2" w:rsidRPr="00F362A1">
        <w:rPr>
          <w:rFonts w:ascii="Tahoma" w:eastAsia="Times New Roman" w:hAnsi="Tahoma" w:cs="Tahoma"/>
          <w:color w:val="000000"/>
          <w:sz w:val="24"/>
          <w:szCs w:val="24"/>
        </w:rPr>
        <w:t xml:space="preserve">a veniturilor </w:t>
      </w:r>
      <w:r w:rsidR="00A86FB2" w:rsidRPr="00F362A1">
        <w:rPr>
          <w:rFonts w:ascii="Tahoma" w:eastAsia="Times New Roman" w:hAnsi="Tahoma" w:cs="Tahoma"/>
          <w:bCs/>
          <w:color w:val="000000"/>
          <w:sz w:val="24"/>
          <w:szCs w:val="24"/>
        </w:rPr>
        <w:t xml:space="preserve">din </w:t>
      </w:r>
      <w:r w:rsidR="00247A3D" w:rsidRPr="00F362A1">
        <w:rPr>
          <w:rFonts w:ascii="Tahoma" w:eastAsia="Times New Roman" w:hAnsi="Tahoma" w:cs="Tahoma"/>
          <w:bCs/>
          <w:color w:val="000000"/>
          <w:sz w:val="24"/>
          <w:szCs w:val="24"/>
        </w:rPr>
        <w:t>contribuția</w:t>
      </w:r>
      <w:r w:rsidR="00A86FB2" w:rsidRPr="00F362A1">
        <w:rPr>
          <w:rFonts w:ascii="Tahoma" w:eastAsia="Times New Roman" w:hAnsi="Tahoma" w:cs="Tahoma"/>
          <w:bCs/>
          <w:color w:val="000000"/>
          <w:sz w:val="24"/>
          <w:szCs w:val="24"/>
        </w:rPr>
        <w:t xml:space="preserve"> datorata pentru volume de medicamente consumate care </w:t>
      </w:r>
      <w:r w:rsidR="00247A3D" w:rsidRPr="00F362A1">
        <w:rPr>
          <w:rFonts w:ascii="Tahoma" w:eastAsia="Times New Roman" w:hAnsi="Tahoma" w:cs="Tahoma"/>
          <w:bCs/>
          <w:color w:val="000000"/>
          <w:sz w:val="24"/>
          <w:szCs w:val="24"/>
        </w:rPr>
        <w:t>depășesc</w:t>
      </w:r>
      <w:r w:rsidR="00A86FB2" w:rsidRPr="00F362A1">
        <w:rPr>
          <w:rFonts w:ascii="Tahoma" w:eastAsia="Times New Roman" w:hAnsi="Tahoma" w:cs="Tahoma"/>
          <w:bCs/>
          <w:color w:val="000000"/>
          <w:sz w:val="24"/>
          <w:szCs w:val="24"/>
        </w:rPr>
        <w:t xml:space="preserve"> volumele stabilite prin contracte</w:t>
      </w:r>
      <w:r w:rsidR="00EC46DD" w:rsidRPr="00F362A1">
        <w:rPr>
          <w:rFonts w:ascii="Tahoma" w:eastAsia="Times New Roman" w:hAnsi="Tahoma" w:cs="Tahoma"/>
          <w:bCs/>
          <w:color w:val="000000"/>
          <w:sz w:val="24"/>
          <w:szCs w:val="24"/>
        </w:rPr>
        <w:t xml:space="preserve"> </w:t>
      </w:r>
      <w:r w:rsidR="00A86FB2" w:rsidRPr="00F362A1">
        <w:rPr>
          <w:rFonts w:ascii="Tahoma" w:eastAsia="Times New Roman" w:hAnsi="Tahoma" w:cs="Tahoma"/>
          <w:bCs/>
          <w:color w:val="000000"/>
          <w:sz w:val="24"/>
          <w:szCs w:val="24"/>
        </w:rPr>
        <w:t>(+12,1%)</w:t>
      </w:r>
      <w:r w:rsidR="002E0C30" w:rsidRPr="00F362A1">
        <w:rPr>
          <w:rFonts w:ascii="Tahoma" w:eastAsia="Times New Roman" w:hAnsi="Tahoma" w:cs="Tahoma"/>
          <w:bCs/>
          <w:color w:val="000000"/>
          <w:sz w:val="24"/>
          <w:szCs w:val="24"/>
        </w:rPr>
        <w:t>.</w:t>
      </w:r>
    </w:p>
    <w:p w:rsidR="004D6D76" w:rsidRPr="00F362A1" w:rsidRDefault="004D6D76" w:rsidP="002A6579">
      <w:pPr>
        <w:autoSpaceDE w:val="0"/>
        <w:autoSpaceDN w:val="0"/>
        <w:adjustRightInd w:val="0"/>
        <w:spacing w:after="240" w:line="276" w:lineRule="auto"/>
        <w:ind w:firstLine="720"/>
        <w:rPr>
          <w:rFonts w:ascii="Tahoma" w:hAnsi="Tahoma" w:cs="Tahoma"/>
          <w:sz w:val="24"/>
          <w:szCs w:val="24"/>
        </w:rPr>
      </w:pPr>
      <w:r w:rsidRPr="00F362A1">
        <w:rPr>
          <w:rFonts w:ascii="Tahoma" w:hAnsi="Tahoma" w:cs="Tahoma"/>
          <w:b/>
          <w:sz w:val="24"/>
          <w:szCs w:val="24"/>
        </w:rPr>
        <w:t>Încasările din</w:t>
      </w:r>
      <w:r w:rsidR="00243772" w:rsidRPr="00F362A1">
        <w:rPr>
          <w:rFonts w:ascii="Tahoma" w:hAnsi="Tahoma" w:cs="Tahoma"/>
          <w:b/>
          <w:sz w:val="24"/>
          <w:szCs w:val="24"/>
        </w:rPr>
        <w:t xml:space="preserve"> </w:t>
      </w:r>
      <w:r w:rsidRPr="00F362A1">
        <w:rPr>
          <w:rFonts w:ascii="Tahoma" w:hAnsi="Tahoma" w:cs="Tahoma"/>
          <w:b/>
          <w:sz w:val="24"/>
          <w:szCs w:val="24"/>
        </w:rPr>
        <w:t xml:space="preserve">impozitul pe comerțul exterior </w:t>
      </w:r>
      <w:r w:rsidR="006E1E76" w:rsidRPr="00F362A1">
        <w:rPr>
          <w:rFonts w:ascii="Tahoma" w:hAnsi="Tahoma" w:cs="Tahoma"/>
          <w:b/>
          <w:sz w:val="24"/>
          <w:szCs w:val="24"/>
        </w:rPr>
        <w:t>și</w:t>
      </w:r>
      <w:r w:rsidRPr="00F362A1">
        <w:rPr>
          <w:rFonts w:ascii="Tahoma" w:hAnsi="Tahoma" w:cs="Tahoma"/>
          <w:b/>
          <w:sz w:val="24"/>
          <w:szCs w:val="24"/>
        </w:rPr>
        <w:t xml:space="preserve"> tranzacțiile internaționale</w:t>
      </w:r>
      <w:r w:rsidR="00243772" w:rsidRPr="00F362A1">
        <w:rPr>
          <w:rFonts w:ascii="Tahoma" w:hAnsi="Tahoma" w:cs="Tahoma"/>
          <w:b/>
          <w:sz w:val="24"/>
          <w:szCs w:val="24"/>
        </w:rPr>
        <w:t xml:space="preserve"> </w:t>
      </w:r>
      <w:r w:rsidR="00A86FB2" w:rsidRPr="00F362A1">
        <w:rPr>
          <w:rFonts w:ascii="Tahoma" w:hAnsi="Tahoma" w:cs="Tahoma"/>
          <w:sz w:val="24"/>
          <w:szCs w:val="24"/>
        </w:rPr>
        <w:t>s-</w:t>
      </w:r>
      <w:r w:rsidRPr="00F362A1">
        <w:rPr>
          <w:rFonts w:ascii="Tahoma" w:hAnsi="Tahoma" w:cs="Tahoma"/>
          <w:sz w:val="24"/>
          <w:szCs w:val="24"/>
        </w:rPr>
        <w:t xml:space="preserve">au </w:t>
      </w:r>
      <w:r w:rsidR="00A86FB2" w:rsidRPr="00F362A1">
        <w:rPr>
          <w:rFonts w:ascii="Tahoma" w:hAnsi="Tahoma" w:cs="Tahoma"/>
          <w:sz w:val="24"/>
          <w:szCs w:val="24"/>
        </w:rPr>
        <w:t xml:space="preserve">diminuat </w:t>
      </w:r>
      <w:r w:rsidRPr="00F362A1">
        <w:rPr>
          <w:rFonts w:ascii="Tahoma" w:hAnsi="Tahoma" w:cs="Tahoma"/>
          <w:sz w:val="24"/>
          <w:szCs w:val="24"/>
        </w:rPr>
        <w:t xml:space="preserve">cu </w:t>
      </w:r>
      <w:r w:rsidR="00A86FB2" w:rsidRPr="00F362A1">
        <w:rPr>
          <w:rFonts w:ascii="Tahoma" w:hAnsi="Tahoma" w:cs="Tahoma"/>
          <w:sz w:val="24"/>
          <w:szCs w:val="24"/>
        </w:rPr>
        <w:t>3,6</w:t>
      </w:r>
      <w:r w:rsidRPr="00F362A1">
        <w:rPr>
          <w:rFonts w:ascii="Tahoma" w:hAnsi="Tahoma" w:cs="Tahoma"/>
          <w:sz w:val="24"/>
          <w:szCs w:val="24"/>
        </w:rPr>
        <w:t xml:space="preserve">% </w:t>
      </w:r>
      <w:r w:rsidR="00A86FB2" w:rsidRPr="00F362A1">
        <w:rPr>
          <w:rFonts w:ascii="Tahoma" w:hAnsi="Tahoma" w:cs="Tahoma"/>
          <w:sz w:val="24"/>
          <w:szCs w:val="24"/>
        </w:rPr>
        <w:t xml:space="preserve">(-21 milioane lei) </w:t>
      </w:r>
      <w:r w:rsidRPr="00F362A1">
        <w:rPr>
          <w:rFonts w:ascii="Tahoma" w:hAnsi="Tahoma" w:cs="Tahoma"/>
          <w:sz w:val="24"/>
          <w:szCs w:val="24"/>
        </w:rPr>
        <w:t xml:space="preserve">comparativ </w:t>
      </w:r>
      <w:r w:rsidR="00243772" w:rsidRPr="00F362A1">
        <w:rPr>
          <w:rFonts w:ascii="Tahoma" w:hAnsi="Tahoma" w:cs="Tahoma"/>
          <w:sz w:val="24"/>
          <w:szCs w:val="24"/>
        </w:rPr>
        <w:t xml:space="preserve">cu </w:t>
      </w:r>
      <w:r w:rsidRPr="00F362A1">
        <w:rPr>
          <w:rFonts w:ascii="Tahoma" w:hAnsi="Tahoma" w:cs="Tahoma"/>
          <w:sz w:val="24"/>
          <w:szCs w:val="24"/>
        </w:rPr>
        <w:t>aceeași perioadă a anului precedent, în condițiile în care importurile de bunuri din zona extra-comunitară</w:t>
      </w:r>
      <w:r w:rsidR="00243772" w:rsidRPr="00F362A1">
        <w:rPr>
          <w:rFonts w:ascii="Tahoma" w:hAnsi="Tahoma" w:cs="Tahoma"/>
          <w:sz w:val="24"/>
          <w:szCs w:val="24"/>
        </w:rPr>
        <w:t xml:space="preserve"> </w:t>
      </w:r>
      <w:r w:rsidR="00130B57" w:rsidRPr="00F362A1">
        <w:rPr>
          <w:rFonts w:ascii="Tahoma" w:hAnsi="Tahoma" w:cs="Tahoma"/>
          <w:sz w:val="24"/>
          <w:szCs w:val="24"/>
        </w:rPr>
        <w:t>(în moneda națională)</w:t>
      </w:r>
      <w:r w:rsidRPr="00F362A1">
        <w:rPr>
          <w:rFonts w:ascii="Tahoma" w:hAnsi="Tahoma" w:cs="Tahoma"/>
          <w:sz w:val="24"/>
          <w:szCs w:val="24"/>
        </w:rPr>
        <w:t xml:space="preserve"> au </w:t>
      </w:r>
      <w:r w:rsidR="00A86FB2" w:rsidRPr="00F362A1">
        <w:rPr>
          <w:rFonts w:ascii="Tahoma" w:hAnsi="Tahoma" w:cs="Tahoma"/>
          <w:sz w:val="24"/>
          <w:szCs w:val="24"/>
        </w:rPr>
        <w:t xml:space="preserve">scăzut </w:t>
      </w:r>
      <w:r w:rsidRPr="00F362A1">
        <w:rPr>
          <w:rFonts w:ascii="Tahoma" w:hAnsi="Tahoma" w:cs="Tahoma"/>
          <w:sz w:val="24"/>
          <w:szCs w:val="24"/>
        </w:rPr>
        <w:t xml:space="preserve">cu </w:t>
      </w:r>
      <w:r w:rsidR="00A86FB2" w:rsidRPr="00F362A1">
        <w:rPr>
          <w:rFonts w:ascii="Tahoma" w:hAnsi="Tahoma" w:cs="Tahoma"/>
          <w:sz w:val="24"/>
          <w:szCs w:val="24"/>
        </w:rPr>
        <w:t>12,3</w:t>
      </w:r>
      <w:r w:rsidRPr="00F362A1">
        <w:rPr>
          <w:rFonts w:ascii="Tahoma" w:hAnsi="Tahoma" w:cs="Tahoma"/>
          <w:sz w:val="24"/>
          <w:szCs w:val="24"/>
        </w:rPr>
        <w:t>%</w:t>
      </w:r>
      <w:r w:rsidR="00130B57" w:rsidRPr="00F362A1">
        <w:rPr>
          <w:rStyle w:val="FootnoteReference"/>
          <w:rFonts w:ascii="Tahoma" w:hAnsi="Tahoma" w:cs="Tahoma"/>
          <w:sz w:val="24"/>
          <w:szCs w:val="24"/>
        </w:rPr>
        <w:footnoteReference w:id="4"/>
      </w:r>
      <w:r w:rsidRPr="00F362A1">
        <w:rPr>
          <w:rFonts w:ascii="Tahoma" w:hAnsi="Tahoma" w:cs="Tahoma"/>
          <w:sz w:val="24"/>
          <w:szCs w:val="24"/>
        </w:rPr>
        <w:t xml:space="preserve">, în timp ce gradul de realizare al programului de încasări a fost de </w:t>
      </w:r>
      <w:r w:rsidR="00A86FB2" w:rsidRPr="00F362A1">
        <w:rPr>
          <w:rFonts w:ascii="Tahoma" w:hAnsi="Tahoma" w:cs="Tahoma"/>
          <w:sz w:val="24"/>
          <w:szCs w:val="24"/>
        </w:rPr>
        <w:t>102,0</w:t>
      </w:r>
      <w:r w:rsidRPr="00F362A1">
        <w:rPr>
          <w:rFonts w:ascii="Tahoma" w:hAnsi="Tahoma" w:cs="Tahoma"/>
          <w:sz w:val="24"/>
          <w:szCs w:val="24"/>
        </w:rPr>
        <w:t>%.</w:t>
      </w:r>
    </w:p>
    <w:p w:rsidR="004D6D76" w:rsidRPr="00F362A1" w:rsidRDefault="004D6D76" w:rsidP="002A6579">
      <w:pPr>
        <w:keepNext/>
        <w:keepLines/>
        <w:spacing w:after="240" w:line="276" w:lineRule="auto"/>
        <w:ind w:firstLine="677"/>
        <w:rPr>
          <w:rFonts w:ascii="Tahoma" w:hAnsi="Tahoma" w:cs="Tahoma"/>
          <w:sz w:val="24"/>
          <w:szCs w:val="24"/>
        </w:rPr>
      </w:pPr>
      <w:r w:rsidRPr="00F362A1">
        <w:rPr>
          <w:rFonts w:ascii="Tahoma" w:hAnsi="Tahoma" w:cs="Tahoma"/>
          <w:b/>
          <w:sz w:val="24"/>
          <w:szCs w:val="24"/>
        </w:rPr>
        <w:t xml:space="preserve">Încasările din taxa pe utilizarea bunurilor, autorizarea utilizării bunurilor sau pe desfășurarea de activități </w:t>
      </w:r>
      <w:r w:rsidRPr="00F362A1">
        <w:rPr>
          <w:rFonts w:ascii="Tahoma" w:hAnsi="Tahoma" w:cs="Tahoma"/>
          <w:sz w:val="24"/>
          <w:szCs w:val="24"/>
        </w:rPr>
        <w:t xml:space="preserve">au </w:t>
      </w:r>
      <w:r w:rsidR="00CD629E" w:rsidRPr="00F362A1">
        <w:rPr>
          <w:rFonts w:ascii="Tahoma" w:hAnsi="Tahoma" w:cs="Tahoma"/>
          <w:sz w:val="24"/>
          <w:szCs w:val="24"/>
        </w:rPr>
        <w:t xml:space="preserve">crescut comparativ cu încasările semestrul I 2019 cu 2.160,4 milioane lei în condițiile în care încasările din primul semestru al anului 2019 au fost puternic afectate de </w:t>
      </w:r>
      <w:r w:rsidRPr="00F362A1">
        <w:rPr>
          <w:rFonts w:ascii="Tahoma" w:hAnsi="Tahoma" w:cs="Tahoma"/>
          <w:sz w:val="24"/>
          <w:szCs w:val="24"/>
        </w:rPr>
        <w:t>restituiril</w:t>
      </w:r>
      <w:r w:rsidR="00CD629E" w:rsidRPr="00F362A1">
        <w:rPr>
          <w:rFonts w:ascii="Tahoma" w:hAnsi="Tahoma" w:cs="Tahoma"/>
          <w:sz w:val="24"/>
          <w:szCs w:val="24"/>
        </w:rPr>
        <w:t>e</w:t>
      </w:r>
      <w:r w:rsidRPr="00F362A1">
        <w:rPr>
          <w:rFonts w:ascii="Tahoma" w:hAnsi="Tahoma" w:cs="Tahoma"/>
          <w:sz w:val="24"/>
          <w:szCs w:val="24"/>
        </w:rPr>
        <w:t xml:space="preserve"> aferente taxelor pe poluare pentru autovehicule.</w:t>
      </w:r>
      <w:r w:rsidR="00CD629E" w:rsidRPr="00F362A1">
        <w:rPr>
          <w:rFonts w:ascii="Tahoma" w:hAnsi="Tahoma" w:cs="Tahoma"/>
          <w:sz w:val="24"/>
          <w:szCs w:val="24"/>
        </w:rPr>
        <w:t xml:space="preserve"> Gradul de realizare al programului pe primul sem</w:t>
      </w:r>
      <w:r w:rsidR="004E4C99" w:rsidRPr="00F362A1">
        <w:rPr>
          <w:rFonts w:ascii="Tahoma" w:hAnsi="Tahoma" w:cs="Tahoma"/>
          <w:sz w:val="24"/>
          <w:szCs w:val="24"/>
        </w:rPr>
        <w:t>e</w:t>
      </w:r>
      <w:r w:rsidR="00CD629E" w:rsidRPr="00F362A1">
        <w:rPr>
          <w:rFonts w:ascii="Tahoma" w:hAnsi="Tahoma" w:cs="Tahoma"/>
          <w:sz w:val="24"/>
          <w:szCs w:val="24"/>
        </w:rPr>
        <w:t>stru a fost de 80,3%.</w:t>
      </w:r>
    </w:p>
    <w:p w:rsidR="00B541BA" w:rsidRPr="00F362A1" w:rsidRDefault="00B541BA" w:rsidP="002A6579">
      <w:pPr>
        <w:autoSpaceDE w:val="0"/>
        <w:autoSpaceDN w:val="0"/>
        <w:adjustRightInd w:val="0"/>
        <w:spacing w:after="240" w:line="276" w:lineRule="auto"/>
        <w:ind w:firstLine="720"/>
        <w:rPr>
          <w:rFonts w:ascii="Tahoma" w:eastAsia="Calibri" w:hAnsi="Tahoma" w:cs="Tahoma"/>
          <w:sz w:val="24"/>
          <w:szCs w:val="24"/>
        </w:rPr>
      </w:pPr>
      <w:r w:rsidRPr="00F362A1">
        <w:rPr>
          <w:rFonts w:ascii="Tahoma" w:eastAsia="Calibri" w:hAnsi="Tahoma" w:cs="Tahoma"/>
          <w:b/>
          <w:sz w:val="24"/>
          <w:szCs w:val="24"/>
        </w:rPr>
        <w:t>Taxele pe utilizarea bunurilor, autorizarea utilizării bunurilor sau pe desfășurarea de activități,</w:t>
      </w:r>
      <w:r w:rsidRPr="00F362A1">
        <w:rPr>
          <w:rFonts w:ascii="Tahoma" w:eastAsia="Calibri" w:hAnsi="Tahoma" w:cs="Tahoma"/>
          <w:sz w:val="24"/>
          <w:szCs w:val="24"/>
        </w:rPr>
        <w:t xml:space="preserve"> încasate la bugetul de stat, au înregistrat o creștere de 17,4% față de aceeași perioadă a anului 2019, în principal, pe seama încasării taxelor de licență de la ANCOM (Hotărârea Guvernului nr. 226/2020 privind stabilirea cuantumului taxei de licență pentru prelungirea unor licențe a frecvențelor radio și a condițiilor privind efectuarea plății)</w:t>
      </w:r>
      <w:r w:rsidRPr="00F362A1">
        <w:rPr>
          <w:rFonts w:ascii="Tahoma" w:eastAsia="Calibri" w:hAnsi="Tahoma" w:cs="Tahoma"/>
          <w:kern w:val="22"/>
          <w:sz w:val="24"/>
          <w:szCs w:val="24"/>
          <w:vertAlign w:val="superscript"/>
        </w:rPr>
        <w:footnoteReference w:id="5"/>
      </w:r>
      <w:r w:rsidRPr="00F362A1">
        <w:rPr>
          <w:rFonts w:ascii="Tahoma" w:eastAsia="Calibri" w:hAnsi="Tahoma" w:cs="Tahoma"/>
          <w:sz w:val="24"/>
          <w:szCs w:val="24"/>
        </w:rPr>
        <w:t xml:space="preserve">. În cadrul veniturilor din această sursă, încasările </w:t>
      </w:r>
      <w:r w:rsidRPr="00F362A1">
        <w:rPr>
          <w:rFonts w:ascii="Tahoma" w:eastAsia="Calibri" w:hAnsi="Tahoma" w:cs="Tahoma"/>
          <w:sz w:val="24"/>
          <w:szCs w:val="24"/>
        </w:rPr>
        <w:lastRenderedPageBreak/>
        <w:t xml:space="preserve">din taxele pe jocurile de noroc au scăzut în perioada analizată cu 31,2%, iar programul </w:t>
      </w:r>
      <w:r w:rsidRPr="00F362A1">
        <w:rPr>
          <w:rFonts w:ascii="Tahoma" w:hAnsi="Tahoma" w:cs="Tahoma"/>
          <w:sz w:val="24"/>
          <w:szCs w:val="24"/>
        </w:rPr>
        <w:t>stabilit pentru această perioadă</w:t>
      </w:r>
      <w:r w:rsidRPr="00F362A1">
        <w:rPr>
          <w:rFonts w:ascii="Tahoma" w:eastAsia="Calibri" w:hAnsi="Tahoma" w:cs="Tahoma"/>
          <w:sz w:val="24"/>
          <w:szCs w:val="24"/>
        </w:rPr>
        <w:t xml:space="preserve"> a fost realizat în proporție de 86,5%</w:t>
      </w:r>
      <w:r w:rsidR="006201A9" w:rsidRPr="00F362A1">
        <w:rPr>
          <w:rFonts w:ascii="Tahoma" w:eastAsia="Calibri" w:hAnsi="Tahoma" w:cs="Tahoma"/>
          <w:sz w:val="24"/>
          <w:szCs w:val="24"/>
        </w:rPr>
        <w:t xml:space="preserve">      </w:t>
      </w:r>
      <w:r w:rsidRPr="00F362A1">
        <w:rPr>
          <w:rFonts w:ascii="Tahoma" w:eastAsia="Calibri" w:hAnsi="Tahoma" w:cs="Tahoma"/>
          <w:sz w:val="24"/>
          <w:szCs w:val="24"/>
        </w:rPr>
        <w:t xml:space="preserve"> (-0,09 mld. lei). Nerealizarea programului se </w:t>
      </w:r>
      <w:r w:rsidR="00247A3D" w:rsidRPr="00F362A1">
        <w:rPr>
          <w:rFonts w:ascii="Tahoma" w:eastAsia="Calibri" w:hAnsi="Tahoma" w:cs="Tahoma"/>
          <w:sz w:val="24"/>
          <w:szCs w:val="24"/>
        </w:rPr>
        <w:t>datorează</w:t>
      </w:r>
      <w:r w:rsidRPr="00F362A1">
        <w:rPr>
          <w:rFonts w:ascii="Tahoma" w:eastAsia="Calibri" w:hAnsi="Tahoma" w:cs="Tahoma"/>
          <w:sz w:val="24"/>
          <w:szCs w:val="24"/>
        </w:rPr>
        <w:t xml:space="preserve"> scutirii de la </w:t>
      </w:r>
      <w:r w:rsidR="006201A9" w:rsidRPr="00F362A1">
        <w:rPr>
          <w:rFonts w:ascii="Tahoma" w:eastAsia="Calibri" w:hAnsi="Tahoma" w:cs="Tahoma"/>
          <w:sz w:val="24"/>
          <w:szCs w:val="24"/>
        </w:rPr>
        <w:t>plată a taxei aferentă</w:t>
      </w:r>
      <w:r w:rsidR="004E4C99" w:rsidRPr="00F362A1">
        <w:rPr>
          <w:rFonts w:ascii="Tahoma" w:eastAsia="Calibri" w:hAnsi="Tahoma" w:cs="Tahoma"/>
          <w:sz w:val="24"/>
          <w:szCs w:val="24"/>
        </w:rPr>
        <w:t xml:space="preserve"> autorizaț</w:t>
      </w:r>
      <w:r w:rsidRPr="00F362A1">
        <w:rPr>
          <w:rFonts w:ascii="Tahoma" w:eastAsia="Calibri" w:hAnsi="Tahoma" w:cs="Tahoma"/>
          <w:sz w:val="24"/>
          <w:szCs w:val="24"/>
        </w:rPr>
        <w:t xml:space="preserve">iilor de exploatare a jocurilor de noroc pentru întreaga perioadă a stării de </w:t>
      </w:r>
      <w:r w:rsidR="00247A3D" w:rsidRPr="00F362A1">
        <w:rPr>
          <w:rFonts w:ascii="Tahoma" w:eastAsia="Calibri" w:hAnsi="Tahoma" w:cs="Tahoma"/>
          <w:sz w:val="24"/>
          <w:szCs w:val="24"/>
        </w:rPr>
        <w:t>urgență</w:t>
      </w:r>
      <w:r w:rsidRPr="00F362A1">
        <w:rPr>
          <w:rFonts w:ascii="Tahoma" w:eastAsia="Calibri" w:hAnsi="Tahoma" w:cs="Tahoma"/>
          <w:sz w:val="24"/>
          <w:szCs w:val="24"/>
        </w:rPr>
        <w:t xml:space="preserve"> decretate (OUG n</w:t>
      </w:r>
      <w:r w:rsidR="006201A9" w:rsidRPr="00F362A1">
        <w:rPr>
          <w:rFonts w:ascii="Tahoma" w:eastAsia="Calibri" w:hAnsi="Tahoma" w:cs="Tahoma"/>
          <w:sz w:val="24"/>
          <w:szCs w:val="24"/>
        </w:rPr>
        <w:t>r. 48/2020) și amânării la plată</w:t>
      </w:r>
      <w:r w:rsidRPr="00F362A1">
        <w:rPr>
          <w:rFonts w:ascii="Tahoma" w:eastAsia="Calibri" w:hAnsi="Tahoma" w:cs="Tahoma"/>
          <w:sz w:val="24"/>
          <w:szCs w:val="24"/>
        </w:rPr>
        <w:t xml:space="preserve"> a unor obligații.</w:t>
      </w:r>
    </w:p>
    <w:p w:rsidR="00B541BA" w:rsidRPr="00F362A1" w:rsidRDefault="00B541BA" w:rsidP="002A6579">
      <w:pPr>
        <w:tabs>
          <w:tab w:val="left" w:pos="284"/>
        </w:tabs>
        <w:autoSpaceDE w:val="0"/>
        <w:autoSpaceDN w:val="0"/>
        <w:adjustRightInd w:val="0"/>
        <w:spacing w:after="120" w:line="276" w:lineRule="auto"/>
        <w:ind w:firstLine="720"/>
        <w:rPr>
          <w:rFonts w:ascii="Tahoma" w:eastAsia="Calibri" w:hAnsi="Tahoma" w:cs="Tahoma"/>
          <w:sz w:val="24"/>
          <w:szCs w:val="24"/>
        </w:rPr>
      </w:pPr>
      <w:r w:rsidRPr="00F362A1">
        <w:rPr>
          <w:rFonts w:ascii="Tahoma" w:eastAsia="Calibri" w:hAnsi="Tahoma" w:cs="Tahoma"/>
          <w:b/>
          <w:sz w:val="24"/>
          <w:szCs w:val="24"/>
        </w:rPr>
        <w:t>Contribuțiile sociale</w:t>
      </w:r>
      <w:r w:rsidRPr="00F362A1">
        <w:rPr>
          <w:rFonts w:ascii="Tahoma" w:eastAsia="Calibri" w:hAnsi="Tahoma" w:cs="Tahoma"/>
          <w:sz w:val="24"/>
          <w:szCs w:val="24"/>
        </w:rPr>
        <w:t xml:space="preserve"> realizate în semestrul I al anului 2020 în sumă de </w:t>
      </w:r>
      <w:r w:rsidR="00B623BF" w:rsidRPr="00F362A1">
        <w:rPr>
          <w:rFonts w:ascii="Tahoma" w:eastAsia="Calibri" w:hAnsi="Tahoma" w:cs="Tahoma"/>
          <w:sz w:val="24"/>
          <w:szCs w:val="24"/>
        </w:rPr>
        <w:t>54.836,9</w:t>
      </w:r>
      <w:r w:rsidR="00E31696" w:rsidRPr="00F362A1">
        <w:rPr>
          <w:rFonts w:ascii="Tahoma" w:eastAsia="Calibri" w:hAnsi="Tahoma" w:cs="Tahoma"/>
          <w:sz w:val="24"/>
          <w:szCs w:val="24"/>
        </w:rPr>
        <w:t xml:space="preserve"> </w:t>
      </w:r>
      <w:r w:rsidR="00B623BF" w:rsidRPr="00F362A1">
        <w:rPr>
          <w:rFonts w:ascii="Tahoma" w:eastAsia="Calibri" w:hAnsi="Tahoma" w:cs="Tahoma"/>
          <w:sz w:val="24"/>
          <w:szCs w:val="24"/>
        </w:rPr>
        <w:t>milioane</w:t>
      </w:r>
      <w:r w:rsidRPr="00F362A1">
        <w:rPr>
          <w:rFonts w:ascii="Tahoma" w:eastAsia="Calibri" w:hAnsi="Tahoma" w:cs="Tahoma"/>
          <w:sz w:val="24"/>
          <w:szCs w:val="24"/>
        </w:rPr>
        <w:t xml:space="preserve"> lei, înregistrează același nivel, comparativ cu aceeași perioadă a anului precedent, iar gradul de realizare al acestora este de 99,</w:t>
      </w:r>
      <w:r w:rsidR="00B623BF" w:rsidRPr="00F362A1">
        <w:rPr>
          <w:rFonts w:ascii="Tahoma" w:eastAsia="Calibri" w:hAnsi="Tahoma" w:cs="Tahoma"/>
          <w:sz w:val="24"/>
          <w:szCs w:val="24"/>
        </w:rPr>
        <w:t>3</w:t>
      </w:r>
      <w:r w:rsidRPr="00F362A1">
        <w:rPr>
          <w:rFonts w:ascii="Tahoma" w:eastAsia="Calibri" w:hAnsi="Tahoma" w:cs="Tahoma"/>
          <w:sz w:val="24"/>
          <w:szCs w:val="24"/>
        </w:rPr>
        <w:t xml:space="preserve">% în condițiile în care evoluția fondului de salarii a fost de 6,1%. Nerealizarea programului contribuțiilor sociale se datorează și amânării  la plată a obligațiilor din această perioadă. </w:t>
      </w:r>
    </w:p>
    <w:p w:rsidR="00B541BA" w:rsidRPr="00F362A1" w:rsidRDefault="00B541BA" w:rsidP="002A6579">
      <w:pPr>
        <w:tabs>
          <w:tab w:val="left" w:pos="284"/>
        </w:tabs>
        <w:autoSpaceDE w:val="0"/>
        <w:autoSpaceDN w:val="0"/>
        <w:adjustRightInd w:val="0"/>
        <w:spacing w:after="120" w:line="276" w:lineRule="auto"/>
        <w:ind w:firstLine="720"/>
        <w:rPr>
          <w:rFonts w:ascii="Tahoma" w:eastAsia="Calibri" w:hAnsi="Tahoma" w:cs="Tahoma"/>
          <w:sz w:val="24"/>
          <w:szCs w:val="24"/>
        </w:rPr>
      </w:pPr>
      <w:r w:rsidRPr="00F362A1">
        <w:rPr>
          <w:rFonts w:ascii="Tahoma" w:eastAsia="Calibri" w:hAnsi="Tahoma" w:cs="Tahoma"/>
          <w:sz w:val="24"/>
          <w:szCs w:val="24"/>
        </w:rPr>
        <w:t>Pe bugete componente, gradul de realizare al programului de încasări stabilit pentru semestrul</w:t>
      </w:r>
      <w:r w:rsidR="00B623BF" w:rsidRPr="00F362A1">
        <w:rPr>
          <w:rFonts w:ascii="Tahoma" w:eastAsia="Calibri" w:hAnsi="Tahoma" w:cs="Tahoma"/>
          <w:sz w:val="24"/>
          <w:szCs w:val="24"/>
        </w:rPr>
        <w:t xml:space="preserve"> I 2020, se prezintă astfel: </w:t>
      </w:r>
      <w:r w:rsidRPr="00F362A1">
        <w:rPr>
          <w:rFonts w:ascii="Tahoma" w:eastAsia="Calibri" w:hAnsi="Tahoma" w:cs="Tahoma"/>
          <w:sz w:val="24"/>
          <w:szCs w:val="24"/>
        </w:rPr>
        <w:t>bugetul de stat (101,8%), bugetul asigurărilor sociale de stat (</w:t>
      </w:r>
      <w:r w:rsidR="00B623BF" w:rsidRPr="00F362A1">
        <w:rPr>
          <w:rFonts w:ascii="Tahoma" w:eastAsia="Calibri" w:hAnsi="Tahoma" w:cs="Tahoma"/>
          <w:sz w:val="24"/>
          <w:szCs w:val="24"/>
        </w:rPr>
        <w:t>99,0</w:t>
      </w:r>
      <w:r w:rsidRPr="00F362A1">
        <w:rPr>
          <w:rFonts w:ascii="Tahoma" w:eastAsia="Calibri" w:hAnsi="Tahoma" w:cs="Tahoma"/>
          <w:sz w:val="24"/>
          <w:szCs w:val="24"/>
        </w:rPr>
        <w:t>%), bugetul fondului național unic de asigurări sociale de sănătate (98,7%) și bugetul asigurărilor pentru șomaj (97,</w:t>
      </w:r>
      <w:r w:rsidR="00B623BF" w:rsidRPr="00F362A1">
        <w:rPr>
          <w:rFonts w:ascii="Tahoma" w:eastAsia="Calibri" w:hAnsi="Tahoma" w:cs="Tahoma"/>
          <w:sz w:val="24"/>
          <w:szCs w:val="24"/>
        </w:rPr>
        <w:t>8</w:t>
      </w:r>
      <w:r w:rsidRPr="00F362A1">
        <w:rPr>
          <w:rFonts w:ascii="Tahoma" w:eastAsia="Calibri" w:hAnsi="Tahoma" w:cs="Tahoma"/>
          <w:sz w:val="24"/>
          <w:szCs w:val="24"/>
        </w:rPr>
        <w:t>%).</w:t>
      </w:r>
    </w:p>
    <w:p w:rsidR="00B541BA" w:rsidRPr="00F362A1" w:rsidRDefault="00B541BA" w:rsidP="002A6579">
      <w:pPr>
        <w:autoSpaceDE w:val="0"/>
        <w:autoSpaceDN w:val="0"/>
        <w:adjustRightInd w:val="0"/>
        <w:spacing w:after="240" w:line="276" w:lineRule="auto"/>
        <w:ind w:firstLine="720"/>
        <w:rPr>
          <w:rFonts w:ascii="Tahoma" w:eastAsia="Calibri" w:hAnsi="Tahoma" w:cs="Tahoma"/>
          <w:sz w:val="24"/>
          <w:szCs w:val="24"/>
        </w:rPr>
      </w:pPr>
      <w:r w:rsidRPr="00F362A1">
        <w:rPr>
          <w:rFonts w:ascii="Tahoma" w:eastAsia="Calibri" w:hAnsi="Tahoma" w:cs="Tahoma"/>
          <w:sz w:val="24"/>
          <w:szCs w:val="24"/>
        </w:rPr>
        <w:t xml:space="preserve">Comparativ cu aceeași perioadă a anului 2019, s-au înregistrat creșteri ale contribuțiilor sociale încasate la bugetul de stat (12,9%) și bugetul asigurărilor pentru șomaj (+1,8%) și scăderi ale încasărilor la bugetul asigurărilor sociale de stat </w:t>
      </w:r>
      <w:r w:rsidR="00E31696" w:rsidRPr="00F362A1">
        <w:rPr>
          <w:rFonts w:ascii="Tahoma" w:eastAsia="Calibri" w:hAnsi="Tahoma" w:cs="Tahoma"/>
          <w:sz w:val="24"/>
          <w:szCs w:val="24"/>
        </w:rPr>
        <w:t xml:space="preserve">         </w:t>
      </w:r>
      <w:r w:rsidRPr="00F362A1">
        <w:rPr>
          <w:rFonts w:ascii="Tahoma" w:eastAsia="Calibri" w:hAnsi="Tahoma" w:cs="Tahoma"/>
          <w:sz w:val="24"/>
          <w:szCs w:val="24"/>
        </w:rPr>
        <w:t>(-0,4%) și la bugetul Fondului național unic de asigurări sociale de sănătate (-2,6%). Încasările au fost influențate și de modificarea cotelor de distribuire ale contribuției asiguratorie de muncă prin Legea nr. 5/2020 privind bugetul de stat pe anul 2020.</w:t>
      </w:r>
    </w:p>
    <w:p w:rsidR="003D45EA" w:rsidRPr="00F362A1" w:rsidRDefault="004D6D76" w:rsidP="002A6579">
      <w:pPr>
        <w:suppressAutoHyphens/>
        <w:autoSpaceDE w:val="0"/>
        <w:autoSpaceDN w:val="0"/>
        <w:adjustRightInd w:val="0"/>
        <w:spacing w:after="0" w:line="276" w:lineRule="auto"/>
        <w:ind w:firstLine="680"/>
        <w:rPr>
          <w:rFonts w:ascii="Tahoma" w:hAnsi="Tahoma" w:cs="Tahoma"/>
          <w:sz w:val="24"/>
          <w:szCs w:val="24"/>
        </w:rPr>
      </w:pPr>
      <w:r w:rsidRPr="00F362A1">
        <w:rPr>
          <w:rFonts w:ascii="Tahoma" w:hAnsi="Tahoma" w:cs="Tahoma"/>
          <w:b/>
          <w:bCs/>
          <w:sz w:val="24"/>
          <w:szCs w:val="24"/>
        </w:rPr>
        <w:t xml:space="preserve">Veniturile nefiscale </w:t>
      </w:r>
      <w:r w:rsidRPr="00F362A1">
        <w:rPr>
          <w:rFonts w:ascii="Tahoma" w:hAnsi="Tahoma" w:cs="Tahoma"/>
          <w:sz w:val="24"/>
          <w:szCs w:val="24"/>
        </w:rPr>
        <w:t>încasate în primul semestru al anului 20</w:t>
      </w:r>
      <w:r w:rsidR="00B623BF" w:rsidRPr="00F362A1">
        <w:rPr>
          <w:rFonts w:ascii="Tahoma" w:hAnsi="Tahoma" w:cs="Tahoma"/>
          <w:sz w:val="24"/>
          <w:szCs w:val="24"/>
        </w:rPr>
        <w:t>20</w:t>
      </w:r>
      <w:r w:rsidRPr="00F362A1">
        <w:rPr>
          <w:rFonts w:ascii="Tahoma" w:hAnsi="Tahoma" w:cs="Tahoma"/>
          <w:sz w:val="24"/>
          <w:szCs w:val="24"/>
        </w:rPr>
        <w:t xml:space="preserve"> au totalizat </w:t>
      </w:r>
      <w:r w:rsidR="00B623BF" w:rsidRPr="00F362A1">
        <w:rPr>
          <w:rFonts w:ascii="Tahoma" w:hAnsi="Tahoma" w:cs="Tahoma"/>
          <w:sz w:val="24"/>
          <w:szCs w:val="24"/>
        </w:rPr>
        <w:t>11.730,3</w:t>
      </w:r>
      <w:r w:rsidRPr="00F362A1">
        <w:rPr>
          <w:rFonts w:ascii="Tahoma" w:hAnsi="Tahoma" w:cs="Tahoma"/>
          <w:sz w:val="24"/>
          <w:szCs w:val="24"/>
        </w:rPr>
        <w:t xml:space="preserve"> milioane lei (1,</w:t>
      </w:r>
      <w:r w:rsidR="00B623BF" w:rsidRPr="00F362A1">
        <w:rPr>
          <w:rFonts w:ascii="Tahoma" w:hAnsi="Tahoma" w:cs="Tahoma"/>
          <w:sz w:val="24"/>
          <w:szCs w:val="24"/>
        </w:rPr>
        <w:t>1</w:t>
      </w:r>
      <w:r w:rsidRPr="00F362A1">
        <w:rPr>
          <w:rFonts w:ascii="Tahoma" w:hAnsi="Tahoma" w:cs="Tahoma"/>
          <w:sz w:val="24"/>
          <w:szCs w:val="24"/>
        </w:rPr>
        <w:t xml:space="preserve">% din PIB), cu </w:t>
      </w:r>
      <w:r w:rsidR="00B623BF" w:rsidRPr="00F362A1">
        <w:rPr>
          <w:rFonts w:ascii="Tahoma" w:hAnsi="Tahoma" w:cs="Tahoma"/>
          <w:sz w:val="24"/>
          <w:szCs w:val="24"/>
        </w:rPr>
        <w:t>3,4</w:t>
      </w:r>
      <w:r w:rsidRPr="00F362A1">
        <w:rPr>
          <w:rFonts w:ascii="Tahoma" w:hAnsi="Tahoma" w:cs="Tahoma"/>
          <w:sz w:val="24"/>
          <w:szCs w:val="24"/>
        </w:rPr>
        <w:t xml:space="preserve">% </w:t>
      </w:r>
      <w:r w:rsidR="00B623BF" w:rsidRPr="00F362A1">
        <w:rPr>
          <w:rFonts w:ascii="Tahoma" w:hAnsi="Tahoma" w:cs="Tahoma"/>
          <w:sz w:val="24"/>
          <w:szCs w:val="24"/>
        </w:rPr>
        <w:t>sub</w:t>
      </w:r>
      <w:r w:rsidRPr="00F362A1">
        <w:rPr>
          <w:rFonts w:ascii="Tahoma" w:hAnsi="Tahoma" w:cs="Tahoma"/>
          <w:sz w:val="24"/>
          <w:szCs w:val="24"/>
        </w:rPr>
        <w:t xml:space="preserve"> programul de încasări aferent semestrului I și cu </w:t>
      </w:r>
      <w:r w:rsidR="00B623BF" w:rsidRPr="00F362A1">
        <w:rPr>
          <w:rFonts w:ascii="Tahoma" w:hAnsi="Tahoma" w:cs="Tahoma"/>
          <w:sz w:val="24"/>
          <w:szCs w:val="24"/>
        </w:rPr>
        <w:t>12,1</w:t>
      </w:r>
      <w:r w:rsidRPr="00F362A1">
        <w:rPr>
          <w:rFonts w:ascii="Tahoma" w:hAnsi="Tahoma" w:cs="Tahoma"/>
          <w:sz w:val="24"/>
          <w:szCs w:val="24"/>
        </w:rPr>
        <w:t xml:space="preserve">% mai </w:t>
      </w:r>
      <w:r w:rsidR="00B623BF" w:rsidRPr="00F362A1">
        <w:rPr>
          <w:rFonts w:ascii="Tahoma" w:hAnsi="Tahoma" w:cs="Tahoma"/>
          <w:sz w:val="24"/>
          <w:szCs w:val="24"/>
        </w:rPr>
        <w:t xml:space="preserve">mici </w:t>
      </w:r>
      <w:r w:rsidRPr="00F362A1">
        <w:rPr>
          <w:rFonts w:ascii="Tahoma" w:hAnsi="Tahoma" w:cs="Tahoma"/>
          <w:sz w:val="24"/>
          <w:szCs w:val="24"/>
        </w:rPr>
        <w:t>comparativ cu încasările semestrul I 201</w:t>
      </w:r>
      <w:r w:rsidR="00B623BF" w:rsidRPr="00F362A1">
        <w:rPr>
          <w:rFonts w:ascii="Tahoma" w:hAnsi="Tahoma" w:cs="Tahoma"/>
          <w:sz w:val="24"/>
          <w:szCs w:val="24"/>
        </w:rPr>
        <w:t>9</w:t>
      </w:r>
      <w:r w:rsidRPr="00F362A1">
        <w:rPr>
          <w:rFonts w:ascii="Tahoma" w:hAnsi="Tahoma" w:cs="Tahoma"/>
          <w:sz w:val="24"/>
          <w:szCs w:val="24"/>
        </w:rPr>
        <w:t xml:space="preserve">. </w:t>
      </w:r>
    </w:p>
    <w:p w:rsidR="006F7F65" w:rsidRPr="00F362A1" w:rsidRDefault="006F7F65" w:rsidP="002A6579">
      <w:pPr>
        <w:suppressAutoHyphens/>
        <w:autoSpaceDE w:val="0"/>
        <w:autoSpaceDN w:val="0"/>
        <w:adjustRightInd w:val="0"/>
        <w:spacing w:after="240" w:line="276" w:lineRule="auto"/>
        <w:ind w:firstLine="677"/>
        <w:rPr>
          <w:rFonts w:ascii="Tahoma" w:hAnsi="Tahoma" w:cs="Tahoma"/>
          <w:sz w:val="24"/>
          <w:szCs w:val="24"/>
        </w:rPr>
      </w:pPr>
      <w:r w:rsidRPr="00F362A1">
        <w:rPr>
          <w:rFonts w:ascii="Tahoma" w:hAnsi="Tahoma" w:cs="Tahoma"/>
          <w:sz w:val="24"/>
          <w:szCs w:val="24"/>
        </w:rPr>
        <w:t>Evoluția încasărilor comparativ cu se</w:t>
      </w:r>
      <w:r w:rsidR="00B623BF" w:rsidRPr="00F362A1">
        <w:rPr>
          <w:rFonts w:ascii="Tahoma" w:hAnsi="Tahoma" w:cs="Tahoma"/>
          <w:sz w:val="24"/>
          <w:szCs w:val="24"/>
        </w:rPr>
        <w:t>mestrul I 2019</w:t>
      </w:r>
      <w:r w:rsidRPr="00F362A1">
        <w:rPr>
          <w:rFonts w:ascii="Tahoma" w:hAnsi="Tahoma" w:cs="Tahoma"/>
          <w:sz w:val="24"/>
          <w:szCs w:val="24"/>
        </w:rPr>
        <w:t xml:space="preserve"> a fost determinată în principal de scăderea cu 12% a încasărilor la bugetul de stat </w:t>
      </w:r>
      <w:r w:rsidR="00B623BF" w:rsidRPr="00F362A1">
        <w:rPr>
          <w:rFonts w:ascii="Tahoma" w:hAnsi="Tahoma" w:cs="Tahoma"/>
          <w:sz w:val="24"/>
          <w:szCs w:val="24"/>
        </w:rPr>
        <w:t>dator</w:t>
      </w:r>
      <w:r w:rsidR="00E31696" w:rsidRPr="00F362A1">
        <w:rPr>
          <w:rFonts w:ascii="Tahoma" w:hAnsi="Tahoma" w:cs="Tahoma"/>
          <w:sz w:val="24"/>
          <w:szCs w:val="24"/>
        </w:rPr>
        <w:t>ată</w:t>
      </w:r>
      <w:r w:rsidRPr="00F362A1">
        <w:rPr>
          <w:rFonts w:ascii="Tahoma" w:hAnsi="Tahoma" w:cs="Tahoma"/>
          <w:sz w:val="24"/>
          <w:szCs w:val="24"/>
        </w:rPr>
        <w:t xml:space="preserve"> diminuării încasărilor aferente</w:t>
      </w:r>
      <w:r w:rsidR="00B623BF" w:rsidRPr="00F362A1">
        <w:rPr>
          <w:rFonts w:ascii="Tahoma" w:hAnsi="Tahoma" w:cs="Tahoma"/>
          <w:sz w:val="24"/>
          <w:szCs w:val="24"/>
        </w:rPr>
        <w:t xml:space="preserve"> veniturilor din dividende (-1,2 mld. lei), ca efect al decal</w:t>
      </w:r>
      <w:r w:rsidRPr="00F362A1">
        <w:rPr>
          <w:rFonts w:ascii="Tahoma" w:hAnsi="Tahoma" w:cs="Tahoma"/>
          <w:sz w:val="24"/>
          <w:szCs w:val="24"/>
        </w:rPr>
        <w:t>ă</w:t>
      </w:r>
      <w:r w:rsidR="00B623BF" w:rsidRPr="00F362A1">
        <w:rPr>
          <w:rFonts w:ascii="Tahoma" w:hAnsi="Tahoma" w:cs="Tahoma"/>
          <w:sz w:val="24"/>
          <w:szCs w:val="24"/>
        </w:rPr>
        <w:t xml:space="preserve">rii cu 2 luni a termenului de depunere a </w:t>
      </w:r>
      <w:r w:rsidR="00247A3D" w:rsidRPr="00F362A1">
        <w:rPr>
          <w:rFonts w:ascii="Tahoma" w:hAnsi="Tahoma" w:cs="Tahoma"/>
          <w:sz w:val="24"/>
          <w:szCs w:val="24"/>
        </w:rPr>
        <w:t>situațiilor</w:t>
      </w:r>
      <w:r w:rsidR="00B623BF" w:rsidRPr="00F362A1">
        <w:rPr>
          <w:rFonts w:ascii="Tahoma" w:hAnsi="Tahoma" w:cs="Tahoma"/>
          <w:sz w:val="24"/>
          <w:szCs w:val="24"/>
        </w:rPr>
        <w:t xml:space="preserve"> financiare anuale aferente </w:t>
      </w:r>
      <w:r w:rsidR="00247A3D" w:rsidRPr="00F362A1">
        <w:rPr>
          <w:rFonts w:ascii="Tahoma" w:hAnsi="Tahoma" w:cs="Tahoma"/>
          <w:sz w:val="24"/>
          <w:szCs w:val="24"/>
        </w:rPr>
        <w:t>exercițiului</w:t>
      </w:r>
      <w:r w:rsidR="00B623BF" w:rsidRPr="00F362A1">
        <w:rPr>
          <w:rFonts w:ascii="Tahoma" w:hAnsi="Tahoma" w:cs="Tahoma"/>
          <w:sz w:val="24"/>
          <w:szCs w:val="24"/>
        </w:rPr>
        <w:t xml:space="preserve"> financiar 2019 (31 iulie 2020 inclusiv). Gradul de realizare al programului semestrial </w:t>
      </w:r>
      <w:r w:rsidRPr="00F362A1">
        <w:rPr>
          <w:rFonts w:ascii="Tahoma" w:hAnsi="Tahoma" w:cs="Tahoma"/>
          <w:sz w:val="24"/>
          <w:szCs w:val="24"/>
        </w:rPr>
        <w:t xml:space="preserve">la bugetul de stat </w:t>
      </w:r>
      <w:r w:rsidR="00B623BF" w:rsidRPr="00F362A1">
        <w:rPr>
          <w:rFonts w:ascii="Tahoma" w:hAnsi="Tahoma" w:cs="Tahoma"/>
          <w:sz w:val="24"/>
          <w:szCs w:val="24"/>
        </w:rPr>
        <w:t>este de 108,2</w:t>
      </w:r>
      <w:r w:rsidR="00E31696" w:rsidRPr="00F362A1">
        <w:rPr>
          <w:rFonts w:ascii="Tahoma" w:hAnsi="Tahoma" w:cs="Tahoma"/>
          <w:sz w:val="24"/>
          <w:szCs w:val="24"/>
        </w:rPr>
        <w:t>% (0,4 mld. lei), datorită</w:t>
      </w:r>
      <w:r w:rsidR="004E4C99" w:rsidRPr="00F362A1">
        <w:rPr>
          <w:rFonts w:ascii="Tahoma" w:hAnsi="Tahoma" w:cs="Tahoma"/>
          <w:sz w:val="24"/>
          <w:szCs w:val="24"/>
        </w:rPr>
        <w:t xml:space="preserve"> </w:t>
      </w:r>
      <w:r w:rsidR="00247A3D" w:rsidRPr="00F362A1">
        <w:rPr>
          <w:rFonts w:ascii="Tahoma" w:hAnsi="Tahoma" w:cs="Tahoma"/>
          <w:sz w:val="24"/>
          <w:szCs w:val="24"/>
        </w:rPr>
        <w:t>depășirilor</w:t>
      </w:r>
      <w:r w:rsidR="00E31696" w:rsidRPr="00F362A1">
        <w:rPr>
          <w:rFonts w:ascii="Tahoma" w:hAnsi="Tahoma" w:cs="Tahoma"/>
          <w:sz w:val="24"/>
          <w:szCs w:val="24"/>
        </w:rPr>
        <w:t xml:space="preserve"> </w:t>
      </w:r>
      <w:r w:rsidR="00247A3D" w:rsidRPr="00F362A1">
        <w:rPr>
          <w:rFonts w:ascii="Tahoma" w:hAnsi="Tahoma" w:cs="Tahoma"/>
          <w:sz w:val="24"/>
          <w:szCs w:val="24"/>
        </w:rPr>
        <w:t>înregistrate</w:t>
      </w:r>
      <w:r w:rsidR="004E4C99" w:rsidRPr="00F362A1">
        <w:rPr>
          <w:rFonts w:ascii="Tahoma" w:hAnsi="Tahoma" w:cs="Tahoma"/>
          <w:sz w:val="24"/>
          <w:szCs w:val="24"/>
        </w:rPr>
        <w:t xml:space="preserve"> la veniturile</w:t>
      </w:r>
      <w:r w:rsidR="00B623BF" w:rsidRPr="00F362A1">
        <w:rPr>
          <w:rFonts w:ascii="Tahoma" w:hAnsi="Tahoma" w:cs="Tahoma"/>
          <w:sz w:val="24"/>
          <w:szCs w:val="24"/>
        </w:rPr>
        <w:t xml:space="preserve"> din </w:t>
      </w:r>
      <w:r w:rsidR="004E4C99" w:rsidRPr="00F362A1">
        <w:rPr>
          <w:rFonts w:ascii="Tahoma" w:hAnsi="Tahoma" w:cs="Tahoma"/>
          <w:sz w:val="24"/>
          <w:szCs w:val="24"/>
        </w:rPr>
        <w:t>p</w:t>
      </w:r>
      <w:r w:rsidR="00424AFB" w:rsidRPr="00F362A1">
        <w:rPr>
          <w:rFonts w:ascii="Tahoma" w:hAnsi="Tahoma" w:cs="Tahoma"/>
          <w:sz w:val="24"/>
          <w:szCs w:val="24"/>
        </w:rPr>
        <w:t>roprietate ș</w:t>
      </w:r>
      <w:r w:rsidR="004E4C99" w:rsidRPr="00F362A1">
        <w:rPr>
          <w:rFonts w:ascii="Tahoma" w:hAnsi="Tahoma" w:cs="Tahoma"/>
          <w:sz w:val="24"/>
          <w:szCs w:val="24"/>
        </w:rPr>
        <w:t>i dobâ</w:t>
      </w:r>
      <w:r w:rsidR="00B623BF" w:rsidRPr="00F362A1">
        <w:rPr>
          <w:rFonts w:ascii="Tahoma" w:hAnsi="Tahoma" w:cs="Tahoma"/>
          <w:sz w:val="24"/>
          <w:szCs w:val="24"/>
        </w:rPr>
        <w:t>nzi.</w:t>
      </w:r>
    </w:p>
    <w:p w:rsidR="002C2A7E" w:rsidRPr="00F362A1" w:rsidRDefault="004D6D76" w:rsidP="002A6579">
      <w:pPr>
        <w:suppressAutoHyphens/>
        <w:autoSpaceDE w:val="0"/>
        <w:autoSpaceDN w:val="0"/>
        <w:adjustRightInd w:val="0"/>
        <w:spacing w:after="0" w:line="276" w:lineRule="auto"/>
        <w:ind w:firstLine="680"/>
        <w:rPr>
          <w:rFonts w:ascii="Tahoma" w:hAnsi="Tahoma" w:cs="Tahoma"/>
          <w:color w:val="000000" w:themeColor="text1"/>
          <w:sz w:val="24"/>
          <w:szCs w:val="24"/>
        </w:rPr>
      </w:pPr>
      <w:r w:rsidRPr="00F362A1">
        <w:rPr>
          <w:rFonts w:ascii="Tahoma" w:hAnsi="Tahoma" w:cs="Tahoma"/>
          <w:b/>
          <w:sz w:val="24"/>
          <w:szCs w:val="24"/>
        </w:rPr>
        <w:t>Sumele rambursate de Uniunea Europeană în contul plăților efectuate și donații</w:t>
      </w:r>
      <w:r w:rsidRPr="00F362A1">
        <w:rPr>
          <w:rFonts w:ascii="Tahoma" w:hAnsi="Tahoma" w:cs="Tahoma"/>
          <w:sz w:val="24"/>
          <w:szCs w:val="24"/>
        </w:rPr>
        <w:t xml:space="preserve"> au totalizat </w:t>
      </w:r>
      <w:r w:rsidR="00E67938" w:rsidRPr="00F362A1">
        <w:rPr>
          <w:rFonts w:ascii="Tahoma" w:hAnsi="Tahoma" w:cs="Tahoma"/>
          <w:b/>
          <w:bCs/>
          <w:sz w:val="24"/>
          <w:szCs w:val="24"/>
        </w:rPr>
        <w:t>8.981,</w:t>
      </w:r>
      <w:r w:rsidR="006F7F65" w:rsidRPr="00F362A1">
        <w:rPr>
          <w:rFonts w:ascii="Tahoma" w:hAnsi="Tahoma" w:cs="Tahoma"/>
          <w:b/>
          <w:bCs/>
          <w:sz w:val="24"/>
          <w:szCs w:val="24"/>
        </w:rPr>
        <w:t>0</w:t>
      </w:r>
      <w:r w:rsidRPr="00F362A1">
        <w:rPr>
          <w:rFonts w:ascii="Tahoma" w:hAnsi="Tahoma" w:cs="Tahoma"/>
          <w:sz w:val="24"/>
          <w:szCs w:val="24"/>
        </w:rPr>
        <w:t xml:space="preserve"> milioane lei (0,</w:t>
      </w:r>
      <w:r w:rsidR="006F7F65" w:rsidRPr="00F362A1">
        <w:rPr>
          <w:rFonts w:ascii="Tahoma" w:hAnsi="Tahoma" w:cs="Tahoma"/>
          <w:sz w:val="24"/>
          <w:szCs w:val="24"/>
        </w:rPr>
        <w:t>8</w:t>
      </w:r>
      <w:r w:rsidRPr="00F362A1">
        <w:rPr>
          <w:rFonts w:ascii="Tahoma" w:hAnsi="Tahoma" w:cs="Tahoma"/>
          <w:sz w:val="24"/>
          <w:szCs w:val="24"/>
        </w:rPr>
        <w:t xml:space="preserve">% din PIB), cu </w:t>
      </w:r>
      <w:r w:rsidR="006F7F65" w:rsidRPr="00F362A1">
        <w:rPr>
          <w:rFonts w:ascii="Tahoma" w:hAnsi="Tahoma" w:cs="Tahoma"/>
          <w:sz w:val="24"/>
          <w:szCs w:val="24"/>
        </w:rPr>
        <w:t>18,1</w:t>
      </w:r>
      <w:r w:rsidRPr="00F362A1">
        <w:rPr>
          <w:rFonts w:ascii="Tahoma" w:hAnsi="Tahoma" w:cs="Tahoma"/>
          <w:sz w:val="24"/>
          <w:szCs w:val="24"/>
        </w:rPr>
        <w:t>% mai mari comparativ cu semestrul I 201</w:t>
      </w:r>
      <w:r w:rsidR="006F7F65" w:rsidRPr="00F362A1">
        <w:rPr>
          <w:rFonts w:ascii="Tahoma" w:hAnsi="Tahoma" w:cs="Tahoma"/>
          <w:sz w:val="24"/>
          <w:szCs w:val="24"/>
        </w:rPr>
        <w:t>9</w:t>
      </w:r>
      <w:r w:rsidRPr="00F362A1">
        <w:rPr>
          <w:rFonts w:ascii="Tahoma" w:hAnsi="Tahoma" w:cs="Tahoma"/>
          <w:sz w:val="24"/>
          <w:szCs w:val="24"/>
        </w:rPr>
        <w:t xml:space="preserve">. </w:t>
      </w:r>
      <w:r w:rsidR="006F7F65" w:rsidRPr="00F362A1">
        <w:rPr>
          <w:rFonts w:ascii="Tahoma" w:hAnsi="Tahoma" w:cs="Tahoma"/>
          <w:sz w:val="24"/>
          <w:szCs w:val="24"/>
        </w:rPr>
        <w:t>Gradul de realizare al programului semestrial a fost d</w:t>
      </w:r>
      <w:r w:rsidR="00220441" w:rsidRPr="00F362A1">
        <w:rPr>
          <w:rFonts w:ascii="Tahoma" w:hAnsi="Tahoma" w:cs="Tahoma"/>
          <w:sz w:val="24"/>
          <w:szCs w:val="24"/>
        </w:rPr>
        <w:t xml:space="preserve">e 63,9%. </w:t>
      </w:r>
      <w:r w:rsidR="00220441" w:rsidRPr="00F362A1">
        <w:rPr>
          <w:rFonts w:ascii="Tahoma" w:hAnsi="Tahoma" w:cs="Tahoma"/>
          <w:color w:val="000000" w:themeColor="text1"/>
          <w:sz w:val="24"/>
          <w:szCs w:val="24"/>
        </w:rPr>
        <w:t xml:space="preserve">Programul </w:t>
      </w:r>
      <w:r w:rsidR="002C2A7E" w:rsidRPr="00F362A1">
        <w:rPr>
          <w:rFonts w:ascii="Tahoma" w:hAnsi="Tahoma" w:cs="Tahoma"/>
          <w:color w:val="000000" w:themeColor="text1"/>
          <w:sz w:val="24"/>
          <w:szCs w:val="24"/>
        </w:rPr>
        <w:t xml:space="preserve">rectificat </w:t>
      </w:r>
      <w:r w:rsidR="00220441" w:rsidRPr="00F362A1">
        <w:rPr>
          <w:rFonts w:ascii="Tahoma" w:hAnsi="Tahoma" w:cs="Tahoma"/>
          <w:color w:val="000000" w:themeColor="text1"/>
          <w:sz w:val="24"/>
          <w:szCs w:val="24"/>
        </w:rPr>
        <w:t>cuprinde și sumele estimate</w:t>
      </w:r>
      <w:r w:rsidR="00F64F4D" w:rsidRPr="00F362A1">
        <w:rPr>
          <w:rFonts w:ascii="Tahoma" w:hAnsi="Tahoma" w:cs="Tahoma"/>
          <w:color w:val="000000" w:themeColor="text1"/>
          <w:sz w:val="24"/>
          <w:szCs w:val="24"/>
        </w:rPr>
        <w:t xml:space="preserve"> a </w:t>
      </w:r>
      <w:r w:rsidR="00220441" w:rsidRPr="00F362A1">
        <w:rPr>
          <w:rFonts w:ascii="Tahoma" w:hAnsi="Tahoma" w:cs="Tahoma"/>
          <w:color w:val="000000" w:themeColor="text1"/>
          <w:sz w:val="24"/>
          <w:szCs w:val="24"/>
        </w:rPr>
        <w:t xml:space="preserve">fi decontate de UE din fondurile ce au </w:t>
      </w:r>
      <w:r w:rsidR="00F64F4D" w:rsidRPr="00F362A1">
        <w:rPr>
          <w:rFonts w:ascii="Tahoma" w:hAnsi="Tahoma" w:cs="Tahoma"/>
          <w:color w:val="000000" w:themeColor="text1"/>
          <w:sz w:val="24"/>
          <w:szCs w:val="24"/>
        </w:rPr>
        <w:t xml:space="preserve">fost </w:t>
      </w:r>
      <w:r w:rsidR="00220441" w:rsidRPr="00F362A1">
        <w:rPr>
          <w:rFonts w:ascii="Tahoma" w:hAnsi="Tahoma" w:cs="Tahoma"/>
          <w:color w:val="000000" w:themeColor="text1"/>
          <w:sz w:val="24"/>
          <w:szCs w:val="24"/>
        </w:rPr>
        <w:t xml:space="preserve">alocate </w:t>
      </w:r>
      <w:r w:rsidR="00424AFB" w:rsidRPr="00F362A1">
        <w:rPr>
          <w:rFonts w:ascii="Tahoma" w:hAnsi="Tahoma" w:cs="Tahoma"/>
          <w:color w:val="000000" w:themeColor="text1"/>
          <w:sz w:val="24"/>
          <w:szCs w:val="24"/>
        </w:rPr>
        <w:t xml:space="preserve">și plătite în primul semestru pentru prevenirea și combaterea </w:t>
      </w:r>
      <w:r w:rsidR="00220441" w:rsidRPr="00F362A1">
        <w:rPr>
          <w:rFonts w:ascii="Tahoma" w:hAnsi="Tahoma" w:cs="Tahoma"/>
          <w:color w:val="000000" w:themeColor="text1"/>
          <w:sz w:val="24"/>
          <w:szCs w:val="24"/>
        </w:rPr>
        <w:t>pandemiei</w:t>
      </w:r>
      <w:r w:rsidR="00F64F4D" w:rsidRPr="00F362A1">
        <w:rPr>
          <w:rFonts w:ascii="Tahoma" w:hAnsi="Tahoma" w:cs="Tahoma"/>
          <w:color w:val="000000" w:themeColor="text1"/>
          <w:sz w:val="24"/>
          <w:szCs w:val="24"/>
        </w:rPr>
        <w:t xml:space="preserve"> </w:t>
      </w:r>
      <w:r w:rsidR="00247A3D" w:rsidRPr="00F362A1">
        <w:rPr>
          <w:rFonts w:ascii="Tahoma" w:hAnsi="Tahoma" w:cs="Tahoma"/>
          <w:color w:val="000000" w:themeColor="text1"/>
          <w:sz w:val="24"/>
          <w:szCs w:val="24"/>
        </w:rPr>
        <w:t>COVID</w:t>
      </w:r>
      <w:r w:rsidR="002C2A7E" w:rsidRPr="00F362A1">
        <w:rPr>
          <w:rFonts w:ascii="Tahoma" w:hAnsi="Tahoma" w:cs="Tahoma"/>
          <w:color w:val="000000" w:themeColor="text1"/>
          <w:sz w:val="24"/>
          <w:szCs w:val="24"/>
        </w:rPr>
        <w:t xml:space="preserve">-19. Procesul de decontare </w:t>
      </w:r>
      <w:r w:rsidR="00424AFB" w:rsidRPr="00F362A1">
        <w:rPr>
          <w:rFonts w:ascii="Tahoma" w:hAnsi="Tahoma" w:cs="Tahoma"/>
          <w:color w:val="000000" w:themeColor="text1"/>
          <w:sz w:val="24"/>
          <w:szCs w:val="24"/>
        </w:rPr>
        <w:t>fiind î</w:t>
      </w:r>
      <w:r w:rsidR="002C2A7E" w:rsidRPr="00F362A1">
        <w:rPr>
          <w:rFonts w:ascii="Tahoma" w:hAnsi="Tahoma" w:cs="Tahoma"/>
          <w:color w:val="000000" w:themeColor="text1"/>
          <w:sz w:val="24"/>
          <w:szCs w:val="24"/>
        </w:rPr>
        <w:t xml:space="preserve">n </w:t>
      </w:r>
      <w:r w:rsidR="002C2A7E" w:rsidRPr="00F362A1">
        <w:rPr>
          <w:rFonts w:ascii="Tahoma" w:hAnsi="Tahoma" w:cs="Tahoma"/>
          <w:color w:val="000000" w:themeColor="text1"/>
          <w:sz w:val="24"/>
          <w:szCs w:val="24"/>
        </w:rPr>
        <w:lastRenderedPageBreak/>
        <w:t xml:space="preserve">derulare, în execuție, se vor evidenția la momentul </w:t>
      </w:r>
      <w:r w:rsidR="00424AFB" w:rsidRPr="00F362A1">
        <w:rPr>
          <w:rFonts w:ascii="Tahoma" w:hAnsi="Tahoma" w:cs="Tahoma"/>
          <w:color w:val="000000" w:themeColor="text1"/>
          <w:sz w:val="24"/>
          <w:szCs w:val="24"/>
        </w:rPr>
        <w:t>rambursării de către Autoritățile de Management către beneficiari, după verificarea acestora.</w:t>
      </w:r>
    </w:p>
    <w:p w:rsidR="004D6D76" w:rsidRPr="00F362A1" w:rsidRDefault="004D6D76" w:rsidP="002A6579">
      <w:pPr>
        <w:suppressAutoHyphens/>
        <w:autoSpaceDE w:val="0"/>
        <w:autoSpaceDN w:val="0"/>
        <w:adjustRightInd w:val="0"/>
        <w:spacing w:after="0" w:line="276" w:lineRule="auto"/>
        <w:ind w:firstLine="680"/>
        <w:rPr>
          <w:rFonts w:ascii="Tahoma" w:hAnsi="Tahoma" w:cs="Tahoma"/>
          <w:sz w:val="24"/>
          <w:szCs w:val="24"/>
        </w:rPr>
      </w:pPr>
    </w:p>
    <w:p w:rsidR="006F7F65" w:rsidRPr="00F362A1" w:rsidRDefault="006F7F65" w:rsidP="002A6579">
      <w:pPr>
        <w:spacing w:line="276" w:lineRule="auto"/>
        <w:ind w:right="-57" w:firstLine="720"/>
        <w:rPr>
          <w:rFonts w:ascii="Tahoma" w:hAnsi="Tahoma" w:cs="Tahoma"/>
          <w:bCs/>
          <w:sz w:val="24"/>
          <w:szCs w:val="24"/>
        </w:rPr>
      </w:pPr>
      <w:r w:rsidRPr="00F362A1">
        <w:rPr>
          <w:rFonts w:ascii="Tahoma" w:hAnsi="Tahoma" w:cs="Tahoma"/>
          <w:bCs/>
          <w:sz w:val="24"/>
          <w:szCs w:val="24"/>
        </w:rPr>
        <w:t>Ca procent în PIB</w:t>
      </w:r>
      <w:r w:rsidR="00EB1916" w:rsidRPr="00F362A1">
        <w:rPr>
          <w:rFonts w:ascii="Tahoma" w:hAnsi="Tahoma" w:cs="Tahoma"/>
          <w:bCs/>
          <w:sz w:val="24"/>
          <w:szCs w:val="24"/>
        </w:rPr>
        <w:t>,</w:t>
      </w:r>
      <w:r w:rsidRPr="00F362A1">
        <w:rPr>
          <w:rFonts w:ascii="Tahoma" w:hAnsi="Tahoma" w:cs="Tahoma"/>
          <w:bCs/>
          <w:sz w:val="24"/>
          <w:szCs w:val="24"/>
        </w:rPr>
        <w:t xml:space="preserve"> sumele </w:t>
      </w:r>
      <w:r w:rsidRPr="00F362A1">
        <w:rPr>
          <w:rFonts w:ascii="Tahoma" w:hAnsi="Tahoma" w:cs="Tahoma"/>
          <w:sz w:val="24"/>
          <w:szCs w:val="24"/>
        </w:rPr>
        <w:t>rambursate de Uniunea Europeană în contul plăților efectuate și donații au crescut cu 0,1 puncte procentuale de la 0,7</w:t>
      </w:r>
      <w:r w:rsidR="00A86CA9" w:rsidRPr="00F362A1">
        <w:rPr>
          <w:rFonts w:ascii="Tahoma" w:hAnsi="Tahoma" w:cs="Tahoma"/>
          <w:sz w:val="24"/>
          <w:szCs w:val="24"/>
        </w:rPr>
        <w:t>%</w:t>
      </w:r>
      <w:r w:rsidRPr="00F362A1">
        <w:rPr>
          <w:rFonts w:ascii="Tahoma" w:hAnsi="Tahoma" w:cs="Tahoma"/>
          <w:sz w:val="24"/>
          <w:szCs w:val="24"/>
        </w:rPr>
        <w:t xml:space="preserve"> din PIB cât au fost în semestrul I 2019 la 0,8% din PIB in semestrul I 2020.</w:t>
      </w:r>
    </w:p>
    <w:p w:rsidR="004D6D76" w:rsidRPr="00F362A1" w:rsidRDefault="004D6D76" w:rsidP="002A6579">
      <w:pPr>
        <w:pageBreakBefore/>
        <w:spacing w:line="276" w:lineRule="auto"/>
        <w:ind w:firstLine="720"/>
        <w:rPr>
          <w:rFonts w:ascii="Tahoma" w:hAnsi="Tahoma" w:cs="Tahoma"/>
          <w:sz w:val="24"/>
          <w:szCs w:val="24"/>
        </w:rPr>
      </w:pPr>
      <w:r w:rsidRPr="00F362A1">
        <w:rPr>
          <w:rFonts w:ascii="Tahoma" w:hAnsi="Tahoma" w:cs="Tahoma"/>
          <w:b/>
          <w:bCs/>
          <w:sz w:val="24"/>
          <w:szCs w:val="24"/>
          <w:u w:val="single"/>
        </w:rPr>
        <w:lastRenderedPageBreak/>
        <w:t>Cheltuielile bugetului general consolidat</w:t>
      </w:r>
      <w:r w:rsidR="00F64F4D" w:rsidRPr="00F362A1">
        <w:rPr>
          <w:rFonts w:ascii="Tahoma" w:hAnsi="Tahoma" w:cs="Tahoma"/>
          <w:b/>
          <w:bCs/>
          <w:sz w:val="24"/>
          <w:szCs w:val="24"/>
          <w:u w:val="single"/>
        </w:rPr>
        <w:t xml:space="preserve"> </w:t>
      </w:r>
      <w:r w:rsidRPr="00F362A1">
        <w:rPr>
          <w:rFonts w:ascii="Tahoma" w:hAnsi="Tahoma" w:cs="Tahoma"/>
          <w:sz w:val="24"/>
          <w:szCs w:val="24"/>
        </w:rPr>
        <w:t xml:space="preserve">în sumă de </w:t>
      </w:r>
      <w:r w:rsidR="000C4F84" w:rsidRPr="00F362A1">
        <w:rPr>
          <w:rFonts w:ascii="Tahoma" w:hAnsi="Tahoma" w:cs="Tahoma"/>
          <w:b/>
          <w:sz w:val="24"/>
          <w:szCs w:val="24"/>
        </w:rPr>
        <w:t xml:space="preserve">191.428,4 milioane </w:t>
      </w:r>
      <w:r w:rsidRPr="00F362A1">
        <w:rPr>
          <w:rFonts w:ascii="Tahoma" w:hAnsi="Tahoma" w:cs="Tahoma"/>
          <w:b/>
          <w:sz w:val="24"/>
          <w:szCs w:val="24"/>
        </w:rPr>
        <w:t>lei (</w:t>
      </w:r>
      <w:r w:rsidR="000C4F84" w:rsidRPr="00F362A1">
        <w:rPr>
          <w:rFonts w:ascii="Tahoma" w:hAnsi="Tahoma" w:cs="Tahoma"/>
          <w:b/>
          <w:sz w:val="24"/>
          <w:szCs w:val="24"/>
        </w:rPr>
        <w:t>17,7</w:t>
      </w:r>
      <w:r w:rsidRPr="00F362A1">
        <w:rPr>
          <w:rFonts w:ascii="Tahoma" w:hAnsi="Tahoma" w:cs="Tahoma"/>
          <w:b/>
          <w:sz w:val="24"/>
          <w:szCs w:val="24"/>
        </w:rPr>
        <w:t>% din PIB)</w:t>
      </w:r>
      <w:r w:rsidRPr="00F362A1">
        <w:rPr>
          <w:rFonts w:ascii="Tahoma" w:hAnsi="Tahoma" w:cs="Tahoma"/>
          <w:sz w:val="24"/>
          <w:szCs w:val="24"/>
        </w:rPr>
        <w:t xml:space="preserve">, au crescut în termeni nominali cu </w:t>
      </w:r>
      <w:r w:rsidR="000C4F84" w:rsidRPr="00F362A1">
        <w:rPr>
          <w:rFonts w:ascii="Tahoma" w:hAnsi="Tahoma" w:cs="Tahoma"/>
          <w:sz w:val="24"/>
          <w:szCs w:val="24"/>
        </w:rPr>
        <w:t>13,6</w:t>
      </w:r>
      <w:r w:rsidRPr="00F362A1">
        <w:rPr>
          <w:rFonts w:ascii="Tahoma" w:hAnsi="Tahoma" w:cs="Tahoma"/>
          <w:sz w:val="24"/>
          <w:szCs w:val="24"/>
        </w:rPr>
        <w:t xml:space="preserve">% față de aceeași perioadă a anului precedent, gradul de realizare al acestora fiind de </w:t>
      </w:r>
      <w:r w:rsidR="000C4F84" w:rsidRPr="00F362A1">
        <w:rPr>
          <w:rFonts w:ascii="Tahoma" w:hAnsi="Tahoma" w:cs="Tahoma"/>
          <w:sz w:val="24"/>
          <w:szCs w:val="24"/>
        </w:rPr>
        <w:t>89</w:t>
      </w:r>
      <w:r w:rsidRPr="00F362A1">
        <w:rPr>
          <w:rFonts w:ascii="Tahoma" w:hAnsi="Tahoma" w:cs="Tahoma"/>
          <w:sz w:val="24"/>
          <w:szCs w:val="24"/>
        </w:rPr>
        <w:t>,6%.</w:t>
      </w:r>
    </w:p>
    <w:p w:rsidR="004D6D76" w:rsidRPr="00F362A1" w:rsidRDefault="004D6D76" w:rsidP="002A6579">
      <w:pPr>
        <w:spacing w:after="360" w:line="276" w:lineRule="auto"/>
        <w:ind w:firstLine="720"/>
        <w:rPr>
          <w:rFonts w:ascii="Tahoma" w:hAnsi="Tahoma" w:cs="Tahoma"/>
          <w:bCs/>
          <w:sz w:val="24"/>
          <w:szCs w:val="24"/>
        </w:rPr>
      </w:pPr>
      <w:r w:rsidRPr="00F362A1">
        <w:rPr>
          <w:rFonts w:ascii="Tahoma" w:hAnsi="Tahoma" w:cs="Tahoma"/>
          <w:bCs/>
          <w:sz w:val="24"/>
          <w:szCs w:val="24"/>
        </w:rPr>
        <w:t xml:space="preserve">Acestea, ca pondere în PIB, au înregistrat o creștere cu </w:t>
      </w:r>
      <w:r w:rsidR="000C4F84" w:rsidRPr="00F362A1">
        <w:rPr>
          <w:rFonts w:ascii="Tahoma" w:hAnsi="Tahoma" w:cs="Tahoma"/>
          <w:bCs/>
          <w:sz w:val="24"/>
          <w:szCs w:val="24"/>
        </w:rPr>
        <w:t>1</w:t>
      </w:r>
      <w:r w:rsidRPr="00F362A1">
        <w:rPr>
          <w:rFonts w:ascii="Tahoma" w:hAnsi="Tahoma" w:cs="Tahoma"/>
          <w:bCs/>
          <w:sz w:val="24"/>
          <w:szCs w:val="24"/>
        </w:rPr>
        <w:t>,8 puncte procentuale de la 15,</w:t>
      </w:r>
      <w:r w:rsidR="000C4F84" w:rsidRPr="00F362A1">
        <w:rPr>
          <w:rFonts w:ascii="Tahoma" w:hAnsi="Tahoma" w:cs="Tahoma"/>
          <w:bCs/>
          <w:sz w:val="24"/>
          <w:szCs w:val="24"/>
        </w:rPr>
        <w:t>9</w:t>
      </w:r>
      <w:r w:rsidRPr="00F362A1">
        <w:rPr>
          <w:rFonts w:ascii="Tahoma" w:hAnsi="Tahoma" w:cs="Tahoma"/>
          <w:bCs/>
          <w:sz w:val="24"/>
          <w:szCs w:val="24"/>
        </w:rPr>
        <w:t>% din PIB în semestrul I 201</w:t>
      </w:r>
      <w:r w:rsidR="000C4F84" w:rsidRPr="00F362A1">
        <w:rPr>
          <w:rFonts w:ascii="Tahoma" w:hAnsi="Tahoma" w:cs="Tahoma"/>
          <w:bCs/>
          <w:sz w:val="24"/>
          <w:szCs w:val="24"/>
        </w:rPr>
        <w:t>9</w:t>
      </w:r>
      <w:r w:rsidRPr="00F362A1">
        <w:rPr>
          <w:rFonts w:ascii="Tahoma" w:hAnsi="Tahoma" w:cs="Tahoma"/>
          <w:bCs/>
          <w:sz w:val="24"/>
          <w:szCs w:val="24"/>
        </w:rPr>
        <w:t xml:space="preserve"> la </w:t>
      </w:r>
      <w:r w:rsidR="000C4F84" w:rsidRPr="00F362A1">
        <w:rPr>
          <w:rFonts w:ascii="Tahoma" w:hAnsi="Tahoma" w:cs="Tahoma"/>
          <w:bCs/>
          <w:sz w:val="24"/>
          <w:szCs w:val="24"/>
        </w:rPr>
        <w:t>17,7</w:t>
      </w:r>
      <w:r w:rsidRPr="00F362A1">
        <w:rPr>
          <w:rFonts w:ascii="Tahoma" w:hAnsi="Tahoma" w:cs="Tahoma"/>
          <w:bCs/>
          <w:sz w:val="24"/>
          <w:szCs w:val="24"/>
        </w:rPr>
        <w:t>% din PIB în semestrul I 20</w:t>
      </w:r>
      <w:r w:rsidR="000C4F84" w:rsidRPr="00F362A1">
        <w:rPr>
          <w:rFonts w:ascii="Tahoma" w:hAnsi="Tahoma" w:cs="Tahoma"/>
          <w:bCs/>
          <w:sz w:val="24"/>
          <w:szCs w:val="24"/>
        </w:rPr>
        <w:t>20</w:t>
      </w:r>
      <w:r w:rsidRPr="00F362A1">
        <w:rPr>
          <w:rFonts w:ascii="Tahoma" w:hAnsi="Tahoma" w:cs="Tahoma"/>
          <w:bCs/>
          <w:sz w:val="24"/>
          <w:szCs w:val="24"/>
        </w:rPr>
        <w:t>.</w:t>
      </w:r>
    </w:p>
    <w:p w:rsidR="001B5B69" w:rsidRPr="00F362A1" w:rsidRDefault="001B5B69" w:rsidP="002A6579">
      <w:pPr>
        <w:spacing w:after="240" w:line="276" w:lineRule="auto"/>
        <w:ind w:firstLine="0"/>
        <w:rPr>
          <w:rFonts w:ascii="Tahoma" w:hAnsi="Tahoma" w:cs="Tahoma"/>
          <w:bCs/>
          <w:sz w:val="24"/>
          <w:szCs w:val="24"/>
        </w:rPr>
      </w:pPr>
      <w:r w:rsidRPr="00F362A1">
        <w:rPr>
          <w:rFonts w:ascii="Tahoma" w:hAnsi="Tahoma" w:cs="Tahoma"/>
          <w:bCs/>
          <w:noProof/>
          <w:sz w:val="24"/>
          <w:szCs w:val="24"/>
        </w:rPr>
        <w:drawing>
          <wp:inline distT="0" distB="0" distL="0" distR="0">
            <wp:extent cx="5801428" cy="310551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848" cy="3130894"/>
                    </a:xfrm>
                    <a:prstGeom prst="rect">
                      <a:avLst/>
                    </a:prstGeom>
                    <a:noFill/>
                  </pic:spPr>
                </pic:pic>
              </a:graphicData>
            </a:graphic>
          </wp:inline>
        </w:drawing>
      </w:r>
    </w:p>
    <w:p w:rsidR="003862B4" w:rsidRPr="00F362A1" w:rsidRDefault="003862B4" w:rsidP="002A6579">
      <w:pPr>
        <w:spacing w:before="240" w:after="240" w:line="276" w:lineRule="auto"/>
        <w:ind w:firstLine="720"/>
        <w:rPr>
          <w:rFonts w:ascii="Tahoma" w:hAnsi="Tahoma" w:cs="Tahoma"/>
          <w:bCs/>
          <w:sz w:val="24"/>
          <w:szCs w:val="24"/>
        </w:rPr>
      </w:pPr>
      <w:r w:rsidRPr="00F362A1">
        <w:rPr>
          <w:rFonts w:ascii="Tahoma" w:hAnsi="Tahoma" w:cs="Tahoma"/>
          <w:bCs/>
          <w:sz w:val="24"/>
          <w:szCs w:val="24"/>
        </w:rPr>
        <w:t>Majorarea cheltuielilor bugetului general consolidat se datorează și măsurilor care au fost avute în vedere pentru combaterea epidemiei de COVID-19, respectiv a sumelor necesare finanțării în regim de urgență a cheltuielilor de gestionare a situației epidemiologice cauzate de răspândirea coronavirusului SARS-CoV-2, pe de o parte, precum și a măsurilor cu caracter excepțional, în domeniul social și economic, pentru diminuarea efectelor negative asupra economiei cauzate de măsurile adoptate pentru limitarea infectării în rândul populației. Astfel, până la finele lunii iunie s-au plătit 3.692,2 mil lei pentru indemnizații acordate pe perioada suspendării temporare a contractului individual de muncă din inițiativa angajatorului, 743,99 mil lei pentru indemnizații acordate pentru alți profesioniștii, precum și pentru persoanele care au încheiate convenții individuale de muncă care întrerup activitatea ca urmare a efectelor SARS-CoV-2, 36,2 mil lei pentru indemnizații acordate părinților pentru supravegherea copiilor pe perioada închiderii temporare a unităților de învățământ.</w:t>
      </w:r>
    </w:p>
    <w:p w:rsidR="0044034D" w:rsidRPr="00F362A1" w:rsidRDefault="001B5B69" w:rsidP="002A6579">
      <w:pPr>
        <w:spacing w:line="276" w:lineRule="auto"/>
        <w:ind w:right="-57" w:firstLine="0"/>
        <w:rPr>
          <w:rFonts w:ascii="Tahoma" w:hAnsi="Tahoma" w:cs="Tahoma"/>
          <w:bCs/>
          <w:sz w:val="24"/>
          <w:szCs w:val="24"/>
        </w:rPr>
      </w:pPr>
      <w:r w:rsidRPr="00F362A1">
        <w:rPr>
          <w:rFonts w:ascii="Tahoma" w:hAnsi="Tahoma" w:cs="Tahoma"/>
          <w:bCs/>
          <w:noProof/>
          <w:sz w:val="24"/>
          <w:szCs w:val="24"/>
        </w:rPr>
        <w:lastRenderedPageBreak/>
        <w:drawing>
          <wp:inline distT="0" distB="0" distL="0" distR="0">
            <wp:extent cx="6120765" cy="30710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7260" cy="3084298"/>
                    </a:xfrm>
                    <a:prstGeom prst="rect">
                      <a:avLst/>
                    </a:prstGeom>
                    <a:noFill/>
                  </pic:spPr>
                </pic:pic>
              </a:graphicData>
            </a:graphic>
          </wp:inline>
        </w:drawing>
      </w:r>
    </w:p>
    <w:p w:rsidR="004D6D76" w:rsidRPr="00F362A1" w:rsidRDefault="004D6D76" w:rsidP="002A6579">
      <w:pPr>
        <w:spacing w:before="240" w:line="276" w:lineRule="auto"/>
        <w:ind w:firstLine="720"/>
        <w:rPr>
          <w:rFonts w:ascii="Tahoma" w:hAnsi="Tahoma" w:cs="Tahoma"/>
          <w:bCs/>
          <w:sz w:val="24"/>
          <w:szCs w:val="24"/>
        </w:rPr>
      </w:pPr>
      <w:r w:rsidRPr="00F362A1">
        <w:rPr>
          <w:rFonts w:ascii="Tahoma" w:hAnsi="Tahoma" w:cs="Tahoma"/>
          <w:b/>
          <w:sz w:val="24"/>
          <w:szCs w:val="24"/>
        </w:rPr>
        <w:t>Cheltuielile de personal</w:t>
      </w:r>
      <w:r w:rsidRPr="00F362A1">
        <w:rPr>
          <w:rFonts w:ascii="Tahoma" w:hAnsi="Tahoma" w:cs="Tahoma"/>
          <w:bCs/>
          <w:sz w:val="24"/>
          <w:szCs w:val="24"/>
        </w:rPr>
        <w:t xml:space="preserve"> au fost în sumă de </w:t>
      </w:r>
      <w:r w:rsidR="000C4F84" w:rsidRPr="00F362A1">
        <w:rPr>
          <w:rFonts w:ascii="Tahoma" w:hAnsi="Tahoma" w:cs="Tahoma"/>
          <w:bCs/>
          <w:sz w:val="24"/>
          <w:szCs w:val="24"/>
        </w:rPr>
        <w:t>53.304,8</w:t>
      </w:r>
      <w:r w:rsidRPr="00F362A1">
        <w:rPr>
          <w:rFonts w:ascii="Tahoma" w:hAnsi="Tahoma" w:cs="Tahoma"/>
          <w:bCs/>
          <w:sz w:val="24"/>
          <w:szCs w:val="24"/>
        </w:rPr>
        <w:t xml:space="preserve"> milioane lei în creștere cu </w:t>
      </w:r>
      <w:r w:rsidR="000C4F84" w:rsidRPr="00F362A1">
        <w:rPr>
          <w:rFonts w:ascii="Tahoma" w:hAnsi="Tahoma" w:cs="Tahoma"/>
          <w:bCs/>
          <w:sz w:val="24"/>
          <w:szCs w:val="24"/>
        </w:rPr>
        <w:t>4,5</w:t>
      </w:r>
      <w:r w:rsidRPr="00F362A1">
        <w:rPr>
          <w:rFonts w:ascii="Tahoma" w:hAnsi="Tahoma" w:cs="Tahoma"/>
          <w:bCs/>
          <w:sz w:val="24"/>
          <w:szCs w:val="24"/>
        </w:rPr>
        <w:t>% comparativ cu semestru I 201</w:t>
      </w:r>
      <w:r w:rsidR="000C4F84" w:rsidRPr="00F362A1">
        <w:rPr>
          <w:rFonts w:ascii="Tahoma" w:hAnsi="Tahoma" w:cs="Tahoma"/>
          <w:bCs/>
          <w:sz w:val="24"/>
          <w:szCs w:val="24"/>
        </w:rPr>
        <w:t>9</w:t>
      </w:r>
      <w:r w:rsidRPr="00F362A1">
        <w:rPr>
          <w:rFonts w:ascii="Tahoma" w:hAnsi="Tahoma" w:cs="Tahoma"/>
          <w:bCs/>
          <w:sz w:val="24"/>
          <w:szCs w:val="24"/>
        </w:rPr>
        <w:t xml:space="preserve">, fiind realizate în proporție de </w:t>
      </w:r>
      <w:r w:rsidR="000C4F84" w:rsidRPr="00F362A1">
        <w:rPr>
          <w:rFonts w:ascii="Tahoma" w:hAnsi="Tahoma" w:cs="Tahoma"/>
          <w:bCs/>
          <w:sz w:val="24"/>
          <w:szCs w:val="24"/>
        </w:rPr>
        <w:t>95,2</w:t>
      </w:r>
      <w:r w:rsidRPr="00F362A1">
        <w:rPr>
          <w:rFonts w:ascii="Tahoma" w:hAnsi="Tahoma" w:cs="Tahoma"/>
          <w:bCs/>
          <w:sz w:val="24"/>
          <w:szCs w:val="24"/>
        </w:rPr>
        <w:t xml:space="preserve">%. </w:t>
      </w:r>
    </w:p>
    <w:p w:rsidR="004D6D76" w:rsidRPr="00F362A1" w:rsidRDefault="004D6D76" w:rsidP="002A6579">
      <w:pPr>
        <w:spacing w:line="276" w:lineRule="auto"/>
        <w:ind w:firstLine="720"/>
        <w:rPr>
          <w:rFonts w:ascii="Tahoma" w:hAnsi="Tahoma" w:cs="Tahoma"/>
          <w:bCs/>
          <w:sz w:val="24"/>
          <w:szCs w:val="24"/>
        </w:rPr>
      </w:pPr>
      <w:r w:rsidRPr="00F362A1">
        <w:rPr>
          <w:rFonts w:ascii="Tahoma" w:hAnsi="Tahoma" w:cs="Tahoma"/>
          <w:bCs/>
          <w:sz w:val="24"/>
          <w:szCs w:val="24"/>
        </w:rPr>
        <w:t>Cheltuielile de personal, ca procent în PIB, au crescut cu 0,</w:t>
      </w:r>
      <w:r w:rsidR="000C4F84" w:rsidRPr="00F362A1">
        <w:rPr>
          <w:rFonts w:ascii="Tahoma" w:hAnsi="Tahoma" w:cs="Tahoma"/>
          <w:bCs/>
          <w:sz w:val="24"/>
          <w:szCs w:val="24"/>
        </w:rPr>
        <w:t>1</w:t>
      </w:r>
      <w:r w:rsidR="00F64F4D" w:rsidRPr="00F362A1">
        <w:rPr>
          <w:rFonts w:ascii="Tahoma" w:hAnsi="Tahoma" w:cs="Tahoma"/>
          <w:bCs/>
          <w:sz w:val="24"/>
          <w:szCs w:val="24"/>
        </w:rPr>
        <w:t xml:space="preserve"> </w:t>
      </w:r>
      <w:r w:rsidRPr="00F362A1">
        <w:rPr>
          <w:rFonts w:ascii="Tahoma" w:hAnsi="Tahoma" w:cs="Tahoma"/>
          <w:bCs/>
          <w:sz w:val="24"/>
          <w:szCs w:val="24"/>
        </w:rPr>
        <w:t>puncte procentuale de la 4,</w:t>
      </w:r>
      <w:r w:rsidR="000C4F84" w:rsidRPr="00F362A1">
        <w:rPr>
          <w:rFonts w:ascii="Tahoma" w:hAnsi="Tahoma" w:cs="Tahoma"/>
          <w:bCs/>
          <w:sz w:val="24"/>
          <w:szCs w:val="24"/>
        </w:rPr>
        <w:t>8</w:t>
      </w:r>
      <w:r w:rsidRPr="00F362A1">
        <w:rPr>
          <w:rFonts w:ascii="Tahoma" w:hAnsi="Tahoma" w:cs="Tahoma"/>
          <w:bCs/>
          <w:sz w:val="24"/>
          <w:szCs w:val="24"/>
        </w:rPr>
        <w:t>% din PIB cât au fost în semestrul I 201</w:t>
      </w:r>
      <w:r w:rsidR="000C4F84" w:rsidRPr="00F362A1">
        <w:rPr>
          <w:rFonts w:ascii="Tahoma" w:hAnsi="Tahoma" w:cs="Tahoma"/>
          <w:bCs/>
          <w:sz w:val="24"/>
          <w:szCs w:val="24"/>
        </w:rPr>
        <w:t>9</w:t>
      </w:r>
      <w:r w:rsidRPr="00F362A1">
        <w:rPr>
          <w:rFonts w:ascii="Tahoma" w:hAnsi="Tahoma" w:cs="Tahoma"/>
          <w:bCs/>
          <w:sz w:val="24"/>
          <w:szCs w:val="24"/>
        </w:rPr>
        <w:t xml:space="preserve"> la 4,9 % din PIB în semestrul I 20</w:t>
      </w:r>
      <w:r w:rsidR="000C4F84" w:rsidRPr="00F362A1">
        <w:rPr>
          <w:rFonts w:ascii="Tahoma" w:hAnsi="Tahoma" w:cs="Tahoma"/>
          <w:bCs/>
          <w:sz w:val="24"/>
          <w:szCs w:val="24"/>
        </w:rPr>
        <w:t>20</w:t>
      </w:r>
      <w:r w:rsidRPr="00F362A1">
        <w:rPr>
          <w:rFonts w:ascii="Tahoma" w:hAnsi="Tahoma" w:cs="Tahoma"/>
          <w:bCs/>
          <w:sz w:val="24"/>
          <w:szCs w:val="24"/>
        </w:rPr>
        <w:t>.</w:t>
      </w:r>
    </w:p>
    <w:p w:rsidR="002A5037" w:rsidRPr="00F362A1" w:rsidRDefault="004D6D76" w:rsidP="002A6579">
      <w:pPr>
        <w:spacing w:after="240" w:line="276" w:lineRule="auto"/>
        <w:ind w:right="-58" w:firstLine="720"/>
        <w:rPr>
          <w:rFonts w:ascii="Tahoma" w:hAnsi="Tahoma" w:cs="Tahoma"/>
          <w:bCs/>
          <w:sz w:val="24"/>
          <w:szCs w:val="24"/>
        </w:rPr>
      </w:pPr>
      <w:r w:rsidRPr="00F362A1">
        <w:rPr>
          <w:rFonts w:ascii="Tahoma" w:hAnsi="Tahoma" w:cs="Tahoma"/>
          <w:bCs/>
          <w:sz w:val="24"/>
          <w:szCs w:val="24"/>
        </w:rPr>
        <w:t>Creșterea cheltuielilor de personal comparativ cu semestrul I 20</w:t>
      </w:r>
      <w:r w:rsidR="0055033A" w:rsidRPr="00F362A1">
        <w:rPr>
          <w:rFonts w:ascii="Tahoma" w:hAnsi="Tahoma" w:cs="Tahoma"/>
          <w:bCs/>
          <w:sz w:val="24"/>
          <w:szCs w:val="24"/>
        </w:rPr>
        <w:t>19</w:t>
      </w:r>
      <w:r w:rsidRPr="00F362A1">
        <w:rPr>
          <w:rFonts w:ascii="Tahoma" w:hAnsi="Tahoma" w:cs="Tahoma"/>
          <w:bCs/>
          <w:sz w:val="24"/>
          <w:szCs w:val="24"/>
        </w:rPr>
        <w:t xml:space="preserve"> a fost determinată de majorarea salariilor în sectorul bugetar ca urmare a aplicării Legii cadru nr.153/2017, privind salarizarea personalului plătit din fonduri publice, precum și creșterea salariul de bază minim brut pe țară garantat în plată</w:t>
      </w:r>
      <w:r w:rsidR="00B64F48" w:rsidRPr="00F362A1">
        <w:rPr>
          <w:rFonts w:ascii="Tahoma" w:hAnsi="Tahoma" w:cs="Tahoma"/>
          <w:bCs/>
          <w:sz w:val="24"/>
          <w:szCs w:val="24"/>
        </w:rPr>
        <w:t>,</w:t>
      </w:r>
      <w:r w:rsidR="00F64F4D" w:rsidRPr="00F362A1">
        <w:rPr>
          <w:rFonts w:ascii="Tahoma" w:hAnsi="Tahoma" w:cs="Tahoma"/>
          <w:bCs/>
          <w:sz w:val="24"/>
          <w:szCs w:val="24"/>
        </w:rPr>
        <w:t xml:space="preserve"> precum ș</w:t>
      </w:r>
      <w:r w:rsidR="00B64F48" w:rsidRPr="00F362A1">
        <w:rPr>
          <w:rFonts w:ascii="Tahoma" w:hAnsi="Tahoma" w:cs="Tahoma"/>
          <w:bCs/>
          <w:sz w:val="24"/>
          <w:szCs w:val="24"/>
        </w:rPr>
        <w:t>i de acordarea u</w:t>
      </w:r>
      <w:r w:rsidR="00247A3D" w:rsidRPr="00F362A1">
        <w:rPr>
          <w:rFonts w:ascii="Tahoma" w:hAnsi="Tahoma" w:cs="Tahoma"/>
          <w:bCs/>
          <w:sz w:val="24"/>
          <w:szCs w:val="24"/>
        </w:rPr>
        <w:t>nor stimulente salariale pentru</w:t>
      </w:r>
      <w:r w:rsidR="00D523DD" w:rsidRPr="00F362A1">
        <w:rPr>
          <w:rFonts w:ascii="Tahoma" w:hAnsi="Tahoma" w:cs="Tahoma"/>
          <w:bCs/>
          <w:sz w:val="24"/>
          <w:szCs w:val="24"/>
        </w:rPr>
        <w:t xml:space="preserve"> medici, personalul medico-sanitar, personalul paramedical, inclusiv personalului auxiliar, implicat direct in transportul, echiparea, evaluarea, diagnosticarea și tratamentul </w:t>
      </w:r>
      <w:r w:rsidR="00247A3D" w:rsidRPr="00F362A1">
        <w:rPr>
          <w:rFonts w:ascii="Tahoma" w:hAnsi="Tahoma" w:cs="Tahoma"/>
          <w:bCs/>
          <w:sz w:val="24"/>
          <w:szCs w:val="24"/>
        </w:rPr>
        <w:t>pacienților</w:t>
      </w:r>
      <w:r w:rsidR="00F64F4D" w:rsidRPr="00F362A1">
        <w:rPr>
          <w:rFonts w:ascii="Tahoma" w:hAnsi="Tahoma" w:cs="Tahoma"/>
          <w:bCs/>
          <w:sz w:val="24"/>
          <w:szCs w:val="24"/>
        </w:rPr>
        <w:t xml:space="preserve"> </w:t>
      </w:r>
      <w:r w:rsidR="00247A3D" w:rsidRPr="00F362A1">
        <w:rPr>
          <w:rFonts w:ascii="Tahoma" w:hAnsi="Tahoma" w:cs="Tahoma"/>
          <w:bCs/>
          <w:sz w:val="24"/>
          <w:szCs w:val="24"/>
        </w:rPr>
        <w:t>infectați</w:t>
      </w:r>
      <w:r w:rsidR="00D523DD" w:rsidRPr="00F362A1">
        <w:rPr>
          <w:rFonts w:ascii="Tahoma" w:hAnsi="Tahoma" w:cs="Tahoma"/>
          <w:bCs/>
          <w:sz w:val="24"/>
          <w:szCs w:val="24"/>
        </w:rPr>
        <w:t xml:space="preserve"> cu COVID-19</w:t>
      </w:r>
      <w:r w:rsidR="002A5037" w:rsidRPr="00F362A1">
        <w:rPr>
          <w:rFonts w:ascii="Tahoma" w:hAnsi="Tahoma" w:cs="Tahoma"/>
          <w:bCs/>
          <w:sz w:val="24"/>
          <w:szCs w:val="24"/>
        </w:rPr>
        <w:t>.</w:t>
      </w:r>
    </w:p>
    <w:p w:rsidR="004D5C98" w:rsidRPr="00F362A1" w:rsidRDefault="004D6D76" w:rsidP="002A6579">
      <w:pPr>
        <w:spacing w:line="276" w:lineRule="auto"/>
        <w:ind w:right="-57" w:firstLine="720"/>
        <w:rPr>
          <w:rFonts w:ascii="Tahoma" w:hAnsi="Tahoma" w:cs="Tahoma"/>
          <w:bCs/>
          <w:sz w:val="24"/>
          <w:szCs w:val="24"/>
        </w:rPr>
      </w:pPr>
      <w:r w:rsidRPr="00F362A1">
        <w:rPr>
          <w:rFonts w:ascii="Tahoma" w:hAnsi="Tahoma" w:cs="Tahoma"/>
          <w:b/>
          <w:bCs/>
          <w:sz w:val="24"/>
          <w:szCs w:val="24"/>
        </w:rPr>
        <w:t xml:space="preserve">Cheltuielile cu bunuri </w:t>
      </w:r>
      <w:r w:rsidR="00247A3D" w:rsidRPr="00F362A1">
        <w:rPr>
          <w:rFonts w:ascii="Tahoma" w:hAnsi="Tahoma" w:cs="Tahoma"/>
          <w:b/>
          <w:bCs/>
          <w:sz w:val="24"/>
          <w:szCs w:val="24"/>
        </w:rPr>
        <w:t>și</w:t>
      </w:r>
      <w:r w:rsidRPr="00F362A1">
        <w:rPr>
          <w:rFonts w:ascii="Tahoma" w:hAnsi="Tahoma" w:cs="Tahoma"/>
          <w:b/>
          <w:bCs/>
          <w:sz w:val="24"/>
          <w:szCs w:val="24"/>
        </w:rPr>
        <w:t xml:space="preserve"> servicii </w:t>
      </w:r>
      <w:r w:rsidRPr="00F362A1">
        <w:rPr>
          <w:rFonts w:ascii="Tahoma" w:hAnsi="Tahoma" w:cs="Tahoma"/>
          <w:bCs/>
          <w:sz w:val="24"/>
          <w:szCs w:val="24"/>
        </w:rPr>
        <w:t xml:space="preserve">au totalizat </w:t>
      </w:r>
      <w:r w:rsidR="004D5C98" w:rsidRPr="00F362A1">
        <w:rPr>
          <w:rFonts w:ascii="Tahoma" w:hAnsi="Tahoma" w:cs="Tahoma"/>
          <w:bCs/>
          <w:sz w:val="24"/>
          <w:szCs w:val="24"/>
        </w:rPr>
        <w:t>25.363,8</w:t>
      </w:r>
      <w:r w:rsidRPr="00F362A1">
        <w:rPr>
          <w:rFonts w:ascii="Tahoma" w:hAnsi="Tahoma" w:cs="Tahoma"/>
          <w:bCs/>
          <w:sz w:val="24"/>
          <w:szCs w:val="24"/>
        </w:rPr>
        <w:t xml:space="preserve"> milioane lei în creștere cu </w:t>
      </w:r>
      <w:r w:rsidR="004D5C98" w:rsidRPr="00F362A1">
        <w:rPr>
          <w:rFonts w:ascii="Tahoma" w:hAnsi="Tahoma" w:cs="Tahoma"/>
          <w:bCs/>
          <w:sz w:val="24"/>
          <w:szCs w:val="24"/>
        </w:rPr>
        <w:t>16,0</w:t>
      </w:r>
      <w:r w:rsidRPr="00F362A1">
        <w:rPr>
          <w:rFonts w:ascii="Tahoma" w:hAnsi="Tahoma" w:cs="Tahoma"/>
          <w:bCs/>
          <w:sz w:val="24"/>
          <w:szCs w:val="24"/>
        </w:rPr>
        <w:t xml:space="preserve">% față de aceeași perioadă a anului precedent </w:t>
      </w:r>
      <w:r w:rsidR="00247A3D" w:rsidRPr="00F362A1">
        <w:rPr>
          <w:rFonts w:ascii="Tahoma" w:hAnsi="Tahoma" w:cs="Tahoma"/>
          <w:bCs/>
          <w:sz w:val="24"/>
          <w:szCs w:val="24"/>
        </w:rPr>
        <w:t>și</w:t>
      </w:r>
      <w:r w:rsidRPr="00F362A1">
        <w:rPr>
          <w:rFonts w:ascii="Tahoma" w:hAnsi="Tahoma" w:cs="Tahoma"/>
          <w:bCs/>
          <w:sz w:val="24"/>
          <w:szCs w:val="24"/>
        </w:rPr>
        <w:t xml:space="preserve"> s-au realizat în proporție de </w:t>
      </w:r>
      <w:r w:rsidR="004D5C98" w:rsidRPr="00F362A1">
        <w:rPr>
          <w:rFonts w:ascii="Tahoma" w:hAnsi="Tahoma" w:cs="Tahoma"/>
          <w:bCs/>
          <w:sz w:val="24"/>
          <w:szCs w:val="24"/>
        </w:rPr>
        <w:t>92,6</w:t>
      </w:r>
      <w:r w:rsidRPr="00F362A1">
        <w:rPr>
          <w:rFonts w:ascii="Tahoma" w:hAnsi="Tahoma" w:cs="Tahoma"/>
          <w:bCs/>
          <w:sz w:val="24"/>
          <w:szCs w:val="24"/>
        </w:rPr>
        <w:t>%.</w:t>
      </w:r>
    </w:p>
    <w:p w:rsidR="004D5C98" w:rsidRPr="00F362A1" w:rsidRDefault="004D5C98" w:rsidP="002A6579">
      <w:pPr>
        <w:spacing w:line="276" w:lineRule="auto"/>
        <w:ind w:right="-57" w:firstLine="720"/>
        <w:rPr>
          <w:rFonts w:ascii="Tahoma" w:hAnsi="Tahoma" w:cs="Tahoma"/>
          <w:bCs/>
          <w:sz w:val="24"/>
          <w:szCs w:val="24"/>
        </w:rPr>
      </w:pPr>
      <w:r w:rsidRPr="00F362A1">
        <w:rPr>
          <w:rFonts w:ascii="Tahoma" w:hAnsi="Tahoma" w:cs="Tahoma"/>
          <w:bCs/>
          <w:sz w:val="24"/>
          <w:szCs w:val="24"/>
        </w:rPr>
        <w:t xml:space="preserve">Evoluția cheltuielilor cu bunuri și servicii s-a datorat în principal creșterii înregistrate la nivelul administrației locale (+16,1%) și la instituțiile publice finanțate integral sau parțial din venituri proprii (+12,6%), determinate în special de plăți suplimentare pentru medicamente, materiale sanitare, reactivi și alte produse necesare diagnosticării și tratării pacienților infectați cu coronavirusul SARS-CoV-2. </w:t>
      </w:r>
    </w:p>
    <w:p w:rsidR="004D5C98" w:rsidRPr="00F362A1" w:rsidRDefault="004D5C98" w:rsidP="002A6579">
      <w:pPr>
        <w:spacing w:after="240" w:line="276" w:lineRule="auto"/>
        <w:ind w:right="-58" w:firstLine="720"/>
        <w:rPr>
          <w:rFonts w:ascii="Tahoma" w:hAnsi="Tahoma" w:cs="Tahoma"/>
          <w:bCs/>
          <w:sz w:val="24"/>
          <w:szCs w:val="24"/>
        </w:rPr>
      </w:pPr>
      <w:r w:rsidRPr="00F362A1">
        <w:rPr>
          <w:rFonts w:ascii="Tahoma" w:hAnsi="Tahoma" w:cs="Tahoma"/>
          <w:bCs/>
          <w:sz w:val="24"/>
          <w:szCs w:val="24"/>
        </w:rPr>
        <w:t>De asemenea, o creștere importantă a cheltuielilor se reflectă și în cazul bugetului Fondului național unic de asigurări sociale de sănătate (+13,6%) determinată de deconturile mai mari pentru plata medicamentelor care fac obiectul contractelor cost-volum rezultat și pentru decontarea serviciilor medicale în ambulatoriu.</w:t>
      </w:r>
    </w:p>
    <w:p w:rsidR="004D6D76" w:rsidRPr="00F362A1" w:rsidRDefault="004D6D76" w:rsidP="002A6579">
      <w:pPr>
        <w:spacing w:line="276" w:lineRule="auto"/>
        <w:ind w:right="-57" w:firstLine="720"/>
        <w:rPr>
          <w:rFonts w:ascii="Tahoma" w:hAnsi="Tahoma" w:cs="Tahoma"/>
          <w:bCs/>
          <w:sz w:val="24"/>
          <w:szCs w:val="24"/>
        </w:rPr>
      </w:pPr>
      <w:r w:rsidRPr="00F362A1">
        <w:rPr>
          <w:rFonts w:ascii="Tahoma" w:hAnsi="Tahoma" w:cs="Tahoma"/>
          <w:b/>
          <w:sz w:val="24"/>
          <w:szCs w:val="24"/>
        </w:rPr>
        <w:lastRenderedPageBreak/>
        <w:t>Cheltui</w:t>
      </w:r>
      <w:r w:rsidRPr="00F362A1">
        <w:rPr>
          <w:rFonts w:ascii="Tahoma" w:hAnsi="Tahoma" w:cs="Tahoma"/>
          <w:b/>
          <w:bCs/>
          <w:sz w:val="24"/>
          <w:szCs w:val="24"/>
        </w:rPr>
        <w:t xml:space="preserve">elile cu dobânzile </w:t>
      </w:r>
      <w:r w:rsidRPr="00F362A1">
        <w:rPr>
          <w:rFonts w:ascii="Tahoma" w:hAnsi="Tahoma" w:cs="Tahoma"/>
          <w:sz w:val="24"/>
          <w:szCs w:val="24"/>
        </w:rPr>
        <w:t xml:space="preserve">au înregistrat o creștere </w:t>
      </w:r>
      <w:r w:rsidRPr="00F362A1">
        <w:rPr>
          <w:rFonts w:ascii="Tahoma" w:hAnsi="Tahoma" w:cs="Tahoma"/>
          <w:bCs/>
          <w:sz w:val="24"/>
          <w:szCs w:val="24"/>
        </w:rPr>
        <w:t xml:space="preserve">cu </w:t>
      </w:r>
      <w:r w:rsidR="001B5DB9" w:rsidRPr="00F362A1">
        <w:rPr>
          <w:rFonts w:ascii="Tahoma" w:hAnsi="Tahoma" w:cs="Tahoma"/>
          <w:bCs/>
          <w:sz w:val="24"/>
          <w:szCs w:val="24"/>
        </w:rPr>
        <w:t>7,1</w:t>
      </w:r>
      <w:r w:rsidRPr="00F362A1">
        <w:rPr>
          <w:rFonts w:ascii="Tahoma" w:hAnsi="Tahoma" w:cs="Tahoma"/>
          <w:bCs/>
          <w:sz w:val="24"/>
          <w:szCs w:val="24"/>
        </w:rPr>
        <w:t>% comparativ cu primul semestru al anului 201</w:t>
      </w:r>
      <w:r w:rsidR="001B5DB9" w:rsidRPr="00F362A1">
        <w:rPr>
          <w:rFonts w:ascii="Tahoma" w:hAnsi="Tahoma" w:cs="Tahoma"/>
          <w:bCs/>
          <w:sz w:val="24"/>
          <w:szCs w:val="24"/>
        </w:rPr>
        <w:t>9</w:t>
      </w:r>
      <w:r w:rsidRPr="00F362A1">
        <w:rPr>
          <w:rFonts w:ascii="Tahoma" w:hAnsi="Tahoma" w:cs="Tahoma"/>
          <w:bCs/>
          <w:sz w:val="24"/>
          <w:szCs w:val="24"/>
        </w:rPr>
        <w:t>, gradul de realizare pe semestrul I 20</w:t>
      </w:r>
      <w:r w:rsidR="001B5DB9" w:rsidRPr="00F362A1">
        <w:rPr>
          <w:rFonts w:ascii="Tahoma" w:hAnsi="Tahoma" w:cs="Tahoma"/>
          <w:bCs/>
          <w:sz w:val="24"/>
          <w:szCs w:val="24"/>
        </w:rPr>
        <w:t>20</w:t>
      </w:r>
      <w:r w:rsidRPr="00F362A1">
        <w:rPr>
          <w:rFonts w:ascii="Tahoma" w:hAnsi="Tahoma" w:cs="Tahoma"/>
          <w:bCs/>
          <w:sz w:val="24"/>
          <w:szCs w:val="24"/>
        </w:rPr>
        <w:t xml:space="preserve"> fiind de </w:t>
      </w:r>
      <w:r w:rsidR="001B5DB9" w:rsidRPr="00F362A1">
        <w:rPr>
          <w:rFonts w:ascii="Tahoma" w:hAnsi="Tahoma" w:cs="Tahoma"/>
          <w:bCs/>
          <w:sz w:val="24"/>
          <w:szCs w:val="24"/>
        </w:rPr>
        <w:t>90,7</w:t>
      </w:r>
      <w:r w:rsidRPr="00F362A1">
        <w:rPr>
          <w:rFonts w:ascii="Tahoma" w:hAnsi="Tahoma" w:cs="Tahoma"/>
          <w:bCs/>
          <w:sz w:val="24"/>
          <w:szCs w:val="24"/>
        </w:rPr>
        <w:t>%.</w:t>
      </w:r>
    </w:p>
    <w:p w:rsidR="004D6D76" w:rsidRPr="00F362A1" w:rsidRDefault="004D6D76" w:rsidP="002A6579">
      <w:pPr>
        <w:keepNext/>
        <w:keepLines/>
        <w:spacing w:after="240" w:line="276" w:lineRule="auto"/>
        <w:ind w:firstLine="677"/>
        <w:rPr>
          <w:rFonts w:ascii="Tahoma" w:hAnsi="Tahoma" w:cs="Tahoma"/>
          <w:bCs/>
          <w:sz w:val="24"/>
          <w:szCs w:val="24"/>
        </w:rPr>
      </w:pPr>
      <w:r w:rsidRPr="00F362A1">
        <w:rPr>
          <w:rFonts w:ascii="Tahoma" w:hAnsi="Tahoma" w:cs="Tahoma"/>
          <w:b/>
          <w:bCs/>
          <w:sz w:val="24"/>
          <w:szCs w:val="24"/>
        </w:rPr>
        <w:t xml:space="preserve">Cheltuielile cu subvențiile </w:t>
      </w:r>
      <w:r w:rsidRPr="00F362A1">
        <w:rPr>
          <w:rFonts w:ascii="Tahoma" w:hAnsi="Tahoma" w:cs="Tahoma"/>
          <w:bCs/>
          <w:sz w:val="24"/>
          <w:szCs w:val="24"/>
        </w:rPr>
        <w:t>au însumat 3.</w:t>
      </w:r>
      <w:r w:rsidR="001B5DB9" w:rsidRPr="00F362A1">
        <w:rPr>
          <w:rFonts w:ascii="Tahoma" w:hAnsi="Tahoma" w:cs="Tahoma"/>
          <w:bCs/>
          <w:sz w:val="24"/>
          <w:szCs w:val="24"/>
        </w:rPr>
        <w:t>876,3</w:t>
      </w:r>
      <w:r w:rsidRPr="00F362A1">
        <w:rPr>
          <w:rFonts w:ascii="Tahoma" w:hAnsi="Tahoma" w:cs="Tahoma"/>
          <w:bCs/>
          <w:sz w:val="24"/>
          <w:szCs w:val="24"/>
        </w:rPr>
        <w:t xml:space="preserve"> milioane lei (0,4% din PIB) cu </w:t>
      </w:r>
      <w:r w:rsidR="001B5DB9" w:rsidRPr="00F362A1">
        <w:rPr>
          <w:rFonts w:ascii="Tahoma" w:hAnsi="Tahoma" w:cs="Tahoma"/>
          <w:bCs/>
          <w:sz w:val="24"/>
          <w:szCs w:val="24"/>
        </w:rPr>
        <w:t>0,</w:t>
      </w:r>
      <w:r w:rsidRPr="00F362A1">
        <w:rPr>
          <w:rFonts w:ascii="Tahoma" w:hAnsi="Tahoma" w:cs="Tahoma"/>
          <w:bCs/>
          <w:sz w:val="24"/>
          <w:szCs w:val="24"/>
        </w:rPr>
        <w:t xml:space="preserve">8% mai mari comparativ cu aceeași perioadă a anului anterior, gradul de realizare fiind de </w:t>
      </w:r>
      <w:r w:rsidR="001B5DB9" w:rsidRPr="00F362A1">
        <w:rPr>
          <w:rFonts w:ascii="Tahoma" w:hAnsi="Tahoma" w:cs="Tahoma"/>
          <w:bCs/>
          <w:sz w:val="24"/>
          <w:szCs w:val="24"/>
        </w:rPr>
        <w:t>84,6</w:t>
      </w:r>
      <w:r w:rsidRPr="00F362A1">
        <w:rPr>
          <w:rFonts w:ascii="Tahoma" w:hAnsi="Tahoma" w:cs="Tahoma"/>
          <w:bCs/>
          <w:sz w:val="24"/>
          <w:szCs w:val="24"/>
        </w:rPr>
        <w:t>%.</w:t>
      </w:r>
      <w:r w:rsidR="001B5DB9" w:rsidRPr="00F362A1">
        <w:rPr>
          <w:rFonts w:ascii="Tahoma" w:hAnsi="Tahoma" w:cs="Tahoma"/>
          <w:sz w:val="24"/>
          <w:szCs w:val="24"/>
        </w:rPr>
        <w:t xml:space="preserve"> C</w:t>
      </w:r>
      <w:r w:rsidR="001B5DB9" w:rsidRPr="00F362A1">
        <w:rPr>
          <w:rFonts w:ascii="Tahoma" w:hAnsi="Tahoma" w:cs="Tahoma"/>
          <w:bCs/>
          <w:sz w:val="24"/>
          <w:szCs w:val="24"/>
        </w:rPr>
        <w:t>ea mai mare parte dintre aceste cheltuieli au reprezentat alocări către sectorul agrico</w:t>
      </w:r>
      <w:r w:rsidR="00EB1916" w:rsidRPr="00F362A1">
        <w:rPr>
          <w:rFonts w:ascii="Tahoma" w:hAnsi="Tahoma" w:cs="Tahoma"/>
          <w:bCs/>
          <w:sz w:val="24"/>
          <w:szCs w:val="24"/>
        </w:rPr>
        <w:t>l și transporturi, respectiv subv</w:t>
      </w:r>
      <w:r w:rsidR="001B5DB9" w:rsidRPr="00F362A1">
        <w:rPr>
          <w:rFonts w:ascii="Tahoma" w:hAnsi="Tahoma" w:cs="Tahoma"/>
          <w:bCs/>
          <w:sz w:val="24"/>
          <w:szCs w:val="24"/>
        </w:rPr>
        <w:t>enții pentru sprijinirea pro</w:t>
      </w:r>
      <w:r w:rsidR="00EB1916" w:rsidRPr="00F362A1">
        <w:rPr>
          <w:rFonts w:ascii="Tahoma" w:hAnsi="Tahoma" w:cs="Tahoma"/>
          <w:bCs/>
          <w:sz w:val="24"/>
          <w:szCs w:val="24"/>
        </w:rPr>
        <w:t xml:space="preserve">ducătorilor agricoli, </w:t>
      </w:r>
      <w:r w:rsidR="001B5DB9" w:rsidRPr="00F362A1">
        <w:rPr>
          <w:rFonts w:ascii="Tahoma" w:hAnsi="Tahoma" w:cs="Tahoma"/>
          <w:bCs/>
          <w:sz w:val="24"/>
          <w:szCs w:val="24"/>
        </w:rPr>
        <w:t>pentru transportul călătorilor și pentru diferențe de preț și tarif.</w:t>
      </w:r>
    </w:p>
    <w:p w:rsidR="00EC61E9" w:rsidRPr="00F362A1" w:rsidRDefault="001B5DB9" w:rsidP="002A6579">
      <w:pPr>
        <w:spacing w:before="240" w:line="276" w:lineRule="auto"/>
        <w:ind w:firstLine="720"/>
        <w:contextualSpacing/>
        <w:rPr>
          <w:rFonts w:ascii="Tahoma" w:hAnsi="Tahoma" w:cs="Tahoma"/>
          <w:bCs/>
          <w:sz w:val="24"/>
          <w:szCs w:val="24"/>
        </w:rPr>
      </w:pPr>
      <w:r w:rsidRPr="00F362A1">
        <w:rPr>
          <w:rFonts w:ascii="Tahoma" w:hAnsi="Tahoma" w:cs="Tahoma"/>
          <w:b/>
          <w:bCs/>
          <w:sz w:val="24"/>
          <w:szCs w:val="24"/>
        </w:rPr>
        <w:t>Cheltuielile cu asistența socială</w:t>
      </w:r>
      <w:r w:rsidRPr="00F362A1">
        <w:rPr>
          <w:rFonts w:ascii="Tahoma" w:hAnsi="Tahoma" w:cs="Tahoma"/>
          <w:bCs/>
          <w:sz w:val="24"/>
          <w:szCs w:val="24"/>
        </w:rPr>
        <w:t xml:space="preserve"> au fost de </w:t>
      </w:r>
      <w:r w:rsidR="00EC61E9" w:rsidRPr="00F362A1">
        <w:rPr>
          <w:rFonts w:ascii="Tahoma" w:hAnsi="Tahoma" w:cs="Tahoma"/>
          <w:bCs/>
          <w:sz w:val="24"/>
          <w:szCs w:val="24"/>
        </w:rPr>
        <w:t>69.220,7</w:t>
      </w:r>
      <w:r w:rsidR="00F64F4D" w:rsidRPr="00F362A1">
        <w:rPr>
          <w:rFonts w:ascii="Tahoma" w:hAnsi="Tahoma" w:cs="Tahoma"/>
          <w:bCs/>
          <w:sz w:val="24"/>
          <w:szCs w:val="24"/>
        </w:rPr>
        <w:t xml:space="preserve"> </w:t>
      </w:r>
      <w:r w:rsidR="00EC61E9" w:rsidRPr="00F362A1">
        <w:rPr>
          <w:rFonts w:ascii="Tahoma" w:hAnsi="Tahoma" w:cs="Tahoma"/>
          <w:bCs/>
          <w:sz w:val="24"/>
          <w:szCs w:val="24"/>
        </w:rPr>
        <w:t xml:space="preserve">milioane </w:t>
      </w:r>
      <w:r w:rsidRPr="00F362A1">
        <w:rPr>
          <w:rFonts w:ascii="Tahoma" w:hAnsi="Tahoma" w:cs="Tahoma"/>
          <w:bCs/>
          <w:sz w:val="24"/>
          <w:szCs w:val="24"/>
        </w:rPr>
        <w:t>lei în creștere cu 23,7% comparativ cu aceeași perioadă a anului precedent</w:t>
      </w:r>
      <w:r w:rsidR="00EC61E9" w:rsidRPr="00F362A1">
        <w:rPr>
          <w:rFonts w:ascii="Tahoma" w:hAnsi="Tahoma" w:cs="Tahoma"/>
          <w:bCs/>
          <w:sz w:val="24"/>
          <w:szCs w:val="24"/>
        </w:rPr>
        <w:t xml:space="preserve"> și s-au efectuat în proporție de 97,1% comparativ cu programul semestrial.</w:t>
      </w:r>
    </w:p>
    <w:p w:rsidR="00EC61E9" w:rsidRPr="00F362A1" w:rsidRDefault="001B5DB9" w:rsidP="002A6579">
      <w:pPr>
        <w:spacing w:before="240" w:after="240" w:line="276" w:lineRule="auto"/>
        <w:ind w:firstLine="720"/>
        <w:rPr>
          <w:rFonts w:ascii="Tahoma" w:hAnsi="Tahoma" w:cs="Tahoma"/>
          <w:bCs/>
          <w:sz w:val="24"/>
          <w:szCs w:val="24"/>
        </w:rPr>
      </w:pPr>
      <w:r w:rsidRPr="00F362A1">
        <w:rPr>
          <w:rFonts w:ascii="Tahoma" w:hAnsi="Tahoma" w:cs="Tahoma"/>
          <w:bCs/>
          <w:sz w:val="24"/>
          <w:szCs w:val="24"/>
        </w:rPr>
        <w:t xml:space="preserve"> Evoluția cheltuielilor cu asistența socială a fost influențată, în principal, de majorarea punctului de pensie, începând cu 1 septembrie 2019, cu 15%, respectiv de la 1.100 lei la 1.265 lei, a îndemnizației sociale pentru pensionari garantată cu 10%, majorarea alocațiilor de stat pentru copii începând cu 1 mai 2019, precum și indexarea acestora cu rata inflației din anul 2019, începând cu 1 ianuarie 2020. Totodată, începând cu luna aprilie s-au realizat plăți determinate de măsurile care au fost luate cu caracter excepțional, în domeniul social și economic, pentru diminuarea efectelor negative generate de pandemia de COVID 19, cum ar fi plata pentru indemnizații acordate pe perioada suspendării temporare a contractului individual de muncă din inițiativa angajatorului în valoare de </w:t>
      </w:r>
      <w:r w:rsidR="006A580B" w:rsidRPr="00F362A1">
        <w:rPr>
          <w:rFonts w:ascii="Tahoma" w:hAnsi="Tahoma" w:cs="Tahoma"/>
          <w:bCs/>
          <w:sz w:val="24"/>
          <w:szCs w:val="24"/>
        </w:rPr>
        <w:t>3.692,2</w:t>
      </w:r>
      <w:r w:rsidRPr="00F362A1">
        <w:rPr>
          <w:rFonts w:ascii="Tahoma" w:hAnsi="Tahoma" w:cs="Tahoma"/>
          <w:bCs/>
          <w:sz w:val="24"/>
          <w:szCs w:val="24"/>
        </w:rPr>
        <w:t xml:space="preserve"> mili</w:t>
      </w:r>
      <w:r w:rsidR="006A580B" w:rsidRPr="00F362A1">
        <w:rPr>
          <w:rFonts w:ascii="Tahoma" w:hAnsi="Tahoma" w:cs="Tahoma"/>
          <w:bCs/>
          <w:sz w:val="24"/>
          <w:szCs w:val="24"/>
        </w:rPr>
        <w:t>oane</w:t>
      </w:r>
      <w:r w:rsidR="00F64F4D" w:rsidRPr="00F362A1">
        <w:rPr>
          <w:rFonts w:ascii="Tahoma" w:hAnsi="Tahoma" w:cs="Tahoma"/>
          <w:bCs/>
          <w:sz w:val="24"/>
          <w:szCs w:val="24"/>
        </w:rPr>
        <w:t xml:space="preserve"> lei și pentru î</w:t>
      </w:r>
      <w:r w:rsidRPr="00F362A1">
        <w:rPr>
          <w:rFonts w:ascii="Tahoma" w:hAnsi="Tahoma" w:cs="Tahoma"/>
          <w:bCs/>
          <w:sz w:val="24"/>
          <w:szCs w:val="24"/>
        </w:rPr>
        <w:t xml:space="preserve">ndemnizații acordate pentru alți profesioniștii, precum și pentru persoanele care au încheiate convenții individuale de muncă care întrerup activitatea ca urmare a efectelor SARS-CoV-2 în valoare de </w:t>
      </w:r>
      <w:r w:rsidR="006A580B" w:rsidRPr="00F362A1">
        <w:rPr>
          <w:rFonts w:ascii="Tahoma" w:hAnsi="Tahoma" w:cs="Tahoma"/>
          <w:bCs/>
          <w:sz w:val="24"/>
          <w:szCs w:val="24"/>
        </w:rPr>
        <w:t>662,8</w:t>
      </w:r>
      <w:r w:rsidRPr="00F362A1">
        <w:rPr>
          <w:rFonts w:ascii="Tahoma" w:hAnsi="Tahoma" w:cs="Tahoma"/>
          <w:bCs/>
          <w:sz w:val="24"/>
          <w:szCs w:val="24"/>
        </w:rPr>
        <w:t xml:space="preserve"> mil</w:t>
      </w:r>
      <w:r w:rsidR="006A580B" w:rsidRPr="00F362A1">
        <w:rPr>
          <w:rFonts w:ascii="Tahoma" w:hAnsi="Tahoma" w:cs="Tahoma"/>
          <w:bCs/>
          <w:sz w:val="24"/>
          <w:szCs w:val="24"/>
        </w:rPr>
        <w:t>ioane</w:t>
      </w:r>
      <w:r w:rsidRPr="00F362A1">
        <w:rPr>
          <w:rFonts w:ascii="Tahoma" w:hAnsi="Tahoma" w:cs="Tahoma"/>
          <w:bCs/>
          <w:sz w:val="24"/>
          <w:szCs w:val="24"/>
        </w:rPr>
        <w:t xml:space="preserve"> lei. De asemenea, se continuă ritmul accelerat de decontări ale indemnizațiilor de asigurări sociale de sănătate pentru concedii medicale în scopul diminuării stocului de plăți restante aferente acestora, astfel că în luna iunie plățile au fost de 548,6 milioane lei</w:t>
      </w:r>
      <w:r w:rsidR="00781BE6" w:rsidRPr="00F362A1">
        <w:rPr>
          <w:rFonts w:ascii="Tahoma" w:hAnsi="Tahoma" w:cs="Tahoma"/>
          <w:bCs/>
          <w:sz w:val="24"/>
          <w:szCs w:val="24"/>
        </w:rPr>
        <w:t xml:space="preserve"> dintr-un total de 2</w:t>
      </w:r>
      <w:r w:rsidR="00EB1916" w:rsidRPr="00F362A1">
        <w:rPr>
          <w:rFonts w:ascii="Tahoma" w:hAnsi="Tahoma" w:cs="Tahoma"/>
          <w:bCs/>
          <w:sz w:val="24"/>
          <w:szCs w:val="24"/>
        </w:rPr>
        <w:t>.</w:t>
      </w:r>
      <w:r w:rsidR="00781BE6" w:rsidRPr="00F362A1">
        <w:rPr>
          <w:rFonts w:ascii="Tahoma" w:hAnsi="Tahoma" w:cs="Tahoma"/>
          <w:bCs/>
          <w:sz w:val="24"/>
          <w:szCs w:val="24"/>
        </w:rPr>
        <w:t xml:space="preserve">276,2 milioane lei plăți efectuate în primul semestru al anului 2020. </w:t>
      </w:r>
    </w:p>
    <w:p w:rsidR="00781BE6" w:rsidRPr="00F362A1" w:rsidRDefault="004D6D76" w:rsidP="002A6579">
      <w:pPr>
        <w:spacing w:after="240" w:line="276" w:lineRule="auto"/>
        <w:ind w:firstLine="720"/>
        <w:rPr>
          <w:rFonts w:ascii="Tahoma" w:eastAsia="Times New Roman" w:hAnsi="Tahoma" w:cs="Tahoma"/>
          <w:bCs/>
          <w:sz w:val="24"/>
          <w:szCs w:val="24"/>
        </w:rPr>
      </w:pPr>
      <w:r w:rsidRPr="00F362A1">
        <w:rPr>
          <w:rFonts w:ascii="Tahoma" w:eastAsia="Arial" w:hAnsi="Tahoma" w:cs="Tahoma"/>
          <w:b/>
          <w:sz w:val="24"/>
          <w:szCs w:val="24"/>
          <w:shd w:val="clear" w:color="auto" w:fill="FFFFFF"/>
        </w:rPr>
        <w:t>Cheltuielile cu alte transferuri</w:t>
      </w:r>
      <w:r w:rsidRPr="00F362A1">
        <w:rPr>
          <w:rFonts w:ascii="Tahoma" w:eastAsia="Arial" w:hAnsi="Tahoma" w:cs="Tahoma"/>
          <w:sz w:val="24"/>
          <w:szCs w:val="24"/>
          <w:shd w:val="clear" w:color="auto" w:fill="FFFFFF"/>
        </w:rPr>
        <w:t xml:space="preserve"> au fost în sumă de 8.</w:t>
      </w:r>
      <w:r w:rsidR="00781BE6" w:rsidRPr="00F362A1">
        <w:rPr>
          <w:rFonts w:ascii="Tahoma" w:eastAsia="Arial" w:hAnsi="Tahoma" w:cs="Tahoma"/>
          <w:sz w:val="24"/>
          <w:szCs w:val="24"/>
          <w:shd w:val="clear" w:color="auto" w:fill="FFFFFF"/>
        </w:rPr>
        <w:t>848,0</w:t>
      </w:r>
      <w:r w:rsidRPr="00F362A1">
        <w:rPr>
          <w:rFonts w:ascii="Tahoma" w:eastAsia="Arial" w:hAnsi="Tahoma" w:cs="Tahoma"/>
          <w:sz w:val="24"/>
          <w:szCs w:val="24"/>
          <w:shd w:val="clear" w:color="auto" w:fill="FFFFFF"/>
        </w:rPr>
        <w:t xml:space="preserve"> milioane lei (0,8% din PIB</w:t>
      </w:r>
      <w:r w:rsidR="00781BE6" w:rsidRPr="00F362A1">
        <w:rPr>
          <w:rFonts w:ascii="Tahoma" w:eastAsia="Arial" w:hAnsi="Tahoma" w:cs="Tahoma"/>
          <w:sz w:val="24"/>
          <w:szCs w:val="24"/>
          <w:shd w:val="clear" w:color="auto" w:fill="FFFFFF"/>
        </w:rPr>
        <w:t xml:space="preserve">) au fost cu </w:t>
      </w:r>
      <w:r w:rsidRPr="00F362A1">
        <w:rPr>
          <w:rFonts w:ascii="Tahoma" w:eastAsia="Arial" w:hAnsi="Tahoma" w:cs="Tahoma"/>
          <w:sz w:val="24"/>
          <w:szCs w:val="24"/>
          <w:shd w:val="clear" w:color="auto" w:fill="FFFFFF"/>
        </w:rPr>
        <w:t>9,</w:t>
      </w:r>
      <w:r w:rsidR="00781BE6" w:rsidRPr="00F362A1">
        <w:rPr>
          <w:rFonts w:ascii="Tahoma" w:eastAsia="Arial" w:hAnsi="Tahoma" w:cs="Tahoma"/>
          <w:sz w:val="24"/>
          <w:szCs w:val="24"/>
          <w:shd w:val="clear" w:color="auto" w:fill="FFFFFF"/>
        </w:rPr>
        <w:t>7</w:t>
      </w:r>
      <w:r w:rsidRPr="00F362A1">
        <w:rPr>
          <w:rFonts w:ascii="Tahoma" w:eastAsia="Arial" w:hAnsi="Tahoma" w:cs="Tahoma"/>
          <w:sz w:val="24"/>
          <w:szCs w:val="24"/>
          <w:shd w:val="clear" w:color="auto" w:fill="FFFFFF"/>
        </w:rPr>
        <w:t>% mai mari decât plățile efectuate în semestrul I 201</w:t>
      </w:r>
      <w:r w:rsidR="00781BE6" w:rsidRPr="00F362A1">
        <w:rPr>
          <w:rFonts w:ascii="Tahoma" w:eastAsia="Arial" w:hAnsi="Tahoma" w:cs="Tahoma"/>
          <w:sz w:val="24"/>
          <w:szCs w:val="24"/>
          <w:shd w:val="clear" w:color="auto" w:fill="FFFFFF"/>
        </w:rPr>
        <w:t>9</w:t>
      </w:r>
      <w:r w:rsidRPr="00F362A1">
        <w:rPr>
          <w:rFonts w:ascii="Tahoma" w:eastAsia="Arial" w:hAnsi="Tahoma" w:cs="Tahoma"/>
          <w:sz w:val="24"/>
          <w:szCs w:val="24"/>
          <w:shd w:val="clear" w:color="auto" w:fill="FFFFFF"/>
        </w:rPr>
        <w:t>. Comparativ cu nivelul pr</w:t>
      </w:r>
      <w:r w:rsidR="00781BE6" w:rsidRPr="00F362A1">
        <w:rPr>
          <w:rFonts w:ascii="Tahoma" w:eastAsia="Arial" w:hAnsi="Tahoma" w:cs="Tahoma"/>
          <w:sz w:val="24"/>
          <w:szCs w:val="24"/>
          <w:shd w:val="clear" w:color="auto" w:fill="FFFFFF"/>
        </w:rPr>
        <w:t>ogramat a se efectua pe primul semestru</w:t>
      </w:r>
      <w:r w:rsidRPr="00F362A1">
        <w:rPr>
          <w:rFonts w:ascii="Tahoma" w:eastAsia="Arial" w:hAnsi="Tahoma" w:cs="Tahoma"/>
          <w:sz w:val="24"/>
          <w:szCs w:val="24"/>
          <w:shd w:val="clear" w:color="auto" w:fill="FFFFFF"/>
        </w:rPr>
        <w:t xml:space="preserve"> cheltuielile cu alte transferuri s-au efectuat în proporție de </w:t>
      </w:r>
      <w:r w:rsidR="00781BE6" w:rsidRPr="00F362A1">
        <w:rPr>
          <w:rFonts w:ascii="Tahoma" w:eastAsia="Arial" w:hAnsi="Tahoma" w:cs="Tahoma"/>
          <w:sz w:val="24"/>
          <w:szCs w:val="24"/>
          <w:shd w:val="clear" w:color="auto" w:fill="FFFFFF"/>
        </w:rPr>
        <w:t>83</w:t>
      </w:r>
      <w:r w:rsidRPr="00F362A1">
        <w:rPr>
          <w:rFonts w:ascii="Tahoma" w:eastAsia="Arial" w:hAnsi="Tahoma" w:cs="Tahoma"/>
          <w:sz w:val="24"/>
          <w:szCs w:val="24"/>
          <w:shd w:val="clear" w:color="auto" w:fill="FFFFFF"/>
        </w:rPr>
        <w:t>%.</w:t>
      </w:r>
      <w:r w:rsidR="00781BE6" w:rsidRPr="00F362A1">
        <w:rPr>
          <w:rFonts w:ascii="Tahoma" w:eastAsia="Arial" w:hAnsi="Tahoma" w:cs="Tahoma"/>
          <w:sz w:val="24"/>
          <w:szCs w:val="24"/>
          <w:shd w:val="clear" w:color="auto" w:fill="FFFFFF"/>
        </w:rPr>
        <w:t xml:space="preserve"> Din totalul plăților efectuate de la acest titlu de cheltuieli </w:t>
      </w:r>
      <w:r w:rsidR="00247A3D" w:rsidRPr="00F362A1">
        <w:rPr>
          <w:rFonts w:ascii="Tahoma" w:eastAsia="Times New Roman" w:hAnsi="Tahoma" w:cs="Tahoma"/>
          <w:sz w:val="24"/>
          <w:szCs w:val="24"/>
        </w:rPr>
        <w:t>63,1 milioane lei au fost</w:t>
      </w:r>
      <w:r w:rsidR="00781BE6" w:rsidRPr="00F362A1">
        <w:rPr>
          <w:rFonts w:ascii="Tahoma" w:eastAsia="Times New Roman" w:hAnsi="Tahoma" w:cs="Tahoma"/>
          <w:sz w:val="24"/>
          <w:szCs w:val="24"/>
        </w:rPr>
        <w:t xml:space="preserve"> reprezentate de transferuri </w:t>
      </w:r>
      <w:r w:rsidR="00247A3D" w:rsidRPr="00F362A1">
        <w:rPr>
          <w:rFonts w:ascii="Tahoma" w:eastAsia="Times New Roman" w:hAnsi="Tahoma" w:cs="Tahoma"/>
          <w:sz w:val="24"/>
          <w:szCs w:val="24"/>
        </w:rPr>
        <w:t>către</w:t>
      </w:r>
      <w:r w:rsidR="00781BE6" w:rsidRPr="00F362A1">
        <w:rPr>
          <w:rFonts w:ascii="Tahoma" w:eastAsia="Times New Roman" w:hAnsi="Tahoma" w:cs="Tahoma"/>
          <w:sz w:val="24"/>
          <w:szCs w:val="24"/>
        </w:rPr>
        <w:t xml:space="preserve"> structuri sportive private precum </w:t>
      </w:r>
      <w:r w:rsidR="00F64F4D" w:rsidRPr="00F362A1">
        <w:rPr>
          <w:rFonts w:ascii="Tahoma" w:eastAsia="Times New Roman" w:hAnsi="Tahoma" w:cs="Tahoma"/>
          <w:sz w:val="24"/>
          <w:szCs w:val="24"/>
        </w:rPr>
        <w:t>și către cooperații, pentru î</w:t>
      </w:r>
      <w:r w:rsidR="00781BE6" w:rsidRPr="00F362A1">
        <w:rPr>
          <w:rFonts w:ascii="Tahoma" w:eastAsia="Times New Roman" w:hAnsi="Tahoma" w:cs="Tahoma"/>
          <w:sz w:val="24"/>
          <w:szCs w:val="24"/>
        </w:rPr>
        <w:t xml:space="preserve">ndemnizații aferente suspendării temporare a contractului de activitate sportivă, respectiv a </w:t>
      </w:r>
      <w:r w:rsidR="00247A3D" w:rsidRPr="00F362A1">
        <w:rPr>
          <w:rFonts w:ascii="Tahoma" w:eastAsia="Times New Roman" w:hAnsi="Tahoma" w:cs="Tahoma"/>
          <w:sz w:val="24"/>
          <w:szCs w:val="24"/>
        </w:rPr>
        <w:t>convențiilor</w:t>
      </w:r>
      <w:r w:rsidR="00781BE6" w:rsidRPr="00F362A1">
        <w:rPr>
          <w:rFonts w:ascii="Tahoma" w:eastAsia="Times New Roman" w:hAnsi="Tahoma" w:cs="Tahoma"/>
          <w:sz w:val="24"/>
          <w:szCs w:val="24"/>
        </w:rPr>
        <w:t xml:space="preserve"> individuale de munc</w:t>
      </w:r>
      <w:r w:rsidR="00F64F4D" w:rsidRPr="00F362A1">
        <w:rPr>
          <w:rFonts w:ascii="Tahoma" w:eastAsia="Times New Roman" w:hAnsi="Tahoma" w:cs="Tahoma"/>
          <w:sz w:val="24"/>
          <w:szCs w:val="24"/>
        </w:rPr>
        <w:t>ă,</w:t>
      </w:r>
      <w:r w:rsidR="00781BE6" w:rsidRPr="00F362A1">
        <w:rPr>
          <w:rFonts w:ascii="Tahoma" w:eastAsia="Times New Roman" w:hAnsi="Tahoma" w:cs="Tahoma"/>
          <w:sz w:val="24"/>
          <w:szCs w:val="24"/>
        </w:rPr>
        <w:t xml:space="preserve"> iar 0,9 milioane lei de </w:t>
      </w:r>
      <w:r w:rsidR="00781BE6" w:rsidRPr="00F362A1">
        <w:rPr>
          <w:rFonts w:ascii="Tahoma" w:eastAsia="Times New Roman" w:hAnsi="Tahoma" w:cs="Tahoma"/>
          <w:bCs/>
          <w:sz w:val="24"/>
          <w:szCs w:val="24"/>
        </w:rPr>
        <w:t>transferuri aferente cheltuielilor cu alocația de hrană pentru personalul din serviciile sociale private aflat în izolare preventivă la locul de muncă</w:t>
      </w:r>
      <w:r w:rsidR="00F64F4D" w:rsidRPr="00F362A1">
        <w:rPr>
          <w:rFonts w:ascii="Tahoma" w:eastAsia="Times New Roman" w:hAnsi="Tahoma" w:cs="Tahoma"/>
          <w:bCs/>
          <w:sz w:val="24"/>
          <w:szCs w:val="24"/>
        </w:rPr>
        <w:t>.</w:t>
      </w:r>
    </w:p>
    <w:p w:rsidR="002F2E52" w:rsidRPr="00F362A1" w:rsidRDefault="000104AF" w:rsidP="002A6579">
      <w:pPr>
        <w:spacing w:before="240" w:after="240" w:line="276" w:lineRule="auto"/>
        <w:ind w:firstLine="720"/>
        <w:rPr>
          <w:rFonts w:ascii="Tahoma" w:eastAsia="Arial" w:hAnsi="Tahoma" w:cs="Tahoma"/>
          <w:sz w:val="24"/>
          <w:szCs w:val="24"/>
          <w:shd w:val="clear" w:color="auto" w:fill="FFFFFF"/>
        </w:rPr>
      </w:pPr>
      <w:r w:rsidRPr="00F362A1">
        <w:rPr>
          <w:rFonts w:ascii="Tahoma" w:eastAsia="Arial" w:hAnsi="Tahoma" w:cs="Tahoma"/>
          <w:b/>
          <w:sz w:val="24"/>
          <w:szCs w:val="24"/>
          <w:shd w:val="clear" w:color="auto" w:fill="FFFFFF"/>
        </w:rPr>
        <w:lastRenderedPageBreak/>
        <w:t>Cheltuielile privind proiectele finanțate din fonduri externe nerambursabile</w:t>
      </w:r>
      <w:r w:rsidRPr="00F362A1">
        <w:rPr>
          <w:rFonts w:ascii="Tahoma" w:eastAsia="Arial" w:hAnsi="Tahoma" w:cs="Tahoma"/>
          <w:sz w:val="24"/>
          <w:szCs w:val="24"/>
          <w:shd w:val="clear" w:color="auto" w:fill="FFFFFF"/>
        </w:rPr>
        <w:t xml:space="preserve"> (inclusiv subvențiile de la Uniunea Europeană aferente agriculturii) au fost de 10,369.7 mld. lei, cu 20,3% mai mari comparativ cu aceeași perioadă a anului precedent.</w:t>
      </w:r>
    </w:p>
    <w:p w:rsidR="002F2E52" w:rsidRPr="00F362A1" w:rsidRDefault="004D6D76" w:rsidP="002A6579">
      <w:pPr>
        <w:spacing w:before="240" w:line="276" w:lineRule="auto"/>
        <w:ind w:firstLine="720"/>
        <w:contextualSpacing/>
        <w:rPr>
          <w:rFonts w:ascii="Tahoma" w:hAnsi="Tahoma" w:cs="Tahoma"/>
          <w:bCs/>
          <w:sz w:val="24"/>
          <w:szCs w:val="24"/>
        </w:rPr>
      </w:pPr>
      <w:r w:rsidRPr="00F362A1">
        <w:rPr>
          <w:rFonts w:ascii="Tahoma" w:hAnsi="Tahoma" w:cs="Tahoma"/>
          <w:b/>
          <w:bCs/>
          <w:sz w:val="24"/>
          <w:szCs w:val="24"/>
        </w:rPr>
        <w:t>Cheltuielile pentru investiții</w:t>
      </w:r>
      <w:r w:rsidRPr="00F362A1">
        <w:rPr>
          <w:rFonts w:ascii="Tahoma" w:hAnsi="Tahoma" w:cs="Tahoma"/>
          <w:bCs/>
          <w:sz w:val="24"/>
          <w:szCs w:val="24"/>
        </w:rPr>
        <w:t xml:space="preserve">, care includ cheltuielile de capital, precum și cele aferente programelor de dezvoltare finanțate din surse interne și externe, au însumat </w:t>
      </w:r>
      <w:r w:rsidR="00075D5D" w:rsidRPr="00F362A1">
        <w:rPr>
          <w:rFonts w:ascii="Tahoma" w:hAnsi="Tahoma" w:cs="Tahoma"/>
          <w:bCs/>
          <w:sz w:val="24"/>
          <w:szCs w:val="24"/>
        </w:rPr>
        <w:t>16.122,</w:t>
      </w:r>
      <w:r w:rsidR="00101413" w:rsidRPr="00F362A1">
        <w:rPr>
          <w:rFonts w:ascii="Tahoma" w:hAnsi="Tahoma" w:cs="Tahoma"/>
          <w:bCs/>
          <w:sz w:val="24"/>
          <w:szCs w:val="24"/>
        </w:rPr>
        <w:t xml:space="preserve">9 </w:t>
      </w:r>
      <w:r w:rsidRPr="00F362A1">
        <w:rPr>
          <w:rFonts w:ascii="Tahoma" w:hAnsi="Tahoma" w:cs="Tahoma"/>
          <w:bCs/>
          <w:sz w:val="24"/>
          <w:szCs w:val="24"/>
        </w:rPr>
        <w:t>milioane lei</w:t>
      </w:r>
      <w:r w:rsidR="00EB1916" w:rsidRPr="00F362A1">
        <w:rPr>
          <w:rFonts w:ascii="Tahoma" w:hAnsi="Tahoma" w:cs="Tahoma"/>
          <w:bCs/>
          <w:sz w:val="24"/>
          <w:szCs w:val="24"/>
        </w:rPr>
        <w:t>, înregistrându-se cel mai înalt nivel al cheltuielilor pentru investiții pe primele 6 luni din ultimii 10 ani.</w:t>
      </w:r>
    </w:p>
    <w:p w:rsidR="000104AF" w:rsidRPr="00F362A1" w:rsidRDefault="004D6D76" w:rsidP="002A6579">
      <w:pPr>
        <w:spacing w:after="240" w:line="276" w:lineRule="auto"/>
        <w:ind w:firstLine="720"/>
        <w:rPr>
          <w:rFonts w:ascii="Tahoma" w:eastAsia="Times New Roman" w:hAnsi="Tahoma" w:cs="Tahoma"/>
          <w:bCs/>
          <w:sz w:val="24"/>
          <w:szCs w:val="24"/>
        </w:rPr>
      </w:pPr>
      <w:r w:rsidRPr="00F362A1">
        <w:rPr>
          <w:rFonts w:ascii="Tahoma" w:hAnsi="Tahoma" w:cs="Tahoma"/>
          <w:sz w:val="24"/>
          <w:szCs w:val="24"/>
        </w:rPr>
        <w:t xml:space="preserve">La sfârșitul primului semestru a.c. se înregistrează un </w:t>
      </w:r>
      <w:r w:rsidRPr="00F362A1">
        <w:rPr>
          <w:rFonts w:ascii="Tahoma" w:hAnsi="Tahoma" w:cs="Tahoma"/>
          <w:b/>
          <w:bCs/>
          <w:sz w:val="24"/>
          <w:szCs w:val="24"/>
        </w:rPr>
        <w:t>deficit primar</w:t>
      </w:r>
      <w:r w:rsidRPr="00F362A1">
        <w:rPr>
          <w:rFonts w:ascii="Tahoma" w:hAnsi="Tahoma" w:cs="Tahoma"/>
          <w:bCs/>
          <w:sz w:val="24"/>
          <w:szCs w:val="24"/>
        </w:rPr>
        <w:t xml:space="preserve"> (soldul bugetar exclusiv cheltuielile cu dobânzile)</w:t>
      </w:r>
      <w:r w:rsidR="00075D5D" w:rsidRPr="00F362A1">
        <w:rPr>
          <w:rFonts w:ascii="Tahoma" w:hAnsi="Tahoma" w:cs="Tahoma"/>
          <w:bCs/>
          <w:sz w:val="24"/>
          <w:szCs w:val="24"/>
        </w:rPr>
        <w:t xml:space="preserve"> </w:t>
      </w:r>
      <w:r w:rsidR="000104AF" w:rsidRPr="00F362A1">
        <w:rPr>
          <w:rFonts w:ascii="Tahoma" w:hAnsi="Tahoma" w:cs="Tahoma"/>
          <w:sz w:val="24"/>
          <w:szCs w:val="24"/>
        </w:rPr>
        <w:t xml:space="preserve">în valoare de </w:t>
      </w:r>
      <w:r w:rsidR="000104AF" w:rsidRPr="00F362A1">
        <w:rPr>
          <w:rFonts w:ascii="Tahoma" w:hAnsi="Tahoma" w:cs="Tahoma"/>
          <w:bCs/>
          <w:sz w:val="24"/>
          <w:szCs w:val="24"/>
        </w:rPr>
        <w:t>36.520,9 milioane lei (-3,4% din PIB)</w:t>
      </w:r>
      <w:r w:rsidRPr="00F362A1">
        <w:rPr>
          <w:rFonts w:ascii="Tahoma" w:hAnsi="Tahoma" w:cs="Tahoma"/>
          <w:sz w:val="24"/>
          <w:szCs w:val="24"/>
        </w:rPr>
        <w:t xml:space="preserve"> față de un deficit primar prevăzut pentru această perioadă de </w:t>
      </w:r>
      <w:r w:rsidR="000104AF" w:rsidRPr="00F362A1">
        <w:rPr>
          <w:rFonts w:ascii="Tahoma" w:eastAsia="Times New Roman" w:hAnsi="Tahoma" w:cs="Tahoma"/>
          <w:bCs/>
          <w:sz w:val="24"/>
          <w:szCs w:val="24"/>
        </w:rPr>
        <w:t>50.186,9 milioane lei (4,6% din PIB).</w:t>
      </w:r>
    </w:p>
    <w:p w:rsidR="004B7596" w:rsidRPr="00F362A1" w:rsidRDefault="004B7596" w:rsidP="002A6579">
      <w:pPr>
        <w:spacing w:after="240" w:line="276" w:lineRule="auto"/>
        <w:ind w:firstLine="720"/>
        <w:rPr>
          <w:rFonts w:ascii="Tahoma" w:eastAsia="Times New Roman" w:hAnsi="Tahoma" w:cs="Tahoma"/>
          <w:bCs/>
          <w:sz w:val="24"/>
          <w:szCs w:val="24"/>
        </w:rPr>
      </w:pPr>
      <w:r w:rsidRPr="00F362A1">
        <w:rPr>
          <w:rFonts w:ascii="Tahoma" w:eastAsia="Times New Roman" w:hAnsi="Tahoma" w:cs="Tahoma"/>
          <w:bCs/>
          <w:sz w:val="24"/>
          <w:szCs w:val="24"/>
        </w:rPr>
        <w:t>Principalele obiective de investiții distincte pentru care s-au efectuat plăți în semestrul I al anului 2020 sunt:</w:t>
      </w:r>
    </w:p>
    <w:p w:rsidR="004B7596" w:rsidRPr="00F362A1" w:rsidRDefault="004B7596" w:rsidP="002A6579">
      <w:pPr>
        <w:spacing w:after="120" w:line="276" w:lineRule="auto"/>
        <w:ind w:left="720" w:firstLine="0"/>
        <w:rPr>
          <w:rFonts w:ascii="Tahoma" w:eastAsia="Times New Roman" w:hAnsi="Tahoma" w:cs="Tahoma"/>
          <w:bCs/>
          <w:sz w:val="24"/>
          <w:szCs w:val="24"/>
        </w:rPr>
      </w:pPr>
      <w:r w:rsidRPr="00F362A1">
        <w:rPr>
          <w:rFonts w:ascii="Tahoma" w:eastAsia="Times New Roman" w:hAnsi="Tahoma" w:cs="Tahoma"/>
          <w:bCs/>
          <w:sz w:val="24"/>
          <w:szCs w:val="24"/>
        </w:rPr>
        <w:t>● Reabilitarea liniei C.F. Frontiera - Cur</w:t>
      </w:r>
      <w:r w:rsidR="00075D5D" w:rsidRPr="00F362A1">
        <w:rPr>
          <w:rFonts w:ascii="Tahoma" w:eastAsia="Times New Roman" w:hAnsi="Tahoma" w:cs="Tahoma"/>
          <w:bCs/>
          <w:sz w:val="24"/>
          <w:szCs w:val="24"/>
        </w:rPr>
        <w:t>tici - Simeria, parte componentă</w:t>
      </w:r>
      <w:r w:rsidRPr="00F362A1">
        <w:rPr>
          <w:rFonts w:ascii="Tahoma" w:eastAsia="Times New Roman" w:hAnsi="Tahoma" w:cs="Tahoma"/>
          <w:bCs/>
          <w:sz w:val="24"/>
          <w:szCs w:val="24"/>
        </w:rPr>
        <w:t xml:space="preserve"> a Coridorului IV Pan-European pentru </w:t>
      </w:r>
      <w:r w:rsidR="00247A3D" w:rsidRPr="00F362A1">
        <w:rPr>
          <w:rFonts w:ascii="Tahoma" w:eastAsia="Times New Roman" w:hAnsi="Tahoma" w:cs="Tahoma"/>
          <w:bCs/>
          <w:sz w:val="24"/>
          <w:szCs w:val="24"/>
        </w:rPr>
        <w:t>circulația</w:t>
      </w:r>
      <w:r w:rsidRPr="00F362A1">
        <w:rPr>
          <w:rFonts w:ascii="Tahoma" w:eastAsia="Times New Roman" w:hAnsi="Tahoma" w:cs="Tahoma"/>
          <w:bCs/>
          <w:sz w:val="24"/>
          <w:szCs w:val="24"/>
        </w:rPr>
        <w:t xml:space="preserve"> trenurilor cu viteza maxim</w:t>
      </w:r>
      <w:r w:rsidR="00075D5D" w:rsidRPr="00F362A1">
        <w:rPr>
          <w:rFonts w:ascii="Tahoma" w:eastAsia="Times New Roman" w:hAnsi="Tahoma" w:cs="Tahoma"/>
          <w:bCs/>
          <w:sz w:val="24"/>
          <w:szCs w:val="24"/>
        </w:rPr>
        <w:t>ă</w:t>
      </w:r>
      <w:r w:rsidRPr="00F362A1">
        <w:rPr>
          <w:rFonts w:ascii="Tahoma" w:eastAsia="Times New Roman" w:hAnsi="Tahoma" w:cs="Tahoma"/>
          <w:bCs/>
          <w:sz w:val="24"/>
          <w:szCs w:val="24"/>
        </w:rPr>
        <w:t xml:space="preserve"> de 160 km/h; Tronsonul 2: km 614 - Gurasada </w:t>
      </w:r>
      <w:r w:rsidR="00075D5D" w:rsidRPr="00F362A1">
        <w:rPr>
          <w:rFonts w:ascii="Tahoma" w:eastAsia="Times New Roman" w:hAnsi="Tahoma" w:cs="Tahoma"/>
          <w:bCs/>
          <w:sz w:val="24"/>
          <w:szCs w:val="24"/>
        </w:rPr>
        <w:t>ș</w:t>
      </w:r>
      <w:r w:rsidRPr="00F362A1">
        <w:rPr>
          <w:rFonts w:ascii="Tahoma" w:eastAsia="Times New Roman" w:hAnsi="Tahoma" w:cs="Tahoma"/>
          <w:bCs/>
          <w:sz w:val="24"/>
          <w:szCs w:val="24"/>
        </w:rPr>
        <w:t>i Tronsonul 3: Gurasada - Simeria – 576,7 milioane lei;</w:t>
      </w:r>
    </w:p>
    <w:p w:rsidR="004B7596" w:rsidRPr="00F362A1" w:rsidRDefault="004B7596" w:rsidP="002A6579">
      <w:pPr>
        <w:spacing w:after="120" w:line="276" w:lineRule="auto"/>
        <w:ind w:left="720" w:firstLine="0"/>
        <w:rPr>
          <w:rFonts w:ascii="Tahoma" w:eastAsia="Times New Roman" w:hAnsi="Tahoma" w:cs="Tahoma"/>
          <w:bCs/>
          <w:sz w:val="24"/>
          <w:szCs w:val="24"/>
        </w:rPr>
      </w:pPr>
      <w:r w:rsidRPr="00F362A1">
        <w:rPr>
          <w:rFonts w:ascii="Tahoma" w:eastAsia="Times New Roman" w:hAnsi="Tahoma" w:cs="Tahoma"/>
          <w:bCs/>
          <w:sz w:val="24"/>
          <w:szCs w:val="24"/>
        </w:rPr>
        <w:t xml:space="preserve">● Programul </w:t>
      </w:r>
      <w:r w:rsidR="00247A3D" w:rsidRPr="00F362A1">
        <w:rPr>
          <w:rFonts w:ascii="Tahoma" w:eastAsia="Times New Roman" w:hAnsi="Tahoma" w:cs="Tahoma"/>
          <w:bCs/>
          <w:sz w:val="24"/>
          <w:szCs w:val="24"/>
        </w:rPr>
        <w:t>național</w:t>
      </w:r>
      <w:r w:rsidRPr="00F362A1">
        <w:rPr>
          <w:rFonts w:ascii="Tahoma" w:eastAsia="Times New Roman" w:hAnsi="Tahoma" w:cs="Tahoma"/>
          <w:bCs/>
          <w:sz w:val="24"/>
          <w:szCs w:val="24"/>
        </w:rPr>
        <w:t xml:space="preserve"> de </w:t>
      </w:r>
      <w:r w:rsidR="00247A3D" w:rsidRPr="00F362A1">
        <w:rPr>
          <w:rFonts w:ascii="Tahoma" w:eastAsia="Times New Roman" w:hAnsi="Tahoma" w:cs="Tahoma"/>
          <w:bCs/>
          <w:sz w:val="24"/>
          <w:szCs w:val="24"/>
        </w:rPr>
        <w:t>construcții</w:t>
      </w:r>
      <w:r w:rsidRPr="00F362A1">
        <w:rPr>
          <w:rFonts w:ascii="Tahoma" w:eastAsia="Times New Roman" w:hAnsi="Tahoma" w:cs="Tahoma"/>
          <w:bCs/>
          <w:sz w:val="24"/>
          <w:szCs w:val="24"/>
        </w:rPr>
        <w:t xml:space="preserve"> de interes public sau social – A – 294,8 milioane lei;</w:t>
      </w:r>
    </w:p>
    <w:p w:rsidR="004B7596" w:rsidRPr="00F362A1" w:rsidRDefault="004B7596" w:rsidP="002A6579">
      <w:pPr>
        <w:spacing w:after="120" w:line="276" w:lineRule="auto"/>
        <w:ind w:left="720" w:firstLine="0"/>
        <w:rPr>
          <w:rFonts w:ascii="Tahoma" w:eastAsia="Times New Roman" w:hAnsi="Tahoma" w:cs="Tahoma"/>
          <w:bCs/>
          <w:sz w:val="24"/>
          <w:szCs w:val="24"/>
        </w:rPr>
      </w:pPr>
      <w:r w:rsidRPr="00F362A1">
        <w:rPr>
          <w:rFonts w:ascii="Tahoma" w:eastAsia="Times New Roman" w:hAnsi="Tahoma" w:cs="Tahoma"/>
          <w:bCs/>
          <w:sz w:val="24"/>
          <w:szCs w:val="24"/>
        </w:rPr>
        <w:t>● Drum expres Craiova Pitești și legăturile la drumurile existente – 221,8 milioane lei</w:t>
      </w:r>
      <w:r w:rsidR="00075D5D" w:rsidRPr="00F362A1">
        <w:rPr>
          <w:rFonts w:ascii="Tahoma" w:eastAsia="Times New Roman" w:hAnsi="Tahoma" w:cs="Tahoma"/>
          <w:bCs/>
          <w:sz w:val="24"/>
          <w:szCs w:val="24"/>
        </w:rPr>
        <w:t>;</w:t>
      </w:r>
    </w:p>
    <w:p w:rsidR="004B7596" w:rsidRPr="00F362A1" w:rsidRDefault="004B7596" w:rsidP="002A6579">
      <w:pPr>
        <w:spacing w:after="120" w:line="276" w:lineRule="auto"/>
        <w:ind w:left="720" w:firstLine="0"/>
        <w:rPr>
          <w:rFonts w:ascii="Tahoma" w:eastAsia="Times New Roman" w:hAnsi="Tahoma" w:cs="Tahoma"/>
          <w:bCs/>
          <w:sz w:val="24"/>
          <w:szCs w:val="24"/>
        </w:rPr>
      </w:pPr>
      <w:r w:rsidRPr="00F362A1">
        <w:rPr>
          <w:rFonts w:ascii="Tahoma" w:eastAsia="Times New Roman" w:hAnsi="Tahoma" w:cs="Tahoma"/>
          <w:bCs/>
          <w:sz w:val="24"/>
          <w:szCs w:val="24"/>
        </w:rPr>
        <w:t xml:space="preserve">● Reabilitarea liniei de c.f. </w:t>
      </w:r>
      <w:r w:rsidR="00860E3D" w:rsidRPr="00F362A1">
        <w:rPr>
          <w:rFonts w:ascii="Tahoma" w:eastAsia="Times New Roman" w:hAnsi="Tahoma" w:cs="Tahoma"/>
          <w:bCs/>
          <w:sz w:val="24"/>
          <w:szCs w:val="24"/>
        </w:rPr>
        <w:t>Brașov</w:t>
      </w:r>
      <w:r w:rsidRPr="00F362A1">
        <w:rPr>
          <w:rFonts w:ascii="Tahoma" w:eastAsia="Times New Roman" w:hAnsi="Tahoma" w:cs="Tahoma"/>
          <w:bCs/>
          <w:sz w:val="24"/>
          <w:szCs w:val="24"/>
        </w:rPr>
        <w:t xml:space="preserve"> - Simeria, componenta a Coridorului IV paneuropean, pentru </w:t>
      </w:r>
      <w:r w:rsidR="00860E3D" w:rsidRPr="00F362A1">
        <w:rPr>
          <w:rFonts w:ascii="Tahoma" w:eastAsia="Times New Roman" w:hAnsi="Tahoma" w:cs="Tahoma"/>
          <w:bCs/>
          <w:sz w:val="24"/>
          <w:szCs w:val="24"/>
        </w:rPr>
        <w:t>circulația</w:t>
      </w:r>
      <w:r w:rsidR="00075D5D" w:rsidRPr="00F362A1">
        <w:rPr>
          <w:rFonts w:ascii="Tahoma" w:eastAsia="Times New Roman" w:hAnsi="Tahoma" w:cs="Tahoma"/>
          <w:bCs/>
          <w:sz w:val="24"/>
          <w:szCs w:val="24"/>
        </w:rPr>
        <w:t xml:space="preserve"> trenurilor cu viteza maximă</w:t>
      </w:r>
      <w:r w:rsidRPr="00F362A1">
        <w:rPr>
          <w:rFonts w:ascii="Tahoma" w:eastAsia="Times New Roman" w:hAnsi="Tahoma" w:cs="Tahoma"/>
          <w:bCs/>
          <w:sz w:val="24"/>
          <w:szCs w:val="24"/>
        </w:rPr>
        <w:t xml:space="preserve"> de 160 km/h, </w:t>
      </w:r>
      <w:r w:rsidR="00860E3D" w:rsidRPr="00F362A1">
        <w:rPr>
          <w:rFonts w:ascii="Tahoma" w:eastAsia="Times New Roman" w:hAnsi="Tahoma" w:cs="Tahoma"/>
          <w:bCs/>
          <w:sz w:val="24"/>
          <w:szCs w:val="24"/>
        </w:rPr>
        <w:t>secțiunea</w:t>
      </w:r>
      <w:r w:rsidRPr="00F362A1">
        <w:rPr>
          <w:rFonts w:ascii="Tahoma" w:eastAsia="Times New Roman" w:hAnsi="Tahoma" w:cs="Tahoma"/>
          <w:bCs/>
          <w:sz w:val="24"/>
          <w:szCs w:val="24"/>
        </w:rPr>
        <w:t>: Coslariu – Simeria – 207,7 milioane lei</w:t>
      </w:r>
      <w:r w:rsidR="00075D5D" w:rsidRPr="00F362A1">
        <w:rPr>
          <w:rFonts w:ascii="Tahoma" w:eastAsia="Times New Roman" w:hAnsi="Tahoma" w:cs="Tahoma"/>
          <w:bCs/>
          <w:sz w:val="24"/>
          <w:szCs w:val="24"/>
        </w:rPr>
        <w:t>;</w:t>
      </w:r>
    </w:p>
    <w:p w:rsidR="004B7596" w:rsidRPr="00F362A1" w:rsidRDefault="004B7596" w:rsidP="002A6579">
      <w:pPr>
        <w:spacing w:after="120" w:line="276" w:lineRule="auto"/>
        <w:ind w:left="720" w:firstLine="0"/>
        <w:rPr>
          <w:rFonts w:ascii="Tahoma" w:eastAsia="Times New Roman" w:hAnsi="Tahoma" w:cs="Tahoma"/>
          <w:bCs/>
          <w:sz w:val="24"/>
          <w:szCs w:val="24"/>
        </w:rPr>
      </w:pPr>
      <w:r w:rsidRPr="00F362A1">
        <w:rPr>
          <w:rFonts w:ascii="Tahoma" w:eastAsia="Times New Roman" w:hAnsi="Tahoma" w:cs="Tahoma"/>
          <w:bCs/>
          <w:sz w:val="24"/>
          <w:szCs w:val="24"/>
        </w:rPr>
        <w:t>● Varianta ocolitoare a orașului Bacău pe DN 2 – etapa I – 170,1 milioane lei</w:t>
      </w:r>
      <w:r w:rsidR="00075D5D" w:rsidRPr="00F362A1">
        <w:rPr>
          <w:rFonts w:ascii="Tahoma" w:eastAsia="Times New Roman" w:hAnsi="Tahoma" w:cs="Tahoma"/>
          <w:bCs/>
          <w:sz w:val="24"/>
          <w:szCs w:val="24"/>
        </w:rPr>
        <w:t>;</w:t>
      </w:r>
    </w:p>
    <w:p w:rsidR="004B7596" w:rsidRPr="00F362A1" w:rsidRDefault="004B7596" w:rsidP="002A6579">
      <w:pPr>
        <w:spacing w:after="120" w:line="276" w:lineRule="auto"/>
        <w:ind w:left="720" w:firstLine="0"/>
        <w:rPr>
          <w:rFonts w:ascii="Tahoma" w:eastAsia="Times New Roman" w:hAnsi="Tahoma" w:cs="Tahoma"/>
          <w:bCs/>
          <w:sz w:val="24"/>
          <w:szCs w:val="24"/>
        </w:rPr>
      </w:pPr>
      <w:r w:rsidRPr="00F362A1">
        <w:rPr>
          <w:rFonts w:ascii="Tahoma" w:eastAsia="Times New Roman" w:hAnsi="Tahoma" w:cs="Tahoma"/>
          <w:bCs/>
          <w:sz w:val="24"/>
          <w:szCs w:val="24"/>
        </w:rPr>
        <w:t>● Mo</w:t>
      </w:r>
      <w:r w:rsidR="00075D5D" w:rsidRPr="00F362A1">
        <w:rPr>
          <w:rFonts w:ascii="Tahoma" w:eastAsia="Times New Roman" w:hAnsi="Tahoma" w:cs="Tahoma"/>
          <w:bCs/>
          <w:sz w:val="24"/>
          <w:szCs w:val="24"/>
        </w:rPr>
        <w:t>dernizarea liniei de cale ferată</w:t>
      </w:r>
      <w:r w:rsidRPr="00F362A1">
        <w:rPr>
          <w:rFonts w:ascii="Tahoma" w:eastAsia="Times New Roman" w:hAnsi="Tahoma" w:cs="Tahoma"/>
          <w:bCs/>
          <w:sz w:val="24"/>
          <w:szCs w:val="24"/>
        </w:rPr>
        <w:t xml:space="preserve"> </w:t>
      </w:r>
      <w:r w:rsidR="00860E3D" w:rsidRPr="00F362A1">
        <w:rPr>
          <w:rFonts w:ascii="Tahoma" w:eastAsia="Times New Roman" w:hAnsi="Tahoma" w:cs="Tahoma"/>
          <w:bCs/>
          <w:sz w:val="24"/>
          <w:szCs w:val="24"/>
        </w:rPr>
        <w:t>București</w:t>
      </w:r>
      <w:r w:rsidRPr="00F362A1">
        <w:rPr>
          <w:rFonts w:ascii="Tahoma" w:eastAsia="Times New Roman" w:hAnsi="Tahoma" w:cs="Tahoma"/>
          <w:bCs/>
          <w:sz w:val="24"/>
          <w:szCs w:val="24"/>
        </w:rPr>
        <w:t xml:space="preserve"> Nord - Aeropo</w:t>
      </w:r>
      <w:r w:rsidR="00075D5D" w:rsidRPr="00F362A1">
        <w:rPr>
          <w:rFonts w:ascii="Tahoma" w:eastAsia="Times New Roman" w:hAnsi="Tahoma" w:cs="Tahoma"/>
          <w:bCs/>
          <w:sz w:val="24"/>
          <w:szCs w:val="24"/>
        </w:rPr>
        <w:t xml:space="preserve">rt International Henri Coandă </w:t>
      </w:r>
      <w:r w:rsidR="00860E3D" w:rsidRPr="00F362A1">
        <w:rPr>
          <w:rFonts w:ascii="Tahoma" w:eastAsia="Times New Roman" w:hAnsi="Tahoma" w:cs="Tahoma"/>
          <w:bCs/>
          <w:sz w:val="24"/>
          <w:szCs w:val="24"/>
        </w:rPr>
        <w:t>București</w:t>
      </w:r>
      <w:r w:rsidRPr="00F362A1">
        <w:rPr>
          <w:rFonts w:ascii="Tahoma" w:eastAsia="Times New Roman" w:hAnsi="Tahoma" w:cs="Tahoma"/>
          <w:bCs/>
          <w:sz w:val="24"/>
          <w:szCs w:val="24"/>
        </w:rPr>
        <w:t xml:space="preserve"> - Faza I: Racord cf la Terminalul T1, Aer</w:t>
      </w:r>
      <w:r w:rsidR="00075D5D" w:rsidRPr="00F362A1">
        <w:rPr>
          <w:rFonts w:ascii="Tahoma" w:eastAsia="Times New Roman" w:hAnsi="Tahoma" w:cs="Tahoma"/>
          <w:bCs/>
          <w:sz w:val="24"/>
          <w:szCs w:val="24"/>
        </w:rPr>
        <w:t xml:space="preserve">oport International Henri Coandă </w:t>
      </w:r>
      <w:r w:rsidR="00860E3D" w:rsidRPr="00F362A1">
        <w:rPr>
          <w:rFonts w:ascii="Tahoma" w:eastAsia="Times New Roman" w:hAnsi="Tahoma" w:cs="Tahoma"/>
          <w:bCs/>
          <w:sz w:val="24"/>
          <w:szCs w:val="24"/>
        </w:rPr>
        <w:t>București</w:t>
      </w:r>
      <w:r w:rsidRPr="00F362A1">
        <w:rPr>
          <w:rFonts w:ascii="Tahoma" w:eastAsia="Times New Roman" w:hAnsi="Tahoma" w:cs="Tahoma"/>
          <w:bCs/>
          <w:sz w:val="24"/>
          <w:szCs w:val="24"/>
        </w:rPr>
        <w:t xml:space="preserve"> – 167,3 milioane lei;</w:t>
      </w:r>
    </w:p>
    <w:p w:rsidR="004B7596" w:rsidRPr="00F362A1" w:rsidRDefault="004B7596" w:rsidP="002A6579">
      <w:pPr>
        <w:spacing w:after="120" w:line="276" w:lineRule="auto"/>
        <w:ind w:left="720" w:firstLine="0"/>
        <w:rPr>
          <w:rFonts w:ascii="Tahoma" w:eastAsia="Times New Roman" w:hAnsi="Tahoma" w:cs="Tahoma"/>
          <w:bCs/>
          <w:sz w:val="24"/>
          <w:szCs w:val="24"/>
        </w:rPr>
      </w:pPr>
      <w:r w:rsidRPr="00F362A1">
        <w:rPr>
          <w:rFonts w:ascii="Tahoma" w:eastAsia="Times New Roman" w:hAnsi="Tahoma" w:cs="Tahoma"/>
          <w:bCs/>
          <w:sz w:val="24"/>
          <w:szCs w:val="24"/>
        </w:rPr>
        <w:t xml:space="preserve">● Reabilitarea infrastructurii principale de </w:t>
      </w:r>
      <w:r w:rsidR="00860E3D" w:rsidRPr="00F362A1">
        <w:rPr>
          <w:rFonts w:ascii="Tahoma" w:eastAsia="Times New Roman" w:hAnsi="Tahoma" w:cs="Tahoma"/>
          <w:bCs/>
          <w:sz w:val="24"/>
          <w:szCs w:val="24"/>
        </w:rPr>
        <w:t>irigații</w:t>
      </w:r>
      <w:r w:rsidRPr="00F362A1">
        <w:rPr>
          <w:rFonts w:ascii="Tahoma" w:eastAsia="Times New Roman" w:hAnsi="Tahoma" w:cs="Tahoma"/>
          <w:bCs/>
          <w:sz w:val="24"/>
          <w:szCs w:val="24"/>
        </w:rPr>
        <w:t xml:space="preserve"> - A – 112 milioane lei;</w:t>
      </w:r>
    </w:p>
    <w:p w:rsidR="004B7596" w:rsidRPr="00F362A1" w:rsidRDefault="004B7596" w:rsidP="002A6579">
      <w:pPr>
        <w:spacing w:after="120" w:line="276" w:lineRule="auto"/>
        <w:ind w:left="720" w:firstLine="0"/>
        <w:rPr>
          <w:rFonts w:ascii="Tahoma" w:eastAsia="Times New Roman" w:hAnsi="Tahoma" w:cs="Tahoma"/>
          <w:bCs/>
          <w:sz w:val="24"/>
          <w:szCs w:val="24"/>
        </w:rPr>
      </w:pPr>
      <w:r w:rsidRPr="00F362A1">
        <w:rPr>
          <w:rFonts w:ascii="Tahoma" w:eastAsia="Times New Roman" w:hAnsi="Tahoma" w:cs="Tahoma"/>
          <w:bCs/>
          <w:sz w:val="24"/>
          <w:szCs w:val="24"/>
        </w:rPr>
        <w:t>● Autostrada Brașov – Târgu Mureș – Cluj - Oradea – 87,5 milioane lei</w:t>
      </w:r>
      <w:r w:rsidR="00075D5D" w:rsidRPr="00F362A1">
        <w:rPr>
          <w:rFonts w:ascii="Tahoma" w:eastAsia="Times New Roman" w:hAnsi="Tahoma" w:cs="Tahoma"/>
          <w:bCs/>
          <w:sz w:val="24"/>
          <w:szCs w:val="24"/>
        </w:rPr>
        <w:t>.</w:t>
      </w:r>
    </w:p>
    <w:p w:rsidR="004B7596" w:rsidRPr="00F362A1" w:rsidRDefault="004B7596" w:rsidP="002A6579">
      <w:pPr>
        <w:spacing w:after="240" w:line="276" w:lineRule="auto"/>
        <w:ind w:firstLine="720"/>
        <w:rPr>
          <w:rFonts w:ascii="Tahoma" w:eastAsia="Times New Roman" w:hAnsi="Tahoma" w:cs="Tahoma"/>
          <w:bCs/>
          <w:sz w:val="24"/>
          <w:szCs w:val="24"/>
        </w:rPr>
      </w:pPr>
    </w:p>
    <w:p w:rsidR="004B7596" w:rsidRPr="00F362A1" w:rsidRDefault="004B7596" w:rsidP="002A6579">
      <w:pPr>
        <w:spacing w:after="240" w:line="276" w:lineRule="auto"/>
        <w:ind w:firstLine="720"/>
        <w:rPr>
          <w:rFonts w:ascii="Tahoma" w:eastAsia="Times New Roman" w:hAnsi="Tahoma" w:cs="Tahoma"/>
          <w:bCs/>
          <w:sz w:val="24"/>
          <w:szCs w:val="24"/>
        </w:rPr>
      </w:pPr>
    </w:p>
    <w:p w:rsidR="004718ED" w:rsidRPr="00F362A1" w:rsidRDefault="003C6123" w:rsidP="002A6579">
      <w:pPr>
        <w:spacing w:line="276" w:lineRule="auto"/>
        <w:ind w:firstLine="0"/>
        <w:rPr>
          <w:rFonts w:ascii="Tahoma" w:eastAsia="Times New Roman" w:hAnsi="Tahoma" w:cs="Tahoma"/>
          <w:bCs/>
          <w:sz w:val="24"/>
          <w:szCs w:val="24"/>
        </w:rPr>
      </w:pPr>
      <w:r w:rsidRPr="00F362A1">
        <w:rPr>
          <w:rFonts w:ascii="Tahoma" w:hAnsi="Tahoma" w:cs="Tahoma"/>
          <w:noProof/>
        </w:rPr>
        <w:lastRenderedPageBreak/>
        <w:drawing>
          <wp:inline distT="0" distB="0" distL="0" distR="0">
            <wp:extent cx="5638800" cy="3124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800" cy="3124200"/>
                    </a:xfrm>
                    <a:prstGeom prst="rect">
                      <a:avLst/>
                    </a:prstGeom>
                    <a:noFill/>
                    <a:ln>
                      <a:noFill/>
                    </a:ln>
                  </pic:spPr>
                </pic:pic>
              </a:graphicData>
            </a:graphic>
          </wp:inline>
        </w:drawing>
      </w:r>
    </w:p>
    <w:p w:rsidR="004D6D76" w:rsidRPr="00F362A1" w:rsidRDefault="004D6D76" w:rsidP="002A6579">
      <w:pPr>
        <w:spacing w:before="240" w:line="276" w:lineRule="auto"/>
        <w:ind w:firstLine="720"/>
        <w:contextualSpacing/>
        <w:rPr>
          <w:rFonts w:ascii="Tahoma" w:hAnsi="Tahoma" w:cs="Tahoma"/>
          <w:sz w:val="24"/>
          <w:szCs w:val="24"/>
        </w:rPr>
      </w:pPr>
    </w:p>
    <w:p w:rsidR="008C3835" w:rsidRPr="00F362A1" w:rsidRDefault="008C3835" w:rsidP="002A6579">
      <w:pPr>
        <w:spacing w:before="240" w:line="276" w:lineRule="auto"/>
        <w:ind w:firstLine="0"/>
        <w:contextualSpacing/>
        <w:rPr>
          <w:rFonts w:ascii="Tahoma" w:hAnsi="Tahoma" w:cs="Tahoma"/>
          <w:sz w:val="24"/>
          <w:szCs w:val="24"/>
        </w:rPr>
      </w:pPr>
    </w:p>
    <w:p w:rsidR="008C3835" w:rsidRPr="00F362A1" w:rsidRDefault="00F13A40" w:rsidP="002A6579">
      <w:pPr>
        <w:spacing w:before="240" w:line="276" w:lineRule="auto"/>
        <w:ind w:firstLine="0"/>
        <w:contextualSpacing/>
        <w:rPr>
          <w:rFonts w:ascii="Tahoma" w:hAnsi="Tahoma" w:cs="Tahoma"/>
          <w:sz w:val="24"/>
          <w:szCs w:val="24"/>
        </w:rPr>
      </w:pPr>
      <w:r w:rsidRPr="00F362A1">
        <w:rPr>
          <w:rFonts w:ascii="Tahoma" w:hAnsi="Tahoma" w:cs="Tahoma"/>
          <w:noProof/>
          <w:sz w:val="24"/>
          <w:szCs w:val="24"/>
        </w:rPr>
        <w:drawing>
          <wp:inline distT="0" distB="0" distL="0" distR="0">
            <wp:extent cx="5759450" cy="21048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2104803"/>
                    </a:xfrm>
                    <a:prstGeom prst="rect">
                      <a:avLst/>
                    </a:prstGeom>
                    <a:noFill/>
                    <a:ln>
                      <a:noFill/>
                    </a:ln>
                  </pic:spPr>
                </pic:pic>
              </a:graphicData>
            </a:graphic>
          </wp:inline>
        </w:drawing>
      </w:r>
    </w:p>
    <w:p w:rsidR="004D6D76" w:rsidRPr="00F362A1" w:rsidRDefault="004D6D76" w:rsidP="002A6579">
      <w:pPr>
        <w:keepNext/>
        <w:keepLines/>
        <w:spacing w:line="276" w:lineRule="auto"/>
        <w:ind w:firstLine="284"/>
        <w:rPr>
          <w:rFonts w:ascii="Tahoma" w:hAnsi="Tahoma" w:cs="Tahoma"/>
          <w:b/>
          <w:sz w:val="24"/>
          <w:szCs w:val="24"/>
        </w:rPr>
      </w:pPr>
    </w:p>
    <w:p w:rsidR="004D6D76" w:rsidRPr="00F362A1" w:rsidRDefault="004D6D76" w:rsidP="002A6579">
      <w:pPr>
        <w:keepNext/>
        <w:keepLines/>
        <w:spacing w:line="276" w:lineRule="auto"/>
        <w:ind w:firstLine="708"/>
        <w:rPr>
          <w:rFonts w:ascii="Tahoma" w:hAnsi="Tahoma" w:cs="Tahoma"/>
          <w:sz w:val="24"/>
          <w:szCs w:val="24"/>
        </w:rPr>
      </w:pPr>
      <w:r w:rsidRPr="00F362A1">
        <w:rPr>
          <w:rFonts w:ascii="Tahoma" w:hAnsi="Tahoma" w:cs="Tahoma"/>
          <w:b/>
          <w:sz w:val="24"/>
          <w:szCs w:val="24"/>
        </w:rPr>
        <w:t>Stocul plăților restante</w:t>
      </w:r>
      <w:r w:rsidRPr="00F362A1">
        <w:rPr>
          <w:rFonts w:ascii="Tahoma" w:hAnsi="Tahoma" w:cs="Tahoma"/>
          <w:sz w:val="24"/>
          <w:szCs w:val="24"/>
        </w:rPr>
        <w:t xml:space="preserve"> raportate la data de 30 iunie 20</w:t>
      </w:r>
      <w:r w:rsidR="00F326AB" w:rsidRPr="00F362A1">
        <w:rPr>
          <w:rFonts w:ascii="Tahoma" w:hAnsi="Tahoma" w:cs="Tahoma"/>
          <w:sz w:val="24"/>
          <w:szCs w:val="24"/>
        </w:rPr>
        <w:t>20</w:t>
      </w:r>
      <w:r w:rsidRPr="00F362A1">
        <w:rPr>
          <w:rFonts w:ascii="Tahoma" w:hAnsi="Tahoma" w:cs="Tahoma"/>
          <w:sz w:val="24"/>
          <w:szCs w:val="24"/>
        </w:rPr>
        <w:t xml:space="preserve"> a fost în sumă totală de </w:t>
      </w:r>
      <w:r w:rsidR="00F326AB" w:rsidRPr="00F362A1">
        <w:rPr>
          <w:rFonts w:ascii="Tahoma" w:hAnsi="Tahoma" w:cs="Tahoma"/>
          <w:sz w:val="24"/>
          <w:szCs w:val="24"/>
        </w:rPr>
        <w:t>1.253,6</w:t>
      </w:r>
      <w:r w:rsidRPr="00F362A1">
        <w:rPr>
          <w:rFonts w:ascii="Tahoma" w:hAnsi="Tahoma" w:cs="Tahoma"/>
          <w:sz w:val="24"/>
          <w:szCs w:val="24"/>
        </w:rPr>
        <w:t xml:space="preserve"> milioane lei, cu </w:t>
      </w:r>
      <w:r w:rsidR="00F326AB" w:rsidRPr="00F362A1">
        <w:rPr>
          <w:rFonts w:ascii="Tahoma" w:hAnsi="Tahoma" w:cs="Tahoma"/>
          <w:sz w:val="24"/>
          <w:szCs w:val="24"/>
        </w:rPr>
        <w:t>33</w:t>
      </w:r>
      <w:r w:rsidR="00E707FE" w:rsidRPr="00F362A1">
        <w:rPr>
          <w:rFonts w:ascii="Tahoma" w:hAnsi="Tahoma" w:cs="Tahoma"/>
          <w:sz w:val="24"/>
          <w:szCs w:val="24"/>
        </w:rPr>
        <w:t>,</w:t>
      </w:r>
      <w:r w:rsidR="00F326AB" w:rsidRPr="00F362A1">
        <w:rPr>
          <w:rFonts w:ascii="Tahoma" w:hAnsi="Tahoma" w:cs="Tahoma"/>
          <w:sz w:val="24"/>
          <w:szCs w:val="24"/>
        </w:rPr>
        <w:t>8</w:t>
      </w:r>
      <w:r w:rsidRPr="00F362A1">
        <w:rPr>
          <w:rFonts w:ascii="Tahoma" w:hAnsi="Tahoma" w:cs="Tahoma"/>
          <w:sz w:val="24"/>
          <w:szCs w:val="24"/>
        </w:rPr>
        <w:t>% peste nivelul înregistrat la data de 30 iunie 20</w:t>
      </w:r>
      <w:r w:rsidR="00F326AB" w:rsidRPr="00F362A1">
        <w:rPr>
          <w:rFonts w:ascii="Tahoma" w:hAnsi="Tahoma" w:cs="Tahoma"/>
          <w:sz w:val="24"/>
          <w:szCs w:val="24"/>
        </w:rPr>
        <w:t>19</w:t>
      </w:r>
      <w:r w:rsidRPr="00F362A1">
        <w:rPr>
          <w:rFonts w:ascii="Tahoma" w:hAnsi="Tahoma" w:cs="Tahoma"/>
          <w:sz w:val="24"/>
          <w:szCs w:val="24"/>
        </w:rPr>
        <w:t xml:space="preserve">, pe fondul creșterii plăților restante în administrația locală cu </w:t>
      </w:r>
      <w:r w:rsidR="00F326AB" w:rsidRPr="00F362A1">
        <w:rPr>
          <w:rFonts w:ascii="Tahoma" w:hAnsi="Tahoma" w:cs="Tahoma"/>
          <w:sz w:val="24"/>
          <w:szCs w:val="24"/>
        </w:rPr>
        <w:t>38</w:t>
      </w:r>
      <w:r w:rsidRPr="00F362A1">
        <w:rPr>
          <w:rFonts w:ascii="Tahoma" w:hAnsi="Tahoma" w:cs="Tahoma"/>
          <w:sz w:val="24"/>
          <w:szCs w:val="24"/>
        </w:rPr>
        <w:t xml:space="preserve">,9%. La nivelul administrație centrale s-a înregistrat o </w:t>
      </w:r>
      <w:r w:rsidR="00F6547E" w:rsidRPr="00F362A1">
        <w:rPr>
          <w:rFonts w:ascii="Tahoma" w:hAnsi="Tahoma" w:cs="Tahoma"/>
          <w:sz w:val="24"/>
          <w:szCs w:val="24"/>
        </w:rPr>
        <w:t>creștere a plăților restante cu 18</w:t>
      </w:r>
      <w:r w:rsidRPr="00F362A1">
        <w:rPr>
          <w:rFonts w:ascii="Tahoma" w:hAnsi="Tahoma" w:cs="Tahoma"/>
          <w:sz w:val="24"/>
          <w:szCs w:val="24"/>
        </w:rPr>
        <w:t>,</w:t>
      </w:r>
      <w:r w:rsidR="00F6547E" w:rsidRPr="00F362A1">
        <w:rPr>
          <w:rFonts w:ascii="Tahoma" w:hAnsi="Tahoma" w:cs="Tahoma"/>
          <w:sz w:val="24"/>
          <w:szCs w:val="24"/>
        </w:rPr>
        <w:t>9</w:t>
      </w:r>
      <w:r w:rsidRPr="00F362A1">
        <w:rPr>
          <w:rFonts w:ascii="Tahoma" w:hAnsi="Tahoma" w:cs="Tahoma"/>
          <w:sz w:val="24"/>
          <w:szCs w:val="24"/>
        </w:rPr>
        <w:t>% comparativ cu semestrul I 201</w:t>
      </w:r>
      <w:r w:rsidR="00F6547E" w:rsidRPr="00F362A1">
        <w:rPr>
          <w:rFonts w:ascii="Tahoma" w:hAnsi="Tahoma" w:cs="Tahoma"/>
          <w:sz w:val="24"/>
          <w:szCs w:val="24"/>
        </w:rPr>
        <w:t>9</w:t>
      </w:r>
      <w:r w:rsidRPr="00F362A1">
        <w:rPr>
          <w:rFonts w:ascii="Tahoma" w:hAnsi="Tahoma" w:cs="Tahoma"/>
          <w:sz w:val="24"/>
          <w:szCs w:val="24"/>
        </w:rPr>
        <w:t>.</w:t>
      </w:r>
    </w:p>
    <w:p w:rsidR="00BF6828" w:rsidRPr="00F362A1" w:rsidRDefault="004D6D76" w:rsidP="002A6579">
      <w:pPr>
        <w:keepNext/>
        <w:keepLines/>
        <w:spacing w:line="276" w:lineRule="auto"/>
        <w:ind w:firstLine="567"/>
        <w:rPr>
          <w:rFonts w:ascii="Tahoma" w:hAnsi="Tahoma" w:cs="Tahoma"/>
          <w:sz w:val="24"/>
          <w:szCs w:val="24"/>
        </w:rPr>
      </w:pPr>
      <w:r w:rsidRPr="00F362A1">
        <w:rPr>
          <w:rFonts w:ascii="Tahoma" w:hAnsi="Tahoma" w:cs="Tahoma"/>
          <w:b/>
          <w:sz w:val="24"/>
          <w:szCs w:val="24"/>
        </w:rPr>
        <w:t>Arieratele</w:t>
      </w:r>
      <w:r w:rsidRPr="00F362A1">
        <w:rPr>
          <w:rFonts w:ascii="Tahoma" w:hAnsi="Tahoma" w:cs="Tahoma"/>
          <w:sz w:val="24"/>
          <w:szCs w:val="24"/>
        </w:rPr>
        <w:t xml:space="preserve"> (plățile restante peste 90 de zile) înregistrate la data de 30 iunie 20</w:t>
      </w:r>
      <w:r w:rsidR="005F757C" w:rsidRPr="00F362A1">
        <w:rPr>
          <w:rFonts w:ascii="Tahoma" w:hAnsi="Tahoma" w:cs="Tahoma"/>
          <w:sz w:val="24"/>
          <w:szCs w:val="24"/>
        </w:rPr>
        <w:t>20</w:t>
      </w:r>
      <w:r w:rsidRPr="00F362A1">
        <w:rPr>
          <w:rFonts w:ascii="Tahoma" w:hAnsi="Tahoma" w:cs="Tahoma"/>
          <w:sz w:val="24"/>
          <w:szCs w:val="24"/>
        </w:rPr>
        <w:t xml:space="preserve"> au fost în sumă de </w:t>
      </w:r>
      <w:r w:rsidR="005F757C" w:rsidRPr="00F362A1">
        <w:rPr>
          <w:rFonts w:ascii="Tahoma" w:hAnsi="Tahoma" w:cs="Tahoma"/>
          <w:sz w:val="24"/>
          <w:szCs w:val="24"/>
        </w:rPr>
        <w:t>246</w:t>
      </w:r>
      <w:r w:rsidRPr="00F362A1">
        <w:rPr>
          <w:rFonts w:ascii="Tahoma" w:hAnsi="Tahoma" w:cs="Tahoma"/>
          <w:sz w:val="24"/>
          <w:szCs w:val="24"/>
        </w:rPr>
        <w:t>,</w:t>
      </w:r>
      <w:r w:rsidR="005F757C" w:rsidRPr="00F362A1">
        <w:rPr>
          <w:rFonts w:ascii="Tahoma" w:hAnsi="Tahoma" w:cs="Tahoma"/>
          <w:sz w:val="24"/>
          <w:szCs w:val="24"/>
        </w:rPr>
        <w:t>1</w:t>
      </w:r>
      <w:r w:rsidRPr="00F362A1">
        <w:rPr>
          <w:rFonts w:ascii="Tahoma" w:hAnsi="Tahoma" w:cs="Tahoma"/>
          <w:sz w:val="24"/>
          <w:szCs w:val="24"/>
        </w:rPr>
        <w:t xml:space="preserve"> milioane lei, în c</w:t>
      </w:r>
      <w:r w:rsidR="005F757C" w:rsidRPr="00F362A1">
        <w:rPr>
          <w:rFonts w:ascii="Tahoma" w:hAnsi="Tahoma" w:cs="Tahoma"/>
          <w:sz w:val="24"/>
          <w:szCs w:val="24"/>
        </w:rPr>
        <w:t>reștere</w:t>
      </w:r>
      <w:r w:rsidRPr="00F362A1">
        <w:rPr>
          <w:rFonts w:ascii="Tahoma" w:hAnsi="Tahoma" w:cs="Tahoma"/>
          <w:sz w:val="24"/>
          <w:szCs w:val="24"/>
        </w:rPr>
        <w:t xml:space="preserve"> cu </w:t>
      </w:r>
      <w:r w:rsidR="005F757C" w:rsidRPr="00F362A1">
        <w:rPr>
          <w:rFonts w:ascii="Tahoma" w:hAnsi="Tahoma" w:cs="Tahoma"/>
          <w:sz w:val="24"/>
          <w:szCs w:val="24"/>
        </w:rPr>
        <w:t>36</w:t>
      </w:r>
      <w:r w:rsidRPr="00F362A1">
        <w:rPr>
          <w:rFonts w:ascii="Tahoma" w:hAnsi="Tahoma" w:cs="Tahoma"/>
          <w:sz w:val="24"/>
          <w:szCs w:val="24"/>
        </w:rPr>
        <w:t>,</w:t>
      </w:r>
      <w:r w:rsidR="005F757C" w:rsidRPr="00F362A1">
        <w:rPr>
          <w:rFonts w:ascii="Tahoma" w:hAnsi="Tahoma" w:cs="Tahoma"/>
          <w:sz w:val="24"/>
          <w:szCs w:val="24"/>
        </w:rPr>
        <w:t>4</w:t>
      </w:r>
      <w:r w:rsidRPr="00F362A1">
        <w:rPr>
          <w:rFonts w:ascii="Tahoma" w:hAnsi="Tahoma" w:cs="Tahoma"/>
          <w:sz w:val="24"/>
          <w:szCs w:val="24"/>
        </w:rPr>
        <w:t>% comparativ cu cele înregistrate la data de 30 iunie 20</w:t>
      </w:r>
      <w:r w:rsidR="005F757C" w:rsidRPr="00F362A1">
        <w:rPr>
          <w:rFonts w:ascii="Tahoma" w:hAnsi="Tahoma" w:cs="Tahoma"/>
          <w:sz w:val="24"/>
          <w:szCs w:val="24"/>
        </w:rPr>
        <w:t>19</w:t>
      </w:r>
      <w:r w:rsidRPr="00F362A1">
        <w:rPr>
          <w:rFonts w:ascii="Tahoma" w:hAnsi="Tahoma" w:cs="Tahoma"/>
          <w:sz w:val="24"/>
          <w:szCs w:val="24"/>
        </w:rPr>
        <w:t xml:space="preserve"> pe fondul </w:t>
      </w:r>
      <w:r w:rsidR="005F757C" w:rsidRPr="00F362A1">
        <w:rPr>
          <w:rFonts w:ascii="Tahoma" w:hAnsi="Tahoma" w:cs="Tahoma"/>
          <w:sz w:val="24"/>
          <w:szCs w:val="24"/>
        </w:rPr>
        <w:t>cr</w:t>
      </w:r>
      <w:r w:rsidRPr="00F362A1">
        <w:rPr>
          <w:rFonts w:ascii="Tahoma" w:hAnsi="Tahoma" w:cs="Tahoma"/>
          <w:sz w:val="24"/>
          <w:szCs w:val="24"/>
        </w:rPr>
        <w:t>e</w:t>
      </w:r>
      <w:r w:rsidR="005F757C" w:rsidRPr="00F362A1">
        <w:rPr>
          <w:rFonts w:ascii="Tahoma" w:hAnsi="Tahoma" w:cs="Tahoma"/>
          <w:sz w:val="24"/>
          <w:szCs w:val="24"/>
        </w:rPr>
        <w:t>șt</w:t>
      </w:r>
      <w:r w:rsidRPr="00F362A1">
        <w:rPr>
          <w:rFonts w:ascii="Tahoma" w:hAnsi="Tahoma" w:cs="Tahoma"/>
          <w:sz w:val="24"/>
          <w:szCs w:val="24"/>
        </w:rPr>
        <w:t>erii arieratelor atât în administrația locală, cât și la nivelul administrației centrale. Arieratele din administrația locală au reprezentat 8</w:t>
      </w:r>
      <w:r w:rsidR="005F757C" w:rsidRPr="00F362A1">
        <w:rPr>
          <w:rFonts w:ascii="Tahoma" w:hAnsi="Tahoma" w:cs="Tahoma"/>
          <w:sz w:val="24"/>
          <w:szCs w:val="24"/>
        </w:rPr>
        <w:t>8</w:t>
      </w:r>
      <w:r w:rsidRPr="00F362A1">
        <w:rPr>
          <w:rFonts w:ascii="Tahoma" w:hAnsi="Tahoma" w:cs="Tahoma"/>
          <w:sz w:val="24"/>
          <w:szCs w:val="24"/>
        </w:rPr>
        <w:t>,</w:t>
      </w:r>
      <w:r w:rsidR="005F757C" w:rsidRPr="00F362A1">
        <w:rPr>
          <w:rFonts w:ascii="Tahoma" w:hAnsi="Tahoma" w:cs="Tahoma"/>
          <w:sz w:val="24"/>
          <w:szCs w:val="24"/>
        </w:rPr>
        <w:t>3</w:t>
      </w:r>
      <w:r w:rsidRPr="00F362A1">
        <w:rPr>
          <w:rFonts w:ascii="Tahoma" w:hAnsi="Tahoma" w:cs="Tahoma"/>
          <w:sz w:val="24"/>
          <w:szCs w:val="24"/>
        </w:rPr>
        <w:t>% din totalul arieratelor înregistrate la 30 iunie 20</w:t>
      </w:r>
      <w:r w:rsidR="005F757C" w:rsidRPr="00F362A1">
        <w:rPr>
          <w:rFonts w:ascii="Tahoma" w:hAnsi="Tahoma" w:cs="Tahoma"/>
          <w:sz w:val="24"/>
          <w:szCs w:val="24"/>
        </w:rPr>
        <w:t>20</w:t>
      </w:r>
      <w:r w:rsidRPr="00F362A1">
        <w:rPr>
          <w:rFonts w:ascii="Tahoma" w:hAnsi="Tahoma" w:cs="Tahoma"/>
          <w:sz w:val="24"/>
          <w:szCs w:val="24"/>
        </w:rPr>
        <w:t>.</w:t>
      </w:r>
    </w:p>
    <w:p w:rsidR="007C4F03" w:rsidRPr="00F362A1" w:rsidRDefault="008A700D" w:rsidP="002A6579">
      <w:pPr>
        <w:keepNext/>
        <w:keepLines/>
        <w:spacing w:line="276" w:lineRule="auto"/>
        <w:ind w:firstLine="567"/>
        <w:rPr>
          <w:rFonts w:ascii="Tahoma" w:hAnsi="Tahoma" w:cs="Tahoma"/>
          <w:sz w:val="24"/>
          <w:szCs w:val="24"/>
        </w:rPr>
      </w:pPr>
      <w:r w:rsidRPr="00F362A1">
        <w:rPr>
          <w:rFonts w:ascii="Tahoma" w:hAnsi="Tahoma" w:cs="Tahoma"/>
          <w:sz w:val="24"/>
          <w:szCs w:val="24"/>
        </w:rPr>
        <w:br w:type="page"/>
      </w:r>
    </w:p>
    <w:p w:rsidR="00155F43" w:rsidRPr="00F362A1" w:rsidRDefault="00C43AD2" w:rsidP="002A6579">
      <w:pPr>
        <w:pStyle w:val="ListParagraph"/>
        <w:keepNext/>
        <w:keepLines/>
        <w:spacing w:line="276" w:lineRule="auto"/>
        <w:ind w:left="567"/>
        <w:outlineLvl w:val="0"/>
        <w:rPr>
          <w:rFonts w:ascii="Tahoma" w:hAnsi="Tahoma" w:cs="Tahoma"/>
          <w:b/>
          <w:sz w:val="24"/>
          <w:szCs w:val="24"/>
        </w:rPr>
      </w:pPr>
      <w:bookmarkStart w:id="33" w:name="_Toc47687158"/>
      <w:r w:rsidRPr="00F362A1">
        <w:rPr>
          <w:rFonts w:ascii="Tahoma" w:hAnsi="Tahoma" w:cs="Tahoma"/>
          <w:b/>
          <w:sz w:val="24"/>
          <w:szCs w:val="24"/>
        </w:rPr>
        <w:lastRenderedPageBreak/>
        <w:t xml:space="preserve">IV. Finanțarea deficitului bugetar </w:t>
      </w:r>
      <w:r w:rsidR="00E771E4" w:rsidRPr="00F362A1">
        <w:rPr>
          <w:rFonts w:ascii="Tahoma" w:hAnsi="Tahoma" w:cs="Tahoma"/>
          <w:b/>
          <w:sz w:val="24"/>
          <w:szCs w:val="24"/>
        </w:rPr>
        <w:t>și</w:t>
      </w:r>
      <w:r w:rsidRPr="00F362A1">
        <w:rPr>
          <w:rFonts w:ascii="Tahoma" w:hAnsi="Tahoma" w:cs="Tahoma"/>
          <w:b/>
          <w:sz w:val="24"/>
          <w:szCs w:val="24"/>
        </w:rPr>
        <w:t xml:space="preserve"> datoria publică</w:t>
      </w:r>
      <w:bookmarkEnd w:id="33"/>
    </w:p>
    <w:p w:rsidR="00D31CEE" w:rsidRPr="00F362A1" w:rsidRDefault="00D31CEE" w:rsidP="002A6579">
      <w:pPr>
        <w:spacing w:line="276" w:lineRule="auto"/>
        <w:rPr>
          <w:rFonts w:ascii="Tahoma" w:hAnsi="Tahoma" w:cs="Tahoma"/>
          <w:b/>
          <w:bCs/>
          <w:sz w:val="24"/>
          <w:szCs w:val="24"/>
        </w:rPr>
      </w:pPr>
      <w:bookmarkStart w:id="34" w:name="RANGE!B1:I9"/>
      <w:bookmarkEnd w:id="34"/>
    </w:p>
    <w:p w:rsidR="00D31CEE" w:rsidRPr="00F362A1" w:rsidRDefault="00D31CEE" w:rsidP="002A6579">
      <w:pPr>
        <w:widowControl w:val="0"/>
        <w:spacing w:after="120" w:line="276" w:lineRule="auto"/>
        <w:ind w:left="720" w:hanging="720"/>
        <w:rPr>
          <w:rFonts w:ascii="Tahoma" w:hAnsi="Tahoma" w:cs="Tahoma"/>
          <w:b/>
          <w:bCs/>
          <w:sz w:val="24"/>
          <w:szCs w:val="24"/>
        </w:rPr>
      </w:pPr>
      <w:r w:rsidRPr="00F362A1">
        <w:rPr>
          <w:rFonts w:ascii="Tahoma" w:hAnsi="Tahoma" w:cs="Tahoma"/>
          <w:b/>
          <w:bCs/>
          <w:sz w:val="24"/>
          <w:szCs w:val="24"/>
        </w:rPr>
        <w:t>VI.1 Datoria publică</w:t>
      </w:r>
    </w:p>
    <w:p w:rsidR="00D31CEE" w:rsidRPr="00F362A1" w:rsidRDefault="00D31CEE" w:rsidP="002A6579">
      <w:pPr>
        <w:widowControl w:val="0"/>
        <w:spacing w:after="120" w:line="276" w:lineRule="auto"/>
        <w:ind w:firstLine="720"/>
        <w:rPr>
          <w:rFonts w:ascii="Tahoma" w:hAnsi="Tahoma" w:cs="Tahoma"/>
          <w:sz w:val="24"/>
          <w:szCs w:val="24"/>
        </w:rPr>
      </w:pPr>
      <w:r w:rsidRPr="00F362A1">
        <w:rPr>
          <w:rFonts w:ascii="Tahoma" w:hAnsi="Tahoma" w:cs="Tahoma"/>
          <w:sz w:val="24"/>
          <w:szCs w:val="24"/>
        </w:rPr>
        <w:t xml:space="preserve">Datoria guvernamentală conform metodologiei UE s-a situat la data de 31 mai 2020 la un nivel de 39,9% din PIB în creștere, comparativ cu nivelul de 35,2% din PIB, cât s-a înregistrat la sfârșitul anului 2019, dar sub plafonul de 41% din PIB stabilit prin </w:t>
      </w:r>
      <w:r w:rsidRPr="00F362A1">
        <w:rPr>
          <w:rFonts w:ascii="Tahoma" w:eastAsia="MS Mincho" w:hAnsi="Tahoma" w:cs="Tahoma"/>
          <w:noProof/>
          <w:sz w:val="24"/>
          <w:szCs w:val="24"/>
          <w:lang w:eastAsia="ja-JP"/>
        </w:rPr>
        <w:t xml:space="preserve">Ordonanța de urgență a Guvernului nr. 50/2020 </w:t>
      </w:r>
      <w:r w:rsidRPr="00F362A1">
        <w:rPr>
          <w:rFonts w:ascii="Tahoma" w:hAnsi="Tahoma" w:cs="Tahoma"/>
          <w:noProof/>
          <w:sz w:val="24"/>
          <w:szCs w:val="24"/>
          <w:lang w:eastAsia="ro-RO"/>
        </w:rPr>
        <w:t>cu privire la rectificarea bugetului de stat  pe anul 2020.</w:t>
      </w:r>
    </w:p>
    <w:p w:rsidR="00D31CEE" w:rsidRPr="00F362A1" w:rsidRDefault="00D31CEE" w:rsidP="002A6579">
      <w:pPr>
        <w:widowControl w:val="0"/>
        <w:spacing w:after="120" w:line="276" w:lineRule="auto"/>
        <w:ind w:firstLine="720"/>
        <w:rPr>
          <w:rFonts w:ascii="Tahoma" w:hAnsi="Tahoma" w:cs="Tahoma"/>
          <w:sz w:val="24"/>
          <w:szCs w:val="24"/>
        </w:rPr>
      </w:pPr>
      <w:r w:rsidRPr="00F362A1">
        <w:rPr>
          <w:rFonts w:ascii="Tahoma" w:hAnsi="Tahoma" w:cs="Tahoma"/>
          <w:sz w:val="24"/>
          <w:szCs w:val="24"/>
        </w:rPr>
        <w:t xml:space="preserve">Din datoria guvernamentală înregistrată la 31 mai 2020, datoria internă a reprezentat  20,7 % din PIB, iar datoria externă a fost de 19,2 % din PIB. </w:t>
      </w:r>
    </w:p>
    <w:p w:rsidR="00D31CEE" w:rsidRPr="00F362A1" w:rsidRDefault="00D31CEE" w:rsidP="002A6579">
      <w:pPr>
        <w:widowControl w:val="0"/>
        <w:spacing w:after="120" w:line="276" w:lineRule="auto"/>
        <w:ind w:firstLine="720"/>
        <w:rPr>
          <w:rFonts w:ascii="Tahoma" w:hAnsi="Tahoma" w:cs="Tahoma"/>
          <w:bCs/>
          <w:sz w:val="24"/>
          <w:szCs w:val="24"/>
        </w:rPr>
      </w:pPr>
      <w:r w:rsidRPr="00F362A1">
        <w:rPr>
          <w:rFonts w:ascii="Tahoma" w:hAnsi="Tahoma" w:cs="Tahoma"/>
          <w:bCs/>
          <w:sz w:val="24"/>
          <w:szCs w:val="24"/>
        </w:rPr>
        <w:t>Conform datelor publicate de EUROSTAT,</w:t>
      </w:r>
      <w:r w:rsidRPr="00F362A1">
        <w:rPr>
          <w:rStyle w:val="FootnoteReference"/>
          <w:rFonts w:ascii="Tahoma" w:hAnsi="Tahoma" w:cs="Tahoma"/>
          <w:bCs/>
          <w:sz w:val="24"/>
          <w:szCs w:val="24"/>
        </w:rPr>
        <w:footnoteReference w:id="6"/>
      </w:r>
      <w:r w:rsidR="00452E2C" w:rsidRPr="00F362A1">
        <w:rPr>
          <w:rFonts w:ascii="Tahoma" w:hAnsi="Tahoma" w:cs="Tahoma"/>
          <w:bCs/>
          <w:sz w:val="24"/>
          <w:szCs w:val="24"/>
        </w:rPr>
        <w:t xml:space="preserve"> </w:t>
      </w:r>
      <w:r w:rsidRPr="00F362A1">
        <w:rPr>
          <w:rFonts w:ascii="Tahoma" w:eastAsia="Times New Roman" w:hAnsi="Tahoma" w:cs="Tahoma"/>
          <w:sz w:val="24"/>
          <w:szCs w:val="24"/>
        </w:rPr>
        <w:t xml:space="preserve">la sfârșitul anului 2019, </w:t>
      </w:r>
      <w:r w:rsidRPr="00F362A1">
        <w:rPr>
          <w:rFonts w:ascii="Tahoma" w:hAnsi="Tahoma" w:cs="Tahoma"/>
          <w:bCs/>
          <w:sz w:val="24"/>
          <w:szCs w:val="24"/>
        </w:rPr>
        <w:t xml:space="preserve">România (35,2% din PIB) s-a situat pe locul 7 între statele membre UE cu cel mai scăzut nivel de îndatorare după Estonia (8,4% din PIB), Bulgaria (20,4% din PIB), Luxemburg (22,1% din PIB),  Republica Cehă (30,8% din PIB), Danemarca (33,2% din PIB) si Suedia (35,1% din PIB), sub media datoriei publice guvernamentale pentru zona euro-EA 19 (84,1% din PIB), dar </w:t>
      </w:r>
      <w:r w:rsidR="00860E3D" w:rsidRPr="00F362A1">
        <w:rPr>
          <w:rFonts w:ascii="Tahoma" w:hAnsi="Tahoma" w:cs="Tahoma"/>
          <w:bCs/>
          <w:sz w:val="24"/>
          <w:szCs w:val="24"/>
        </w:rPr>
        <w:t>și</w:t>
      </w:r>
      <w:r w:rsidRPr="00F362A1">
        <w:rPr>
          <w:rFonts w:ascii="Tahoma" w:hAnsi="Tahoma" w:cs="Tahoma"/>
          <w:bCs/>
          <w:sz w:val="24"/>
          <w:szCs w:val="24"/>
        </w:rPr>
        <w:t xml:space="preserve"> sub media datoriei guvernamentale pentru UE27 (77,8% din PIB).</w:t>
      </w:r>
    </w:p>
    <w:p w:rsidR="00D31CEE" w:rsidRPr="00F362A1" w:rsidRDefault="00D31CEE" w:rsidP="002A6579">
      <w:pPr>
        <w:widowControl w:val="0"/>
        <w:spacing w:after="120" w:line="276" w:lineRule="auto"/>
        <w:ind w:firstLine="720"/>
        <w:rPr>
          <w:rFonts w:ascii="Tahoma" w:hAnsi="Tahoma" w:cs="Tahoma"/>
          <w:bCs/>
          <w:sz w:val="24"/>
          <w:szCs w:val="24"/>
        </w:rPr>
      </w:pPr>
      <w:r w:rsidRPr="00F362A1">
        <w:rPr>
          <w:rFonts w:ascii="Tahoma" w:hAnsi="Tahoma" w:cs="Tahoma"/>
          <w:bCs/>
          <w:sz w:val="24"/>
          <w:szCs w:val="24"/>
        </w:rPr>
        <w:t>Un număr de 11 state membre au înregistrat, la finele anului 2019, un nivel al datoriei publice guvernamentale în PIB de peste 60% din PIB cele mai ridicate niveluri înregistrându-se în Grecia (176,6%), Italia (134,8%), Portugalia (117,7%), Belgia (98,6%) și Franța (98,1%).</w:t>
      </w:r>
    </w:p>
    <w:p w:rsidR="00D31CEE" w:rsidRPr="00F362A1" w:rsidRDefault="00D31CEE" w:rsidP="002A6579">
      <w:pPr>
        <w:widowControl w:val="0"/>
        <w:spacing w:after="120" w:line="276" w:lineRule="auto"/>
        <w:ind w:firstLine="720"/>
        <w:rPr>
          <w:rFonts w:ascii="Tahoma" w:hAnsi="Tahoma" w:cs="Tahoma"/>
          <w:bCs/>
          <w:sz w:val="24"/>
          <w:szCs w:val="24"/>
        </w:rPr>
      </w:pPr>
    </w:p>
    <w:p w:rsidR="00D31CEE" w:rsidRPr="00F362A1" w:rsidRDefault="00D31CEE" w:rsidP="002A6579">
      <w:pPr>
        <w:widowControl w:val="0"/>
        <w:spacing w:after="120" w:line="276" w:lineRule="auto"/>
        <w:ind w:firstLine="0"/>
        <w:rPr>
          <w:rFonts w:ascii="Tahoma" w:eastAsia="MS Mincho" w:hAnsi="Tahoma" w:cs="Tahoma"/>
          <w:sz w:val="24"/>
          <w:szCs w:val="24"/>
          <w:lang w:eastAsia="ja-JP"/>
        </w:rPr>
      </w:pPr>
      <w:r w:rsidRPr="00F362A1">
        <w:rPr>
          <w:rFonts w:ascii="Tahoma" w:hAnsi="Tahoma" w:cs="Tahoma"/>
          <w:b/>
          <w:bCs/>
          <w:sz w:val="24"/>
          <w:szCs w:val="24"/>
        </w:rPr>
        <w:t xml:space="preserve">VI.2 Finanțarea deficitului bugetar </w:t>
      </w:r>
    </w:p>
    <w:p w:rsidR="00D31CEE" w:rsidRPr="00F362A1" w:rsidRDefault="00D31CEE" w:rsidP="002A6579">
      <w:pPr>
        <w:spacing w:line="276" w:lineRule="auto"/>
        <w:ind w:firstLine="720"/>
        <w:rPr>
          <w:rFonts w:ascii="Tahoma" w:eastAsia="MS Mincho" w:hAnsi="Tahoma" w:cs="Tahoma"/>
          <w:sz w:val="24"/>
          <w:szCs w:val="24"/>
          <w:lang w:eastAsia="ja-JP"/>
        </w:rPr>
      </w:pPr>
      <w:r w:rsidRPr="00F362A1">
        <w:rPr>
          <w:rFonts w:ascii="Tahoma" w:eastAsia="MS Mincho" w:hAnsi="Tahoma" w:cs="Tahoma"/>
          <w:sz w:val="24"/>
          <w:szCs w:val="24"/>
          <w:lang w:eastAsia="ja-JP"/>
        </w:rPr>
        <w:t>Finanțarea deficitului bugetar pentru semestrul I 2020 s-a realizat în principal din surse interne, prin emisiuni de titluri de stat lansate pe piața internă și în completare din surse externe. Sursele necesare refinanțării datoriei publice guvernamentale s-au asigurat de pe piețele pe care s-au emis aceste datorii şi din rezerva financiară în valută la dispoziția MFP.</w:t>
      </w:r>
    </w:p>
    <w:p w:rsidR="00D31CEE" w:rsidRPr="00F362A1" w:rsidRDefault="00D31CEE" w:rsidP="002A6579">
      <w:pPr>
        <w:autoSpaceDE w:val="0"/>
        <w:autoSpaceDN w:val="0"/>
        <w:adjustRightInd w:val="0"/>
        <w:spacing w:line="276" w:lineRule="auto"/>
        <w:ind w:firstLine="720"/>
        <w:rPr>
          <w:rFonts w:ascii="Tahoma" w:hAnsi="Tahoma" w:cs="Tahoma"/>
          <w:sz w:val="24"/>
          <w:szCs w:val="24"/>
          <w:lang w:eastAsia="ro-RO"/>
        </w:rPr>
      </w:pPr>
      <w:r w:rsidRPr="00F362A1">
        <w:rPr>
          <w:rFonts w:ascii="Tahoma" w:eastAsia="MS Mincho" w:hAnsi="Tahoma" w:cs="Tahoma"/>
          <w:sz w:val="24"/>
          <w:szCs w:val="24"/>
          <w:lang w:eastAsia="ja-JP"/>
        </w:rPr>
        <w:t>Instrumentele de datorie în semestrul I 2020 pentru finanțarea deficitului bugetar şi refinanțarea datoriei publice au fost următoarele:</w:t>
      </w:r>
    </w:p>
    <w:p w:rsidR="00D31CEE" w:rsidRPr="00F362A1" w:rsidRDefault="00D31CEE" w:rsidP="002A6579">
      <w:pPr>
        <w:autoSpaceDE w:val="0"/>
        <w:autoSpaceDN w:val="0"/>
        <w:adjustRightInd w:val="0"/>
        <w:spacing w:line="276" w:lineRule="auto"/>
        <w:rPr>
          <w:rFonts w:ascii="Tahoma" w:hAnsi="Tahoma" w:cs="Tahoma"/>
          <w:sz w:val="24"/>
          <w:szCs w:val="24"/>
          <w:lang w:eastAsia="ro-RO"/>
        </w:rPr>
      </w:pPr>
    </w:p>
    <w:p w:rsidR="00D31CEE" w:rsidRPr="00F362A1" w:rsidRDefault="00D31CEE" w:rsidP="002A6579">
      <w:pPr>
        <w:numPr>
          <w:ilvl w:val="0"/>
          <w:numId w:val="5"/>
        </w:numPr>
        <w:suppressAutoHyphens/>
        <w:spacing w:after="0" w:line="276" w:lineRule="auto"/>
        <w:ind w:left="0" w:firstLine="288"/>
        <w:rPr>
          <w:rFonts w:ascii="Tahoma" w:eastAsia="Times New Roman" w:hAnsi="Tahoma" w:cs="Tahoma"/>
          <w:sz w:val="24"/>
          <w:szCs w:val="24"/>
          <w:u w:val="single"/>
          <w:lang w:eastAsia="zh-CN"/>
        </w:rPr>
      </w:pPr>
      <w:r w:rsidRPr="00F362A1">
        <w:rPr>
          <w:rFonts w:ascii="Tahoma" w:eastAsia="Times New Roman" w:hAnsi="Tahoma" w:cs="Tahoma"/>
          <w:sz w:val="24"/>
          <w:szCs w:val="24"/>
          <w:u w:val="single"/>
          <w:lang w:eastAsia="zh-CN"/>
        </w:rPr>
        <w:t xml:space="preserve">De pe piața internă : </w:t>
      </w:r>
    </w:p>
    <w:p w:rsidR="00D31CEE" w:rsidRPr="00F362A1" w:rsidRDefault="00D31CEE" w:rsidP="002A6579">
      <w:pPr>
        <w:numPr>
          <w:ilvl w:val="1"/>
          <w:numId w:val="5"/>
        </w:numPr>
        <w:suppressAutoHyphens/>
        <w:spacing w:after="120" w:line="276" w:lineRule="auto"/>
        <w:ind w:left="432" w:firstLine="288"/>
        <w:rPr>
          <w:rFonts w:ascii="Tahoma" w:eastAsia="Times New Roman" w:hAnsi="Tahoma" w:cs="Tahoma"/>
          <w:sz w:val="24"/>
          <w:szCs w:val="24"/>
          <w:lang w:eastAsia="zh-CN"/>
        </w:rPr>
      </w:pPr>
      <w:r w:rsidRPr="00F362A1">
        <w:rPr>
          <w:rFonts w:ascii="Tahoma" w:eastAsia="Times New Roman" w:hAnsi="Tahoma" w:cs="Tahoma"/>
          <w:sz w:val="24"/>
          <w:szCs w:val="24"/>
          <w:lang w:eastAsia="zh-CN"/>
        </w:rPr>
        <w:t>Licitații de titluri de stat pe piața interbancară: a fost adjudecată suma de 40,3 mld. lei și respectiv 150,0 mil. euro, reprezentând un total de aproximativ 41,1 mld lei, din care:</w:t>
      </w:r>
    </w:p>
    <w:p w:rsidR="00D31CEE" w:rsidRPr="00F362A1" w:rsidRDefault="00D31CEE" w:rsidP="002A6579">
      <w:pPr>
        <w:numPr>
          <w:ilvl w:val="1"/>
          <w:numId w:val="4"/>
        </w:numPr>
        <w:suppressAutoHyphens/>
        <w:spacing w:after="120" w:line="276" w:lineRule="auto"/>
        <w:ind w:hanging="720"/>
        <w:rPr>
          <w:rFonts w:ascii="Tahoma" w:eastAsia="Times New Roman" w:hAnsi="Tahoma" w:cs="Tahoma"/>
          <w:sz w:val="24"/>
          <w:szCs w:val="24"/>
          <w:lang w:eastAsia="zh-CN"/>
        </w:rPr>
      </w:pPr>
      <w:r w:rsidRPr="00F362A1">
        <w:rPr>
          <w:rFonts w:ascii="Tahoma" w:eastAsia="Times New Roman" w:hAnsi="Tahoma" w:cs="Tahoma"/>
          <w:sz w:val="24"/>
          <w:szCs w:val="24"/>
          <w:lang w:eastAsia="zh-CN"/>
        </w:rPr>
        <w:lastRenderedPageBreak/>
        <w:t>14 % - emisiuni de certificate de trezorerie cu discont cu maturitate de până la 12 luni și emisiuni de obligațiuni de tip benchmark cu maturități reziduale până la 1 an;</w:t>
      </w:r>
    </w:p>
    <w:p w:rsidR="00D31CEE" w:rsidRPr="00F362A1" w:rsidRDefault="00D31CEE" w:rsidP="002A6579">
      <w:pPr>
        <w:numPr>
          <w:ilvl w:val="1"/>
          <w:numId w:val="4"/>
        </w:numPr>
        <w:suppressAutoHyphens/>
        <w:spacing w:after="120" w:line="276" w:lineRule="auto"/>
        <w:ind w:hanging="720"/>
        <w:rPr>
          <w:rFonts w:ascii="Tahoma" w:eastAsia="Times New Roman" w:hAnsi="Tahoma" w:cs="Tahoma"/>
          <w:sz w:val="24"/>
          <w:szCs w:val="24"/>
          <w:lang w:eastAsia="zh-CN"/>
        </w:rPr>
      </w:pPr>
      <w:r w:rsidRPr="00F362A1">
        <w:rPr>
          <w:rFonts w:ascii="Tahoma" w:eastAsia="Times New Roman" w:hAnsi="Tahoma" w:cs="Tahoma"/>
          <w:sz w:val="24"/>
          <w:szCs w:val="24"/>
          <w:lang w:eastAsia="zh-CN"/>
        </w:rPr>
        <w:t xml:space="preserve">47 % - emisiuni de obligațiuni de tip benchmark cu maturități reziduale între 1 și 5 ani; și </w:t>
      </w:r>
    </w:p>
    <w:p w:rsidR="00D31CEE" w:rsidRPr="00F362A1" w:rsidRDefault="00D31CEE" w:rsidP="002A6579">
      <w:pPr>
        <w:numPr>
          <w:ilvl w:val="1"/>
          <w:numId w:val="4"/>
        </w:numPr>
        <w:suppressAutoHyphens/>
        <w:spacing w:after="0" w:line="276" w:lineRule="auto"/>
        <w:ind w:hanging="720"/>
        <w:rPr>
          <w:rFonts w:ascii="Tahoma" w:eastAsia="Times New Roman" w:hAnsi="Tahoma" w:cs="Tahoma"/>
          <w:sz w:val="24"/>
          <w:szCs w:val="24"/>
          <w:lang w:eastAsia="zh-CN"/>
        </w:rPr>
      </w:pPr>
      <w:r w:rsidRPr="00F362A1">
        <w:rPr>
          <w:rFonts w:ascii="Tahoma" w:eastAsia="Times New Roman" w:hAnsi="Tahoma" w:cs="Tahoma"/>
          <w:sz w:val="24"/>
          <w:szCs w:val="24"/>
          <w:lang w:eastAsia="zh-CN"/>
        </w:rPr>
        <w:t>39 % - emisiuni de obligațiuni de tip benchmark cu maturități reziduale între 5 și 15 ani.</w:t>
      </w:r>
    </w:p>
    <w:p w:rsidR="00D31CEE" w:rsidRPr="00F362A1" w:rsidRDefault="00D31CEE" w:rsidP="002A6579">
      <w:pPr>
        <w:suppressAutoHyphens/>
        <w:spacing w:line="276" w:lineRule="auto"/>
        <w:ind w:left="1440"/>
        <w:rPr>
          <w:rFonts w:ascii="Tahoma" w:eastAsia="Times New Roman" w:hAnsi="Tahoma" w:cs="Tahoma"/>
          <w:sz w:val="24"/>
          <w:szCs w:val="24"/>
          <w:lang w:eastAsia="zh-CN"/>
        </w:rPr>
      </w:pPr>
    </w:p>
    <w:p w:rsidR="00D31CEE" w:rsidRPr="00F362A1" w:rsidRDefault="00D31CEE" w:rsidP="002A6579">
      <w:pPr>
        <w:numPr>
          <w:ilvl w:val="1"/>
          <w:numId w:val="5"/>
        </w:numPr>
        <w:suppressAutoHyphens/>
        <w:spacing w:after="0" w:line="276" w:lineRule="auto"/>
        <w:ind w:left="432" w:firstLine="288"/>
        <w:rPr>
          <w:rFonts w:ascii="Tahoma" w:eastAsia="Times New Roman" w:hAnsi="Tahoma" w:cs="Tahoma"/>
          <w:sz w:val="24"/>
          <w:szCs w:val="24"/>
          <w:lang w:eastAsia="zh-CN"/>
        </w:rPr>
      </w:pPr>
      <w:r w:rsidRPr="00F362A1">
        <w:rPr>
          <w:rFonts w:ascii="Tahoma" w:eastAsia="Times New Roman" w:hAnsi="Tahoma" w:cs="Tahoma"/>
          <w:sz w:val="24"/>
          <w:szCs w:val="24"/>
          <w:lang w:eastAsia="zh-CN"/>
        </w:rPr>
        <w:t xml:space="preserve">Titluri de stat pentru populație: în semestrul I 2020 nu au fost lansate de titluri de stat destinate populației prin programul TEZAUR.  </w:t>
      </w:r>
    </w:p>
    <w:p w:rsidR="00D31CEE" w:rsidRPr="00F362A1" w:rsidRDefault="00D31CEE" w:rsidP="002A6579">
      <w:pPr>
        <w:suppressAutoHyphens/>
        <w:spacing w:line="276" w:lineRule="auto"/>
        <w:ind w:left="720"/>
        <w:rPr>
          <w:rFonts w:ascii="Tahoma" w:eastAsia="Times New Roman" w:hAnsi="Tahoma" w:cs="Tahoma"/>
          <w:sz w:val="24"/>
          <w:szCs w:val="24"/>
          <w:lang w:eastAsia="zh-CN"/>
        </w:rPr>
      </w:pPr>
    </w:p>
    <w:p w:rsidR="00D31CEE" w:rsidRPr="00F362A1" w:rsidRDefault="00D31CEE" w:rsidP="002A6579">
      <w:pPr>
        <w:numPr>
          <w:ilvl w:val="0"/>
          <w:numId w:val="5"/>
        </w:numPr>
        <w:suppressAutoHyphens/>
        <w:spacing w:after="0" w:line="276" w:lineRule="auto"/>
        <w:ind w:left="0" w:firstLine="288"/>
        <w:rPr>
          <w:rFonts w:ascii="Tahoma" w:eastAsia="Times New Roman" w:hAnsi="Tahoma" w:cs="Tahoma"/>
          <w:sz w:val="24"/>
          <w:szCs w:val="24"/>
          <w:lang w:eastAsia="zh-CN"/>
        </w:rPr>
      </w:pPr>
      <w:r w:rsidRPr="00F362A1">
        <w:rPr>
          <w:rFonts w:ascii="Tahoma" w:eastAsia="Times New Roman" w:hAnsi="Tahoma" w:cs="Tahoma"/>
          <w:sz w:val="24"/>
          <w:szCs w:val="24"/>
          <w:u w:val="single"/>
          <w:lang w:eastAsia="zh-CN"/>
        </w:rPr>
        <w:t>De pe piața externă a</w:t>
      </w:r>
      <w:r w:rsidRPr="00F362A1">
        <w:rPr>
          <w:rFonts w:ascii="Tahoma" w:eastAsia="Times New Roman" w:hAnsi="Tahoma" w:cs="Tahoma"/>
          <w:sz w:val="24"/>
          <w:szCs w:val="24"/>
          <w:lang w:eastAsia="zh-CN"/>
        </w:rPr>
        <w:t xml:space="preserve"> fost atrasă suma de 6,3 mld. EUR, prin doua emisiuni, în câte două tranșe de euroobligațiuni, în datele de 21 ianuarie 2020 și 19 mai 2020, astfel: </w:t>
      </w:r>
    </w:p>
    <w:p w:rsidR="00D31CEE" w:rsidRPr="00F362A1" w:rsidRDefault="00D31CEE" w:rsidP="002A6579">
      <w:pPr>
        <w:numPr>
          <w:ilvl w:val="0"/>
          <w:numId w:val="6"/>
        </w:numPr>
        <w:suppressAutoHyphens/>
        <w:spacing w:before="120" w:after="120" w:line="276" w:lineRule="auto"/>
        <w:ind w:left="1008" w:hanging="288"/>
        <w:rPr>
          <w:rFonts w:ascii="Tahoma" w:eastAsia="Times New Roman" w:hAnsi="Tahoma" w:cs="Tahoma"/>
          <w:sz w:val="24"/>
          <w:szCs w:val="24"/>
          <w:lang w:eastAsia="zh-CN"/>
        </w:rPr>
      </w:pPr>
      <w:r w:rsidRPr="00F362A1">
        <w:rPr>
          <w:rFonts w:ascii="Tahoma" w:eastAsia="Times New Roman" w:hAnsi="Tahoma" w:cs="Tahoma"/>
          <w:sz w:val="24"/>
          <w:szCs w:val="24"/>
          <w:lang w:eastAsia="zh-CN"/>
        </w:rPr>
        <w:t xml:space="preserve">1,4 miliarde EUR cu scadență de 12 ani și dobândă de 2,00% pe an; </w:t>
      </w:r>
    </w:p>
    <w:p w:rsidR="00D31CEE" w:rsidRPr="00F362A1" w:rsidRDefault="00D31CEE" w:rsidP="002A6579">
      <w:pPr>
        <w:numPr>
          <w:ilvl w:val="0"/>
          <w:numId w:val="6"/>
        </w:numPr>
        <w:suppressAutoHyphens/>
        <w:spacing w:before="120" w:after="120" w:line="276" w:lineRule="auto"/>
        <w:ind w:left="1008" w:hanging="288"/>
        <w:rPr>
          <w:rFonts w:ascii="Tahoma" w:eastAsia="Times New Roman" w:hAnsi="Tahoma" w:cs="Tahoma"/>
          <w:sz w:val="24"/>
          <w:szCs w:val="24"/>
          <w:lang w:eastAsia="zh-CN"/>
        </w:rPr>
      </w:pPr>
      <w:r w:rsidRPr="00F362A1">
        <w:rPr>
          <w:rFonts w:ascii="Tahoma" w:eastAsia="Times New Roman" w:hAnsi="Tahoma" w:cs="Tahoma"/>
          <w:sz w:val="24"/>
          <w:szCs w:val="24"/>
          <w:lang w:eastAsia="zh-CN"/>
        </w:rPr>
        <w:t xml:space="preserve">1,6 miliarde EUR cu scadență de 30 ani și dobândă de 3,375% pe an; </w:t>
      </w:r>
    </w:p>
    <w:p w:rsidR="00D31CEE" w:rsidRPr="00F362A1" w:rsidRDefault="00D31CEE" w:rsidP="002A6579">
      <w:pPr>
        <w:numPr>
          <w:ilvl w:val="0"/>
          <w:numId w:val="6"/>
        </w:numPr>
        <w:suppressAutoHyphens/>
        <w:spacing w:before="120" w:after="120" w:line="276" w:lineRule="auto"/>
        <w:ind w:left="1008" w:hanging="288"/>
        <w:rPr>
          <w:rFonts w:ascii="Tahoma" w:eastAsia="Times New Roman" w:hAnsi="Tahoma" w:cs="Tahoma"/>
          <w:sz w:val="24"/>
          <w:szCs w:val="24"/>
          <w:lang w:eastAsia="zh-CN"/>
        </w:rPr>
      </w:pPr>
      <w:r w:rsidRPr="00F362A1">
        <w:rPr>
          <w:rFonts w:ascii="Tahoma" w:eastAsia="Times New Roman" w:hAnsi="Tahoma" w:cs="Tahoma"/>
          <w:sz w:val="24"/>
          <w:szCs w:val="24"/>
          <w:lang w:eastAsia="zh-CN"/>
        </w:rPr>
        <w:t>1,3 miliarde EUR cu scadență de 5 ani și dobândă de 2,75% pe an;</w:t>
      </w:r>
    </w:p>
    <w:p w:rsidR="00D31CEE" w:rsidRPr="00F362A1" w:rsidRDefault="00D31CEE" w:rsidP="002A6579">
      <w:pPr>
        <w:numPr>
          <w:ilvl w:val="0"/>
          <w:numId w:val="6"/>
        </w:numPr>
        <w:suppressAutoHyphens/>
        <w:spacing w:before="120" w:after="120" w:line="276" w:lineRule="auto"/>
        <w:ind w:left="1008" w:hanging="288"/>
        <w:rPr>
          <w:rFonts w:ascii="Tahoma" w:eastAsia="Times New Roman" w:hAnsi="Tahoma" w:cs="Tahoma"/>
          <w:sz w:val="24"/>
          <w:szCs w:val="24"/>
          <w:lang w:eastAsia="zh-CN"/>
        </w:rPr>
      </w:pPr>
      <w:r w:rsidRPr="00F362A1">
        <w:rPr>
          <w:rFonts w:ascii="Tahoma" w:eastAsia="Times New Roman" w:hAnsi="Tahoma" w:cs="Tahoma"/>
          <w:sz w:val="24"/>
          <w:szCs w:val="24"/>
          <w:lang w:eastAsia="zh-CN"/>
        </w:rPr>
        <w:t>2 miliarde EUR cu scadență de 10 ani și dobândă de 3,624% pe an;</w:t>
      </w:r>
    </w:p>
    <w:p w:rsidR="00D31CEE" w:rsidRPr="00F362A1" w:rsidRDefault="00D31CEE" w:rsidP="002A6579">
      <w:pPr>
        <w:suppressAutoHyphens/>
        <w:spacing w:before="120" w:after="120" w:line="276" w:lineRule="auto"/>
        <w:ind w:firstLine="720"/>
        <w:rPr>
          <w:rFonts w:ascii="Tahoma" w:eastAsia="Times New Roman" w:hAnsi="Tahoma" w:cs="Tahoma"/>
          <w:sz w:val="24"/>
          <w:szCs w:val="24"/>
          <w:lang w:eastAsia="zh-CN"/>
        </w:rPr>
      </w:pPr>
      <w:r w:rsidRPr="00F362A1">
        <w:rPr>
          <w:rFonts w:ascii="Tahoma" w:eastAsia="Times New Roman" w:hAnsi="Tahoma" w:cs="Tahoma"/>
          <w:sz w:val="24"/>
          <w:szCs w:val="24"/>
          <w:lang w:eastAsia="zh-CN"/>
        </w:rPr>
        <w:t>Tragerile aferente împrumuturilor contractate de la instituțiile financiare internaționale, în semestrul I 2020, au fost de cca 944,5 mil EUR.</w:t>
      </w:r>
    </w:p>
    <w:p w:rsidR="00D31CEE" w:rsidRPr="00F362A1" w:rsidRDefault="00D31CEE" w:rsidP="002A6579">
      <w:pPr>
        <w:suppressAutoHyphens/>
        <w:spacing w:before="120" w:after="120" w:line="276" w:lineRule="auto"/>
        <w:ind w:firstLine="720"/>
        <w:rPr>
          <w:rFonts w:ascii="Tahoma" w:eastAsia="Times New Roman" w:hAnsi="Tahoma" w:cs="Tahoma"/>
          <w:sz w:val="24"/>
          <w:szCs w:val="24"/>
          <w:lang w:eastAsia="zh-CN"/>
        </w:rPr>
      </w:pPr>
    </w:p>
    <w:p w:rsidR="00D31CEE" w:rsidRPr="00F362A1" w:rsidRDefault="00D31CEE" w:rsidP="002A6579">
      <w:pPr>
        <w:suppressAutoHyphens/>
        <w:spacing w:before="120" w:after="120" w:line="276" w:lineRule="auto"/>
        <w:ind w:firstLine="720"/>
        <w:rPr>
          <w:rFonts w:ascii="Tahoma" w:eastAsia="Times New Roman" w:hAnsi="Tahoma" w:cs="Tahoma"/>
          <w:sz w:val="24"/>
          <w:szCs w:val="24"/>
          <w:lang w:eastAsia="zh-CN"/>
        </w:rPr>
      </w:pPr>
      <w:r w:rsidRPr="00F362A1">
        <w:rPr>
          <w:rFonts w:ascii="Tahoma" w:eastAsia="Times New Roman" w:hAnsi="Tahoma" w:cs="Tahoma"/>
          <w:sz w:val="24"/>
          <w:szCs w:val="24"/>
          <w:lang w:eastAsia="zh-CN"/>
        </w:rPr>
        <w:t xml:space="preserve">Procesul de finanțare externă în primul semestru al anului 2020 a avut în vedere asigurarea </w:t>
      </w:r>
      <w:r w:rsidR="00860E3D" w:rsidRPr="00F362A1">
        <w:rPr>
          <w:rFonts w:ascii="Tahoma" w:eastAsia="Times New Roman" w:hAnsi="Tahoma" w:cs="Tahoma"/>
          <w:sz w:val="24"/>
          <w:szCs w:val="24"/>
          <w:lang w:eastAsia="zh-CN"/>
        </w:rPr>
        <w:t>prezenței</w:t>
      </w:r>
      <w:r w:rsidRPr="00F362A1">
        <w:rPr>
          <w:rFonts w:ascii="Tahoma" w:eastAsia="Times New Roman" w:hAnsi="Tahoma" w:cs="Tahoma"/>
          <w:sz w:val="24"/>
          <w:szCs w:val="24"/>
          <w:lang w:eastAsia="zh-CN"/>
        </w:rPr>
        <w:t xml:space="preserve"> constante a României pe </w:t>
      </w:r>
      <w:r w:rsidR="00860E3D" w:rsidRPr="00F362A1">
        <w:rPr>
          <w:rFonts w:ascii="Tahoma" w:eastAsia="Times New Roman" w:hAnsi="Tahoma" w:cs="Tahoma"/>
          <w:sz w:val="24"/>
          <w:szCs w:val="24"/>
          <w:lang w:eastAsia="zh-CN"/>
        </w:rPr>
        <w:t>piețele</w:t>
      </w:r>
      <w:r w:rsidRPr="00F362A1">
        <w:rPr>
          <w:rFonts w:ascii="Tahoma" w:eastAsia="Times New Roman" w:hAnsi="Tahoma" w:cs="Tahoma"/>
          <w:sz w:val="24"/>
          <w:szCs w:val="24"/>
          <w:lang w:eastAsia="zh-CN"/>
        </w:rPr>
        <w:t xml:space="preserve"> externe de capital în </w:t>
      </w:r>
      <w:r w:rsidR="00860E3D" w:rsidRPr="00F362A1">
        <w:rPr>
          <w:rFonts w:ascii="Tahoma" w:eastAsia="Times New Roman" w:hAnsi="Tahoma" w:cs="Tahoma"/>
          <w:sz w:val="24"/>
          <w:szCs w:val="24"/>
          <w:lang w:eastAsia="zh-CN"/>
        </w:rPr>
        <w:t>condiții</w:t>
      </w:r>
      <w:r w:rsidRPr="00F362A1">
        <w:rPr>
          <w:rFonts w:ascii="Tahoma" w:eastAsia="Times New Roman" w:hAnsi="Tahoma" w:cs="Tahoma"/>
          <w:sz w:val="24"/>
          <w:szCs w:val="24"/>
          <w:lang w:eastAsia="zh-CN"/>
        </w:rPr>
        <w:t xml:space="preserve"> de cost avantajoase pentru România, diversificarea bazei de investitori și consolidarea rezervei financiare în valută la </w:t>
      </w:r>
      <w:r w:rsidR="00860E3D" w:rsidRPr="00F362A1">
        <w:rPr>
          <w:rFonts w:ascii="Tahoma" w:eastAsia="Times New Roman" w:hAnsi="Tahoma" w:cs="Tahoma"/>
          <w:sz w:val="24"/>
          <w:szCs w:val="24"/>
          <w:lang w:eastAsia="zh-CN"/>
        </w:rPr>
        <w:t>dispoziția</w:t>
      </w:r>
      <w:r w:rsidRPr="00F362A1">
        <w:rPr>
          <w:rFonts w:ascii="Tahoma" w:eastAsia="Times New Roman" w:hAnsi="Tahoma" w:cs="Tahoma"/>
          <w:sz w:val="24"/>
          <w:szCs w:val="24"/>
          <w:lang w:eastAsia="zh-CN"/>
        </w:rPr>
        <w:t xml:space="preserve"> Trezoreriei Statului la un nivel care să acopere până la 4 luni din necesarul brut de </w:t>
      </w:r>
      <w:r w:rsidR="00860E3D" w:rsidRPr="00F362A1">
        <w:rPr>
          <w:rFonts w:ascii="Tahoma" w:eastAsia="Times New Roman" w:hAnsi="Tahoma" w:cs="Tahoma"/>
          <w:sz w:val="24"/>
          <w:szCs w:val="24"/>
          <w:lang w:eastAsia="zh-CN"/>
        </w:rPr>
        <w:t>finanțare</w:t>
      </w:r>
      <w:r w:rsidRPr="00F362A1">
        <w:rPr>
          <w:rFonts w:ascii="Tahoma" w:eastAsia="Times New Roman" w:hAnsi="Tahoma" w:cs="Tahoma"/>
          <w:sz w:val="24"/>
          <w:szCs w:val="24"/>
          <w:lang w:eastAsia="zh-CN"/>
        </w:rPr>
        <w:t xml:space="preserve">. </w:t>
      </w:r>
    </w:p>
    <w:p w:rsidR="00D31CEE" w:rsidRPr="00F362A1" w:rsidRDefault="00D31CEE" w:rsidP="002A6579">
      <w:pPr>
        <w:suppressAutoHyphens/>
        <w:spacing w:before="120" w:after="120" w:line="276" w:lineRule="auto"/>
        <w:ind w:firstLine="720"/>
        <w:rPr>
          <w:rFonts w:ascii="Tahoma" w:eastAsia="Times New Roman" w:hAnsi="Tahoma" w:cs="Tahoma"/>
          <w:sz w:val="24"/>
          <w:szCs w:val="24"/>
          <w:lang w:eastAsia="zh-CN"/>
        </w:rPr>
      </w:pPr>
      <w:r w:rsidRPr="00F362A1">
        <w:rPr>
          <w:rFonts w:ascii="Tahoma" w:eastAsia="Times New Roman" w:hAnsi="Tahoma" w:cs="Tahoma"/>
          <w:b/>
          <w:sz w:val="24"/>
          <w:szCs w:val="24"/>
          <w:lang w:eastAsia="zh-CN"/>
        </w:rPr>
        <w:t>Garanțiile guvernamentale</w:t>
      </w:r>
      <w:r w:rsidRPr="00F362A1">
        <w:rPr>
          <w:rFonts w:ascii="Tahoma" w:eastAsia="Times New Roman" w:hAnsi="Tahoma" w:cs="Tahoma"/>
          <w:sz w:val="24"/>
          <w:szCs w:val="24"/>
          <w:lang w:eastAsia="zh-CN"/>
        </w:rPr>
        <w:t xml:space="preserve"> acordate de Ministerul Finanțelor Publice în primele 5 luni ale anului 2020 au fost în valoare de aproximativ 588 mil. lei, în limita plafonului de 18 mld lei stabilit prin stabilit </w:t>
      </w:r>
      <w:r w:rsidRPr="00F362A1">
        <w:rPr>
          <w:rFonts w:ascii="Tahoma" w:eastAsia="MS Mincho" w:hAnsi="Tahoma" w:cs="Tahoma"/>
          <w:noProof/>
          <w:sz w:val="24"/>
          <w:szCs w:val="24"/>
          <w:lang w:eastAsia="ja-JP"/>
        </w:rPr>
        <w:t xml:space="preserve">Ordonanța de urgență a Guvernului nr. 50/2020 </w:t>
      </w:r>
      <w:r w:rsidRPr="00F362A1">
        <w:rPr>
          <w:rFonts w:ascii="Tahoma" w:hAnsi="Tahoma" w:cs="Tahoma"/>
          <w:noProof/>
          <w:sz w:val="24"/>
          <w:szCs w:val="24"/>
          <w:lang w:eastAsia="ro-RO"/>
        </w:rPr>
        <w:t>cu privire la rectificarea bugetului de stat  pe anul 2020</w:t>
      </w:r>
      <w:r w:rsidRPr="00F362A1">
        <w:rPr>
          <w:rFonts w:ascii="Tahoma" w:eastAsia="Times New Roman" w:hAnsi="Tahoma" w:cs="Tahoma"/>
          <w:sz w:val="24"/>
          <w:szCs w:val="24"/>
          <w:lang w:eastAsia="zh-CN"/>
        </w:rPr>
        <w:t>.</w:t>
      </w:r>
    </w:p>
    <w:p w:rsidR="00D31CEE" w:rsidRPr="00F362A1" w:rsidRDefault="00D31CEE" w:rsidP="002A6579">
      <w:pPr>
        <w:suppressAutoHyphens/>
        <w:spacing w:before="100" w:beforeAutospacing="1" w:after="100" w:afterAutospacing="1" w:line="276" w:lineRule="auto"/>
        <w:ind w:firstLine="0"/>
        <w:rPr>
          <w:rFonts w:ascii="Tahoma" w:eastAsia="MS Mincho" w:hAnsi="Tahoma" w:cs="Tahoma"/>
          <w:sz w:val="24"/>
          <w:szCs w:val="24"/>
          <w:lang w:eastAsia="ja-JP"/>
        </w:rPr>
      </w:pPr>
      <w:r w:rsidRPr="00F362A1">
        <w:rPr>
          <w:rFonts w:ascii="Tahoma" w:hAnsi="Tahoma" w:cs="Tahoma"/>
          <w:b/>
          <w:bCs/>
          <w:sz w:val="24"/>
          <w:szCs w:val="24"/>
        </w:rPr>
        <w:t>VI.3 Datoria publică locală</w:t>
      </w:r>
    </w:p>
    <w:p w:rsidR="00D31CEE" w:rsidRPr="00F362A1" w:rsidRDefault="00D31CEE" w:rsidP="002A6579">
      <w:pPr>
        <w:suppressAutoHyphens/>
        <w:spacing w:before="100" w:beforeAutospacing="1" w:after="100" w:afterAutospacing="1" w:line="276" w:lineRule="auto"/>
        <w:ind w:firstLine="720"/>
        <w:rPr>
          <w:rFonts w:ascii="Tahoma" w:eastAsia="MS Mincho" w:hAnsi="Tahoma" w:cs="Tahoma"/>
          <w:noProof/>
          <w:sz w:val="24"/>
          <w:szCs w:val="24"/>
          <w:lang w:eastAsia="ja-JP"/>
        </w:rPr>
      </w:pPr>
      <w:r w:rsidRPr="00F362A1">
        <w:rPr>
          <w:rFonts w:ascii="Tahoma" w:eastAsia="MS Mincho" w:hAnsi="Tahoma" w:cs="Tahoma"/>
          <w:noProof/>
          <w:sz w:val="24"/>
          <w:szCs w:val="24"/>
          <w:lang w:eastAsia="ja-JP"/>
        </w:rPr>
        <w:t xml:space="preserve">În ceea ce privește tragerile autorizate pentru a fi efectuate în anul 2020 din finanțările rambursabile contractate sau care urmează să fie contractate de către unitățile/subdiviziunile administrativ-teritoriale, acestea sunt în valoare de 1.800,00 milioane lei, nefiind depășit plafonul anual de 1.800 milioane lei, aprobat prin </w:t>
      </w:r>
      <w:r w:rsidRPr="00F362A1">
        <w:rPr>
          <w:rFonts w:ascii="Tahoma" w:eastAsia="MS Mincho" w:hAnsi="Tahoma" w:cs="Tahoma"/>
          <w:i/>
          <w:noProof/>
          <w:sz w:val="24"/>
          <w:szCs w:val="24"/>
          <w:lang w:eastAsia="ja-JP"/>
        </w:rPr>
        <w:t>Legea nr. 238/2019 pentru aprobarea plafoanelor unor indicatori specificaţi în cadrul fiscal-</w:t>
      </w:r>
      <w:r w:rsidRPr="00F362A1">
        <w:rPr>
          <w:rFonts w:ascii="Tahoma" w:eastAsia="MS Mincho" w:hAnsi="Tahoma" w:cs="Tahoma"/>
          <w:i/>
          <w:noProof/>
          <w:sz w:val="24"/>
          <w:szCs w:val="24"/>
          <w:lang w:eastAsia="ja-JP"/>
        </w:rPr>
        <w:lastRenderedPageBreak/>
        <w:t>bugetar pe anul 2020</w:t>
      </w:r>
      <w:r w:rsidRPr="00F362A1">
        <w:rPr>
          <w:rFonts w:ascii="Tahoma" w:eastAsia="MS Mincho" w:hAnsi="Tahoma" w:cs="Tahoma"/>
          <w:iCs/>
          <w:noProof/>
          <w:sz w:val="24"/>
          <w:szCs w:val="24"/>
          <w:lang w:eastAsia="ja-JP"/>
        </w:rPr>
        <w:t>, cu modificările aduse prin art. 26 lit. g) din</w:t>
      </w:r>
      <w:r w:rsidRPr="00F362A1">
        <w:rPr>
          <w:rFonts w:ascii="Tahoma" w:eastAsia="MS Mincho" w:hAnsi="Tahoma" w:cs="Tahoma"/>
          <w:i/>
          <w:noProof/>
          <w:sz w:val="24"/>
          <w:szCs w:val="24"/>
          <w:lang w:eastAsia="ja-JP"/>
        </w:rPr>
        <w:t xml:space="preserve"> Ordonanța de urgență a Guvernului nr. 50/2020 cu privire la rectificarea bugetului de stat pe anul 2020</w:t>
      </w:r>
      <w:r w:rsidRPr="00F362A1">
        <w:rPr>
          <w:rFonts w:ascii="Tahoma" w:eastAsia="MS Mincho" w:hAnsi="Tahoma" w:cs="Tahoma"/>
          <w:noProof/>
          <w:sz w:val="24"/>
          <w:szCs w:val="24"/>
          <w:lang w:eastAsia="ja-JP"/>
        </w:rPr>
        <w:t>. Finanțările rambursabile autorizate în semestrul I al anului 2020 pentru a fi contractate de unitățile/subdiviziunile administrativ-teritoriale pentru realizarea de investiții publice de interes local au fost în valoare de cca. 727,3 milioane lei, în limita plafonului de 1.500 milioane lei stabilit prin Legea nr. 238/2019, cu modificările prevăzute la art. 26 lit. g) din OUG nr. 50/2020. De asemenea, au fost autorizate finanțări rambursabile, în sumă totală de cca. 564,74 milioane lei, pentru a fi contractate de unitățile/subdiviziunile administrativ-teritoriale în vederea prefinanțării și/sau cofinanțării de proiecte care beneficiază de fonduri externe nerambursabile de la Uniunea Europeană.</w:t>
      </w:r>
    </w:p>
    <w:p w:rsidR="00C60107" w:rsidRPr="00F362A1" w:rsidRDefault="00C60107" w:rsidP="002A6579">
      <w:pPr>
        <w:pStyle w:val="Heading1"/>
        <w:pageBreakBefore/>
        <w:spacing w:after="240" w:line="276" w:lineRule="auto"/>
        <w:ind w:hanging="360"/>
        <w:rPr>
          <w:rFonts w:ascii="Tahoma" w:eastAsia="MS Mincho" w:hAnsi="Tahoma" w:cs="Tahoma"/>
          <w:b/>
          <w:noProof/>
          <w:sz w:val="24"/>
          <w:szCs w:val="24"/>
          <w:lang w:eastAsia="ja-JP"/>
        </w:rPr>
      </w:pPr>
      <w:r w:rsidRPr="00F362A1">
        <w:rPr>
          <w:rFonts w:ascii="Tahoma" w:eastAsia="MS Mincho" w:hAnsi="Tahoma" w:cs="Tahoma"/>
          <w:b/>
          <w:noProof/>
          <w:sz w:val="24"/>
          <w:szCs w:val="24"/>
          <w:lang w:eastAsia="ja-JP"/>
        </w:rPr>
        <w:lastRenderedPageBreak/>
        <w:tab/>
      </w:r>
      <w:bookmarkStart w:id="35" w:name="_Toc47687159"/>
      <w:r w:rsidR="007D49B8" w:rsidRPr="00F362A1">
        <w:rPr>
          <w:rFonts w:ascii="Tahoma" w:eastAsia="MS Mincho" w:hAnsi="Tahoma" w:cs="Tahoma"/>
          <w:b/>
          <w:noProof/>
          <w:color w:val="auto"/>
          <w:sz w:val="24"/>
          <w:szCs w:val="24"/>
          <w:lang w:eastAsia="ja-JP"/>
        </w:rPr>
        <w:t xml:space="preserve">V. </w:t>
      </w:r>
      <w:r w:rsidRPr="00F362A1">
        <w:rPr>
          <w:rFonts w:ascii="Tahoma" w:eastAsia="MS Mincho" w:hAnsi="Tahoma" w:cs="Tahoma"/>
          <w:b/>
          <w:noProof/>
          <w:color w:val="auto"/>
          <w:sz w:val="24"/>
          <w:szCs w:val="24"/>
          <w:lang w:eastAsia="ja-JP"/>
        </w:rPr>
        <w:t>Absorbția fondurilor externe nerambursabile</w:t>
      </w:r>
      <w:bookmarkEnd w:id="35"/>
    </w:p>
    <w:p w:rsidR="008F794B" w:rsidRPr="00F362A1" w:rsidRDefault="008F794B" w:rsidP="002A6579">
      <w:pPr>
        <w:keepNext/>
        <w:spacing w:before="120" w:after="120" w:line="276" w:lineRule="auto"/>
        <w:ind w:firstLine="720"/>
        <w:rPr>
          <w:rFonts w:ascii="Tahoma" w:eastAsia="Times New Roman" w:hAnsi="Tahoma" w:cs="Tahoma"/>
          <w:sz w:val="24"/>
          <w:szCs w:val="24"/>
        </w:rPr>
      </w:pPr>
      <w:r w:rsidRPr="00F362A1">
        <w:rPr>
          <w:rFonts w:ascii="Tahoma" w:eastAsia="Times New Roman" w:hAnsi="Tahoma" w:cs="Tahoma"/>
          <w:b/>
          <w:sz w:val="24"/>
          <w:szCs w:val="24"/>
        </w:rPr>
        <w:t>Sumele primite de România de la bugetul UE</w:t>
      </w:r>
      <w:r w:rsidRPr="00F362A1">
        <w:rPr>
          <w:rFonts w:ascii="Tahoma" w:eastAsia="Times New Roman" w:hAnsi="Tahoma" w:cs="Tahoma"/>
          <w:sz w:val="24"/>
          <w:szCs w:val="24"/>
        </w:rPr>
        <w:t xml:space="preserve">, în primul semestru al anului 2020, sunt în sumă de 4.242,28 milioane euro. </w:t>
      </w:r>
    </w:p>
    <w:p w:rsidR="008F794B" w:rsidRPr="00F362A1" w:rsidRDefault="008F794B" w:rsidP="002A6579">
      <w:pPr>
        <w:keepNext/>
        <w:spacing w:before="120" w:after="120" w:line="276" w:lineRule="auto"/>
        <w:ind w:firstLine="720"/>
        <w:rPr>
          <w:rFonts w:ascii="Tahoma" w:eastAsia="Times New Roman" w:hAnsi="Tahoma" w:cs="Tahoma"/>
          <w:sz w:val="24"/>
          <w:szCs w:val="24"/>
        </w:rPr>
      </w:pPr>
      <w:r w:rsidRPr="00F362A1">
        <w:rPr>
          <w:rFonts w:ascii="Tahoma" w:eastAsia="Times New Roman" w:hAnsi="Tahoma" w:cs="Tahoma"/>
          <w:sz w:val="24"/>
          <w:szCs w:val="24"/>
        </w:rPr>
        <w:t>Avansurile primite din CFM 2014-2020 în primele 6 luni ale anului 2020 sunt în sumă de 681,41 milioane euro (99,61%), iar rambursările (inclusiv sumele primite din FEGA) sunt în sumă de 3.560,87 milioane euro (69,78%).</w:t>
      </w:r>
    </w:p>
    <w:p w:rsidR="008F794B" w:rsidRPr="00F362A1" w:rsidRDefault="008F794B" w:rsidP="002A6579">
      <w:pPr>
        <w:keepNext/>
        <w:spacing w:before="120" w:after="120" w:line="276" w:lineRule="auto"/>
        <w:ind w:firstLine="720"/>
        <w:rPr>
          <w:rFonts w:ascii="Tahoma" w:eastAsia="Times New Roman" w:hAnsi="Tahoma" w:cs="Tahoma"/>
          <w:sz w:val="24"/>
          <w:szCs w:val="24"/>
        </w:rPr>
      </w:pPr>
      <w:r w:rsidRPr="00F362A1">
        <w:rPr>
          <w:rFonts w:ascii="Tahoma" w:eastAsia="Times New Roman" w:hAnsi="Tahoma" w:cs="Tahoma"/>
          <w:sz w:val="24"/>
          <w:szCs w:val="24"/>
        </w:rPr>
        <w:t xml:space="preserve">Din punct de vedere al </w:t>
      </w:r>
      <w:r w:rsidR="00860E3D" w:rsidRPr="00F362A1">
        <w:rPr>
          <w:rFonts w:ascii="Tahoma" w:eastAsia="Times New Roman" w:hAnsi="Tahoma" w:cs="Tahoma"/>
          <w:sz w:val="24"/>
          <w:szCs w:val="24"/>
        </w:rPr>
        <w:t>absorbției</w:t>
      </w:r>
      <w:r w:rsidRPr="00F362A1">
        <w:rPr>
          <w:rFonts w:ascii="Tahoma" w:eastAsia="Times New Roman" w:hAnsi="Tahoma" w:cs="Tahoma"/>
          <w:sz w:val="24"/>
          <w:szCs w:val="24"/>
        </w:rPr>
        <w:t xml:space="preserve">, cele mai bune rezultate au fost înregistrate de FEGA prin intermediul căruia au fost atrase 1.793,96 milioane euro (95,75%), urmată de fondurile structurale și de coeziune (FSC) cu 1.462,94 milioane euro (57,81%). </w:t>
      </w:r>
    </w:p>
    <w:p w:rsidR="008F794B" w:rsidRPr="00F362A1" w:rsidRDefault="008F794B" w:rsidP="002A6579">
      <w:pPr>
        <w:spacing w:before="120" w:after="600" w:line="276" w:lineRule="auto"/>
        <w:ind w:firstLine="720"/>
        <w:rPr>
          <w:rFonts w:ascii="Tahoma" w:eastAsia="Times New Roman" w:hAnsi="Tahoma" w:cs="Tahoma"/>
          <w:sz w:val="24"/>
          <w:szCs w:val="24"/>
        </w:rPr>
      </w:pPr>
      <w:r w:rsidRPr="00F362A1">
        <w:rPr>
          <w:rFonts w:ascii="Tahoma" w:eastAsia="Times New Roman" w:hAnsi="Tahoma" w:cs="Tahoma"/>
          <w:sz w:val="24"/>
          <w:szCs w:val="24"/>
        </w:rPr>
        <w:t>În ceea ce privește încasările cumulate din ambele CFM, fonduri structurale și de coeziune – FSC se situează pe primul loc cu 25.419,02 milioane euro, urmate de plățile directe către fermieri, acordate din Fondul European pentru Garantare Agricolă - FEGA cu 16.079,36 milioane euro.</w:t>
      </w:r>
    </w:p>
    <w:p w:rsidR="004423E3" w:rsidRPr="00F362A1" w:rsidRDefault="002272FA" w:rsidP="002A6579">
      <w:pPr>
        <w:keepNext/>
        <w:keepLines/>
        <w:spacing w:line="276" w:lineRule="auto"/>
        <w:ind w:firstLine="0"/>
        <w:rPr>
          <w:rFonts w:ascii="Tahoma" w:hAnsi="Tahoma" w:cs="Tahoma"/>
          <w:sz w:val="24"/>
          <w:szCs w:val="24"/>
        </w:rPr>
      </w:pPr>
      <w:bookmarkStart w:id="36" w:name="_Toc425320862"/>
      <w:bookmarkStart w:id="37" w:name="_Toc456256938"/>
      <w:bookmarkStart w:id="38" w:name="_Toc456257462"/>
      <w:bookmarkStart w:id="39" w:name="_Toc456258320"/>
      <w:bookmarkStart w:id="40" w:name="_Toc456258425"/>
      <w:r w:rsidRPr="00F362A1">
        <w:rPr>
          <w:rFonts w:ascii="Tahoma" w:hAnsi="Tahoma" w:cs="Tahoma"/>
          <w:noProof/>
          <w:sz w:val="24"/>
          <w:szCs w:val="24"/>
        </w:rPr>
        <w:lastRenderedPageBreak/>
        <w:drawing>
          <wp:inline distT="0" distB="0" distL="0" distR="0">
            <wp:extent cx="5741582" cy="9238723"/>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2245" cy="9255881"/>
                    </a:xfrm>
                    <a:prstGeom prst="rect">
                      <a:avLst/>
                    </a:prstGeom>
                    <a:noFill/>
                    <a:ln>
                      <a:noFill/>
                    </a:ln>
                  </pic:spPr>
                </pic:pic>
              </a:graphicData>
            </a:graphic>
          </wp:inline>
        </w:drawing>
      </w:r>
    </w:p>
    <w:p w:rsidR="00C60107" w:rsidRPr="00F362A1" w:rsidRDefault="00C60107" w:rsidP="002A6579">
      <w:pPr>
        <w:pStyle w:val="Heading1"/>
        <w:spacing w:after="360" w:line="276" w:lineRule="auto"/>
        <w:ind w:left="374" w:firstLine="706"/>
        <w:rPr>
          <w:rFonts w:ascii="Tahoma" w:hAnsi="Tahoma" w:cs="Tahoma"/>
          <w:b/>
          <w:color w:val="auto"/>
          <w:sz w:val="24"/>
          <w:szCs w:val="24"/>
        </w:rPr>
      </w:pPr>
      <w:bookmarkStart w:id="41" w:name="_Toc47687160"/>
      <w:r w:rsidRPr="00F362A1">
        <w:rPr>
          <w:rFonts w:ascii="Tahoma" w:hAnsi="Tahoma" w:cs="Tahoma"/>
          <w:b/>
          <w:color w:val="auto"/>
          <w:sz w:val="24"/>
          <w:szCs w:val="24"/>
        </w:rPr>
        <w:lastRenderedPageBreak/>
        <w:t>Concluzii</w:t>
      </w:r>
      <w:bookmarkEnd w:id="41"/>
    </w:p>
    <w:p w:rsidR="000A42BE" w:rsidRPr="00F362A1" w:rsidRDefault="000A42BE" w:rsidP="002A6579">
      <w:pPr>
        <w:pStyle w:val="ListParagraph"/>
        <w:numPr>
          <w:ilvl w:val="1"/>
          <w:numId w:val="2"/>
        </w:numPr>
        <w:spacing w:after="240" w:line="276" w:lineRule="auto"/>
        <w:contextualSpacing w:val="0"/>
        <w:rPr>
          <w:rFonts w:ascii="Tahoma" w:eastAsia="Times New Roman" w:hAnsi="Tahoma" w:cs="Tahoma"/>
          <w:sz w:val="24"/>
          <w:szCs w:val="24"/>
        </w:rPr>
      </w:pPr>
      <w:r w:rsidRPr="00F362A1">
        <w:rPr>
          <w:rFonts w:ascii="Tahoma" w:eastAsia="Times New Roman" w:hAnsi="Tahoma" w:cs="Tahoma"/>
          <w:sz w:val="24"/>
          <w:szCs w:val="24"/>
        </w:rPr>
        <w:t xml:space="preserve">În primul trimestru din anul 2020, economia românească a continuat să crească, dar într-un ritm mai moderat, făcându-se </w:t>
      </w:r>
      <w:r w:rsidR="00860E3D" w:rsidRPr="00F362A1">
        <w:rPr>
          <w:rFonts w:ascii="Tahoma" w:eastAsia="Times New Roman" w:hAnsi="Tahoma" w:cs="Tahoma"/>
          <w:sz w:val="24"/>
          <w:szCs w:val="24"/>
        </w:rPr>
        <w:t>simțită</w:t>
      </w:r>
      <w:r w:rsidRPr="00F362A1">
        <w:rPr>
          <w:rFonts w:ascii="Tahoma" w:eastAsia="Times New Roman" w:hAnsi="Tahoma" w:cs="Tahoma"/>
          <w:sz w:val="24"/>
          <w:szCs w:val="24"/>
        </w:rPr>
        <w:t xml:space="preserve">, în ultima lună a perioadei, </w:t>
      </w:r>
      <w:r w:rsidR="00860E3D" w:rsidRPr="00F362A1">
        <w:rPr>
          <w:rFonts w:ascii="Tahoma" w:eastAsia="Times New Roman" w:hAnsi="Tahoma" w:cs="Tahoma"/>
          <w:sz w:val="24"/>
          <w:szCs w:val="24"/>
        </w:rPr>
        <w:t>influența</w:t>
      </w:r>
      <w:r w:rsidRPr="00F362A1">
        <w:rPr>
          <w:rFonts w:ascii="Tahoma" w:eastAsia="Times New Roman" w:hAnsi="Tahoma" w:cs="Tahoma"/>
          <w:sz w:val="24"/>
          <w:szCs w:val="24"/>
        </w:rPr>
        <w:t xml:space="preserve"> măsurilor administrative luate</w:t>
      </w:r>
      <w:r w:rsidR="00452E2C" w:rsidRPr="00F362A1">
        <w:rPr>
          <w:rFonts w:ascii="Tahoma" w:eastAsia="Times New Roman" w:hAnsi="Tahoma" w:cs="Tahoma"/>
          <w:sz w:val="24"/>
          <w:szCs w:val="24"/>
        </w:rPr>
        <w:t xml:space="preserve"> ca urmare a pandemiei COVID 19</w:t>
      </w:r>
      <w:r w:rsidRPr="00F362A1">
        <w:rPr>
          <w:rFonts w:ascii="Tahoma" w:eastAsia="Times New Roman" w:hAnsi="Tahoma" w:cs="Tahoma"/>
          <w:sz w:val="24"/>
          <w:szCs w:val="24"/>
        </w:rPr>
        <w:t>. Produsul intern brut s-a majorat, în termeni reali, cu 2,4% comparativ cu trimestrul I din 2019, acest avans situând România pe locul 2 în cadrul Uniunii Europene.</w:t>
      </w:r>
    </w:p>
    <w:p w:rsidR="00095E25" w:rsidRPr="00F362A1" w:rsidRDefault="00C60107" w:rsidP="002A6579">
      <w:pPr>
        <w:pStyle w:val="ListParagraph"/>
        <w:numPr>
          <w:ilvl w:val="1"/>
          <w:numId w:val="2"/>
        </w:numPr>
        <w:spacing w:before="240" w:after="240" w:line="276" w:lineRule="auto"/>
        <w:contextualSpacing w:val="0"/>
        <w:rPr>
          <w:rFonts w:ascii="Tahoma" w:eastAsia="Times New Roman" w:hAnsi="Tahoma" w:cs="Tahoma"/>
          <w:sz w:val="24"/>
          <w:szCs w:val="24"/>
        </w:rPr>
      </w:pPr>
      <w:r w:rsidRPr="00F362A1">
        <w:rPr>
          <w:rFonts w:ascii="Tahoma" w:eastAsia="Times New Roman" w:hAnsi="Tahoma" w:cs="Tahoma"/>
          <w:sz w:val="24"/>
          <w:szCs w:val="24"/>
        </w:rPr>
        <w:t>Soldul bugetului general consolidat la semestrul I 20</w:t>
      </w:r>
      <w:r w:rsidR="000D44BC" w:rsidRPr="00F362A1">
        <w:rPr>
          <w:rFonts w:ascii="Tahoma" w:eastAsia="Times New Roman" w:hAnsi="Tahoma" w:cs="Tahoma"/>
          <w:sz w:val="24"/>
          <w:szCs w:val="24"/>
        </w:rPr>
        <w:t>20</w:t>
      </w:r>
      <w:r w:rsidRPr="00F362A1">
        <w:rPr>
          <w:rFonts w:ascii="Tahoma" w:eastAsia="Times New Roman" w:hAnsi="Tahoma" w:cs="Tahoma"/>
          <w:sz w:val="24"/>
          <w:szCs w:val="24"/>
        </w:rPr>
        <w:t xml:space="preserve"> s-a încadrat în ținta stabilită.</w:t>
      </w:r>
      <w:r w:rsidR="00095E25" w:rsidRPr="00F362A1">
        <w:rPr>
          <w:rFonts w:ascii="Tahoma" w:hAnsi="Tahoma" w:cs="Tahoma"/>
          <w:sz w:val="24"/>
          <w:szCs w:val="24"/>
        </w:rPr>
        <w:t xml:space="preserve"> M</w:t>
      </w:r>
      <w:r w:rsidR="00095E25" w:rsidRPr="00F362A1">
        <w:rPr>
          <w:rFonts w:ascii="Tahoma" w:eastAsia="Times New Roman" w:hAnsi="Tahoma" w:cs="Tahoma"/>
          <w:sz w:val="24"/>
          <w:szCs w:val="24"/>
        </w:rPr>
        <w:t>ai mult de jumătate din deficitul înregistrat a fost generat de sumele lăsate în mediul economic prin facilitățile fiscale și cheltuieli excepționale adoptate pentru combaterea efectelor epidemiei de COVID-19.</w:t>
      </w:r>
    </w:p>
    <w:p w:rsidR="000D44BC" w:rsidRPr="00F362A1" w:rsidRDefault="000D44BC" w:rsidP="002A6579">
      <w:pPr>
        <w:pStyle w:val="ListParagraph"/>
        <w:numPr>
          <w:ilvl w:val="1"/>
          <w:numId w:val="2"/>
        </w:numPr>
        <w:spacing w:before="240" w:after="240" w:line="276" w:lineRule="auto"/>
        <w:contextualSpacing w:val="0"/>
        <w:rPr>
          <w:rFonts w:ascii="Tahoma" w:eastAsia="Times New Roman" w:hAnsi="Tahoma" w:cs="Tahoma"/>
          <w:sz w:val="24"/>
          <w:szCs w:val="24"/>
        </w:rPr>
      </w:pPr>
      <w:r w:rsidRPr="00F362A1">
        <w:rPr>
          <w:rFonts w:ascii="Tahoma" w:eastAsia="Times New Roman" w:hAnsi="Tahoma" w:cs="Tahoma"/>
          <w:sz w:val="24"/>
          <w:szCs w:val="24"/>
        </w:rPr>
        <w:t>Datoria guvernamentală conform metodologiei UE s-a situat la data de 31 mai 2020 la un nivel de 39,9% din PIB în creștere, comparativ cu nivelul de 35,2% din PIB, cât s-a înregistrat la sfârșitul anului 2019, dar sub plafonul de 41% din PIB stabilit prin Ordonanța de urgență a Guvernului nr. 50/2020 cu privire la rectificarea bugetului de stat pe anul 2020.</w:t>
      </w:r>
    </w:p>
    <w:p w:rsidR="00C60107" w:rsidRPr="00F362A1" w:rsidRDefault="00C60107" w:rsidP="002A6579">
      <w:pPr>
        <w:pStyle w:val="ListParagraph"/>
        <w:widowControl w:val="0"/>
        <w:numPr>
          <w:ilvl w:val="1"/>
          <w:numId w:val="2"/>
        </w:numPr>
        <w:spacing w:before="240" w:after="240" w:line="276" w:lineRule="auto"/>
        <w:contextualSpacing w:val="0"/>
        <w:rPr>
          <w:rFonts w:ascii="Tahoma" w:hAnsi="Tahoma" w:cs="Tahoma"/>
          <w:sz w:val="24"/>
          <w:szCs w:val="24"/>
        </w:rPr>
      </w:pPr>
      <w:r w:rsidRPr="00F362A1">
        <w:rPr>
          <w:rFonts w:ascii="Tahoma" w:hAnsi="Tahoma" w:cs="Tahoma"/>
          <w:sz w:val="24"/>
          <w:szCs w:val="24"/>
        </w:rPr>
        <w:t xml:space="preserve">Veniturile bugetului general consolidat au fost </w:t>
      </w:r>
      <w:r w:rsidR="000D44BC" w:rsidRPr="00F362A1">
        <w:rPr>
          <w:rFonts w:ascii="Tahoma" w:hAnsi="Tahoma" w:cs="Tahoma"/>
          <w:sz w:val="24"/>
          <w:szCs w:val="24"/>
        </w:rPr>
        <w:t xml:space="preserve">inferioare </w:t>
      </w:r>
      <w:r w:rsidRPr="00F362A1">
        <w:rPr>
          <w:rFonts w:ascii="Tahoma" w:hAnsi="Tahoma" w:cs="Tahoma"/>
          <w:sz w:val="24"/>
          <w:szCs w:val="24"/>
        </w:rPr>
        <w:t>încasărilor din perioada similară a anului anterior, atât în termeni nominali cât și ca raport</w:t>
      </w:r>
      <w:r w:rsidR="00452E2C" w:rsidRPr="00F362A1">
        <w:rPr>
          <w:rFonts w:ascii="Tahoma" w:hAnsi="Tahoma" w:cs="Tahoma"/>
          <w:sz w:val="24"/>
          <w:szCs w:val="24"/>
        </w:rPr>
        <w:t xml:space="preserve"> </w:t>
      </w:r>
      <w:r w:rsidRPr="00F362A1">
        <w:rPr>
          <w:rFonts w:ascii="Tahoma" w:hAnsi="Tahoma" w:cs="Tahoma"/>
          <w:sz w:val="24"/>
          <w:szCs w:val="24"/>
        </w:rPr>
        <w:t>în PIB</w:t>
      </w:r>
      <w:r w:rsidR="00C1502A" w:rsidRPr="00F362A1">
        <w:rPr>
          <w:rFonts w:ascii="Tahoma" w:hAnsi="Tahoma" w:cs="Tahoma"/>
          <w:sz w:val="24"/>
          <w:szCs w:val="24"/>
        </w:rPr>
        <w:t>,</w:t>
      </w:r>
      <w:r w:rsidR="000D44BC" w:rsidRPr="00F362A1">
        <w:rPr>
          <w:rFonts w:ascii="Tahoma" w:hAnsi="Tahoma" w:cs="Tahoma"/>
          <w:sz w:val="24"/>
          <w:szCs w:val="24"/>
        </w:rPr>
        <w:t xml:space="preserve"> fiind afectate de măsurile fiscale adoptate pentru sprijinirea </w:t>
      </w:r>
      <w:r w:rsidR="00C1502A" w:rsidRPr="00F362A1">
        <w:rPr>
          <w:rFonts w:ascii="Tahoma" w:hAnsi="Tahoma" w:cs="Tahoma"/>
          <w:sz w:val="24"/>
          <w:szCs w:val="24"/>
        </w:rPr>
        <w:t>pieței</w:t>
      </w:r>
      <w:r w:rsidR="000D44BC" w:rsidRPr="00F362A1">
        <w:rPr>
          <w:rFonts w:ascii="Tahoma" w:hAnsi="Tahoma" w:cs="Tahoma"/>
          <w:sz w:val="24"/>
          <w:szCs w:val="24"/>
        </w:rPr>
        <w:t xml:space="preserve"> muncii și a mediului de afaceri cum ar fi: amân</w:t>
      </w:r>
      <w:r w:rsidR="00E30356" w:rsidRPr="00F362A1">
        <w:rPr>
          <w:rFonts w:ascii="Tahoma" w:hAnsi="Tahoma" w:cs="Tahoma"/>
          <w:sz w:val="24"/>
          <w:szCs w:val="24"/>
        </w:rPr>
        <w:t>area</w:t>
      </w:r>
      <w:r w:rsidR="000D44BC" w:rsidRPr="00F362A1">
        <w:rPr>
          <w:rFonts w:ascii="Tahoma" w:hAnsi="Tahoma" w:cs="Tahoma"/>
          <w:sz w:val="24"/>
          <w:szCs w:val="24"/>
        </w:rPr>
        <w:t xml:space="preserve"> plății unor obligații fiscale de cătr</w:t>
      </w:r>
      <w:r w:rsidR="00E30356" w:rsidRPr="00F362A1">
        <w:rPr>
          <w:rFonts w:ascii="Tahoma" w:hAnsi="Tahoma" w:cs="Tahoma"/>
          <w:sz w:val="24"/>
          <w:szCs w:val="24"/>
        </w:rPr>
        <w:t>e agenții economici pe perioada, accelerarea restituirilor de TVA</w:t>
      </w:r>
      <w:r w:rsidR="000D44BC" w:rsidRPr="00F362A1">
        <w:rPr>
          <w:rFonts w:ascii="Tahoma" w:hAnsi="Tahoma" w:cs="Tahoma"/>
          <w:sz w:val="24"/>
          <w:szCs w:val="24"/>
        </w:rPr>
        <w:t xml:space="preserve"> pentru susținerea lichidității în sectorul privat, bonificații acordate pentru plata la scadență a impozitului pe profit și a celui pe veniturile microîntreprinderilor</w:t>
      </w:r>
      <w:r w:rsidRPr="00F362A1">
        <w:rPr>
          <w:rFonts w:ascii="Tahoma" w:hAnsi="Tahoma" w:cs="Tahoma"/>
          <w:sz w:val="24"/>
          <w:szCs w:val="24"/>
        </w:rPr>
        <w:t>.</w:t>
      </w:r>
    </w:p>
    <w:p w:rsidR="00C60107" w:rsidRPr="00F362A1" w:rsidRDefault="00254FAB" w:rsidP="002A6579">
      <w:pPr>
        <w:pStyle w:val="ListParagraph"/>
        <w:numPr>
          <w:ilvl w:val="1"/>
          <w:numId w:val="2"/>
        </w:numPr>
        <w:spacing w:before="240" w:after="240" w:line="276" w:lineRule="auto"/>
        <w:contextualSpacing w:val="0"/>
        <w:rPr>
          <w:rFonts w:ascii="Tahoma" w:eastAsia="Times New Roman" w:hAnsi="Tahoma" w:cs="Tahoma"/>
          <w:sz w:val="24"/>
          <w:szCs w:val="24"/>
        </w:rPr>
      </w:pPr>
      <w:r w:rsidRPr="00F362A1">
        <w:rPr>
          <w:rFonts w:ascii="Tahoma" w:eastAsia="Times New Roman" w:hAnsi="Tahoma" w:cs="Tahoma"/>
          <w:sz w:val="24"/>
          <w:szCs w:val="24"/>
        </w:rPr>
        <w:t>Absorbția</w:t>
      </w:r>
      <w:r w:rsidR="00C60107" w:rsidRPr="00F362A1">
        <w:rPr>
          <w:rFonts w:ascii="Tahoma" w:eastAsia="Times New Roman" w:hAnsi="Tahoma" w:cs="Tahoma"/>
          <w:sz w:val="24"/>
          <w:szCs w:val="24"/>
        </w:rPr>
        <w:t xml:space="preserve"> fondurilor externe nerambursabile reprezintă </w:t>
      </w:r>
      <w:r w:rsidR="00E30356" w:rsidRPr="00F362A1">
        <w:rPr>
          <w:rFonts w:ascii="Tahoma" w:eastAsia="Times New Roman" w:hAnsi="Tahoma" w:cs="Tahoma"/>
          <w:sz w:val="24"/>
          <w:szCs w:val="24"/>
        </w:rPr>
        <w:t xml:space="preserve">o prioritate pentru România mai ales în contextul actual generat de pandemia cu </w:t>
      </w:r>
      <w:r w:rsidR="001923CA" w:rsidRPr="00F362A1">
        <w:rPr>
          <w:rFonts w:ascii="Tahoma" w:eastAsia="Times New Roman" w:hAnsi="Tahoma" w:cs="Tahoma"/>
          <w:sz w:val="24"/>
          <w:szCs w:val="24"/>
        </w:rPr>
        <w:t>COVID-19</w:t>
      </w:r>
      <w:r w:rsidR="00E30356" w:rsidRPr="00F362A1">
        <w:rPr>
          <w:rFonts w:ascii="Tahoma" w:eastAsia="Times New Roman" w:hAnsi="Tahoma" w:cs="Tahoma"/>
          <w:sz w:val="24"/>
          <w:szCs w:val="24"/>
        </w:rPr>
        <w:t xml:space="preserve"> și ca urmare trebuie continuată evoluția pozitivă înregistrată în semestrul I 2020 </w:t>
      </w:r>
      <w:r w:rsidR="008E79B3" w:rsidRPr="00F362A1">
        <w:rPr>
          <w:rFonts w:ascii="Tahoma" w:eastAsia="Times New Roman" w:hAnsi="Tahoma" w:cs="Tahoma"/>
          <w:sz w:val="24"/>
          <w:szCs w:val="24"/>
        </w:rPr>
        <w:t xml:space="preserve">și în </w:t>
      </w:r>
      <w:r w:rsidR="00E30356" w:rsidRPr="00F362A1">
        <w:rPr>
          <w:rFonts w:ascii="Tahoma" w:eastAsia="Times New Roman" w:hAnsi="Tahoma" w:cs="Tahoma"/>
          <w:sz w:val="24"/>
          <w:szCs w:val="24"/>
        </w:rPr>
        <w:t xml:space="preserve">a II-a </w:t>
      </w:r>
      <w:r w:rsidR="008E79B3" w:rsidRPr="00F362A1">
        <w:rPr>
          <w:rFonts w:ascii="Tahoma" w:eastAsia="Times New Roman" w:hAnsi="Tahoma" w:cs="Tahoma"/>
          <w:sz w:val="24"/>
          <w:szCs w:val="24"/>
        </w:rPr>
        <w:t xml:space="preserve">parte </w:t>
      </w:r>
      <w:r w:rsidR="00E30356" w:rsidRPr="00F362A1">
        <w:rPr>
          <w:rFonts w:ascii="Tahoma" w:eastAsia="Times New Roman" w:hAnsi="Tahoma" w:cs="Tahoma"/>
          <w:sz w:val="24"/>
          <w:szCs w:val="24"/>
        </w:rPr>
        <w:t>a anului</w:t>
      </w:r>
      <w:r w:rsidR="00095E25" w:rsidRPr="00F362A1">
        <w:rPr>
          <w:rFonts w:ascii="Tahoma" w:eastAsia="Times New Roman" w:hAnsi="Tahoma" w:cs="Tahoma"/>
          <w:sz w:val="24"/>
          <w:szCs w:val="24"/>
        </w:rPr>
        <w:t>.</w:t>
      </w:r>
    </w:p>
    <w:p w:rsidR="00C60107" w:rsidRPr="00F362A1" w:rsidRDefault="00C60107" w:rsidP="002A6579">
      <w:pPr>
        <w:pStyle w:val="ListParagraph"/>
        <w:numPr>
          <w:ilvl w:val="0"/>
          <w:numId w:val="2"/>
        </w:numPr>
        <w:spacing w:before="240" w:after="240" w:line="276" w:lineRule="auto"/>
        <w:ind w:left="1418" w:hanging="284"/>
        <w:contextualSpacing w:val="0"/>
        <w:rPr>
          <w:rFonts w:ascii="Tahoma" w:hAnsi="Tahoma" w:cs="Tahoma"/>
          <w:sz w:val="24"/>
          <w:szCs w:val="24"/>
        </w:rPr>
      </w:pPr>
      <w:r w:rsidRPr="00F362A1">
        <w:rPr>
          <w:rFonts w:ascii="Tahoma" w:hAnsi="Tahoma" w:cs="Tahoma"/>
          <w:sz w:val="24"/>
          <w:szCs w:val="24"/>
        </w:rPr>
        <w:t xml:space="preserve">Cheltuielile bugetului general consolidat au fost cu </w:t>
      </w:r>
      <w:r w:rsidR="00C26256" w:rsidRPr="00F362A1">
        <w:rPr>
          <w:rFonts w:ascii="Tahoma" w:hAnsi="Tahoma" w:cs="Tahoma"/>
          <w:sz w:val="24"/>
          <w:szCs w:val="24"/>
        </w:rPr>
        <w:t>13</w:t>
      </w:r>
      <w:r w:rsidR="00DE5842" w:rsidRPr="00F362A1">
        <w:rPr>
          <w:rFonts w:ascii="Tahoma" w:hAnsi="Tahoma" w:cs="Tahoma"/>
          <w:sz w:val="24"/>
          <w:szCs w:val="24"/>
        </w:rPr>
        <w:t>,</w:t>
      </w:r>
      <w:r w:rsidR="00C26256" w:rsidRPr="00F362A1">
        <w:rPr>
          <w:rFonts w:ascii="Tahoma" w:hAnsi="Tahoma" w:cs="Tahoma"/>
          <w:sz w:val="24"/>
          <w:szCs w:val="24"/>
        </w:rPr>
        <w:t>6</w:t>
      </w:r>
      <w:r w:rsidRPr="00F362A1">
        <w:rPr>
          <w:rFonts w:ascii="Tahoma" w:hAnsi="Tahoma" w:cs="Tahoma"/>
          <w:sz w:val="24"/>
          <w:szCs w:val="24"/>
        </w:rPr>
        <w:t>% mai mari comparativ cu aceeași perioadă a anului anterior, situându-se sub nivelul programat.</w:t>
      </w:r>
    </w:p>
    <w:p w:rsidR="00C60107" w:rsidRPr="00F362A1" w:rsidRDefault="00C60107" w:rsidP="002A6579">
      <w:pPr>
        <w:pStyle w:val="ListParagraph"/>
        <w:numPr>
          <w:ilvl w:val="0"/>
          <w:numId w:val="2"/>
        </w:numPr>
        <w:spacing w:before="240" w:after="240" w:line="276" w:lineRule="auto"/>
        <w:ind w:left="1418" w:hanging="284"/>
        <w:contextualSpacing w:val="0"/>
        <w:rPr>
          <w:rFonts w:ascii="Tahoma" w:hAnsi="Tahoma" w:cs="Tahoma"/>
          <w:sz w:val="24"/>
          <w:szCs w:val="24"/>
        </w:rPr>
      </w:pPr>
      <w:r w:rsidRPr="00F362A1">
        <w:rPr>
          <w:rFonts w:ascii="Tahoma" w:hAnsi="Tahoma" w:cs="Tahoma"/>
          <w:sz w:val="24"/>
          <w:szCs w:val="24"/>
        </w:rPr>
        <w:t xml:space="preserve">Cheltuielile efectuate pentru investiții au fost </w:t>
      </w:r>
      <w:r w:rsidRPr="00F362A1">
        <w:rPr>
          <w:rFonts w:ascii="Tahoma" w:hAnsi="Tahoma" w:cs="Tahoma"/>
          <w:bCs/>
          <w:sz w:val="24"/>
          <w:szCs w:val="24"/>
        </w:rPr>
        <w:t xml:space="preserve">cu </w:t>
      </w:r>
      <w:r w:rsidR="00C26256" w:rsidRPr="00F362A1">
        <w:rPr>
          <w:rFonts w:ascii="Tahoma" w:hAnsi="Tahoma" w:cs="Tahoma"/>
          <w:bCs/>
          <w:sz w:val="24"/>
          <w:szCs w:val="24"/>
        </w:rPr>
        <w:t>30,8</w:t>
      </w:r>
      <w:r w:rsidRPr="00F362A1">
        <w:rPr>
          <w:rFonts w:ascii="Tahoma" w:hAnsi="Tahoma" w:cs="Tahoma"/>
          <w:bCs/>
          <w:sz w:val="24"/>
          <w:szCs w:val="24"/>
        </w:rPr>
        <w:t>% mai mari decât cele aferente semestrului I 201</w:t>
      </w:r>
      <w:r w:rsidR="00E30356" w:rsidRPr="00F362A1">
        <w:rPr>
          <w:rFonts w:ascii="Tahoma" w:hAnsi="Tahoma" w:cs="Tahoma"/>
          <w:bCs/>
          <w:sz w:val="24"/>
          <w:szCs w:val="24"/>
        </w:rPr>
        <w:t>9</w:t>
      </w:r>
      <w:r w:rsidRPr="00F362A1">
        <w:rPr>
          <w:rFonts w:ascii="Tahoma" w:hAnsi="Tahoma" w:cs="Tahoma"/>
          <w:bCs/>
          <w:sz w:val="24"/>
          <w:szCs w:val="24"/>
        </w:rPr>
        <w:t>.</w:t>
      </w:r>
      <w:bookmarkEnd w:id="36"/>
      <w:bookmarkEnd w:id="37"/>
      <w:bookmarkEnd w:id="38"/>
      <w:bookmarkEnd w:id="39"/>
      <w:bookmarkEnd w:id="40"/>
    </w:p>
    <w:p w:rsidR="009E28CB" w:rsidRPr="00F362A1" w:rsidRDefault="009E28CB" w:rsidP="002A6579">
      <w:pPr>
        <w:pStyle w:val="ListParagraph"/>
        <w:numPr>
          <w:ilvl w:val="0"/>
          <w:numId w:val="2"/>
        </w:numPr>
        <w:spacing w:before="240" w:after="240" w:line="276" w:lineRule="auto"/>
        <w:ind w:left="1418" w:hanging="284"/>
        <w:contextualSpacing w:val="0"/>
        <w:rPr>
          <w:rFonts w:ascii="Tahoma" w:hAnsi="Tahoma" w:cs="Tahoma"/>
          <w:sz w:val="24"/>
          <w:szCs w:val="24"/>
        </w:rPr>
      </w:pPr>
      <w:bookmarkStart w:id="42" w:name="_GoBack"/>
      <w:bookmarkEnd w:id="42"/>
      <w:r w:rsidRPr="00F362A1">
        <w:rPr>
          <w:rFonts w:ascii="Tahoma" w:hAnsi="Tahoma" w:cs="Tahoma"/>
          <w:bCs/>
          <w:sz w:val="24"/>
          <w:szCs w:val="24"/>
        </w:rPr>
        <w:lastRenderedPageBreak/>
        <w:t>C</w:t>
      </w:r>
      <w:r w:rsidR="00C1502A" w:rsidRPr="00F362A1">
        <w:rPr>
          <w:rFonts w:ascii="Tahoma" w:hAnsi="Tahoma" w:cs="Tahoma"/>
          <w:bCs/>
          <w:sz w:val="24"/>
          <w:szCs w:val="24"/>
        </w:rPr>
        <w:t xml:space="preserve">ontextul economic </w:t>
      </w:r>
      <w:r w:rsidRPr="00F362A1">
        <w:rPr>
          <w:rFonts w:ascii="Tahoma" w:hAnsi="Tahoma" w:cs="Tahoma"/>
          <w:bCs/>
          <w:sz w:val="24"/>
          <w:szCs w:val="24"/>
        </w:rPr>
        <w:t>ș</w:t>
      </w:r>
      <w:r w:rsidR="00C1502A" w:rsidRPr="00F362A1">
        <w:rPr>
          <w:rFonts w:ascii="Tahoma" w:hAnsi="Tahoma" w:cs="Tahoma"/>
          <w:bCs/>
          <w:sz w:val="24"/>
          <w:szCs w:val="24"/>
        </w:rPr>
        <w:t>i financiar generat de pandemia de Covid</w:t>
      </w:r>
      <w:r w:rsidR="001923CA" w:rsidRPr="00F362A1">
        <w:rPr>
          <w:rFonts w:ascii="Tahoma" w:hAnsi="Tahoma" w:cs="Tahoma"/>
          <w:bCs/>
          <w:sz w:val="24"/>
          <w:szCs w:val="24"/>
        </w:rPr>
        <w:t>-</w:t>
      </w:r>
      <w:r w:rsidR="00C1502A" w:rsidRPr="00F362A1">
        <w:rPr>
          <w:rFonts w:ascii="Tahoma" w:hAnsi="Tahoma" w:cs="Tahoma"/>
          <w:bCs/>
          <w:sz w:val="24"/>
          <w:szCs w:val="24"/>
        </w:rPr>
        <w:t>19, precum și prelungirea stării de alertă,</w:t>
      </w:r>
      <w:r w:rsidRPr="00F362A1">
        <w:rPr>
          <w:rFonts w:ascii="Tahoma" w:hAnsi="Tahoma" w:cs="Tahoma"/>
          <w:bCs/>
          <w:sz w:val="24"/>
          <w:szCs w:val="24"/>
        </w:rPr>
        <w:t xml:space="preserve"> care a </w:t>
      </w:r>
      <w:r w:rsidR="009D0A50" w:rsidRPr="00F362A1">
        <w:rPr>
          <w:rFonts w:ascii="Tahoma" w:hAnsi="Tahoma" w:cs="Tahoma"/>
          <w:bCs/>
          <w:sz w:val="24"/>
          <w:szCs w:val="24"/>
        </w:rPr>
        <w:t>impu</w:t>
      </w:r>
      <w:r w:rsidRPr="00F362A1">
        <w:rPr>
          <w:rFonts w:ascii="Tahoma" w:hAnsi="Tahoma" w:cs="Tahoma"/>
          <w:bCs/>
          <w:sz w:val="24"/>
          <w:szCs w:val="24"/>
        </w:rPr>
        <w:t xml:space="preserve">s </w:t>
      </w:r>
      <w:r w:rsidR="009D0A50" w:rsidRPr="00F362A1">
        <w:rPr>
          <w:rFonts w:ascii="Tahoma" w:hAnsi="Tahoma" w:cs="Tahoma"/>
          <w:bCs/>
          <w:sz w:val="24"/>
          <w:szCs w:val="24"/>
        </w:rPr>
        <w:t>m</w:t>
      </w:r>
      <w:r w:rsidR="00C1502A" w:rsidRPr="00F362A1">
        <w:rPr>
          <w:rFonts w:ascii="Tahoma" w:hAnsi="Tahoma" w:cs="Tahoma"/>
          <w:bCs/>
          <w:sz w:val="24"/>
          <w:szCs w:val="24"/>
        </w:rPr>
        <w:t>ă</w:t>
      </w:r>
      <w:r w:rsidR="009D0A50" w:rsidRPr="00F362A1">
        <w:rPr>
          <w:rFonts w:ascii="Tahoma" w:hAnsi="Tahoma" w:cs="Tahoma"/>
          <w:bCs/>
          <w:sz w:val="24"/>
          <w:szCs w:val="24"/>
        </w:rPr>
        <w:t xml:space="preserve">suri suplimentare </w:t>
      </w:r>
      <w:r w:rsidRPr="00F362A1">
        <w:rPr>
          <w:rFonts w:ascii="Tahoma" w:hAnsi="Tahoma" w:cs="Tahoma"/>
          <w:bCs/>
          <w:sz w:val="24"/>
          <w:szCs w:val="24"/>
        </w:rPr>
        <w:t xml:space="preserve"> de combatere a pandemiei, implicit cheltuieli suplimentare peste nivelul prevăzut, precum și situația epidemiologică actuală poate conduce la depășirea țintei de deficit stabilită</w:t>
      </w:r>
      <w:r w:rsidR="001923CA" w:rsidRPr="00F362A1">
        <w:rPr>
          <w:rFonts w:ascii="Tahoma" w:hAnsi="Tahoma" w:cs="Tahoma"/>
          <w:bCs/>
          <w:sz w:val="24"/>
          <w:szCs w:val="24"/>
        </w:rPr>
        <w:t xml:space="preserve"> inițial</w:t>
      </w:r>
      <w:r w:rsidRPr="00F362A1">
        <w:rPr>
          <w:rFonts w:ascii="Tahoma" w:hAnsi="Tahoma" w:cs="Tahoma"/>
          <w:bCs/>
          <w:sz w:val="24"/>
          <w:szCs w:val="24"/>
        </w:rPr>
        <w:t>.</w:t>
      </w:r>
    </w:p>
    <w:p w:rsidR="00220441" w:rsidRPr="00F362A1" w:rsidRDefault="00220441" w:rsidP="002A6579">
      <w:pPr>
        <w:pStyle w:val="ListParagraph"/>
        <w:spacing w:before="240" w:after="240" w:line="276" w:lineRule="auto"/>
        <w:ind w:left="1418" w:firstLine="0"/>
        <w:contextualSpacing w:val="0"/>
        <w:rPr>
          <w:rFonts w:ascii="Tahoma" w:hAnsi="Tahoma" w:cs="Tahoma"/>
          <w:sz w:val="24"/>
          <w:szCs w:val="24"/>
        </w:rPr>
      </w:pPr>
    </w:p>
    <w:p w:rsidR="009D0A50" w:rsidRPr="00F362A1" w:rsidRDefault="009D0A50" w:rsidP="002A6579">
      <w:pPr>
        <w:spacing w:before="240" w:after="240" w:line="276" w:lineRule="auto"/>
        <w:ind w:left="1134" w:firstLine="0"/>
        <w:rPr>
          <w:rFonts w:ascii="Tahoma" w:hAnsi="Tahoma" w:cs="Tahoma"/>
          <w:sz w:val="24"/>
          <w:szCs w:val="24"/>
        </w:rPr>
      </w:pPr>
    </w:p>
    <w:sectPr w:rsidR="009D0A50" w:rsidRPr="00F362A1" w:rsidSect="008A700D">
      <w:headerReference w:type="default" r:id="rId20"/>
      <w:footerReference w:type="default" r:id="rId21"/>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7D2" w:rsidRDefault="000237D2" w:rsidP="007C4F03">
      <w:pPr>
        <w:spacing w:after="0"/>
      </w:pPr>
      <w:r>
        <w:separator/>
      </w:r>
    </w:p>
  </w:endnote>
  <w:endnote w:type="continuationSeparator" w:id="0">
    <w:p w:rsidR="000237D2" w:rsidRDefault="000237D2" w:rsidP="007C4F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039" w:rsidRDefault="002F1039">
    <w:pPr>
      <w:pStyle w:val="Footer"/>
    </w:pPr>
    <w:r>
      <w:rPr>
        <w:noProof/>
        <w:lang w:val="en-US"/>
      </w:rPr>
      <w:pict>
        <v:shapetype id="_x0000_t202" coordsize="21600,21600" o:spt="202" path="m,l,21600r21600,l21600,xe">
          <v:stroke joinstyle="miter"/>
          <v:path gradientshapeok="t" o:connecttype="rect"/>
        </v:shapetype>
        <v:shape id="Text Box 166" o:spid="_x0000_s2050" type="#_x0000_t202" style="position:absolute;left:0;text-align:left;margin-left:7.25pt;margin-top:-13.45pt;width:468pt;height:21.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" filled="f" stroked="f" strokeweight=".5pt">
          <v:textbox style="mso-fit-shape-to-text:t" inset="0,,0">
            <w:txbxContent>
              <w:p w:rsidR="002F1039" w:rsidRPr="00FA0A4C" w:rsidRDefault="002F1039" w:rsidP="00FA0A4C">
                <w:pPr>
                  <w:pStyle w:val="Header"/>
                  <w:shd w:val="clear" w:color="auto" w:fill="9CC2E5" w:themeFill="accent1" w:themeFillTint="99"/>
                  <w:jc w:val="center"/>
                  <w:rPr>
                    <w:rFonts w:ascii="Tahoma" w:hAnsi="Tahoma" w:cs="Tahoma"/>
                    <w:color w:val="FFFFFF" w:themeColor="background1"/>
                    <w:sz w:val="24"/>
                    <w:szCs w:val="24"/>
                  </w:rPr>
                </w:pPr>
                <w:sdt>
                  <w:sdtPr>
                    <w:rPr>
                      <w:rStyle w:val="Emphasis"/>
                      <w:rFonts w:ascii="Tahoma" w:hAnsi="Tahoma" w:cs="Tahoma"/>
                      <w:color w:val="FFFFFF" w:themeColor="background1"/>
                      <w:sz w:val="24"/>
                      <w:szCs w:val="24"/>
                    </w:rPr>
                    <w:alias w:val="Title"/>
                    <w:tag w:val=""/>
                    <w:id w:val="1703739152"/>
                    <w:dataBinding w:prefixMappings="xmlns:ns0='http://purl.org/dc/elements/1.1/' xmlns:ns1='http://schemas.openxmlformats.org/package/2006/metadata/core-properties' " w:xpath="/ns1:coreProperties[1]/ns0:title[1]" w:storeItemID="{6C3C8BC8-F283-45AE-878A-BAB7291924A1}"/>
                    <w:text/>
                  </w:sdtPr>
                  <w:sdtContent>
                    <w:r w:rsidRPr="00FA0A4C">
                      <w:rPr>
                        <w:rStyle w:val="Emphasis"/>
                        <w:rFonts w:ascii="Tahoma" w:hAnsi="Tahoma" w:cs="Tahoma"/>
                        <w:color w:val="FFFFFF" w:themeColor="background1"/>
                        <w:sz w:val="24"/>
                        <w:szCs w:val="24"/>
                      </w:rPr>
                      <w:t>Raport privind situația economică și bugetară</w:t>
                    </w:r>
                  </w:sdtContent>
                </w:sdt>
                <w:r w:rsidRPr="00FA0A4C">
                  <w:rPr>
                    <w:rStyle w:val="Emphasis"/>
                    <w:rFonts w:ascii="Tahoma" w:hAnsi="Tahoma" w:cs="Tahoma"/>
                    <w:color w:val="FFFFFF" w:themeColor="background1"/>
                    <w:sz w:val="24"/>
                    <w:szCs w:val="24"/>
                  </w:rPr>
                  <w:t xml:space="preserve"> pe primele șase luni ale anului 2020</w:t>
                </w:r>
              </w:p>
            </w:txbxContent>
          </v:textbox>
        </v:shape>
      </w:pict>
    </w:r>
    <w:r>
      <w:rPr>
        <w:noProof/>
        <w:lang w:val="en-US"/>
      </w:rPr>
      <w:pict>
        <v:rect id="Rectangle 165" o:spid="_x0000_s2049" style="position:absolute;left:0;text-align:left;margin-left:56.75pt;margin-top:2.35pt;width:468pt;height:21.6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" fillcolor="white [3212]" stroked="f" strokeweight="1pt">
          <v:fill opacity="0"/>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7D2" w:rsidRDefault="000237D2" w:rsidP="007C4F03">
      <w:pPr>
        <w:spacing w:after="0"/>
      </w:pPr>
      <w:r>
        <w:separator/>
      </w:r>
    </w:p>
  </w:footnote>
  <w:footnote w:type="continuationSeparator" w:id="0">
    <w:p w:rsidR="000237D2" w:rsidRDefault="000237D2" w:rsidP="007C4F03">
      <w:pPr>
        <w:spacing w:after="0"/>
      </w:pPr>
      <w:r>
        <w:continuationSeparator/>
      </w:r>
    </w:p>
  </w:footnote>
  <w:footnote w:id="1">
    <w:p w:rsidR="002F1039" w:rsidRPr="00964748" w:rsidRDefault="002F1039" w:rsidP="00964748">
      <w:pPr>
        <w:pStyle w:val="FootnoteText"/>
        <w:ind w:firstLine="0"/>
        <w:rPr>
          <w:rFonts w:ascii="Tahoma" w:hAnsi="Tahoma" w:cs="Tahoma"/>
        </w:rPr>
      </w:pPr>
      <w:r w:rsidRPr="00964748">
        <w:rPr>
          <w:rStyle w:val="FootnoteReference"/>
          <w:rFonts w:ascii="Tahoma" w:hAnsi="Tahoma" w:cs="Tahoma"/>
        </w:rPr>
        <w:footnoteRef/>
      </w:r>
      <w:r w:rsidRPr="00964748">
        <w:rPr>
          <w:rFonts w:ascii="Tahoma" w:hAnsi="Tahoma" w:cs="Tahoma"/>
        </w:rPr>
        <w:t xml:space="preserve"> scăderea numărului mediu de salariați cu 0,2% și creșterea salariului mediu brut la nivelul economiei cu 6,3% (dec-mai 2020/dec-mai 2019)</w:t>
      </w:r>
    </w:p>
  </w:footnote>
  <w:footnote w:id="2">
    <w:p w:rsidR="002F1039" w:rsidRPr="00964748" w:rsidRDefault="002F1039" w:rsidP="00964748">
      <w:pPr>
        <w:pStyle w:val="FootnoteText"/>
        <w:ind w:firstLine="0"/>
        <w:rPr>
          <w:rFonts w:ascii="Tahoma" w:hAnsi="Tahoma" w:cs="Tahoma"/>
        </w:rPr>
      </w:pPr>
      <w:r w:rsidRPr="00964748">
        <w:rPr>
          <w:rStyle w:val="FootnoteReference"/>
          <w:rFonts w:ascii="Tahoma" w:hAnsi="Tahoma" w:cs="Tahoma"/>
        </w:rPr>
        <w:footnoteRef/>
      </w:r>
      <w:r w:rsidRPr="00964748">
        <w:rPr>
          <w:rFonts w:ascii="Tahoma" w:hAnsi="Tahoma" w:cs="Tahoma"/>
        </w:rPr>
        <w:t xml:space="preserve"> Ordonanța de urgență a Guvernului nr.29/2020 si Ordonanța de urgență a Guvernului nr.90/2020</w:t>
      </w:r>
    </w:p>
  </w:footnote>
  <w:footnote w:id="3">
    <w:p w:rsidR="002F1039" w:rsidRPr="00964748" w:rsidRDefault="002F1039" w:rsidP="00964748">
      <w:pPr>
        <w:pStyle w:val="FootnoteText"/>
        <w:ind w:firstLine="0"/>
        <w:rPr>
          <w:rFonts w:ascii="Tahoma" w:hAnsi="Tahoma" w:cs="Tahoma"/>
        </w:rPr>
      </w:pPr>
      <w:r w:rsidRPr="00964748">
        <w:rPr>
          <w:rStyle w:val="FootnoteReference"/>
          <w:rFonts w:ascii="Tahoma" w:hAnsi="Tahoma" w:cs="Tahoma"/>
        </w:rPr>
        <w:footnoteRef/>
      </w:r>
      <w:r w:rsidRPr="00964748">
        <w:rPr>
          <w:rFonts w:ascii="Tahoma" w:hAnsi="Tahoma" w:cs="Tahoma"/>
        </w:rPr>
        <w:t xml:space="preserve"> OUG nr.69/2020 pentru modificarea si completarea Legii nr.227/2015 privind Codul fiscal, precum si pentru instituirea unor măsuri fiscale </w:t>
      </w:r>
    </w:p>
  </w:footnote>
  <w:footnote w:id="4">
    <w:p w:rsidR="002F1039" w:rsidRDefault="002F1039" w:rsidP="005476C0">
      <w:pPr>
        <w:pStyle w:val="FootnoteText"/>
        <w:ind w:firstLine="0"/>
      </w:pPr>
      <w:r w:rsidRPr="00964748">
        <w:rPr>
          <w:rStyle w:val="FootnoteReference"/>
          <w:rFonts w:ascii="Tahoma" w:hAnsi="Tahoma" w:cs="Tahoma"/>
        </w:rPr>
        <w:footnoteRef/>
      </w:r>
      <w:r w:rsidRPr="00964748">
        <w:rPr>
          <w:rFonts w:ascii="Tahoma" w:hAnsi="Tahoma" w:cs="Tahoma"/>
        </w:rPr>
        <w:t xml:space="preserve"> Comunicat de presa INS nr.181/10.07.2020 Comerțul internațional cu bunuri în luna mai și perioada 1.I-31.V 2020 </w:t>
      </w:r>
    </w:p>
  </w:footnote>
  <w:footnote w:id="5">
    <w:p w:rsidR="002F1039" w:rsidRPr="00964748" w:rsidRDefault="002F1039" w:rsidP="00964748">
      <w:pPr>
        <w:pStyle w:val="FootnoteText"/>
        <w:ind w:firstLine="0"/>
        <w:rPr>
          <w:rFonts w:ascii="Tahoma" w:hAnsi="Tahoma" w:cs="Tahoma"/>
        </w:rPr>
      </w:pPr>
      <w:r w:rsidRPr="00964748">
        <w:rPr>
          <w:rStyle w:val="FootnoteReference"/>
          <w:rFonts w:ascii="Tahoma" w:hAnsi="Tahoma" w:cs="Tahoma"/>
        </w:rPr>
        <w:footnoteRef/>
      </w:r>
      <w:r w:rsidRPr="00964748">
        <w:rPr>
          <w:rFonts w:ascii="Tahoma" w:hAnsi="Tahoma" w:cs="Tahoma"/>
        </w:rPr>
        <w:t xml:space="preserve"> Cuantumul taxei de licență pentru drepturile de utilizare a frecvențelor radio existente în banda de frecvențe radio duplex 1920-1980 MHz/2110-2170 MHz, ce ajung la termen în data de 31 martie 2020, pentru perioada 1 aprilie 2020-31 decembrie 2031, este echivalentul în lei a 30 milioane euro/licență</w:t>
      </w:r>
    </w:p>
  </w:footnote>
  <w:footnote w:id="6">
    <w:p w:rsidR="002F1039" w:rsidRPr="00AB0CFF" w:rsidRDefault="002F1039" w:rsidP="00D31CEE">
      <w:pPr>
        <w:pStyle w:val="FootnoteText"/>
      </w:pPr>
      <w:r>
        <w:rPr>
          <w:rStyle w:val="FootnoteReference"/>
        </w:rPr>
        <w:footnoteRef/>
      </w:r>
      <w:r w:rsidRPr="006D37D7">
        <w:t>Comunicat Eurostat nr</w:t>
      </w:r>
      <w:r>
        <w:t>.65 din 22 aprilie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2562821"/>
      <w:docPartObj>
        <w:docPartGallery w:val="Page Numbers (Top of Page)"/>
        <w:docPartUnique/>
      </w:docPartObj>
    </w:sdtPr>
    <w:sdtEndPr>
      <w:rPr>
        <w:b/>
        <w:bCs/>
        <w:noProof/>
        <w:color w:val="auto"/>
        <w:spacing w:val="0"/>
      </w:rPr>
    </w:sdtEndPr>
    <w:sdtContent>
      <w:p w:rsidR="002F1039" w:rsidRDefault="002F103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362A1" w:rsidRPr="00F362A1">
          <w:rPr>
            <w:b/>
            <w:bCs/>
            <w:noProof/>
          </w:rPr>
          <w:t>38</w:t>
        </w:r>
        <w:r>
          <w:rPr>
            <w:b/>
            <w:bCs/>
            <w:noProof/>
          </w:rPr>
          <w:fldChar w:fldCharType="end"/>
        </w:r>
      </w:p>
    </w:sdtContent>
  </w:sdt>
  <w:p w:rsidR="002F1039" w:rsidRDefault="002F10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EF6C9ADC"/>
    <w:name w:val="WW8Num1"/>
    <w:lvl w:ilvl="0">
      <w:start w:val="1"/>
      <w:numFmt w:val="bullet"/>
      <w:lvlText w:val=""/>
      <w:lvlJc w:val="left"/>
      <w:pPr>
        <w:tabs>
          <w:tab w:val="num" w:pos="0"/>
        </w:tabs>
        <w:ind w:left="794" w:hanging="434"/>
      </w:pPr>
      <w:rPr>
        <w:rFonts w:ascii="Symbol" w:hAnsi="Symbol" w:cs="Symbol" w:hint="default"/>
        <w:color w:val="auto"/>
        <w:sz w:val="24"/>
        <w:szCs w:val="24"/>
        <w:lang w:val="ro-RO" w:eastAsia="ja-JP"/>
      </w:rPr>
    </w:lvl>
  </w:abstractNum>
  <w:abstractNum w:abstractNumId="1" w15:restartNumberingAfterBreak="0">
    <w:nsid w:val="00000010"/>
    <w:multiLevelType w:val="multilevel"/>
    <w:tmpl w:val="00000010"/>
    <w:name w:val="WW8Num16"/>
    <w:lvl w:ilvl="0">
      <w:start w:val="1"/>
      <w:numFmt w:val="bullet"/>
      <w:lvlText w:val=""/>
      <w:lvlJc w:val="left"/>
      <w:pPr>
        <w:tabs>
          <w:tab w:val="num" w:pos="0"/>
        </w:tabs>
        <w:ind w:left="644" w:hanging="360"/>
      </w:pPr>
      <w:rPr>
        <w:rFonts w:ascii="Wingdings" w:hAnsi="Wingdings" w:cs="OpenSymbol"/>
        <w:szCs w:val="24"/>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shd w:val="clear" w:color="auto" w:fill="auto"/>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shd w:val="clear" w:color="auto" w:fill="auto"/>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cs="OpenSymbol"/>
        <w:sz w:val="24"/>
        <w:szCs w:val="24"/>
        <w:shd w:val="clear" w:color="auto" w:fill="auto"/>
        <w:lang w:val="ro-RO" w:eastAsia="zh-CN" w:bidi="ar-SA"/>
      </w:rPr>
    </w:lvl>
    <w:lvl w:ilvl="1">
      <w:start w:val="1"/>
      <w:numFmt w:val="bullet"/>
      <w:lvlText w:val=""/>
      <w:lvlJc w:val="left"/>
      <w:pPr>
        <w:tabs>
          <w:tab w:val="num" w:pos="1080"/>
        </w:tabs>
        <w:ind w:left="1080" w:hanging="360"/>
      </w:pPr>
      <w:rPr>
        <w:rFonts w:ascii="Wingdings" w:hAnsi="Wingdings" w:cs="OpenSymbol"/>
        <w:sz w:val="24"/>
        <w:szCs w:val="24"/>
        <w:shd w:val="clear" w:color="auto" w:fill="auto"/>
        <w:lang w:val="ro-RO" w:eastAsia="zh-CN" w:bidi="ar-SA"/>
      </w:rPr>
    </w:lvl>
    <w:lvl w:ilvl="2">
      <w:start w:val="1"/>
      <w:numFmt w:val="bullet"/>
      <w:lvlText w:val=""/>
      <w:lvlJc w:val="left"/>
      <w:pPr>
        <w:tabs>
          <w:tab w:val="num" w:pos="1440"/>
        </w:tabs>
        <w:ind w:left="1440" w:hanging="360"/>
      </w:pPr>
      <w:rPr>
        <w:rFonts w:ascii="Wingdings" w:hAnsi="Wingdings" w:cs="OpenSymbol"/>
        <w:sz w:val="24"/>
        <w:szCs w:val="24"/>
        <w:shd w:val="clear" w:color="auto" w:fill="auto"/>
        <w:lang w:val="ro-RO" w:eastAsia="zh-CN" w:bidi="ar-SA"/>
      </w:rPr>
    </w:lvl>
    <w:lvl w:ilvl="3">
      <w:start w:val="1"/>
      <w:numFmt w:val="bullet"/>
      <w:lvlText w:val=""/>
      <w:lvlJc w:val="left"/>
      <w:pPr>
        <w:tabs>
          <w:tab w:val="num" w:pos="1800"/>
        </w:tabs>
        <w:ind w:left="1800" w:hanging="360"/>
      </w:pPr>
      <w:rPr>
        <w:rFonts w:ascii="Wingdings" w:hAnsi="Wingdings" w:cs="OpenSymbol"/>
        <w:sz w:val="24"/>
        <w:szCs w:val="24"/>
        <w:shd w:val="clear" w:color="auto" w:fill="auto"/>
        <w:lang w:val="ro-RO" w:eastAsia="zh-CN" w:bidi="ar-SA"/>
      </w:rPr>
    </w:lvl>
    <w:lvl w:ilvl="4">
      <w:start w:val="1"/>
      <w:numFmt w:val="bullet"/>
      <w:lvlText w:val=""/>
      <w:lvlJc w:val="left"/>
      <w:pPr>
        <w:tabs>
          <w:tab w:val="num" w:pos="2160"/>
        </w:tabs>
        <w:ind w:left="2160" w:hanging="360"/>
      </w:pPr>
      <w:rPr>
        <w:rFonts w:ascii="Wingdings" w:hAnsi="Wingdings" w:cs="OpenSymbol"/>
        <w:sz w:val="24"/>
        <w:szCs w:val="24"/>
        <w:shd w:val="clear" w:color="auto" w:fill="auto"/>
        <w:lang w:val="ro-RO" w:eastAsia="zh-CN" w:bidi="ar-SA"/>
      </w:rPr>
    </w:lvl>
    <w:lvl w:ilvl="5">
      <w:start w:val="1"/>
      <w:numFmt w:val="bullet"/>
      <w:lvlText w:val=""/>
      <w:lvlJc w:val="left"/>
      <w:pPr>
        <w:tabs>
          <w:tab w:val="num" w:pos="2520"/>
        </w:tabs>
        <w:ind w:left="2520" w:hanging="360"/>
      </w:pPr>
      <w:rPr>
        <w:rFonts w:ascii="Wingdings" w:hAnsi="Wingdings" w:cs="OpenSymbol"/>
        <w:sz w:val="24"/>
        <w:szCs w:val="24"/>
        <w:shd w:val="clear" w:color="auto" w:fill="auto"/>
        <w:lang w:val="ro-RO" w:eastAsia="zh-CN" w:bidi="ar-SA"/>
      </w:rPr>
    </w:lvl>
    <w:lvl w:ilvl="6">
      <w:start w:val="1"/>
      <w:numFmt w:val="bullet"/>
      <w:lvlText w:val=""/>
      <w:lvlJc w:val="left"/>
      <w:pPr>
        <w:tabs>
          <w:tab w:val="num" w:pos="2880"/>
        </w:tabs>
        <w:ind w:left="2880" w:hanging="360"/>
      </w:pPr>
      <w:rPr>
        <w:rFonts w:ascii="Wingdings" w:hAnsi="Wingdings" w:cs="OpenSymbol"/>
        <w:sz w:val="24"/>
        <w:szCs w:val="24"/>
        <w:shd w:val="clear" w:color="auto" w:fill="auto"/>
        <w:lang w:val="ro-RO" w:eastAsia="zh-CN" w:bidi="ar-SA"/>
      </w:rPr>
    </w:lvl>
    <w:lvl w:ilvl="7">
      <w:start w:val="1"/>
      <w:numFmt w:val="bullet"/>
      <w:lvlText w:val=""/>
      <w:lvlJc w:val="left"/>
      <w:pPr>
        <w:tabs>
          <w:tab w:val="num" w:pos="3240"/>
        </w:tabs>
        <w:ind w:left="3240" w:hanging="360"/>
      </w:pPr>
      <w:rPr>
        <w:rFonts w:ascii="Wingdings" w:hAnsi="Wingdings" w:cs="OpenSymbol"/>
        <w:sz w:val="24"/>
        <w:szCs w:val="24"/>
        <w:shd w:val="clear" w:color="auto" w:fill="auto"/>
        <w:lang w:val="ro-RO" w:eastAsia="zh-CN" w:bidi="ar-SA"/>
      </w:rPr>
    </w:lvl>
    <w:lvl w:ilvl="8">
      <w:start w:val="1"/>
      <w:numFmt w:val="bullet"/>
      <w:lvlText w:val=""/>
      <w:lvlJc w:val="left"/>
      <w:pPr>
        <w:tabs>
          <w:tab w:val="num" w:pos="3600"/>
        </w:tabs>
        <w:ind w:left="3600" w:hanging="360"/>
      </w:pPr>
      <w:rPr>
        <w:rFonts w:ascii="Wingdings" w:hAnsi="Wingdings" w:cs="OpenSymbol"/>
        <w:sz w:val="24"/>
        <w:szCs w:val="24"/>
        <w:shd w:val="clear" w:color="auto" w:fill="auto"/>
        <w:lang w:val="ro-RO" w:eastAsia="zh-CN" w:bidi="ar-SA"/>
      </w:rPr>
    </w:lvl>
  </w:abstractNum>
  <w:abstractNum w:abstractNumId="3" w15:restartNumberingAfterBreak="0">
    <w:nsid w:val="007A01DE"/>
    <w:multiLevelType w:val="hybridMultilevel"/>
    <w:tmpl w:val="9C5AA078"/>
    <w:lvl w:ilvl="0" w:tplc="A4583D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328B66">
      <w:start w:val="1"/>
      <w:numFmt w:val="bullet"/>
      <w:lvlText w:val="o"/>
      <w:lvlJc w:val="left"/>
      <w:pPr>
        <w:ind w:left="1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0A9D9E">
      <w:start w:val="1"/>
      <w:numFmt w:val="bullet"/>
      <w:lvlText w:val="▪"/>
      <w:lvlJc w:val="left"/>
      <w:pPr>
        <w:ind w:left="1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72BBAE">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A8B2E4">
      <w:start w:val="1"/>
      <w:numFmt w:val="bullet"/>
      <w:lvlText w:val="o"/>
      <w:lvlJc w:val="left"/>
      <w:pPr>
        <w:ind w:left="3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5ACFB0">
      <w:start w:val="1"/>
      <w:numFmt w:val="bullet"/>
      <w:lvlText w:val="▪"/>
      <w:lvlJc w:val="left"/>
      <w:pPr>
        <w:ind w:left="4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CABDB0">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FAA1F6">
      <w:start w:val="1"/>
      <w:numFmt w:val="bullet"/>
      <w:lvlText w:val="o"/>
      <w:lvlJc w:val="left"/>
      <w:pPr>
        <w:ind w:left="54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6AA9DC">
      <w:start w:val="1"/>
      <w:numFmt w:val="bullet"/>
      <w:lvlText w:val="▪"/>
      <w:lvlJc w:val="left"/>
      <w:pPr>
        <w:ind w:left="6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CF0133"/>
    <w:multiLevelType w:val="hybridMultilevel"/>
    <w:tmpl w:val="BC20AD52"/>
    <w:lvl w:ilvl="0" w:tplc="0418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763F17"/>
    <w:multiLevelType w:val="multilevel"/>
    <w:tmpl w:val="01A0D62A"/>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6" w15:restartNumberingAfterBreak="0">
    <w:nsid w:val="27E12140"/>
    <w:multiLevelType w:val="hybridMultilevel"/>
    <w:tmpl w:val="9266B81C"/>
    <w:lvl w:ilvl="0" w:tplc="DFE6320A">
      <w:start w:val="1"/>
      <w:numFmt w:val="bullet"/>
      <w:lvlText w:val=""/>
      <w:lvlJc w:val="left"/>
      <w:pPr>
        <w:tabs>
          <w:tab w:val="num" w:pos="1083"/>
        </w:tabs>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2B435324"/>
    <w:multiLevelType w:val="hybridMultilevel"/>
    <w:tmpl w:val="01543D1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15:restartNumberingAfterBreak="0">
    <w:nsid w:val="40E55461"/>
    <w:multiLevelType w:val="hybridMultilevel"/>
    <w:tmpl w:val="9C9CA68A"/>
    <w:lvl w:ilvl="0" w:tplc="DFE632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D31EB"/>
    <w:multiLevelType w:val="hybridMultilevel"/>
    <w:tmpl w:val="69766316"/>
    <w:lvl w:ilvl="0" w:tplc="DFE6320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B0400E"/>
    <w:multiLevelType w:val="hybridMultilevel"/>
    <w:tmpl w:val="E8A6C9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1EA16E5"/>
    <w:multiLevelType w:val="hybridMultilevel"/>
    <w:tmpl w:val="350A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173B6C"/>
    <w:multiLevelType w:val="hybridMultilevel"/>
    <w:tmpl w:val="35B84AAE"/>
    <w:lvl w:ilvl="0" w:tplc="04180001">
      <w:start w:val="1"/>
      <w:numFmt w:val="bullet"/>
      <w:lvlText w:val=""/>
      <w:lvlJc w:val="left"/>
      <w:pPr>
        <w:ind w:left="720" w:hanging="360"/>
      </w:pPr>
      <w:rPr>
        <w:rFonts w:ascii="Symbol" w:hAnsi="Symbol" w:hint="default"/>
      </w:rPr>
    </w:lvl>
    <w:lvl w:ilvl="1" w:tplc="ADBC729A">
      <w:start w:val="1"/>
      <w:numFmt w:val="bullet"/>
      <w:lvlText w:val=""/>
      <w:lvlJc w:val="left"/>
      <w:pPr>
        <w:ind w:left="1440" w:hanging="360"/>
      </w:pPr>
      <w:rPr>
        <w:rFonts w:ascii="Symbol" w:hAnsi="Symbol"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B990FBE"/>
    <w:multiLevelType w:val="hybridMultilevel"/>
    <w:tmpl w:val="D19A8822"/>
    <w:lvl w:ilvl="0" w:tplc="9D401336">
      <w:start w:val="1"/>
      <w:numFmt w:val="upperRoman"/>
      <w:lvlText w:val="%1."/>
      <w:lvlJc w:val="right"/>
      <w:pPr>
        <w:ind w:left="720" w:hanging="360"/>
      </w:pPr>
      <w:rPr>
        <w:sz w:val="28"/>
        <w:szCs w:val="28"/>
      </w:rPr>
    </w:lvl>
    <w:lvl w:ilvl="1" w:tplc="2AA8CCE6">
      <w:start w:val="1"/>
      <w:numFmt w:val="decimal"/>
      <w:lvlText w:val="%2."/>
      <w:lvlJc w:val="left"/>
      <w:pPr>
        <w:ind w:left="144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1825635"/>
    <w:multiLevelType w:val="hybridMultilevel"/>
    <w:tmpl w:val="DE9480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75640"/>
    <w:multiLevelType w:val="hybridMultilevel"/>
    <w:tmpl w:val="2B5247F4"/>
    <w:lvl w:ilvl="0" w:tplc="DFE6320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7"/>
  </w:num>
  <w:num w:numId="4">
    <w:abstractNumId w:val="4"/>
  </w:num>
  <w:num w:numId="5">
    <w:abstractNumId w:val="5"/>
  </w:num>
  <w:num w:numId="6">
    <w:abstractNumId w:val="11"/>
  </w:num>
  <w:num w:numId="7">
    <w:abstractNumId w:val="9"/>
  </w:num>
  <w:num w:numId="8">
    <w:abstractNumId w:val="15"/>
  </w:num>
  <w:num w:numId="9">
    <w:abstractNumId w:val="8"/>
  </w:num>
  <w:num w:numId="10">
    <w:abstractNumId w:val="6"/>
  </w:num>
  <w:num w:numId="11">
    <w:abstractNumId w:val="10"/>
  </w:num>
  <w:num w:numId="12">
    <w:abstractNumId w:val="3"/>
  </w:num>
  <w:num w:numId="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03C4"/>
    <w:rsid w:val="00000B46"/>
    <w:rsid w:val="0000372E"/>
    <w:rsid w:val="00004284"/>
    <w:rsid w:val="000051D6"/>
    <w:rsid w:val="00006DDD"/>
    <w:rsid w:val="00006FE6"/>
    <w:rsid w:val="000104AF"/>
    <w:rsid w:val="000143E5"/>
    <w:rsid w:val="0002178B"/>
    <w:rsid w:val="000237D2"/>
    <w:rsid w:val="00027127"/>
    <w:rsid w:val="00041F1F"/>
    <w:rsid w:val="00041FC6"/>
    <w:rsid w:val="00046193"/>
    <w:rsid w:val="0005391F"/>
    <w:rsid w:val="00060926"/>
    <w:rsid w:val="00060B8F"/>
    <w:rsid w:val="00062C05"/>
    <w:rsid w:val="000651AF"/>
    <w:rsid w:val="0006566D"/>
    <w:rsid w:val="00065E24"/>
    <w:rsid w:val="00065F94"/>
    <w:rsid w:val="00066A53"/>
    <w:rsid w:val="00072D0B"/>
    <w:rsid w:val="00075D5D"/>
    <w:rsid w:val="000760EA"/>
    <w:rsid w:val="00082A16"/>
    <w:rsid w:val="00083123"/>
    <w:rsid w:val="000875A8"/>
    <w:rsid w:val="00095E25"/>
    <w:rsid w:val="000A187F"/>
    <w:rsid w:val="000A42BE"/>
    <w:rsid w:val="000A467F"/>
    <w:rsid w:val="000B0BE3"/>
    <w:rsid w:val="000B4020"/>
    <w:rsid w:val="000B58BC"/>
    <w:rsid w:val="000B62ED"/>
    <w:rsid w:val="000B6552"/>
    <w:rsid w:val="000C0D1E"/>
    <w:rsid w:val="000C4F84"/>
    <w:rsid w:val="000C50E2"/>
    <w:rsid w:val="000D2C11"/>
    <w:rsid w:val="000D37E6"/>
    <w:rsid w:val="000D44BC"/>
    <w:rsid w:val="000D46FB"/>
    <w:rsid w:val="000D4824"/>
    <w:rsid w:val="000E2E18"/>
    <w:rsid w:val="000E6911"/>
    <w:rsid w:val="000F1076"/>
    <w:rsid w:val="000F490F"/>
    <w:rsid w:val="000F4C1E"/>
    <w:rsid w:val="00101413"/>
    <w:rsid w:val="00103FD9"/>
    <w:rsid w:val="00105A75"/>
    <w:rsid w:val="001069C2"/>
    <w:rsid w:val="00112846"/>
    <w:rsid w:val="00114DB1"/>
    <w:rsid w:val="00125108"/>
    <w:rsid w:val="0013047C"/>
    <w:rsid w:val="00130B57"/>
    <w:rsid w:val="00135155"/>
    <w:rsid w:val="001353BC"/>
    <w:rsid w:val="0014197B"/>
    <w:rsid w:val="00142048"/>
    <w:rsid w:val="00144AEE"/>
    <w:rsid w:val="001465BE"/>
    <w:rsid w:val="00146B8D"/>
    <w:rsid w:val="00147BBC"/>
    <w:rsid w:val="00152A7A"/>
    <w:rsid w:val="001539BB"/>
    <w:rsid w:val="00154D8A"/>
    <w:rsid w:val="00155877"/>
    <w:rsid w:val="00155F43"/>
    <w:rsid w:val="00164927"/>
    <w:rsid w:val="001678F2"/>
    <w:rsid w:val="00170CA1"/>
    <w:rsid w:val="00174F48"/>
    <w:rsid w:val="0017578C"/>
    <w:rsid w:val="00175817"/>
    <w:rsid w:val="00176922"/>
    <w:rsid w:val="00180D48"/>
    <w:rsid w:val="00183827"/>
    <w:rsid w:val="001854D7"/>
    <w:rsid w:val="00191D8D"/>
    <w:rsid w:val="001923CA"/>
    <w:rsid w:val="00196744"/>
    <w:rsid w:val="001975D6"/>
    <w:rsid w:val="00197AF4"/>
    <w:rsid w:val="001A1773"/>
    <w:rsid w:val="001B0710"/>
    <w:rsid w:val="001B347E"/>
    <w:rsid w:val="001B5B69"/>
    <w:rsid w:val="001B5DB9"/>
    <w:rsid w:val="001B7BED"/>
    <w:rsid w:val="001C550F"/>
    <w:rsid w:val="001C7589"/>
    <w:rsid w:val="001D00F4"/>
    <w:rsid w:val="001D0E4D"/>
    <w:rsid w:val="001D1F40"/>
    <w:rsid w:val="001D50A8"/>
    <w:rsid w:val="001D6AFE"/>
    <w:rsid w:val="001D7612"/>
    <w:rsid w:val="001E06CD"/>
    <w:rsid w:val="001E0833"/>
    <w:rsid w:val="001E1FAC"/>
    <w:rsid w:val="001E2C30"/>
    <w:rsid w:val="001E319D"/>
    <w:rsid w:val="001E31E7"/>
    <w:rsid w:val="001E5189"/>
    <w:rsid w:val="001F084B"/>
    <w:rsid w:val="001F1551"/>
    <w:rsid w:val="001F2287"/>
    <w:rsid w:val="001F31C5"/>
    <w:rsid w:val="001F321D"/>
    <w:rsid w:val="001F32FE"/>
    <w:rsid w:val="001F3C47"/>
    <w:rsid w:val="001F43A9"/>
    <w:rsid w:val="001F4C0B"/>
    <w:rsid w:val="00203737"/>
    <w:rsid w:val="00207D12"/>
    <w:rsid w:val="00220441"/>
    <w:rsid w:val="0022310F"/>
    <w:rsid w:val="00223FB5"/>
    <w:rsid w:val="0022607D"/>
    <w:rsid w:val="002272FA"/>
    <w:rsid w:val="0022798C"/>
    <w:rsid w:val="00232B17"/>
    <w:rsid w:val="00232B3C"/>
    <w:rsid w:val="00233ECC"/>
    <w:rsid w:val="002345FB"/>
    <w:rsid w:val="002370C1"/>
    <w:rsid w:val="00240A85"/>
    <w:rsid w:val="00241EAF"/>
    <w:rsid w:val="00243772"/>
    <w:rsid w:val="00243CA2"/>
    <w:rsid w:val="00245C93"/>
    <w:rsid w:val="00247A3D"/>
    <w:rsid w:val="00247C20"/>
    <w:rsid w:val="00252971"/>
    <w:rsid w:val="00252A5C"/>
    <w:rsid w:val="002548C2"/>
    <w:rsid w:val="00254FAB"/>
    <w:rsid w:val="00255C16"/>
    <w:rsid w:val="00257DF0"/>
    <w:rsid w:val="00262D00"/>
    <w:rsid w:val="00267B7C"/>
    <w:rsid w:val="002709B7"/>
    <w:rsid w:val="0028001B"/>
    <w:rsid w:val="00281576"/>
    <w:rsid w:val="0028202A"/>
    <w:rsid w:val="002833B0"/>
    <w:rsid w:val="00287682"/>
    <w:rsid w:val="002906CC"/>
    <w:rsid w:val="0029235E"/>
    <w:rsid w:val="0029705B"/>
    <w:rsid w:val="002A09CE"/>
    <w:rsid w:val="002A0B6B"/>
    <w:rsid w:val="002A5037"/>
    <w:rsid w:val="002A6579"/>
    <w:rsid w:val="002B7453"/>
    <w:rsid w:val="002C20D1"/>
    <w:rsid w:val="002C2A7E"/>
    <w:rsid w:val="002C4907"/>
    <w:rsid w:val="002C4AF9"/>
    <w:rsid w:val="002C5421"/>
    <w:rsid w:val="002C59D7"/>
    <w:rsid w:val="002C7092"/>
    <w:rsid w:val="002C735C"/>
    <w:rsid w:val="002E037D"/>
    <w:rsid w:val="002E0C30"/>
    <w:rsid w:val="002E7CD9"/>
    <w:rsid w:val="002F1039"/>
    <w:rsid w:val="002F1D42"/>
    <w:rsid w:val="002F2E52"/>
    <w:rsid w:val="002F6658"/>
    <w:rsid w:val="002F6A9D"/>
    <w:rsid w:val="003058A8"/>
    <w:rsid w:val="00307398"/>
    <w:rsid w:val="00310CE6"/>
    <w:rsid w:val="00314A7F"/>
    <w:rsid w:val="00321DAB"/>
    <w:rsid w:val="00322155"/>
    <w:rsid w:val="00322869"/>
    <w:rsid w:val="003349C9"/>
    <w:rsid w:val="00335B91"/>
    <w:rsid w:val="00336A90"/>
    <w:rsid w:val="003377E8"/>
    <w:rsid w:val="00342188"/>
    <w:rsid w:val="00344803"/>
    <w:rsid w:val="0034492A"/>
    <w:rsid w:val="00346FFE"/>
    <w:rsid w:val="00352140"/>
    <w:rsid w:val="0035238C"/>
    <w:rsid w:val="00354017"/>
    <w:rsid w:val="0035563D"/>
    <w:rsid w:val="003559AB"/>
    <w:rsid w:val="00355DAA"/>
    <w:rsid w:val="00363BC9"/>
    <w:rsid w:val="0037198B"/>
    <w:rsid w:val="00374ADC"/>
    <w:rsid w:val="003756B8"/>
    <w:rsid w:val="0038426B"/>
    <w:rsid w:val="0038491E"/>
    <w:rsid w:val="00384D95"/>
    <w:rsid w:val="003862B4"/>
    <w:rsid w:val="00386E53"/>
    <w:rsid w:val="003939C7"/>
    <w:rsid w:val="00395E39"/>
    <w:rsid w:val="00395F32"/>
    <w:rsid w:val="00396FCE"/>
    <w:rsid w:val="00397284"/>
    <w:rsid w:val="003A0173"/>
    <w:rsid w:val="003A073E"/>
    <w:rsid w:val="003A4653"/>
    <w:rsid w:val="003A4DF3"/>
    <w:rsid w:val="003A60AB"/>
    <w:rsid w:val="003B0A83"/>
    <w:rsid w:val="003B21F0"/>
    <w:rsid w:val="003B2CDF"/>
    <w:rsid w:val="003B3BFB"/>
    <w:rsid w:val="003B4BED"/>
    <w:rsid w:val="003B4EA0"/>
    <w:rsid w:val="003B531C"/>
    <w:rsid w:val="003C2245"/>
    <w:rsid w:val="003C2741"/>
    <w:rsid w:val="003C3D89"/>
    <w:rsid w:val="003C6123"/>
    <w:rsid w:val="003C6EA0"/>
    <w:rsid w:val="003D0192"/>
    <w:rsid w:val="003D3922"/>
    <w:rsid w:val="003D45EA"/>
    <w:rsid w:val="003D547F"/>
    <w:rsid w:val="003E2B48"/>
    <w:rsid w:val="003E4D3E"/>
    <w:rsid w:val="003E5124"/>
    <w:rsid w:val="003E54CD"/>
    <w:rsid w:val="003E5810"/>
    <w:rsid w:val="003E5F89"/>
    <w:rsid w:val="003F52E7"/>
    <w:rsid w:val="00406434"/>
    <w:rsid w:val="00406F25"/>
    <w:rsid w:val="00410C9F"/>
    <w:rsid w:val="00417332"/>
    <w:rsid w:val="00423241"/>
    <w:rsid w:val="00423DE6"/>
    <w:rsid w:val="00424AFB"/>
    <w:rsid w:val="00427577"/>
    <w:rsid w:val="0044034D"/>
    <w:rsid w:val="004403C4"/>
    <w:rsid w:val="00441064"/>
    <w:rsid w:val="00441939"/>
    <w:rsid w:val="004423E3"/>
    <w:rsid w:val="00446370"/>
    <w:rsid w:val="00446691"/>
    <w:rsid w:val="00446D9C"/>
    <w:rsid w:val="00450537"/>
    <w:rsid w:val="0045273D"/>
    <w:rsid w:val="00452E2C"/>
    <w:rsid w:val="00454FF6"/>
    <w:rsid w:val="00460FE7"/>
    <w:rsid w:val="00461A21"/>
    <w:rsid w:val="0046391D"/>
    <w:rsid w:val="004643B9"/>
    <w:rsid w:val="00467C3F"/>
    <w:rsid w:val="004718ED"/>
    <w:rsid w:val="0047248B"/>
    <w:rsid w:val="0047574B"/>
    <w:rsid w:val="0047638C"/>
    <w:rsid w:val="00483010"/>
    <w:rsid w:val="0049243D"/>
    <w:rsid w:val="00493544"/>
    <w:rsid w:val="00493E89"/>
    <w:rsid w:val="004951E1"/>
    <w:rsid w:val="004A08DA"/>
    <w:rsid w:val="004A0EFF"/>
    <w:rsid w:val="004A3C3B"/>
    <w:rsid w:val="004A771A"/>
    <w:rsid w:val="004B06D1"/>
    <w:rsid w:val="004B1BA4"/>
    <w:rsid w:val="004B29EF"/>
    <w:rsid w:val="004B7596"/>
    <w:rsid w:val="004C393E"/>
    <w:rsid w:val="004D011C"/>
    <w:rsid w:val="004D3BAE"/>
    <w:rsid w:val="004D5C98"/>
    <w:rsid w:val="004D5CE1"/>
    <w:rsid w:val="004D6D76"/>
    <w:rsid w:val="004D7BBF"/>
    <w:rsid w:val="004E2452"/>
    <w:rsid w:val="004E406D"/>
    <w:rsid w:val="004E4C99"/>
    <w:rsid w:val="004E6286"/>
    <w:rsid w:val="004F494F"/>
    <w:rsid w:val="00500555"/>
    <w:rsid w:val="0050101A"/>
    <w:rsid w:val="00503B0B"/>
    <w:rsid w:val="005102E2"/>
    <w:rsid w:val="005125A1"/>
    <w:rsid w:val="00525D24"/>
    <w:rsid w:val="005275F7"/>
    <w:rsid w:val="005310FA"/>
    <w:rsid w:val="00531D75"/>
    <w:rsid w:val="00531E2B"/>
    <w:rsid w:val="00532478"/>
    <w:rsid w:val="00532C95"/>
    <w:rsid w:val="005364D7"/>
    <w:rsid w:val="00540A55"/>
    <w:rsid w:val="00542B5F"/>
    <w:rsid w:val="00542CC9"/>
    <w:rsid w:val="005476C0"/>
    <w:rsid w:val="0055033A"/>
    <w:rsid w:val="0055194F"/>
    <w:rsid w:val="00552F13"/>
    <w:rsid w:val="00553F89"/>
    <w:rsid w:val="00553FEF"/>
    <w:rsid w:val="0056154D"/>
    <w:rsid w:val="00563406"/>
    <w:rsid w:val="0056394B"/>
    <w:rsid w:val="005663C4"/>
    <w:rsid w:val="00570371"/>
    <w:rsid w:val="00572238"/>
    <w:rsid w:val="00575968"/>
    <w:rsid w:val="0057610D"/>
    <w:rsid w:val="005838E1"/>
    <w:rsid w:val="00584125"/>
    <w:rsid w:val="00593732"/>
    <w:rsid w:val="0059391B"/>
    <w:rsid w:val="00593AD9"/>
    <w:rsid w:val="00593BF0"/>
    <w:rsid w:val="00593EBF"/>
    <w:rsid w:val="005A11EE"/>
    <w:rsid w:val="005A1564"/>
    <w:rsid w:val="005B6AC1"/>
    <w:rsid w:val="005C0BC2"/>
    <w:rsid w:val="005C110D"/>
    <w:rsid w:val="005C1C87"/>
    <w:rsid w:val="005C6217"/>
    <w:rsid w:val="005D1DFE"/>
    <w:rsid w:val="005D50AA"/>
    <w:rsid w:val="005D7882"/>
    <w:rsid w:val="005D7E97"/>
    <w:rsid w:val="005D7EDA"/>
    <w:rsid w:val="005E1CA4"/>
    <w:rsid w:val="005E75A2"/>
    <w:rsid w:val="005F3D5F"/>
    <w:rsid w:val="005F757C"/>
    <w:rsid w:val="00601209"/>
    <w:rsid w:val="00601CFD"/>
    <w:rsid w:val="00603266"/>
    <w:rsid w:val="00605688"/>
    <w:rsid w:val="006155BE"/>
    <w:rsid w:val="006201A9"/>
    <w:rsid w:val="00625C55"/>
    <w:rsid w:val="006305B7"/>
    <w:rsid w:val="00640213"/>
    <w:rsid w:val="006407D7"/>
    <w:rsid w:val="00641476"/>
    <w:rsid w:val="00642BCD"/>
    <w:rsid w:val="00642CE8"/>
    <w:rsid w:val="00652CF8"/>
    <w:rsid w:val="0066026C"/>
    <w:rsid w:val="0066051B"/>
    <w:rsid w:val="0066166E"/>
    <w:rsid w:val="006662DC"/>
    <w:rsid w:val="00666AAF"/>
    <w:rsid w:val="006719EC"/>
    <w:rsid w:val="0067614C"/>
    <w:rsid w:val="00684CFD"/>
    <w:rsid w:val="006877BA"/>
    <w:rsid w:val="00690D36"/>
    <w:rsid w:val="00691938"/>
    <w:rsid w:val="006A029E"/>
    <w:rsid w:val="006A1B46"/>
    <w:rsid w:val="006A31C3"/>
    <w:rsid w:val="006A580B"/>
    <w:rsid w:val="006B1124"/>
    <w:rsid w:val="006B3FB0"/>
    <w:rsid w:val="006B43C4"/>
    <w:rsid w:val="006C1E1F"/>
    <w:rsid w:val="006C2F78"/>
    <w:rsid w:val="006D4230"/>
    <w:rsid w:val="006D599B"/>
    <w:rsid w:val="006D6E71"/>
    <w:rsid w:val="006E1E76"/>
    <w:rsid w:val="006E4607"/>
    <w:rsid w:val="006E5C9D"/>
    <w:rsid w:val="006E60E3"/>
    <w:rsid w:val="006E6C8A"/>
    <w:rsid w:val="006F1516"/>
    <w:rsid w:val="006F3E60"/>
    <w:rsid w:val="006F4BE5"/>
    <w:rsid w:val="006F6943"/>
    <w:rsid w:val="006F7F65"/>
    <w:rsid w:val="00704D34"/>
    <w:rsid w:val="007111AF"/>
    <w:rsid w:val="00711E39"/>
    <w:rsid w:val="007122F6"/>
    <w:rsid w:val="00714936"/>
    <w:rsid w:val="007167DE"/>
    <w:rsid w:val="007207DF"/>
    <w:rsid w:val="00725544"/>
    <w:rsid w:val="007350FB"/>
    <w:rsid w:val="00736262"/>
    <w:rsid w:val="0074137E"/>
    <w:rsid w:val="00741CC2"/>
    <w:rsid w:val="00743B20"/>
    <w:rsid w:val="00746146"/>
    <w:rsid w:val="007476A4"/>
    <w:rsid w:val="00752570"/>
    <w:rsid w:val="007530B8"/>
    <w:rsid w:val="007577B2"/>
    <w:rsid w:val="007679CE"/>
    <w:rsid w:val="00770409"/>
    <w:rsid w:val="007747E1"/>
    <w:rsid w:val="0077567F"/>
    <w:rsid w:val="007773AC"/>
    <w:rsid w:val="00781BE6"/>
    <w:rsid w:val="00782D90"/>
    <w:rsid w:val="007839F1"/>
    <w:rsid w:val="00786028"/>
    <w:rsid w:val="00790092"/>
    <w:rsid w:val="00791E81"/>
    <w:rsid w:val="00795E7B"/>
    <w:rsid w:val="00796829"/>
    <w:rsid w:val="007A127B"/>
    <w:rsid w:val="007A2B25"/>
    <w:rsid w:val="007A351E"/>
    <w:rsid w:val="007B0021"/>
    <w:rsid w:val="007B1A18"/>
    <w:rsid w:val="007B4E33"/>
    <w:rsid w:val="007B7DE2"/>
    <w:rsid w:val="007C0390"/>
    <w:rsid w:val="007C4F03"/>
    <w:rsid w:val="007C6588"/>
    <w:rsid w:val="007D49B8"/>
    <w:rsid w:val="007D65E1"/>
    <w:rsid w:val="007E04FF"/>
    <w:rsid w:val="007E5C0F"/>
    <w:rsid w:val="007E60D5"/>
    <w:rsid w:val="007F4DCB"/>
    <w:rsid w:val="007F5818"/>
    <w:rsid w:val="007F7878"/>
    <w:rsid w:val="008036B9"/>
    <w:rsid w:val="00807335"/>
    <w:rsid w:val="00811F59"/>
    <w:rsid w:val="00817B53"/>
    <w:rsid w:val="008202F3"/>
    <w:rsid w:val="0082412C"/>
    <w:rsid w:val="00824400"/>
    <w:rsid w:val="00827AEF"/>
    <w:rsid w:val="00830F0D"/>
    <w:rsid w:val="008412C1"/>
    <w:rsid w:val="00847368"/>
    <w:rsid w:val="00857E54"/>
    <w:rsid w:val="00860E3D"/>
    <w:rsid w:val="00862FCF"/>
    <w:rsid w:val="008643B0"/>
    <w:rsid w:val="0086691C"/>
    <w:rsid w:val="008671A9"/>
    <w:rsid w:val="008710E6"/>
    <w:rsid w:val="008765E8"/>
    <w:rsid w:val="008807C7"/>
    <w:rsid w:val="008850D6"/>
    <w:rsid w:val="0088572D"/>
    <w:rsid w:val="008863DB"/>
    <w:rsid w:val="0088641E"/>
    <w:rsid w:val="00896646"/>
    <w:rsid w:val="008A09B8"/>
    <w:rsid w:val="008A303F"/>
    <w:rsid w:val="008A3A90"/>
    <w:rsid w:val="008A401A"/>
    <w:rsid w:val="008A5038"/>
    <w:rsid w:val="008A65A5"/>
    <w:rsid w:val="008A700D"/>
    <w:rsid w:val="008A7F0F"/>
    <w:rsid w:val="008B3560"/>
    <w:rsid w:val="008B41F6"/>
    <w:rsid w:val="008B4FEA"/>
    <w:rsid w:val="008B509B"/>
    <w:rsid w:val="008B5F61"/>
    <w:rsid w:val="008B66B3"/>
    <w:rsid w:val="008C3835"/>
    <w:rsid w:val="008C70D1"/>
    <w:rsid w:val="008D3109"/>
    <w:rsid w:val="008D4FE6"/>
    <w:rsid w:val="008D6F4B"/>
    <w:rsid w:val="008E3EC0"/>
    <w:rsid w:val="008E4B1D"/>
    <w:rsid w:val="008E79B3"/>
    <w:rsid w:val="008F3967"/>
    <w:rsid w:val="008F794B"/>
    <w:rsid w:val="008F7BBB"/>
    <w:rsid w:val="009015CD"/>
    <w:rsid w:val="009063D5"/>
    <w:rsid w:val="00906A7E"/>
    <w:rsid w:val="00907B10"/>
    <w:rsid w:val="009124C0"/>
    <w:rsid w:val="009125DC"/>
    <w:rsid w:val="0091264D"/>
    <w:rsid w:val="009131FA"/>
    <w:rsid w:val="0091356D"/>
    <w:rsid w:val="009168ED"/>
    <w:rsid w:val="00927413"/>
    <w:rsid w:val="009306D3"/>
    <w:rsid w:val="009364F0"/>
    <w:rsid w:val="00937CD4"/>
    <w:rsid w:val="00940BDB"/>
    <w:rsid w:val="009414F6"/>
    <w:rsid w:val="00945CDE"/>
    <w:rsid w:val="00950E71"/>
    <w:rsid w:val="0095144E"/>
    <w:rsid w:val="009528B3"/>
    <w:rsid w:val="00953D2F"/>
    <w:rsid w:val="0095421F"/>
    <w:rsid w:val="009550A2"/>
    <w:rsid w:val="009563D4"/>
    <w:rsid w:val="00956912"/>
    <w:rsid w:val="00962D99"/>
    <w:rsid w:val="00964748"/>
    <w:rsid w:val="00966841"/>
    <w:rsid w:val="00966F56"/>
    <w:rsid w:val="00967BE6"/>
    <w:rsid w:val="00967C0E"/>
    <w:rsid w:val="00967D74"/>
    <w:rsid w:val="00967F17"/>
    <w:rsid w:val="00970F67"/>
    <w:rsid w:val="009727CF"/>
    <w:rsid w:val="0097351C"/>
    <w:rsid w:val="0097454A"/>
    <w:rsid w:val="00974E1A"/>
    <w:rsid w:val="009754AE"/>
    <w:rsid w:val="00976EAC"/>
    <w:rsid w:val="009774BD"/>
    <w:rsid w:val="009778A4"/>
    <w:rsid w:val="009815B7"/>
    <w:rsid w:val="00987A6E"/>
    <w:rsid w:val="009904E3"/>
    <w:rsid w:val="00992663"/>
    <w:rsid w:val="00992D80"/>
    <w:rsid w:val="00993C27"/>
    <w:rsid w:val="00994357"/>
    <w:rsid w:val="009961AE"/>
    <w:rsid w:val="009A0BD2"/>
    <w:rsid w:val="009A5AAA"/>
    <w:rsid w:val="009A5B3C"/>
    <w:rsid w:val="009B41A3"/>
    <w:rsid w:val="009B633E"/>
    <w:rsid w:val="009C2A3D"/>
    <w:rsid w:val="009C6832"/>
    <w:rsid w:val="009C6F21"/>
    <w:rsid w:val="009D0987"/>
    <w:rsid w:val="009D0A50"/>
    <w:rsid w:val="009D12F9"/>
    <w:rsid w:val="009D6D45"/>
    <w:rsid w:val="009E25E4"/>
    <w:rsid w:val="009E28CB"/>
    <w:rsid w:val="009E3601"/>
    <w:rsid w:val="009E565A"/>
    <w:rsid w:val="009F4875"/>
    <w:rsid w:val="009F540F"/>
    <w:rsid w:val="009F58DB"/>
    <w:rsid w:val="009F5991"/>
    <w:rsid w:val="00A04D92"/>
    <w:rsid w:val="00A04E91"/>
    <w:rsid w:val="00A052E0"/>
    <w:rsid w:val="00A103CF"/>
    <w:rsid w:val="00A139E7"/>
    <w:rsid w:val="00A13D67"/>
    <w:rsid w:val="00A16A2C"/>
    <w:rsid w:val="00A218DA"/>
    <w:rsid w:val="00A22653"/>
    <w:rsid w:val="00A249D5"/>
    <w:rsid w:val="00A26E1A"/>
    <w:rsid w:val="00A33947"/>
    <w:rsid w:val="00A344D2"/>
    <w:rsid w:val="00A34C4D"/>
    <w:rsid w:val="00A374E1"/>
    <w:rsid w:val="00A40CBD"/>
    <w:rsid w:val="00A442C4"/>
    <w:rsid w:val="00A44484"/>
    <w:rsid w:val="00A47438"/>
    <w:rsid w:val="00A5281E"/>
    <w:rsid w:val="00A575FB"/>
    <w:rsid w:val="00A627A5"/>
    <w:rsid w:val="00A627FC"/>
    <w:rsid w:val="00A62D1E"/>
    <w:rsid w:val="00A63A72"/>
    <w:rsid w:val="00A819FF"/>
    <w:rsid w:val="00A84AAE"/>
    <w:rsid w:val="00A86CA9"/>
    <w:rsid w:val="00A86D78"/>
    <w:rsid w:val="00A86FB2"/>
    <w:rsid w:val="00A90310"/>
    <w:rsid w:val="00A90B77"/>
    <w:rsid w:val="00A92000"/>
    <w:rsid w:val="00A9347D"/>
    <w:rsid w:val="00A9353E"/>
    <w:rsid w:val="00A9590F"/>
    <w:rsid w:val="00A95C7E"/>
    <w:rsid w:val="00AA1EED"/>
    <w:rsid w:val="00AA3311"/>
    <w:rsid w:val="00AA6F58"/>
    <w:rsid w:val="00AB33F7"/>
    <w:rsid w:val="00AB37A9"/>
    <w:rsid w:val="00AB659D"/>
    <w:rsid w:val="00AC2F73"/>
    <w:rsid w:val="00AC4B34"/>
    <w:rsid w:val="00AC4DFB"/>
    <w:rsid w:val="00AC672E"/>
    <w:rsid w:val="00AC7789"/>
    <w:rsid w:val="00AD228D"/>
    <w:rsid w:val="00AD6713"/>
    <w:rsid w:val="00AD76A1"/>
    <w:rsid w:val="00AE1944"/>
    <w:rsid w:val="00AE3CDA"/>
    <w:rsid w:val="00AE4A80"/>
    <w:rsid w:val="00AF2E60"/>
    <w:rsid w:val="00AF4AA5"/>
    <w:rsid w:val="00AF5CFF"/>
    <w:rsid w:val="00AF7D33"/>
    <w:rsid w:val="00B008D3"/>
    <w:rsid w:val="00B04F04"/>
    <w:rsid w:val="00B07B31"/>
    <w:rsid w:val="00B11A59"/>
    <w:rsid w:val="00B148E5"/>
    <w:rsid w:val="00B16822"/>
    <w:rsid w:val="00B16B4E"/>
    <w:rsid w:val="00B21A9C"/>
    <w:rsid w:val="00B2471C"/>
    <w:rsid w:val="00B34009"/>
    <w:rsid w:val="00B435CF"/>
    <w:rsid w:val="00B450D8"/>
    <w:rsid w:val="00B53BB3"/>
    <w:rsid w:val="00B541BA"/>
    <w:rsid w:val="00B56A27"/>
    <w:rsid w:val="00B573EC"/>
    <w:rsid w:val="00B623BF"/>
    <w:rsid w:val="00B6374D"/>
    <w:rsid w:val="00B647C8"/>
    <w:rsid w:val="00B64F48"/>
    <w:rsid w:val="00B65E35"/>
    <w:rsid w:val="00B7596C"/>
    <w:rsid w:val="00B76DC7"/>
    <w:rsid w:val="00B8349F"/>
    <w:rsid w:val="00B86007"/>
    <w:rsid w:val="00B8712E"/>
    <w:rsid w:val="00B945E2"/>
    <w:rsid w:val="00BA2D78"/>
    <w:rsid w:val="00BA444B"/>
    <w:rsid w:val="00BA56F1"/>
    <w:rsid w:val="00BA6E6C"/>
    <w:rsid w:val="00BA7EC0"/>
    <w:rsid w:val="00BB0851"/>
    <w:rsid w:val="00BB23A6"/>
    <w:rsid w:val="00BB6124"/>
    <w:rsid w:val="00BC3785"/>
    <w:rsid w:val="00BC70E3"/>
    <w:rsid w:val="00BD4E32"/>
    <w:rsid w:val="00BD6D46"/>
    <w:rsid w:val="00BD7225"/>
    <w:rsid w:val="00BD7F81"/>
    <w:rsid w:val="00BF4126"/>
    <w:rsid w:val="00BF53AD"/>
    <w:rsid w:val="00BF6126"/>
    <w:rsid w:val="00BF6828"/>
    <w:rsid w:val="00C00E3B"/>
    <w:rsid w:val="00C0259A"/>
    <w:rsid w:val="00C133ED"/>
    <w:rsid w:val="00C1502A"/>
    <w:rsid w:val="00C177AA"/>
    <w:rsid w:val="00C17A77"/>
    <w:rsid w:val="00C21D8D"/>
    <w:rsid w:val="00C26256"/>
    <w:rsid w:val="00C265A3"/>
    <w:rsid w:val="00C275C5"/>
    <w:rsid w:val="00C27619"/>
    <w:rsid w:val="00C27F72"/>
    <w:rsid w:val="00C3380F"/>
    <w:rsid w:val="00C351B9"/>
    <w:rsid w:val="00C3536F"/>
    <w:rsid w:val="00C36EA2"/>
    <w:rsid w:val="00C375A2"/>
    <w:rsid w:val="00C40A07"/>
    <w:rsid w:val="00C40D75"/>
    <w:rsid w:val="00C410EC"/>
    <w:rsid w:val="00C4132E"/>
    <w:rsid w:val="00C425E2"/>
    <w:rsid w:val="00C426B5"/>
    <w:rsid w:val="00C42E49"/>
    <w:rsid w:val="00C43AD2"/>
    <w:rsid w:val="00C45B65"/>
    <w:rsid w:val="00C52CA7"/>
    <w:rsid w:val="00C60107"/>
    <w:rsid w:val="00C64251"/>
    <w:rsid w:val="00C662AF"/>
    <w:rsid w:val="00C714D4"/>
    <w:rsid w:val="00C75356"/>
    <w:rsid w:val="00C76042"/>
    <w:rsid w:val="00C767FF"/>
    <w:rsid w:val="00C82AAE"/>
    <w:rsid w:val="00C8367B"/>
    <w:rsid w:val="00C83A32"/>
    <w:rsid w:val="00C8524B"/>
    <w:rsid w:val="00C86610"/>
    <w:rsid w:val="00C90D1D"/>
    <w:rsid w:val="00C90ED7"/>
    <w:rsid w:val="00C9249F"/>
    <w:rsid w:val="00CA2597"/>
    <w:rsid w:val="00CA3B04"/>
    <w:rsid w:val="00CA6E98"/>
    <w:rsid w:val="00CB0DBE"/>
    <w:rsid w:val="00CB1A21"/>
    <w:rsid w:val="00CB6389"/>
    <w:rsid w:val="00CC0032"/>
    <w:rsid w:val="00CC4277"/>
    <w:rsid w:val="00CD629E"/>
    <w:rsid w:val="00CD7EDF"/>
    <w:rsid w:val="00CE0651"/>
    <w:rsid w:val="00CE1F98"/>
    <w:rsid w:val="00CE2273"/>
    <w:rsid w:val="00CE22AC"/>
    <w:rsid w:val="00CF0E9F"/>
    <w:rsid w:val="00CF2CD8"/>
    <w:rsid w:val="00CF4AAA"/>
    <w:rsid w:val="00CF5A1F"/>
    <w:rsid w:val="00CF7F6B"/>
    <w:rsid w:val="00D04A87"/>
    <w:rsid w:val="00D10850"/>
    <w:rsid w:val="00D12BA2"/>
    <w:rsid w:val="00D133EF"/>
    <w:rsid w:val="00D21D50"/>
    <w:rsid w:val="00D23A20"/>
    <w:rsid w:val="00D246D6"/>
    <w:rsid w:val="00D26276"/>
    <w:rsid w:val="00D3028A"/>
    <w:rsid w:val="00D31CEE"/>
    <w:rsid w:val="00D3288F"/>
    <w:rsid w:val="00D33EB3"/>
    <w:rsid w:val="00D404DE"/>
    <w:rsid w:val="00D44756"/>
    <w:rsid w:val="00D45150"/>
    <w:rsid w:val="00D46822"/>
    <w:rsid w:val="00D47F4F"/>
    <w:rsid w:val="00D511A6"/>
    <w:rsid w:val="00D51B3E"/>
    <w:rsid w:val="00D523DD"/>
    <w:rsid w:val="00D5296E"/>
    <w:rsid w:val="00D53AF4"/>
    <w:rsid w:val="00D56048"/>
    <w:rsid w:val="00D57688"/>
    <w:rsid w:val="00D6065B"/>
    <w:rsid w:val="00D6572B"/>
    <w:rsid w:val="00D67DD0"/>
    <w:rsid w:val="00D75673"/>
    <w:rsid w:val="00D756C1"/>
    <w:rsid w:val="00D80060"/>
    <w:rsid w:val="00D853E1"/>
    <w:rsid w:val="00D90243"/>
    <w:rsid w:val="00D908ED"/>
    <w:rsid w:val="00D90927"/>
    <w:rsid w:val="00D920EB"/>
    <w:rsid w:val="00D95A0A"/>
    <w:rsid w:val="00D97300"/>
    <w:rsid w:val="00DA0ACC"/>
    <w:rsid w:val="00DA17B7"/>
    <w:rsid w:val="00DA2DE0"/>
    <w:rsid w:val="00DA3E29"/>
    <w:rsid w:val="00DA6A3F"/>
    <w:rsid w:val="00DB1400"/>
    <w:rsid w:val="00DB6E88"/>
    <w:rsid w:val="00DB7D0C"/>
    <w:rsid w:val="00DC0ECE"/>
    <w:rsid w:val="00DC146A"/>
    <w:rsid w:val="00DC191D"/>
    <w:rsid w:val="00DC4AB9"/>
    <w:rsid w:val="00DC7F79"/>
    <w:rsid w:val="00DD17E0"/>
    <w:rsid w:val="00DD201B"/>
    <w:rsid w:val="00DD550F"/>
    <w:rsid w:val="00DD7EAE"/>
    <w:rsid w:val="00DE3381"/>
    <w:rsid w:val="00DE5842"/>
    <w:rsid w:val="00DF66E3"/>
    <w:rsid w:val="00DF6DC8"/>
    <w:rsid w:val="00DF7267"/>
    <w:rsid w:val="00E01344"/>
    <w:rsid w:val="00E0258E"/>
    <w:rsid w:val="00E040A3"/>
    <w:rsid w:val="00E042CB"/>
    <w:rsid w:val="00E04FC0"/>
    <w:rsid w:val="00E06F2E"/>
    <w:rsid w:val="00E10878"/>
    <w:rsid w:val="00E123A1"/>
    <w:rsid w:val="00E12457"/>
    <w:rsid w:val="00E20257"/>
    <w:rsid w:val="00E20C19"/>
    <w:rsid w:val="00E21431"/>
    <w:rsid w:val="00E22BD3"/>
    <w:rsid w:val="00E23916"/>
    <w:rsid w:val="00E23E51"/>
    <w:rsid w:val="00E244F3"/>
    <w:rsid w:val="00E25A9F"/>
    <w:rsid w:val="00E30356"/>
    <w:rsid w:val="00E3087D"/>
    <w:rsid w:val="00E31696"/>
    <w:rsid w:val="00E31C56"/>
    <w:rsid w:val="00E3539E"/>
    <w:rsid w:val="00E37BD3"/>
    <w:rsid w:val="00E44448"/>
    <w:rsid w:val="00E53CD8"/>
    <w:rsid w:val="00E564EA"/>
    <w:rsid w:val="00E62C1B"/>
    <w:rsid w:val="00E65423"/>
    <w:rsid w:val="00E67765"/>
    <w:rsid w:val="00E67938"/>
    <w:rsid w:val="00E67A5A"/>
    <w:rsid w:val="00E706A0"/>
    <w:rsid w:val="00E707FE"/>
    <w:rsid w:val="00E70CFC"/>
    <w:rsid w:val="00E73EFB"/>
    <w:rsid w:val="00E771E4"/>
    <w:rsid w:val="00E77879"/>
    <w:rsid w:val="00E834D0"/>
    <w:rsid w:val="00E8551C"/>
    <w:rsid w:val="00E869C0"/>
    <w:rsid w:val="00EA0607"/>
    <w:rsid w:val="00EA4AB2"/>
    <w:rsid w:val="00EA4B52"/>
    <w:rsid w:val="00EA67C2"/>
    <w:rsid w:val="00EB000E"/>
    <w:rsid w:val="00EB1916"/>
    <w:rsid w:val="00EB1E40"/>
    <w:rsid w:val="00EB45BC"/>
    <w:rsid w:val="00EC3D46"/>
    <w:rsid w:val="00EC46DD"/>
    <w:rsid w:val="00EC61E9"/>
    <w:rsid w:val="00EC7AA2"/>
    <w:rsid w:val="00ED0F2E"/>
    <w:rsid w:val="00ED17D7"/>
    <w:rsid w:val="00ED5EC5"/>
    <w:rsid w:val="00ED6C33"/>
    <w:rsid w:val="00EE2635"/>
    <w:rsid w:val="00EE2CFD"/>
    <w:rsid w:val="00EE3F8E"/>
    <w:rsid w:val="00EE569F"/>
    <w:rsid w:val="00EF1FD7"/>
    <w:rsid w:val="00EF1FF8"/>
    <w:rsid w:val="00EF4184"/>
    <w:rsid w:val="00EF53A7"/>
    <w:rsid w:val="00EF63CC"/>
    <w:rsid w:val="00F00EB5"/>
    <w:rsid w:val="00F02136"/>
    <w:rsid w:val="00F025AC"/>
    <w:rsid w:val="00F02AD1"/>
    <w:rsid w:val="00F03203"/>
    <w:rsid w:val="00F04FBB"/>
    <w:rsid w:val="00F05D25"/>
    <w:rsid w:val="00F065DE"/>
    <w:rsid w:val="00F06763"/>
    <w:rsid w:val="00F13A40"/>
    <w:rsid w:val="00F1564F"/>
    <w:rsid w:val="00F204DD"/>
    <w:rsid w:val="00F2056F"/>
    <w:rsid w:val="00F213DC"/>
    <w:rsid w:val="00F22950"/>
    <w:rsid w:val="00F248EB"/>
    <w:rsid w:val="00F260A2"/>
    <w:rsid w:val="00F326AB"/>
    <w:rsid w:val="00F362A1"/>
    <w:rsid w:val="00F362EC"/>
    <w:rsid w:val="00F41DA0"/>
    <w:rsid w:val="00F43428"/>
    <w:rsid w:val="00F4460B"/>
    <w:rsid w:val="00F465D6"/>
    <w:rsid w:val="00F51EDE"/>
    <w:rsid w:val="00F5526A"/>
    <w:rsid w:val="00F60C4C"/>
    <w:rsid w:val="00F612FE"/>
    <w:rsid w:val="00F63836"/>
    <w:rsid w:val="00F63CAF"/>
    <w:rsid w:val="00F64F4D"/>
    <w:rsid w:val="00F6547E"/>
    <w:rsid w:val="00F65599"/>
    <w:rsid w:val="00F66BFA"/>
    <w:rsid w:val="00F77BD7"/>
    <w:rsid w:val="00F83D86"/>
    <w:rsid w:val="00F85CDF"/>
    <w:rsid w:val="00F8763B"/>
    <w:rsid w:val="00F91A24"/>
    <w:rsid w:val="00F93CAD"/>
    <w:rsid w:val="00F96228"/>
    <w:rsid w:val="00FA0452"/>
    <w:rsid w:val="00FA0A4C"/>
    <w:rsid w:val="00FA372E"/>
    <w:rsid w:val="00FA554F"/>
    <w:rsid w:val="00FA64BD"/>
    <w:rsid w:val="00FA6625"/>
    <w:rsid w:val="00FB0FC8"/>
    <w:rsid w:val="00FB55E8"/>
    <w:rsid w:val="00FC465F"/>
    <w:rsid w:val="00FD47E5"/>
    <w:rsid w:val="00FD5E5E"/>
    <w:rsid w:val="00FD6874"/>
    <w:rsid w:val="00FD6879"/>
    <w:rsid w:val="00FD7A40"/>
    <w:rsid w:val="00FD7CCF"/>
    <w:rsid w:val="00FE0BCB"/>
    <w:rsid w:val="00FE0C7D"/>
    <w:rsid w:val="00FE1664"/>
    <w:rsid w:val="00FE274F"/>
    <w:rsid w:val="00FE2F06"/>
    <w:rsid w:val="00FF13C9"/>
    <w:rsid w:val="00FF1D0A"/>
    <w:rsid w:val="00FF5682"/>
    <w:rsid w:val="00FF6A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9FBAAAB"/>
  <w15:docId w15:val="{0ED1F087-21B4-457D-9265-F5EAC0C9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80"/>
        <w:ind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5A5"/>
  </w:style>
  <w:style w:type="paragraph" w:styleId="Heading1">
    <w:name w:val="heading 1"/>
    <w:aliases w:val=" Caracter"/>
    <w:basedOn w:val="Normal"/>
    <w:next w:val="Normal"/>
    <w:link w:val="Heading1Char"/>
    <w:qFormat/>
    <w:rsid w:val="007C4F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acter Char"/>
    <w:basedOn w:val="DefaultParagraphFont"/>
    <w:link w:val="Heading1"/>
    <w:rsid w:val="007C4F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4F03"/>
    <w:pPr>
      <w:outlineLvl w:val="9"/>
    </w:pPr>
    <w:rPr>
      <w:lang w:val="en-US"/>
    </w:rPr>
  </w:style>
  <w:style w:type="paragraph" w:styleId="ListParagraph">
    <w:name w:val="List Paragraph"/>
    <w:aliases w:val="Normal bullet 2,Table of contents numbered,body 2,List_Paragraph,Multilevel para_II,TimesNewRoman 14,heading2,List Paragraph1,Antes de enumeración,Akapit z listą BS,Outlines a.b.c.,Akapit z lista BS,List1,Списък на абзаци,List Paragraph11"/>
    <w:basedOn w:val="Normal"/>
    <w:link w:val="ListParagraphChar"/>
    <w:uiPriority w:val="34"/>
    <w:qFormat/>
    <w:rsid w:val="007C4F03"/>
    <w:pPr>
      <w:ind w:left="720"/>
      <w:contextualSpacing/>
    </w:pPr>
  </w:style>
  <w:style w:type="paragraph" w:styleId="TOC1">
    <w:name w:val="toc 1"/>
    <w:basedOn w:val="Normal"/>
    <w:next w:val="Normal"/>
    <w:autoRedefine/>
    <w:uiPriority w:val="39"/>
    <w:unhideWhenUsed/>
    <w:rsid w:val="00F4460B"/>
    <w:pPr>
      <w:keepNext/>
      <w:keepLines/>
      <w:tabs>
        <w:tab w:val="left" w:pos="426"/>
        <w:tab w:val="right" w:leader="dot" w:pos="9062"/>
      </w:tabs>
      <w:spacing w:after="240"/>
      <w:ind w:left="72" w:hanging="360"/>
    </w:pPr>
    <w:rPr>
      <w:rFonts w:ascii="Arial" w:hAnsi="Arial" w:cs="Arial"/>
      <w:b/>
      <w:noProof/>
      <w:sz w:val="24"/>
      <w:szCs w:val="24"/>
    </w:rPr>
  </w:style>
  <w:style w:type="character" w:styleId="Hyperlink">
    <w:name w:val="Hyperlink"/>
    <w:basedOn w:val="DefaultParagraphFont"/>
    <w:uiPriority w:val="99"/>
    <w:unhideWhenUsed/>
    <w:rsid w:val="007C4F03"/>
    <w:rPr>
      <w:color w:val="0563C1" w:themeColor="hyperlink"/>
      <w:u w:val="single"/>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single space"/>
    <w:basedOn w:val="Normal"/>
    <w:link w:val="FootnoteTextChar"/>
    <w:uiPriority w:val="99"/>
    <w:rsid w:val="007C4F03"/>
    <w:pPr>
      <w:spacing w:after="0"/>
    </w:pPr>
    <w:rPr>
      <w:rFonts w:ascii="Times New Roman" w:eastAsia="Times New Roman" w:hAnsi="Times New Roman" w:cs="Times New Roman"/>
      <w:sz w:val="20"/>
      <w:szCs w:val="20"/>
      <w:lang w:eastAsia="ro-RO"/>
    </w:r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single space Char"/>
    <w:basedOn w:val="DefaultParagraphFont"/>
    <w:link w:val="FootnoteText"/>
    <w:semiHidden/>
    <w:rsid w:val="007C4F03"/>
    <w:rPr>
      <w:rFonts w:ascii="Times New Roman" w:eastAsia="Times New Roman" w:hAnsi="Times New Roman" w:cs="Times New Roman"/>
      <w:sz w:val="20"/>
      <w:szCs w:val="20"/>
      <w:lang w:eastAsia="ro-RO"/>
    </w:rPr>
  </w:style>
  <w:style w:type="character" w:styleId="FootnoteReference">
    <w:name w:val="footnote reference"/>
    <w:aliases w:val="BVI fnr Char1 Char Char Char Char Char Char1 Char Caracter Char Char Char Char Char Char,Footnote Reference Number Char Char Char Char Char Char Char1 Char Caracter Char Char Char Char Char Char Char Char Char Char Caracter,SUPERS,BVI"/>
    <w:link w:val="CharChar1CharCharCharCharCharCharCaracter1CharCaracterCharCaracterCharCaracterCharCharCaracter"/>
    <w:uiPriority w:val="99"/>
    <w:rsid w:val="007C4F03"/>
    <w:rPr>
      <w:vertAlign w:val="superscript"/>
    </w:rPr>
  </w:style>
  <w:style w:type="paragraph" w:styleId="NoSpacing">
    <w:name w:val="No Spacing"/>
    <w:uiPriority w:val="1"/>
    <w:qFormat/>
    <w:rsid w:val="007C4F03"/>
    <w:pPr>
      <w:spacing w:after="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F48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875"/>
    <w:rPr>
      <w:rFonts w:ascii="Segoe UI" w:hAnsi="Segoe UI" w:cs="Segoe UI"/>
      <w:sz w:val="18"/>
      <w:szCs w:val="18"/>
    </w:rPr>
  </w:style>
  <w:style w:type="paragraph" w:styleId="EndnoteText">
    <w:name w:val="endnote text"/>
    <w:basedOn w:val="Normal"/>
    <w:link w:val="EndnoteTextChar"/>
    <w:uiPriority w:val="99"/>
    <w:semiHidden/>
    <w:unhideWhenUsed/>
    <w:rsid w:val="00C86610"/>
    <w:pPr>
      <w:spacing w:after="0"/>
    </w:pPr>
    <w:rPr>
      <w:sz w:val="20"/>
      <w:szCs w:val="20"/>
    </w:rPr>
  </w:style>
  <w:style w:type="character" w:customStyle="1" w:styleId="EndnoteTextChar">
    <w:name w:val="Endnote Text Char"/>
    <w:basedOn w:val="DefaultParagraphFont"/>
    <w:link w:val="EndnoteText"/>
    <w:uiPriority w:val="99"/>
    <w:semiHidden/>
    <w:rsid w:val="00C86610"/>
    <w:rPr>
      <w:sz w:val="20"/>
      <w:szCs w:val="20"/>
    </w:rPr>
  </w:style>
  <w:style w:type="character" w:styleId="EndnoteReference">
    <w:name w:val="endnote reference"/>
    <w:basedOn w:val="DefaultParagraphFont"/>
    <w:uiPriority w:val="99"/>
    <w:semiHidden/>
    <w:unhideWhenUsed/>
    <w:rsid w:val="00C86610"/>
    <w:rPr>
      <w:vertAlign w:val="superscript"/>
    </w:rPr>
  </w:style>
  <w:style w:type="character" w:styleId="Emphasis">
    <w:name w:val="Emphasis"/>
    <w:qFormat/>
    <w:rsid w:val="00D756C1"/>
    <w:rPr>
      <w:i/>
      <w:iCs/>
    </w:rPr>
  </w:style>
  <w:style w:type="paragraph" w:styleId="Header">
    <w:name w:val="header"/>
    <w:basedOn w:val="Normal"/>
    <w:link w:val="HeaderChar"/>
    <w:uiPriority w:val="99"/>
    <w:unhideWhenUsed/>
    <w:rsid w:val="00197AF4"/>
    <w:pPr>
      <w:tabs>
        <w:tab w:val="center" w:pos="4536"/>
        <w:tab w:val="right" w:pos="9072"/>
      </w:tabs>
      <w:spacing w:after="0"/>
    </w:pPr>
  </w:style>
  <w:style w:type="character" w:customStyle="1" w:styleId="HeaderChar">
    <w:name w:val="Header Char"/>
    <w:basedOn w:val="DefaultParagraphFont"/>
    <w:link w:val="Header"/>
    <w:uiPriority w:val="99"/>
    <w:rsid w:val="00197AF4"/>
  </w:style>
  <w:style w:type="paragraph" w:styleId="Footer">
    <w:name w:val="footer"/>
    <w:basedOn w:val="Normal"/>
    <w:link w:val="FooterChar"/>
    <w:uiPriority w:val="99"/>
    <w:unhideWhenUsed/>
    <w:rsid w:val="00197AF4"/>
    <w:pPr>
      <w:tabs>
        <w:tab w:val="center" w:pos="4536"/>
        <w:tab w:val="right" w:pos="9072"/>
      </w:tabs>
      <w:spacing w:after="0"/>
    </w:pPr>
  </w:style>
  <w:style w:type="character" w:customStyle="1" w:styleId="FooterChar">
    <w:name w:val="Footer Char"/>
    <w:basedOn w:val="DefaultParagraphFont"/>
    <w:link w:val="Footer"/>
    <w:uiPriority w:val="99"/>
    <w:rsid w:val="00197AF4"/>
  </w:style>
  <w:style w:type="character" w:styleId="CommentReference">
    <w:name w:val="annotation reference"/>
    <w:basedOn w:val="DefaultParagraphFont"/>
    <w:uiPriority w:val="99"/>
    <w:semiHidden/>
    <w:unhideWhenUsed/>
    <w:rsid w:val="00183827"/>
    <w:rPr>
      <w:sz w:val="16"/>
      <w:szCs w:val="16"/>
    </w:rPr>
  </w:style>
  <w:style w:type="paragraph" w:styleId="CommentText">
    <w:name w:val="annotation text"/>
    <w:basedOn w:val="Normal"/>
    <w:link w:val="CommentTextChar"/>
    <w:uiPriority w:val="99"/>
    <w:semiHidden/>
    <w:unhideWhenUsed/>
    <w:rsid w:val="00183827"/>
    <w:rPr>
      <w:sz w:val="20"/>
      <w:szCs w:val="20"/>
    </w:rPr>
  </w:style>
  <w:style w:type="character" w:customStyle="1" w:styleId="CommentTextChar">
    <w:name w:val="Comment Text Char"/>
    <w:basedOn w:val="DefaultParagraphFont"/>
    <w:link w:val="CommentText"/>
    <w:uiPriority w:val="99"/>
    <w:semiHidden/>
    <w:rsid w:val="00183827"/>
    <w:rPr>
      <w:sz w:val="20"/>
      <w:szCs w:val="20"/>
    </w:rPr>
  </w:style>
  <w:style w:type="paragraph" w:styleId="CommentSubject">
    <w:name w:val="annotation subject"/>
    <w:basedOn w:val="CommentText"/>
    <w:next w:val="CommentText"/>
    <w:link w:val="CommentSubjectChar"/>
    <w:uiPriority w:val="99"/>
    <w:semiHidden/>
    <w:unhideWhenUsed/>
    <w:rsid w:val="00183827"/>
    <w:rPr>
      <w:b/>
      <w:bCs/>
    </w:rPr>
  </w:style>
  <w:style w:type="character" w:customStyle="1" w:styleId="CommentSubjectChar">
    <w:name w:val="Comment Subject Char"/>
    <w:basedOn w:val="CommentTextChar"/>
    <w:link w:val="CommentSubject"/>
    <w:uiPriority w:val="99"/>
    <w:semiHidden/>
    <w:rsid w:val="00183827"/>
    <w:rPr>
      <w:b/>
      <w:bCs/>
      <w:sz w:val="20"/>
      <w:szCs w:val="20"/>
    </w:rPr>
  </w:style>
  <w:style w:type="paragraph" w:customStyle="1" w:styleId="Caracter2CharCharCaracterCharCharCaracterCharCharCaracterCharChar">
    <w:name w:val="Caracter2 Char Char Caracter Char Char Caracter Char Char Caracter Char Char"/>
    <w:basedOn w:val="Normal"/>
    <w:rsid w:val="008A5038"/>
    <w:pPr>
      <w:spacing w:after="0"/>
    </w:pPr>
    <w:rPr>
      <w:rFonts w:ascii="Times New Roman" w:eastAsia="Times New Roman" w:hAnsi="Times New Roman" w:cs="Times New Roman"/>
      <w:sz w:val="24"/>
      <w:szCs w:val="24"/>
      <w:lang w:val="pl-PL" w:eastAsia="pl-PL"/>
    </w:rPr>
  </w:style>
  <w:style w:type="paragraph" w:styleId="NormalWeb">
    <w:name w:val="Normal (Web)"/>
    <w:basedOn w:val="Normal"/>
    <w:uiPriority w:val="99"/>
    <w:semiHidden/>
    <w:unhideWhenUsed/>
    <w:rsid w:val="00406434"/>
    <w:rPr>
      <w:rFonts w:ascii="Times New Roman" w:hAnsi="Times New Roman" w:cs="Times New Roman"/>
      <w:sz w:val="24"/>
      <w:szCs w:val="24"/>
    </w:rPr>
  </w:style>
  <w:style w:type="paragraph" w:customStyle="1" w:styleId="Bodytext2">
    <w:name w:val="Body text (2)"/>
    <w:basedOn w:val="Normal"/>
    <w:rsid w:val="00446D9C"/>
    <w:pPr>
      <w:widowControl w:val="0"/>
      <w:shd w:val="clear" w:color="auto" w:fill="FFFFFF"/>
      <w:spacing w:before="780" w:after="0" w:line="413" w:lineRule="exact"/>
      <w:ind w:firstLine="0"/>
    </w:pPr>
    <w:rPr>
      <w:rFonts w:ascii="Arial" w:eastAsia="Arial" w:hAnsi="Arial" w:cs="Arial"/>
      <w:sz w:val="20"/>
      <w:szCs w:val="20"/>
      <w:lang w:val="en-US" w:eastAsia="zh-CN"/>
    </w:rPr>
  </w:style>
  <w:style w:type="paragraph" w:customStyle="1" w:styleId="Caracter2CharCharCaracterCharCharCaracterCharCharCaracterCharChar0">
    <w:name w:val="Caracter2 Char Char Caracter Char Char Caracter Char Char Caracter Char Char"/>
    <w:basedOn w:val="Normal"/>
    <w:rsid w:val="00AF7D33"/>
    <w:pPr>
      <w:spacing w:after="0"/>
      <w:ind w:firstLine="0"/>
      <w:jc w:val="left"/>
    </w:pPr>
    <w:rPr>
      <w:rFonts w:ascii="Times New Roman" w:eastAsia="Times New Roman" w:hAnsi="Times New Roman" w:cs="Times New Roman"/>
      <w:sz w:val="24"/>
      <w:szCs w:val="24"/>
      <w:lang w:val="pl-PL" w:eastAsia="pl-PL"/>
    </w:rPr>
  </w:style>
  <w:style w:type="character" w:customStyle="1" w:styleId="ListParagraphChar">
    <w:name w:val="List Paragraph Char"/>
    <w:aliases w:val="Normal bullet 2 Char,Table of contents numbered Char,body 2 Char,List_Paragraph Char,Multilevel para_II Char,TimesNewRoman 14 Char,heading2 Char,List Paragraph1 Char,Antes de enumeración Char,Akapit z listą BS Char,List1 Char"/>
    <w:link w:val="ListParagraph"/>
    <w:locked/>
    <w:rsid w:val="00A34C4D"/>
  </w:style>
  <w:style w:type="paragraph" w:customStyle="1" w:styleId="CharChar1CharCharCharCharCharCharCaracter1CharCaracterCharCaracterCharCaracterCharCharCaracter">
    <w:name w:val="Char Char1 Char Char Char Char Char Char Caracter1 Char Caracter Char Caracter Char Caracter Char Char Caracter"/>
    <w:aliases w:val="Char Char1 Char Char Char Char Char Char Caracter Char Char Caracter"/>
    <w:basedOn w:val="Normal"/>
    <w:next w:val="Normal"/>
    <w:link w:val="FootnoteReference"/>
    <w:rsid w:val="004D6D76"/>
    <w:pPr>
      <w:spacing w:after="160" w:line="240" w:lineRule="exact"/>
      <w:ind w:firstLine="0"/>
      <w:jc w:val="left"/>
    </w:pPr>
    <w:rPr>
      <w:vertAlign w:val="superscript"/>
    </w:rPr>
  </w:style>
  <w:style w:type="paragraph" w:styleId="TOC2">
    <w:name w:val="toc 2"/>
    <w:basedOn w:val="Normal"/>
    <w:next w:val="Normal"/>
    <w:autoRedefine/>
    <w:uiPriority w:val="39"/>
    <w:unhideWhenUsed/>
    <w:rsid w:val="007D49B8"/>
    <w:pPr>
      <w:spacing w:after="100"/>
      <w:ind w:left="220"/>
    </w:pPr>
  </w:style>
  <w:style w:type="paragraph" w:customStyle="1" w:styleId="CharChar">
    <w:name w:val="Char Char"/>
    <w:basedOn w:val="Normal"/>
    <w:rsid w:val="001F4C0B"/>
    <w:pPr>
      <w:spacing w:after="0"/>
      <w:ind w:firstLine="0"/>
      <w:jc w:val="left"/>
    </w:pPr>
    <w:rPr>
      <w:rFonts w:ascii="Times New Roman" w:eastAsia="Times New Roman" w:hAnsi="Times New Roman" w:cs="Times New Roman"/>
      <w:sz w:val="24"/>
      <w:szCs w:val="24"/>
      <w:lang w:val="pl-PL" w:eastAsia="pl-PL"/>
    </w:rPr>
  </w:style>
  <w:style w:type="paragraph" w:customStyle="1" w:styleId="Caracter2CharCharCaracterCharCharCaracterCharCharCaracterCharChar1">
    <w:name w:val="Caracter2 Char Char Caracter Char Char Caracter Char Char Caracter Char Char"/>
    <w:basedOn w:val="Normal"/>
    <w:rsid w:val="00791E81"/>
    <w:pPr>
      <w:spacing w:after="0"/>
      <w:ind w:firstLine="0"/>
      <w:jc w:val="left"/>
    </w:pPr>
    <w:rPr>
      <w:rFonts w:ascii="Times New Roman" w:eastAsia="Times New Roman" w:hAnsi="Times New Roman" w:cs="Times New Roman"/>
      <w:sz w:val="24"/>
      <w:szCs w:val="24"/>
      <w:lang w:val="pl-PL" w:eastAsia="pl-PL"/>
    </w:rPr>
  </w:style>
  <w:style w:type="character" w:customStyle="1" w:styleId="FootnoteTextChar1">
    <w:name w:val="Footnote Text Char1"/>
    <w:aliases w:val="Footnote Char1,Fußnote Char1,Tekst przypisu Char1,Tekst przypisu Znak Znak Znak Znak Char1,Tekst przypisu Znak Znak Znak Znak Znak Char1,Tekst przypisu Znak Znak Znak Znak Znak Znak Znak Char1,fn Char1,single space Char1"/>
    <w:locked/>
    <w:rsid w:val="00BB23A6"/>
    <w:rPr>
      <w:rFonts w:eastAsia="Calibri"/>
      <w:lang w:val="en-GB"/>
    </w:rPr>
  </w:style>
  <w:style w:type="paragraph" w:customStyle="1" w:styleId="SUPERSChar1">
    <w:name w:val="SUPERS Char1"/>
    <w:basedOn w:val="Normal"/>
    <w:next w:val="Normal"/>
    <w:uiPriority w:val="99"/>
    <w:rsid w:val="00BB23A6"/>
    <w:pPr>
      <w:suppressAutoHyphens/>
      <w:spacing w:after="160" w:line="240" w:lineRule="exact"/>
      <w:ind w:firstLine="0"/>
      <w:jc w:val="left"/>
    </w:pPr>
    <w:rPr>
      <w:rFonts w:ascii="Times New Roman" w:hAnsi="Times New Roman" w:cs="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6455">
      <w:bodyDiv w:val="1"/>
      <w:marLeft w:val="0"/>
      <w:marRight w:val="0"/>
      <w:marTop w:val="0"/>
      <w:marBottom w:val="0"/>
      <w:divBdr>
        <w:top w:val="none" w:sz="0" w:space="0" w:color="auto"/>
        <w:left w:val="none" w:sz="0" w:space="0" w:color="auto"/>
        <w:bottom w:val="none" w:sz="0" w:space="0" w:color="auto"/>
        <w:right w:val="none" w:sz="0" w:space="0" w:color="auto"/>
      </w:divBdr>
    </w:div>
    <w:div w:id="115025011">
      <w:bodyDiv w:val="1"/>
      <w:marLeft w:val="0"/>
      <w:marRight w:val="0"/>
      <w:marTop w:val="0"/>
      <w:marBottom w:val="0"/>
      <w:divBdr>
        <w:top w:val="none" w:sz="0" w:space="0" w:color="auto"/>
        <w:left w:val="none" w:sz="0" w:space="0" w:color="auto"/>
        <w:bottom w:val="none" w:sz="0" w:space="0" w:color="auto"/>
        <w:right w:val="none" w:sz="0" w:space="0" w:color="auto"/>
      </w:divBdr>
      <w:divsChild>
        <w:div w:id="591552499">
          <w:marLeft w:val="547"/>
          <w:marRight w:val="0"/>
          <w:marTop w:val="0"/>
          <w:marBottom w:val="0"/>
          <w:divBdr>
            <w:top w:val="none" w:sz="0" w:space="0" w:color="auto"/>
            <w:left w:val="none" w:sz="0" w:space="0" w:color="auto"/>
            <w:bottom w:val="none" w:sz="0" w:space="0" w:color="auto"/>
            <w:right w:val="none" w:sz="0" w:space="0" w:color="auto"/>
          </w:divBdr>
        </w:div>
        <w:div w:id="1058211023">
          <w:marLeft w:val="547"/>
          <w:marRight w:val="0"/>
          <w:marTop w:val="200"/>
          <w:marBottom w:val="200"/>
          <w:divBdr>
            <w:top w:val="none" w:sz="0" w:space="0" w:color="auto"/>
            <w:left w:val="none" w:sz="0" w:space="0" w:color="auto"/>
            <w:bottom w:val="none" w:sz="0" w:space="0" w:color="auto"/>
            <w:right w:val="none" w:sz="0" w:space="0" w:color="auto"/>
          </w:divBdr>
        </w:div>
      </w:divsChild>
    </w:div>
    <w:div w:id="169373442">
      <w:bodyDiv w:val="1"/>
      <w:marLeft w:val="0"/>
      <w:marRight w:val="0"/>
      <w:marTop w:val="0"/>
      <w:marBottom w:val="0"/>
      <w:divBdr>
        <w:top w:val="none" w:sz="0" w:space="0" w:color="auto"/>
        <w:left w:val="none" w:sz="0" w:space="0" w:color="auto"/>
        <w:bottom w:val="none" w:sz="0" w:space="0" w:color="auto"/>
        <w:right w:val="none" w:sz="0" w:space="0" w:color="auto"/>
      </w:divBdr>
    </w:div>
    <w:div w:id="224991803">
      <w:bodyDiv w:val="1"/>
      <w:marLeft w:val="0"/>
      <w:marRight w:val="0"/>
      <w:marTop w:val="0"/>
      <w:marBottom w:val="0"/>
      <w:divBdr>
        <w:top w:val="none" w:sz="0" w:space="0" w:color="auto"/>
        <w:left w:val="none" w:sz="0" w:space="0" w:color="auto"/>
        <w:bottom w:val="none" w:sz="0" w:space="0" w:color="auto"/>
        <w:right w:val="none" w:sz="0" w:space="0" w:color="auto"/>
      </w:divBdr>
    </w:div>
    <w:div w:id="304822241">
      <w:bodyDiv w:val="1"/>
      <w:marLeft w:val="0"/>
      <w:marRight w:val="0"/>
      <w:marTop w:val="0"/>
      <w:marBottom w:val="0"/>
      <w:divBdr>
        <w:top w:val="none" w:sz="0" w:space="0" w:color="auto"/>
        <w:left w:val="none" w:sz="0" w:space="0" w:color="auto"/>
        <w:bottom w:val="none" w:sz="0" w:space="0" w:color="auto"/>
        <w:right w:val="none" w:sz="0" w:space="0" w:color="auto"/>
      </w:divBdr>
    </w:div>
    <w:div w:id="330062855">
      <w:bodyDiv w:val="1"/>
      <w:marLeft w:val="0"/>
      <w:marRight w:val="0"/>
      <w:marTop w:val="0"/>
      <w:marBottom w:val="0"/>
      <w:divBdr>
        <w:top w:val="none" w:sz="0" w:space="0" w:color="auto"/>
        <w:left w:val="none" w:sz="0" w:space="0" w:color="auto"/>
        <w:bottom w:val="none" w:sz="0" w:space="0" w:color="auto"/>
        <w:right w:val="none" w:sz="0" w:space="0" w:color="auto"/>
      </w:divBdr>
    </w:div>
    <w:div w:id="353116261">
      <w:bodyDiv w:val="1"/>
      <w:marLeft w:val="0"/>
      <w:marRight w:val="0"/>
      <w:marTop w:val="0"/>
      <w:marBottom w:val="0"/>
      <w:divBdr>
        <w:top w:val="none" w:sz="0" w:space="0" w:color="auto"/>
        <w:left w:val="none" w:sz="0" w:space="0" w:color="auto"/>
        <w:bottom w:val="none" w:sz="0" w:space="0" w:color="auto"/>
        <w:right w:val="none" w:sz="0" w:space="0" w:color="auto"/>
      </w:divBdr>
    </w:div>
    <w:div w:id="367417453">
      <w:bodyDiv w:val="1"/>
      <w:marLeft w:val="0"/>
      <w:marRight w:val="0"/>
      <w:marTop w:val="0"/>
      <w:marBottom w:val="0"/>
      <w:divBdr>
        <w:top w:val="none" w:sz="0" w:space="0" w:color="auto"/>
        <w:left w:val="none" w:sz="0" w:space="0" w:color="auto"/>
        <w:bottom w:val="none" w:sz="0" w:space="0" w:color="auto"/>
        <w:right w:val="none" w:sz="0" w:space="0" w:color="auto"/>
      </w:divBdr>
    </w:div>
    <w:div w:id="376778322">
      <w:bodyDiv w:val="1"/>
      <w:marLeft w:val="0"/>
      <w:marRight w:val="0"/>
      <w:marTop w:val="0"/>
      <w:marBottom w:val="0"/>
      <w:divBdr>
        <w:top w:val="none" w:sz="0" w:space="0" w:color="auto"/>
        <w:left w:val="none" w:sz="0" w:space="0" w:color="auto"/>
        <w:bottom w:val="none" w:sz="0" w:space="0" w:color="auto"/>
        <w:right w:val="none" w:sz="0" w:space="0" w:color="auto"/>
      </w:divBdr>
    </w:div>
    <w:div w:id="435447346">
      <w:bodyDiv w:val="1"/>
      <w:marLeft w:val="0"/>
      <w:marRight w:val="0"/>
      <w:marTop w:val="0"/>
      <w:marBottom w:val="0"/>
      <w:divBdr>
        <w:top w:val="none" w:sz="0" w:space="0" w:color="auto"/>
        <w:left w:val="none" w:sz="0" w:space="0" w:color="auto"/>
        <w:bottom w:val="none" w:sz="0" w:space="0" w:color="auto"/>
        <w:right w:val="none" w:sz="0" w:space="0" w:color="auto"/>
      </w:divBdr>
      <w:divsChild>
        <w:div w:id="272713846">
          <w:marLeft w:val="547"/>
          <w:marRight w:val="0"/>
          <w:marTop w:val="0"/>
          <w:marBottom w:val="200"/>
          <w:divBdr>
            <w:top w:val="none" w:sz="0" w:space="0" w:color="auto"/>
            <w:left w:val="none" w:sz="0" w:space="0" w:color="auto"/>
            <w:bottom w:val="none" w:sz="0" w:space="0" w:color="auto"/>
            <w:right w:val="none" w:sz="0" w:space="0" w:color="auto"/>
          </w:divBdr>
        </w:div>
        <w:div w:id="949050328">
          <w:marLeft w:val="547"/>
          <w:marRight w:val="0"/>
          <w:marTop w:val="0"/>
          <w:marBottom w:val="200"/>
          <w:divBdr>
            <w:top w:val="none" w:sz="0" w:space="0" w:color="auto"/>
            <w:left w:val="none" w:sz="0" w:space="0" w:color="auto"/>
            <w:bottom w:val="none" w:sz="0" w:space="0" w:color="auto"/>
            <w:right w:val="none" w:sz="0" w:space="0" w:color="auto"/>
          </w:divBdr>
        </w:div>
      </w:divsChild>
    </w:div>
    <w:div w:id="504169024">
      <w:bodyDiv w:val="1"/>
      <w:marLeft w:val="0"/>
      <w:marRight w:val="0"/>
      <w:marTop w:val="0"/>
      <w:marBottom w:val="0"/>
      <w:divBdr>
        <w:top w:val="none" w:sz="0" w:space="0" w:color="auto"/>
        <w:left w:val="none" w:sz="0" w:space="0" w:color="auto"/>
        <w:bottom w:val="none" w:sz="0" w:space="0" w:color="auto"/>
        <w:right w:val="none" w:sz="0" w:space="0" w:color="auto"/>
      </w:divBdr>
    </w:div>
    <w:div w:id="548416336">
      <w:bodyDiv w:val="1"/>
      <w:marLeft w:val="0"/>
      <w:marRight w:val="0"/>
      <w:marTop w:val="0"/>
      <w:marBottom w:val="0"/>
      <w:divBdr>
        <w:top w:val="none" w:sz="0" w:space="0" w:color="auto"/>
        <w:left w:val="none" w:sz="0" w:space="0" w:color="auto"/>
        <w:bottom w:val="none" w:sz="0" w:space="0" w:color="auto"/>
        <w:right w:val="none" w:sz="0" w:space="0" w:color="auto"/>
      </w:divBdr>
    </w:div>
    <w:div w:id="569778675">
      <w:bodyDiv w:val="1"/>
      <w:marLeft w:val="0"/>
      <w:marRight w:val="0"/>
      <w:marTop w:val="0"/>
      <w:marBottom w:val="0"/>
      <w:divBdr>
        <w:top w:val="none" w:sz="0" w:space="0" w:color="auto"/>
        <w:left w:val="none" w:sz="0" w:space="0" w:color="auto"/>
        <w:bottom w:val="none" w:sz="0" w:space="0" w:color="auto"/>
        <w:right w:val="none" w:sz="0" w:space="0" w:color="auto"/>
      </w:divBdr>
    </w:div>
    <w:div w:id="619723830">
      <w:bodyDiv w:val="1"/>
      <w:marLeft w:val="0"/>
      <w:marRight w:val="0"/>
      <w:marTop w:val="0"/>
      <w:marBottom w:val="0"/>
      <w:divBdr>
        <w:top w:val="none" w:sz="0" w:space="0" w:color="auto"/>
        <w:left w:val="none" w:sz="0" w:space="0" w:color="auto"/>
        <w:bottom w:val="none" w:sz="0" w:space="0" w:color="auto"/>
        <w:right w:val="none" w:sz="0" w:space="0" w:color="auto"/>
      </w:divBdr>
    </w:div>
    <w:div w:id="681198562">
      <w:bodyDiv w:val="1"/>
      <w:marLeft w:val="0"/>
      <w:marRight w:val="0"/>
      <w:marTop w:val="0"/>
      <w:marBottom w:val="0"/>
      <w:divBdr>
        <w:top w:val="none" w:sz="0" w:space="0" w:color="auto"/>
        <w:left w:val="none" w:sz="0" w:space="0" w:color="auto"/>
        <w:bottom w:val="none" w:sz="0" w:space="0" w:color="auto"/>
        <w:right w:val="none" w:sz="0" w:space="0" w:color="auto"/>
      </w:divBdr>
    </w:div>
    <w:div w:id="708604831">
      <w:bodyDiv w:val="1"/>
      <w:marLeft w:val="0"/>
      <w:marRight w:val="0"/>
      <w:marTop w:val="0"/>
      <w:marBottom w:val="0"/>
      <w:divBdr>
        <w:top w:val="none" w:sz="0" w:space="0" w:color="auto"/>
        <w:left w:val="none" w:sz="0" w:space="0" w:color="auto"/>
        <w:bottom w:val="none" w:sz="0" w:space="0" w:color="auto"/>
        <w:right w:val="none" w:sz="0" w:space="0" w:color="auto"/>
      </w:divBdr>
    </w:div>
    <w:div w:id="716247170">
      <w:bodyDiv w:val="1"/>
      <w:marLeft w:val="0"/>
      <w:marRight w:val="0"/>
      <w:marTop w:val="0"/>
      <w:marBottom w:val="0"/>
      <w:divBdr>
        <w:top w:val="none" w:sz="0" w:space="0" w:color="auto"/>
        <w:left w:val="none" w:sz="0" w:space="0" w:color="auto"/>
        <w:bottom w:val="none" w:sz="0" w:space="0" w:color="auto"/>
        <w:right w:val="none" w:sz="0" w:space="0" w:color="auto"/>
      </w:divBdr>
    </w:div>
    <w:div w:id="765076565">
      <w:bodyDiv w:val="1"/>
      <w:marLeft w:val="0"/>
      <w:marRight w:val="0"/>
      <w:marTop w:val="0"/>
      <w:marBottom w:val="0"/>
      <w:divBdr>
        <w:top w:val="none" w:sz="0" w:space="0" w:color="auto"/>
        <w:left w:val="none" w:sz="0" w:space="0" w:color="auto"/>
        <w:bottom w:val="none" w:sz="0" w:space="0" w:color="auto"/>
        <w:right w:val="none" w:sz="0" w:space="0" w:color="auto"/>
      </w:divBdr>
      <w:divsChild>
        <w:div w:id="267737638">
          <w:marLeft w:val="446"/>
          <w:marRight w:val="346"/>
          <w:marTop w:val="120"/>
          <w:marBottom w:val="120"/>
          <w:divBdr>
            <w:top w:val="none" w:sz="0" w:space="0" w:color="auto"/>
            <w:left w:val="none" w:sz="0" w:space="0" w:color="auto"/>
            <w:bottom w:val="none" w:sz="0" w:space="0" w:color="auto"/>
            <w:right w:val="none" w:sz="0" w:space="0" w:color="auto"/>
          </w:divBdr>
        </w:div>
        <w:div w:id="1979189426">
          <w:marLeft w:val="446"/>
          <w:marRight w:val="0"/>
          <w:marTop w:val="0"/>
          <w:marBottom w:val="120"/>
          <w:divBdr>
            <w:top w:val="none" w:sz="0" w:space="0" w:color="auto"/>
            <w:left w:val="none" w:sz="0" w:space="0" w:color="auto"/>
            <w:bottom w:val="none" w:sz="0" w:space="0" w:color="auto"/>
            <w:right w:val="none" w:sz="0" w:space="0" w:color="auto"/>
          </w:divBdr>
        </w:div>
      </w:divsChild>
    </w:div>
    <w:div w:id="787546384">
      <w:bodyDiv w:val="1"/>
      <w:marLeft w:val="0"/>
      <w:marRight w:val="0"/>
      <w:marTop w:val="0"/>
      <w:marBottom w:val="0"/>
      <w:divBdr>
        <w:top w:val="none" w:sz="0" w:space="0" w:color="auto"/>
        <w:left w:val="none" w:sz="0" w:space="0" w:color="auto"/>
        <w:bottom w:val="none" w:sz="0" w:space="0" w:color="auto"/>
        <w:right w:val="none" w:sz="0" w:space="0" w:color="auto"/>
      </w:divBdr>
    </w:div>
    <w:div w:id="788933016">
      <w:bodyDiv w:val="1"/>
      <w:marLeft w:val="0"/>
      <w:marRight w:val="0"/>
      <w:marTop w:val="0"/>
      <w:marBottom w:val="0"/>
      <w:divBdr>
        <w:top w:val="none" w:sz="0" w:space="0" w:color="auto"/>
        <w:left w:val="none" w:sz="0" w:space="0" w:color="auto"/>
        <w:bottom w:val="none" w:sz="0" w:space="0" w:color="auto"/>
        <w:right w:val="none" w:sz="0" w:space="0" w:color="auto"/>
      </w:divBdr>
    </w:div>
    <w:div w:id="837500624">
      <w:bodyDiv w:val="1"/>
      <w:marLeft w:val="0"/>
      <w:marRight w:val="0"/>
      <w:marTop w:val="0"/>
      <w:marBottom w:val="0"/>
      <w:divBdr>
        <w:top w:val="none" w:sz="0" w:space="0" w:color="auto"/>
        <w:left w:val="none" w:sz="0" w:space="0" w:color="auto"/>
        <w:bottom w:val="none" w:sz="0" w:space="0" w:color="auto"/>
        <w:right w:val="none" w:sz="0" w:space="0" w:color="auto"/>
      </w:divBdr>
    </w:div>
    <w:div w:id="867377894">
      <w:bodyDiv w:val="1"/>
      <w:marLeft w:val="0"/>
      <w:marRight w:val="0"/>
      <w:marTop w:val="0"/>
      <w:marBottom w:val="0"/>
      <w:divBdr>
        <w:top w:val="none" w:sz="0" w:space="0" w:color="auto"/>
        <w:left w:val="none" w:sz="0" w:space="0" w:color="auto"/>
        <w:bottom w:val="none" w:sz="0" w:space="0" w:color="auto"/>
        <w:right w:val="none" w:sz="0" w:space="0" w:color="auto"/>
      </w:divBdr>
    </w:div>
    <w:div w:id="892548185">
      <w:bodyDiv w:val="1"/>
      <w:marLeft w:val="0"/>
      <w:marRight w:val="0"/>
      <w:marTop w:val="0"/>
      <w:marBottom w:val="0"/>
      <w:divBdr>
        <w:top w:val="none" w:sz="0" w:space="0" w:color="auto"/>
        <w:left w:val="none" w:sz="0" w:space="0" w:color="auto"/>
        <w:bottom w:val="none" w:sz="0" w:space="0" w:color="auto"/>
        <w:right w:val="none" w:sz="0" w:space="0" w:color="auto"/>
      </w:divBdr>
      <w:divsChild>
        <w:div w:id="107237063">
          <w:marLeft w:val="547"/>
          <w:marRight w:val="0"/>
          <w:marTop w:val="120"/>
          <w:marBottom w:val="120"/>
          <w:divBdr>
            <w:top w:val="none" w:sz="0" w:space="0" w:color="auto"/>
            <w:left w:val="none" w:sz="0" w:space="0" w:color="auto"/>
            <w:bottom w:val="none" w:sz="0" w:space="0" w:color="auto"/>
            <w:right w:val="none" w:sz="0" w:space="0" w:color="auto"/>
          </w:divBdr>
        </w:div>
        <w:div w:id="1663073507">
          <w:marLeft w:val="547"/>
          <w:marRight w:val="0"/>
          <w:marTop w:val="0"/>
          <w:marBottom w:val="200"/>
          <w:divBdr>
            <w:top w:val="none" w:sz="0" w:space="0" w:color="auto"/>
            <w:left w:val="none" w:sz="0" w:space="0" w:color="auto"/>
            <w:bottom w:val="none" w:sz="0" w:space="0" w:color="auto"/>
            <w:right w:val="none" w:sz="0" w:space="0" w:color="auto"/>
          </w:divBdr>
        </w:div>
      </w:divsChild>
    </w:div>
    <w:div w:id="1014453547">
      <w:bodyDiv w:val="1"/>
      <w:marLeft w:val="0"/>
      <w:marRight w:val="0"/>
      <w:marTop w:val="0"/>
      <w:marBottom w:val="0"/>
      <w:divBdr>
        <w:top w:val="none" w:sz="0" w:space="0" w:color="auto"/>
        <w:left w:val="none" w:sz="0" w:space="0" w:color="auto"/>
        <w:bottom w:val="none" w:sz="0" w:space="0" w:color="auto"/>
        <w:right w:val="none" w:sz="0" w:space="0" w:color="auto"/>
      </w:divBdr>
    </w:div>
    <w:div w:id="1029601847">
      <w:bodyDiv w:val="1"/>
      <w:marLeft w:val="0"/>
      <w:marRight w:val="0"/>
      <w:marTop w:val="0"/>
      <w:marBottom w:val="0"/>
      <w:divBdr>
        <w:top w:val="none" w:sz="0" w:space="0" w:color="auto"/>
        <w:left w:val="none" w:sz="0" w:space="0" w:color="auto"/>
        <w:bottom w:val="none" w:sz="0" w:space="0" w:color="auto"/>
        <w:right w:val="none" w:sz="0" w:space="0" w:color="auto"/>
      </w:divBdr>
    </w:div>
    <w:div w:id="1033261580">
      <w:bodyDiv w:val="1"/>
      <w:marLeft w:val="0"/>
      <w:marRight w:val="0"/>
      <w:marTop w:val="0"/>
      <w:marBottom w:val="0"/>
      <w:divBdr>
        <w:top w:val="none" w:sz="0" w:space="0" w:color="auto"/>
        <w:left w:val="none" w:sz="0" w:space="0" w:color="auto"/>
        <w:bottom w:val="none" w:sz="0" w:space="0" w:color="auto"/>
        <w:right w:val="none" w:sz="0" w:space="0" w:color="auto"/>
      </w:divBdr>
    </w:div>
    <w:div w:id="1053888659">
      <w:bodyDiv w:val="1"/>
      <w:marLeft w:val="0"/>
      <w:marRight w:val="0"/>
      <w:marTop w:val="0"/>
      <w:marBottom w:val="0"/>
      <w:divBdr>
        <w:top w:val="none" w:sz="0" w:space="0" w:color="auto"/>
        <w:left w:val="none" w:sz="0" w:space="0" w:color="auto"/>
        <w:bottom w:val="none" w:sz="0" w:space="0" w:color="auto"/>
        <w:right w:val="none" w:sz="0" w:space="0" w:color="auto"/>
      </w:divBdr>
    </w:div>
    <w:div w:id="1128934510">
      <w:bodyDiv w:val="1"/>
      <w:marLeft w:val="0"/>
      <w:marRight w:val="0"/>
      <w:marTop w:val="0"/>
      <w:marBottom w:val="0"/>
      <w:divBdr>
        <w:top w:val="none" w:sz="0" w:space="0" w:color="auto"/>
        <w:left w:val="none" w:sz="0" w:space="0" w:color="auto"/>
        <w:bottom w:val="none" w:sz="0" w:space="0" w:color="auto"/>
        <w:right w:val="none" w:sz="0" w:space="0" w:color="auto"/>
      </w:divBdr>
    </w:div>
    <w:div w:id="1183669206">
      <w:bodyDiv w:val="1"/>
      <w:marLeft w:val="0"/>
      <w:marRight w:val="0"/>
      <w:marTop w:val="0"/>
      <w:marBottom w:val="0"/>
      <w:divBdr>
        <w:top w:val="none" w:sz="0" w:space="0" w:color="auto"/>
        <w:left w:val="none" w:sz="0" w:space="0" w:color="auto"/>
        <w:bottom w:val="none" w:sz="0" w:space="0" w:color="auto"/>
        <w:right w:val="none" w:sz="0" w:space="0" w:color="auto"/>
      </w:divBdr>
    </w:div>
    <w:div w:id="1221481420">
      <w:bodyDiv w:val="1"/>
      <w:marLeft w:val="0"/>
      <w:marRight w:val="0"/>
      <w:marTop w:val="0"/>
      <w:marBottom w:val="0"/>
      <w:divBdr>
        <w:top w:val="none" w:sz="0" w:space="0" w:color="auto"/>
        <w:left w:val="none" w:sz="0" w:space="0" w:color="auto"/>
        <w:bottom w:val="none" w:sz="0" w:space="0" w:color="auto"/>
        <w:right w:val="none" w:sz="0" w:space="0" w:color="auto"/>
      </w:divBdr>
    </w:div>
    <w:div w:id="1360274833">
      <w:bodyDiv w:val="1"/>
      <w:marLeft w:val="0"/>
      <w:marRight w:val="0"/>
      <w:marTop w:val="0"/>
      <w:marBottom w:val="0"/>
      <w:divBdr>
        <w:top w:val="none" w:sz="0" w:space="0" w:color="auto"/>
        <w:left w:val="none" w:sz="0" w:space="0" w:color="auto"/>
        <w:bottom w:val="none" w:sz="0" w:space="0" w:color="auto"/>
        <w:right w:val="none" w:sz="0" w:space="0" w:color="auto"/>
      </w:divBdr>
    </w:div>
    <w:div w:id="1445877663">
      <w:bodyDiv w:val="1"/>
      <w:marLeft w:val="0"/>
      <w:marRight w:val="0"/>
      <w:marTop w:val="0"/>
      <w:marBottom w:val="0"/>
      <w:divBdr>
        <w:top w:val="none" w:sz="0" w:space="0" w:color="auto"/>
        <w:left w:val="none" w:sz="0" w:space="0" w:color="auto"/>
        <w:bottom w:val="none" w:sz="0" w:space="0" w:color="auto"/>
        <w:right w:val="none" w:sz="0" w:space="0" w:color="auto"/>
      </w:divBdr>
    </w:div>
    <w:div w:id="1484198697">
      <w:bodyDiv w:val="1"/>
      <w:marLeft w:val="0"/>
      <w:marRight w:val="0"/>
      <w:marTop w:val="0"/>
      <w:marBottom w:val="0"/>
      <w:divBdr>
        <w:top w:val="none" w:sz="0" w:space="0" w:color="auto"/>
        <w:left w:val="none" w:sz="0" w:space="0" w:color="auto"/>
        <w:bottom w:val="none" w:sz="0" w:space="0" w:color="auto"/>
        <w:right w:val="none" w:sz="0" w:space="0" w:color="auto"/>
      </w:divBdr>
    </w:div>
    <w:div w:id="1520774390">
      <w:bodyDiv w:val="1"/>
      <w:marLeft w:val="0"/>
      <w:marRight w:val="0"/>
      <w:marTop w:val="0"/>
      <w:marBottom w:val="0"/>
      <w:divBdr>
        <w:top w:val="none" w:sz="0" w:space="0" w:color="auto"/>
        <w:left w:val="none" w:sz="0" w:space="0" w:color="auto"/>
        <w:bottom w:val="none" w:sz="0" w:space="0" w:color="auto"/>
        <w:right w:val="none" w:sz="0" w:space="0" w:color="auto"/>
      </w:divBdr>
    </w:div>
    <w:div w:id="1536582639">
      <w:bodyDiv w:val="1"/>
      <w:marLeft w:val="0"/>
      <w:marRight w:val="0"/>
      <w:marTop w:val="0"/>
      <w:marBottom w:val="0"/>
      <w:divBdr>
        <w:top w:val="none" w:sz="0" w:space="0" w:color="auto"/>
        <w:left w:val="none" w:sz="0" w:space="0" w:color="auto"/>
        <w:bottom w:val="none" w:sz="0" w:space="0" w:color="auto"/>
        <w:right w:val="none" w:sz="0" w:space="0" w:color="auto"/>
      </w:divBdr>
      <w:divsChild>
        <w:div w:id="2140680218">
          <w:marLeft w:val="547"/>
          <w:marRight w:val="0"/>
          <w:marTop w:val="120"/>
          <w:marBottom w:val="120"/>
          <w:divBdr>
            <w:top w:val="none" w:sz="0" w:space="0" w:color="auto"/>
            <w:left w:val="none" w:sz="0" w:space="0" w:color="auto"/>
            <w:bottom w:val="none" w:sz="0" w:space="0" w:color="auto"/>
            <w:right w:val="none" w:sz="0" w:space="0" w:color="auto"/>
          </w:divBdr>
        </w:div>
        <w:div w:id="831025650">
          <w:marLeft w:val="547"/>
          <w:marRight w:val="0"/>
          <w:marTop w:val="120"/>
          <w:marBottom w:val="120"/>
          <w:divBdr>
            <w:top w:val="none" w:sz="0" w:space="0" w:color="auto"/>
            <w:left w:val="none" w:sz="0" w:space="0" w:color="auto"/>
            <w:bottom w:val="none" w:sz="0" w:space="0" w:color="auto"/>
            <w:right w:val="none" w:sz="0" w:space="0" w:color="auto"/>
          </w:divBdr>
        </w:div>
        <w:div w:id="1416511021">
          <w:marLeft w:val="547"/>
          <w:marRight w:val="0"/>
          <w:marTop w:val="0"/>
          <w:marBottom w:val="0"/>
          <w:divBdr>
            <w:top w:val="none" w:sz="0" w:space="0" w:color="auto"/>
            <w:left w:val="none" w:sz="0" w:space="0" w:color="auto"/>
            <w:bottom w:val="none" w:sz="0" w:space="0" w:color="auto"/>
            <w:right w:val="none" w:sz="0" w:space="0" w:color="auto"/>
          </w:divBdr>
        </w:div>
        <w:div w:id="320699091">
          <w:marLeft w:val="547"/>
          <w:marRight w:val="0"/>
          <w:marTop w:val="0"/>
          <w:marBottom w:val="0"/>
          <w:divBdr>
            <w:top w:val="none" w:sz="0" w:space="0" w:color="auto"/>
            <w:left w:val="none" w:sz="0" w:space="0" w:color="auto"/>
            <w:bottom w:val="none" w:sz="0" w:space="0" w:color="auto"/>
            <w:right w:val="none" w:sz="0" w:space="0" w:color="auto"/>
          </w:divBdr>
        </w:div>
        <w:div w:id="18044032">
          <w:marLeft w:val="547"/>
          <w:marRight w:val="0"/>
          <w:marTop w:val="0"/>
          <w:marBottom w:val="200"/>
          <w:divBdr>
            <w:top w:val="none" w:sz="0" w:space="0" w:color="auto"/>
            <w:left w:val="none" w:sz="0" w:space="0" w:color="auto"/>
            <w:bottom w:val="none" w:sz="0" w:space="0" w:color="auto"/>
            <w:right w:val="none" w:sz="0" w:space="0" w:color="auto"/>
          </w:divBdr>
        </w:div>
      </w:divsChild>
    </w:div>
    <w:div w:id="1623611751">
      <w:bodyDiv w:val="1"/>
      <w:marLeft w:val="0"/>
      <w:marRight w:val="0"/>
      <w:marTop w:val="0"/>
      <w:marBottom w:val="0"/>
      <w:divBdr>
        <w:top w:val="none" w:sz="0" w:space="0" w:color="auto"/>
        <w:left w:val="none" w:sz="0" w:space="0" w:color="auto"/>
        <w:bottom w:val="none" w:sz="0" w:space="0" w:color="auto"/>
        <w:right w:val="none" w:sz="0" w:space="0" w:color="auto"/>
      </w:divBdr>
    </w:div>
    <w:div w:id="1670060811">
      <w:bodyDiv w:val="1"/>
      <w:marLeft w:val="0"/>
      <w:marRight w:val="0"/>
      <w:marTop w:val="0"/>
      <w:marBottom w:val="0"/>
      <w:divBdr>
        <w:top w:val="none" w:sz="0" w:space="0" w:color="auto"/>
        <w:left w:val="none" w:sz="0" w:space="0" w:color="auto"/>
        <w:bottom w:val="none" w:sz="0" w:space="0" w:color="auto"/>
        <w:right w:val="none" w:sz="0" w:space="0" w:color="auto"/>
      </w:divBdr>
    </w:div>
    <w:div w:id="1672175889">
      <w:bodyDiv w:val="1"/>
      <w:marLeft w:val="0"/>
      <w:marRight w:val="0"/>
      <w:marTop w:val="0"/>
      <w:marBottom w:val="0"/>
      <w:divBdr>
        <w:top w:val="none" w:sz="0" w:space="0" w:color="auto"/>
        <w:left w:val="none" w:sz="0" w:space="0" w:color="auto"/>
        <w:bottom w:val="none" w:sz="0" w:space="0" w:color="auto"/>
        <w:right w:val="none" w:sz="0" w:space="0" w:color="auto"/>
      </w:divBdr>
    </w:div>
    <w:div w:id="1703282475">
      <w:bodyDiv w:val="1"/>
      <w:marLeft w:val="0"/>
      <w:marRight w:val="0"/>
      <w:marTop w:val="0"/>
      <w:marBottom w:val="0"/>
      <w:divBdr>
        <w:top w:val="none" w:sz="0" w:space="0" w:color="auto"/>
        <w:left w:val="none" w:sz="0" w:space="0" w:color="auto"/>
        <w:bottom w:val="none" w:sz="0" w:space="0" w:color="auto"/>
        <w:right w:val="none" w:sz="0" w:space="0" w:color="auto"/>
      </w:divBdr>
    </w:div>
    <w:div w:id="1785538974">
      <w:bodyDiv w:val="1"/>
      <w:marLeft w:val="0"/>
      <w:marRight w:val="0"/>
      <w:marTop w:val="0"/>
      <w:marBottom w:val="0"/>
      <w:divBdr>
        <w:top w:val="none" w:sz="0" w:space="0" w:color="auto"/>
        <w:left w:val="none" w:sz="0" w:space="0" w:color="auto"/>
        <w:bottom w:val="none" w:sz="0" w:space="0" w:color="auto"/>
        <w:right w:val="none" w:sz="0" w:space="0" w:color="auto"/>
      </w:divBdr>
    </w:div>
    <w:div w:id="1832258239">
      <w:bodyDiv w:val="1"/>
      <w:marLeft w:val="0"/>
      <w:marRight w:val="0"/>
      <w:marTop w:val="0"/>
      <w:marBottom w:val="0"/>
      <w:divBdr>
        <w:top w:val="none" w:sz="0" w:space="0" w:color="auto"/>
        <w:left w:val="none" w:sz="0" w:space="0" w:color="auto"/>
        <w:bottom w:val="none" w:sz="0" w:space="0" w:color="auto"/>
        <w:right w:val="none" w:sz="0" w:space="0" w:color="auto"/>
      </w:divBdr>
    </w:div>
    <w:div w:id="1847280183">
      <w:bodyDiv w:val="1"/>
      <w:marLeft w:val="0"/>
      <w:marRight w:val="0"/>
      <w:marTop w:val="0"/>
      <w:marBottom w:val="0"/>
      <w:divBdr>
        <w:top w:val="none" w:sz="0" w:space="0" w:color="auto"/>
        <w:left w:val="none" w:sz="0" w:space="0" w:color="auto"/>
        <w:bottom w:val="none" w:sz="0" w:space="0" w:color="auto"/>
        <w:right w:val="none" w:sz="0" w:space="0" w:color="auto"/>
      </w:divBdr>
      <w:divsChild>
        <w:div w:id="4140132">
          <w:marLeft w:val="547"/>
          <w:marRight w:val="0"/>
          <w:marTop w:val="0"/>
          <w:marBottom w:val="0"/>
          <w:divBdr>
            <w:top w:val="none" w:sz="0" w:space="0" w:color="auto"/>
            <w:left w:val="none" w:sz="0" w:space="0" w:color="auto"/>
            <w:bottom w:val="none" w:sz="0" w:space="0" w:color="auto"/>
            <w:right w:val="none" w:sz="0" w:space="0" w:color="auto"/>
          </w:divBdr>
        </w:div>
        <w:div w:id="2004117303">
          <w:marLeft w:val="547"/>
          <w:marRight w:val="0"/>
          <w:marTop w:val="0"/>
          <w:marBottom w:val="0"/>
          <w:divBdr>
            <w:top w:val="none" w:sz="0" w:space="0" w:color="auto"/>
            <w:left w:val="none" w:sz="0" w:space="0" w:color="auto"/>
            <w:bottom w:val="none" w:sz="0" w:space="0" w:color="auto"/>
            <w:right w:val="none" w:sz="0" w:space="0" w:color="auto"/>
          </w:divBdr>
        </w:div>
        <w:div w:id="535704628">
          <w:marLeft w:val="547"/>
          <w:marRight w:val="0"/>
          <w:marTop w:val="0"/>
          <w:marBottom w:val="200"/>
          <w:divBdr>
            <w:top w:val="none" w:sz="0" w:space="0" w:color="auto"/>
            <w:left w:val="none" w:sz="0" w:space="0" w:color="auto"/>
            <w:bottom w:val="none" w:sz="0" w:space="0" w:color="auto"/>
            <w:right w:val="none" w:sz="0" w:space="0" w:color="auto"/>
          </w:divBdr>
        </w:div>
        <w:div w:id="212815043">
          <w:marLeft w:val="547"/>
          <w:marRight w:val="0"/>
          <w:marTop w:val="0"/>
          <w:marBottom w:val="200"/>
          <w:divBdr>
            <w:top w:val="none" w:sz="0" w:space="0" w:color="auto"/>
            <w:left w:val="none" w:sz="0" w:space="0" w:color="auto"/>
            <w:bottom w:val="none" w:sz="0" w:space="0" w:color="auto"/>
            <w:right w:val="none" w:sz="0" w:space="0" w:color="auto"/>
          </w:divBdr>
        </w:div>
      </w:divsChild>
    </w:div>
    <w:div w:id="1896115792">
      <w:bodyDiv w:val="1"/>
      <w:marLeft w:val="0"/>
      <w:marRight w:val="0"/>
      <w:marTop w:val="0"/>
      <w:marBottom w:val="0"/>
      <w:divBdr>
        <w:top w:val="none" w:sz="0" w:space="0" w:color="auto"/>
        <w:left w:val="none" w:sz="0" w:space="0" w:color="auto"/>
        <w:bottom w:val="none" w:sz="0" w:space="0" w:color="auto"/>
        <w:right w:val="none" w:sz="0" w:space="0" w:color="auto"/>
      </w:divBdr>
    </w:div>
    <w:div w:id="1932422144">
      <w:bodyDiv w:val="1"/>
      <w:marLeft w:val="0"/>
      <w:marRight w:val="0"/>
      <w:marTop w:val="0"/>
      <w:marBottom w:val="0"/>
      <w:divBdr>
        <w:top w:val="none" w:sz="0" w:space="0" w:color="auto"/>
        <w:left w:val="none" w:sz="0" w:space="0" w:color="auto"/>
        <w:bottom w:val="none" w:sz="0" w:space="0" w:color="auto"/>
        <w:right w:val="none" w:sz="0" w:space="0" w:color="auto"/>
      </w:divBdr>
    </w:div>
    <w:div w:id="1943875971">
      <w:bodyDiv w:val="1"/>
      <w:marLeft w:val="0"/>
      <w:marRight w:val="0"/>
      <w:marTop w:val="0"/>
      <w:marBottom w:val="0"/>
      <w:divBdr>
        <w:top w:val="none" w:sz="0" w:space="0" w:color="auto"/>
        <w:left w:val="none" w:sz="0" w:space="0" w:color="auto"/>
        <w:bottom w:val="none" w:sz="0" w:space="0" w:color="auto"/>
        <w:right w:val="none" w:sz="0" w:space="0" w:color="auto"/>
      </w:divBdr>
    </w:div>
    <w:div w:id="1956937010">
      <w:bodyDiv w:val="1"/>
      <w:marLeft w:val="0"/>
      <w:marRight w:val="0"/>
      <w:marTop w:val="0"/>
      <w:marBottom w:val="0"/>
      <w:divBdr>
        <w:top w:val="none" w:sz="0" w:space="0" w:color="auto"/>
        <w:left w:val="none" w:sz="0" w:space="0" w:color="auto"/>
        <w:bottom w:val="none" w:sz="0" w:space="0" w:color="auto"/>
        <w:right w:val="none" w:sz="0" w:space="0" w:color="auto"/>
      </w:divBdr>
    </w:div>
    <w:div w:id="2010210825">
      <w:bodyDiv w:val="1"/>
      <w:marLeft w:val="0"/>
      <w:marRight w:val="0"/>
      <w:marTop w:val="0"/>
      <w:marBottom w:val="0"/>
      <w:divBdr>
        <w:top w:val="none" w:sz="0" w:space="0" w:color="auto"/>
        <w:left w:val="none" w:sz="0" w:space="0" w:color="auto"/>
        <w:bottom w:val="none" w:sz="0" w:space="0" w:color="auto"/>
        <w:right w:val="none" w:sz="0" w:space="0" w:color="auto"/>
      </w:divBdr>
    </w:div>
    <w:div w:id="2043090463">
      <w:bodyDiv w:val="1"/>
      <w:marLeft w:val="0"/>
      <w:marRight w:val="0"/>
      <w:marTop w:val="0"/>
      <w:marBottom w:val="0"/>
      <w:divBdr>
        <w:top w:val="none" w:sz="0" w:space="0" w:color="auto"/>
        <w:left w:val="none" w:sz="0" w:space="0" w:color="auto"/>
        <w:bottom w:val="none" w:sz="0" w:space="0" w:color="auto"/>
        <w:right w:val="none" w:sz="0" w:space="0" w:color="auto"/>
      </w:divBdr>
    </w:div>
    <w:div w:id="2133089104">
      <w:bodyDiv w:val="1"/>
      <w:marLeft w:val="0"/>
      <w:marRight w:val="0"/>
      <w:marTop w:val="0"/>
      <w:marBottom w:val="0"/>
      <w:divBdr>
        <w:top w:val="none" w:sz="0" w:space="0" w:color="auto"/>
        <w:left w:val="none" w:sz="0" w:space="0" w:color="auto"/>
        <w:bottom w:val="none" w:sz="0" w:space="0" w:color="auto"/>
        <w:right w:val="none" w:sz="0" w:space="0" w:color="auto"/>
      </w:divBdr>
    </w:div>
    <w:div w:id="2142650041">
      <w:bodyDiv w:val="1"/>
      <w:marLeft w:val="0"/>
      <w:marRight w:val="0"/>
      <w:marTop w:val="0"/>
      <w:marBottom w:val="0"/>
      <w:divBdr>
        <w:top w:val="none" w:sz="0" w:space="0" w:color="auto"/>
        <w:left w:val="none" w:sz="0" w:space="0" w:color="auto"/>
        <w:bottom w:val="none" w:sz="0" w:space="0" w:color="auto"/>
        <w:right w:val="none" w:sz="0" w:space="0" w:color="auto"/>
      </w:divBdr>
    </w:div>
    <w:div w:id="21461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Gratuit/geztcmrvgq3a/legea-nr-170-2016-privind-impozitul-specific-unor-activitati?d=2020-04-06"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LUCRU\2020\TEXTE%20curs,%20inflatie,%20ipp,%20constructii,%20inmatric,%20credite,%20etc\rap%20buget%20sem%20I%202020\grafic%20com%20ext.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944055944055895E-2"/>
          <c:y val="8.8300220750551897E-2"/>
          <c:w val="0.92132867132868024"/>
          <c:h val="0.63576158940397365"/>
        </c:manualLayout>
      </c:layout>
      <c:barChart>
        <c:barDir val="col"/>
        <c:grouping val="stacked"/>
        <c:varyColors val="0"/>
        <c:ser>
          <c:idx val="1"/>
          <c:order val="1"/>
          <c:tx>
            <c:strRef>
              <c:f>'Sheet1 (2)'!$C$10</c:f>
              <c:strCache>
                <c:ptCount val="1"/>
                <c:pt idx="0">
                  <c:v>Consum final</c:v>
                </c:pt>
              </c:strCache>
            </c:strRef>
          </c:tx>
          <c:spPr>
            <a:solidFill>
              <a:srgbClr val="00FFFF"/>
            </a:solidFill>
            <a:ln w="10789">
              <a:solidFill>
                <a:srgbClr val="FFFFFF"/>
              </a:solidFill>
              <a:prstDash val="solid"/>
            </a:ln>
          </c:spPr>
          <c:invertIfNegative val="0"/>
          <c:cat>
            <c:strRef>
              <c:f>'Sheet1 (2)'!$A$11:$A$13</c:f>
              <c:strCache>
                <c:ptCount val="3"/>
                <c:pt idx="0">
                  <c:v>Trim I 2018</c:v>
                </c:pt>
                <c:pt idx="1">
                  <c:v>Trim I 2019</c:v>
                </c:pt>
                <c:pt idx="2">
                  <c:v>Trim I 2020</c:v>
                </c:pt>
              </c:strCache>
            </c:strRef>
          </c:cat>
          <c:val>
            <c:numRef>
              <c:f>'Sheet1 (2)'!$C$11:$C$13</c:f>
              <c:numCache>
                <c:formatCode>0.0</c:formatCode>
                <c:ptCount val="3"/>
                <c:pt idx="0">
                  <c:v>5.8</c:v>
                </c:pt>
                <c:pt idx="1">
                  <c:v>5.0999999999999996</c:v>
                </c:pt>
                <c:pt idx="2">
                  <c:v>3.5</c:v>
                </c:pt>
              </c:numCache>
            </c:numRef>
          </c:val>
          <c:extLst>
            <c:ext xmlns:c16="http://schemas.microsoft.com/office/drawing/2014/chart" uri="{C3380CC4-5D6E-409C-BE32-E72D297353CC}">
              <c16:uniqueId val="{00000000-9CA4-45E8-B2FC-476CB6505184}"/>
            </c:ext>
          </c:extLst>
        </c:ser>
        <c:ser>
          <c:idx val="2"/>
          <c:order val="2"/>
          <c:tx>
            <c:strRef>
              <c:f>'Sheet1 (2)'!$D$10</c:f>
              <c:strCache>
                <c:ptCount val="1"/>
                <c:pt idx="0">
                  <c:v>Formarea bruta de capital fix</c:v>
                </c:pt>
              </c:strCache>
            </c:strRef>
          </c:tx>
          <c:spPr>
            <a:solidFill>
              <a:srgbClr val="FF6600"/>
            </a:solidFill>
            <a:ln w="10789">
              <a:solidFill>
                <a:srgbClr val="FF6600"/>
              </a:solidFill>
              <a:prstDash val="solid"/>
            </a:ln>
          </c:spPr>
          <c:invertIfNegative val="0"/>
          <c:cat>
            <c:strRef>
              <c:f>'Sheet1 (2)'!$A$11:$A$13</c:f>
              <c:strCache>
                <c:ptCount val="3"/>
                <c:pt idx="0">
                  <c:v>Trim I 2018</c:v>
                </c:pt>
                <c:pt idx="1">
                  <c:v>Trim I 2019</c:v>
                </c:pt>
                <c:pt idx="2">
                  <c:v>Trim I 2020</c:v>
                </c:pt>
              </c:strCache>
            </c:strRef>
          </c:cat>
          <c:val>
            <c:numRef>
              <c:f>'Sheet1 (2)'!$D$11:$D$13</c:f>
              <c:numCache>
                <c:formatCode>0.0</c:formatCode>
                <c:ptCount val="3"/>
                <c:pt idx="0">
                  <c:v>0.60000000000000064</c:v>
                </c:pt>
                <c:pt idx="1">
                  <c:v>0.5</c:v>
                </c:pt>
                <c:pt idx="2">
                  <c:v>2</c:v>
                </c:pt>
              </c:numCache>
            </c:numRef>
          </c:val>
          <c:extLst>
            <c:ext xmlns:c16="http://schemas.microsoft.com/office/drawing/2014/chart" uri="{C3380CC4-5D6E-409C-BE32-E72D297353CC}">
              <c16:uniqueId val="{00000001-9CA4-45E8-B2FC-476CB6505184}"/>
            </c:ext>
          </c:extLst>
        </c:ser>
        <c:ser>
          <c:idx val="3"/>
          <c:order val="3"/>
          <c:tx>
            <c:strRef>
              <c:f>'Sheet1 (2)'!$E$10</c:f>
              <c:strCache>
                <c:ptCount val="1"/>
                <c:pt idx="0">
                  <c:v>Variatia stocurilor</c:v>
                </c:pt>
              </c:strCache>
            </c:strRef>
          </c:tx>
          <c:spPr>
            <a:solidFill>
              <a:srgbClr val="FFFF00"/>
            </a:solidFill>
            <a:ln w="10789">
              <a:solidFill>
                <a:srgbClr val="FFFFFF"/>
              </a:solidFill>
              <a:prstDash val="solid"/>
            </a:ln>
          </c:spPr>
          <c:invertIfNegative val="0"/>
          <c:cat>
            <c:strRef>
              <c:f>'Sheet1 (2)'!$A$11:$A$13</c:f>
              <c:strCache>
                <c:ptCount val="3"/>
                <c:pt idx="0">
                  <c:v>Trim I 2018</c:v>
                </c:pt>
                <c:pt idx="1">
                  <c:v>Trim I 2019</c:v>
                </c:pt>
                <c:pt idx="2">
                  <c:v>Trim I 2020</c:v>
                </c:pt>
              </c:strCache>
            </c:strRef>
          </c:cat>
          <c:val>
            <c:numRef>
              <c:f>'Sheet1 (2)'!$E$11:$E$13</c:f>
              <c:numCache>
                <c:formatCode>0.0</c:formatCode>
                <c:ptCount val="3"/>
                <c:pt idx="0">
                  <c:v>-0.4</c:v>
                </c:pt>
                <c:pt idx="1">
                  <c:v>2.8</c:v>
                </c:pt>
                <c:pt idx="2">
                  <c:v>-0.9</c:v>
                </c:pt>
              </c:numCache>
            </c:numRef>
          </c:val>
          <c:extLst>
            <c:ext xmlns:c16="http://schemas.microsoft.com/office/drawing/2014/chart" uri="{C3380CC4-5D6E-409C-BE32-E72D297353CC}">
              <c16:uniqueId val="{00000002-9CA4-45E8-B2FC-476CB6505184}"/>
            </c:ext>
          </c:extLst>
        </c:ser>
        <c:ser>
          <c:idx val="4"/>
          <c:order val="4"/>
          <c:tx>
            <c:strRef>
              <c:f>'Sheet1 (2)'!$F$10</c:f>
              <c:strCache>
                <c:ptCount val="1"/>
                <c:pt idx="0">
                  <c:v>Export net</c:v>
                </c:pt>
              </c:strCache>
            </c:strRef>
          </c:tx>
          <c:spPr>
            <a:solidFill>
              <a:srgbClr val="CC99FF"/>
            </a:solidFill>
            <a:ln w="10789">
              <a:solidFill>
                <a:srgbClr val="FFFFFF"/>
              </a:solidFill>
              <a:prstDash val="solid"/>
            </a:ln>
          </c:spPr>
          <c:invertIfNegative val="0"/>
          <c:cat>
            <c:strRef>
              <c:f>'Sheet1 (2)'!$A$11:$A$13</c:f>
              <c:strCache>
                <c:ptCount val="3"/>
                <c:pt idx="0">
                  <c:v>Trim I 2018</c:v>
                </c:pt>
                <c:pt idx="1">
                  <c:v>Trim I 2019</c:v>
                </c:pt>
                <c:pt idx="2">
                  <c:v>Trim I 2020</c:v>
                </c:pt>
              </c:strCache>
            </c:strRef>
          </c:cat>
          <c:val>
            <c:numRef>
              <c:f>'Sheet1 (2)'!$F$11:$F$13</c:f>
              <c:numCache>
                <c:formatCode>0.0</c:formatCode>
                <c:ptCount val="3"/>
                <c:pt idx="0">
                  <c:v>-1.6</c:v>
                </c:pt>
                <c:pt idx="1">
                  <c:v>-3.4</c:v>
                </c:pt>
                <c:pt idx="2">
                  <c:v>-2.2000000000000002</c:v>
                </c:pt>
              </c:numCache>
            </c:numRef>
          </c:val>
          <c:extLst>
            <c:ext xmlns:c16="http://schemas.microsoft.com/office/drawing/2014/chart" uri="{C3380CC4-5D6E-409C-BE32-E72D297353CC}">
              <c16:uniqueId val="{00000003-9CA4-45E8-B2FC-476CB6505184}"/>
            </c:ext>
          </c:extLst>
        </c:ser>
        <c:dLbls>
          <c:showLegendKey val="0"/>
          <c:showVal val="0"/>
          <c:showCatName val="0"/>
          <c:showSerName val="0"/>
          <c:showPercent val="0"/>
          <c:showBubbleSize val="0"/>
        </c:dLbls>
        <c:gapWidth val="150"/>
        <c:overlap val="100"/>
        <c:axId val="47316352"/>
        <c:axId val="47711744"/>
      </c:barChart>
      <c:lineChart>
        <c:grouping val="standard"/>
        <c:varyColors val="0"/>
        <c:ser>
          <c:idx val="0"/>
          <c:order val="0"/>
          <c:tx>
            <c:strRef>
              <c:f>'Sheet1 (2)'!$B$10</c:f>
              <c:strCache>
                <c:ptCount val="1"/>
                <c:pt idx="0">
                  <c:v>PIB</c:v>
                </c:pt>
              </c:strCache>
            </c:strRef>
          </c:tx>
          <c:spPr>
            <a:ln w="23236">
              <a:solidFill>
                <a:srgbClr val="000080"/>
              </a:solidFill>
              <a:prstDash val="lgDash"/>
            </a:ln>
          </c:spPr>
          <c:marker>
            <c:symbol val="triangle"/>
            <c:size val="3"/>
            <c:spPr>
              <a:solidFill>
                <a:srgbClr val="000080"/>
              </a:solidFill>
              <a:ln>
                <a:solidFill>
                  <a:srgbClr val="000080"/>
                </a:solidFill>
                <a:prstDash val="solid"/>
              </a:ln>
            </c:spPr>
          </c:marker>
          <c:dLbls>
            <c:dLbl>
              <c:idx val="0"/>
              <c:layout>
                <c:manualLayout>
                  <c:x val="-5.7484732289651563E-2"/>
                  <c:y val="-4.00585262398088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CA4-45E8-B2FC-476CB6505184}"/>
                </c:ext>
              </c:extLst>
            </c:dLbl>
            <c:dLbl>
              <c:idx val="1"/>
              <c:layout>
                <c:manualLayout>
                  <c:x val="-3.8196606539152425E-2"/>
                  <c:y val="-6.35512190570585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A4-45E8-B2FC-476CB6505184}"/>
                </c:ext>
              </c:extLst>
            </c:dLbl>
            <c:dLbl>
              <c:idx val="2"/>
              <c:layout>
                <c:manualLayout>
                  <c:x val="-1.5236383286007328E-2"/>
                  <c:y val="-1.96026355645711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A4-45E8-B2FC-476CB6505184}"/>
                </c:ext>
              </c:extLst>
            </c:dLbl>
            <c:spPr>
              <a:noFill/>
              <a:ln w="27337">
                <a:noFill/>
              </a:ln>
            </c:spPr>
            <c:txPr>
              <a:bodyPr/>
              <a:lstStyle/>
              <a:p>
                <a:pPr>
                  <a:defRPr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(2)'!$A$11:$A$13</c:f>
              <c:strCache>
                <c:ptCount val="3"/>
                <c:pt idx="0">
                  <c:v>Trim I 2018</c:v>
                </c:pt>
                <c:pt idx="1">
                  <c:v>Trim I 2019</c:v>
                </c:pt>
                <c:pt idx="2">
                  <c:v>Trim I 2020</c:v>
                </c:pt>
              </c:strCache>
            </c:strRef>
          </c:cat>
          <c:val>
            <c:numRef>
              <c:f>'Sheet1 (2)'!$B$11:$B$13</c:f>
              <c:numCache>
                <c:formatCode>0.0</c:formatCode>
                <c:ptCount val="3"/>
                <c:pt idx="0">
                  <c:v>4.4000000000000004</c:v>
                </c:pt>
                <c:pt idx="1">
                  <c:v>5</c:v>
                </c:pt>
                <c:pt idx="2">
                  <c:v>2.4</c:v>
                </c:pt>
              </c:numCache>
            </c:numRef>
          </c:val>
          <c:smooth val="0"/>
          <c:extLst>
            <c:ext xmlns:c16="http://schemas.microsoft.com/office/drawing/2014/chart" uri="{C3380CC4-5D6E-409C-BE32-E72D297353CC}">
              <c16:uniqueId val="{00000007-9CA4-45E8-B2FC-476CB6505184}"/>
            </c:ext>
          </c:extLst>
        </c:ser>
        <c:dLbls>
          <c:showLegendKey val="0"/>
          <c:showVal val="0"/>
          <c:showCatName val="0"/>
          <c:showSerName val="0"/>
          <c:showPercent val="0"/>
          <c:showBubbleSize val="0"/>
        </c:dLbls>
        <c:marker val="1"/>
        <c:smooth val="0"/>
        <c:axId val="47316352"/>
        <c:axId val="47711744"/>
      </c:lineChart>
      <c:catAx>
        <c:axId val="47316352"/>
        <c:scaling>
          <c:orientation val="minMax"/>
        </c:scaling>
        <c:delete val="0"/>
        <c:axPos val="b"/>
        <c:title>
          <c:tx>
            <c:rich>
              <a:bodyPr/>
              <a:lstStyle/>
              <a:p>
                <a:pPr>
                  <a:defRPr/>
                </a:pPr>
                <a:r>
                  <a:rPr lang="en-US"/>
                  <a:t> -procente -</a:t>
                </a:r>
              </a:p>
            </c:rich>
          </c:tx>
          <c:layout>
            <c:manualLayout>
              <c:xMode val="edge"/>
              <c:yMode val="edge"/>
              <c:x val="7.5958145018863887E-2"/>
              <c:y val="2.7939828416970468E-2"/>
            </c:manualLayout>
          </c:layout>
          <c:overlay val="0"/>
          <c:spPr>
            <a:noFill/>
            <a:ln w="27337">
              <a:noFill/>
            </a:ln>
          </c:spPr>
        </c:title>
        <c:numFmt formatCode="General" sourceLinked="1"/>
        <c:majorTickMark val="out"/>
        <c:minorTickMark val="none"/>
        <c:tickLblPos val="low"/>
        <c:spPr>
          <a:ln w="2697">
            <a:solidFill>
              <a:srgbClr val="000000"/>
            </a:solidFill>
            <a:prstDash val="solid"/>
          </a:ln>
        </c:spPr>
        <c:txPr>
          <a:bodyPr rot="0" vert="horz"/>
          <a:lstStyle/>
          <a:p>
            <a:pPr>
              <a:defRPr sz="860"/>
            </a:pPr>
            <a:endParaRPr lang="en-US"/>
          </a:p>
        </c:txPr>
        <c:crossAx val="47711744"/>
        <c:crosses val="autoZero"/>
        <c:auto val="1"/>
        <c:lblAlgn val="ctr"/>
        <c:lblOffset val="100"/>
        <c:tickLblSkip val="1"/>
        <c:tickMarkSkip val="1"/>
        <c:noMultiLvlLbl val="0"/>
      </c:catAx>
      <c:valAx>
        <c:axId val="47711744"/>
        <c:scaling>
          <c:orientation val="minMax"/>
        </c:scaling>
        <c:delete val="0"/>
        <c:axPos val="l"/>
        <c:numFmt formatCode="0.0" sourceLinked="1"/>
        <c:majorTickMark val="out"/>
        <c:minorTickMark val="none"/>
        <c:tickLblPos val="nextTo"/>
        <c:spPr>
          <a:ln w="2697">
            <a:solidFill>
              <a:srgbClr val="000000"/>
            </a:solidFill>
            <a:prstDash val="solid"/>
          </a:ln>
        </c:spPr>
        <c:txPr>
          <a:bodyPr rot="0" vert="horz"/>
          <a:lstStyle/>
          <a:p>
            <a:pPr>
              <a:defRPr/>
            </a:pPr>
            <a:endParaRPr lang="en-US"/>
          </a:p>
        </c:txPr>
        <c:crossAx val="47316352"/>
        <c:crosses val="autoZero"/>
        <c:crossBetween val="between"/>
        <c:majorUnit val="2"/>
      </c:valAx>
      <c:spPr>
        <a:solidFill>
          <a:schemeClr val="accent1">
            <a:lumMod val="20000"/>
            <a:lumOff val="80000"/>
          </a:schemeClr>
        </a:solidFill>
        <a:ln w="10789">
          <a:solidFill>
            <a:schemeClr val="accent1">
              <a:lumMod val="60000"/>
              <a:lumOff val="40000"/>
            </a:schemeClr>
          </a:solidFill>
          <a:prstDash val="solid"/>
        </a:ln>
      </c:spPr>
    </c:plotArea>
    <c:legend>
      <c:legendPos val="r"/>
      <c:layout>
        <c:manualLayout>
          <c:xMode val="edge"/>
          <c:yMode val="edge"/>
          <c:x val="1.2072205267815352E-2"/>
          <c:y val="0.85022030994368469"/>
          <c:w val="0.95573449295853541"/>
          <c:h val="0.14977969005631592"/>
        </c:manualLayout>
      </c:layout>
      <c:overlay val="0"/>
      <c:spPr>
        <a:solidFill>
          <a:schemeClr val="accent1">
            <a:lumMod val="20000"/>
            <a:lumOff val="80000"/>
          </a:schemeClr>
        </a:solidFill>
        <a:ln w="2697">
          <a:solidFill>
            <a:schemeClr val="accent1">
              <a:lumMod val="20000"/>
              <a:lumOff val="80000"/>
            </a:schemeClr>
          </a:solidFill>
          <a:prstDash val="solid"/>
        </a:ln>
      </c:spPr>
    </c:legend>
    <c:plotVisOnly val="1"/>
    <c:dispBlanksAs val="gap"/>
    <c:showDLblsOverMax val="0"/>
  </c:chart>
  <c:spPr>
    <a:solidFill>
      <a:schemeClr val="accent1">
        <a:lumMod val="20000"/>
        <a:lumOff val="80000"/>
      </a:schemeClr>
    </a:solidFill>
    <a:ln>
      <a:solidFill>
        <a:schemeClr val="accent1">
          <a:lumMod val="20000"/>
          <a:lumOff val="80000"/>
        </a:schemeClr>
      </a:solidFill>
    </a:ln>
  </c:spPr>
  <c:txPr>
    <a:bodyPr/>
    <a:lstStyle/>
    <a:p>
      <a:pPr>
        <a:defRPr sz="829" b="0" i="0" u="none" strike="noStrike" baseline="0">
          <a:solidFill>
            <a:srgbClr val="000000"/>
          </a:solidFill>
          <a:latin typeface="+mn-lt"/>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0.142168853893264"/>
          <c:y val="7.91783318751825E-2"/>
          <c:w val="0.82727559055118438"/>
          <c:h val="0.68115121026538761"/>
        </c:manualLayout>
      </c:layout>
      <c:bar3DChart>
        <c:barDir val="col"/>
        <c:grouping val="clustered"/>
        <c:varyColors val="0"/>
        <c:ser>
          <c:idx val="0"/>
          <c:order val="0"/>
          <c:tx>
            <c:strRef>
              <c:f>Sheet1!$D$4</c:f>
              <c:strCache>
                <c:ptCount val="1"/>
                <c:pt idx="0">
                  <c:v>Export FOB</c:v>
                </c:pt>
              </c:strCache>
            </c:strRef>
          </c:tx>
          <c:invertIfNegative val="0"/>
          <c:cat>
            <c:strRef>
              <c:f>Sheet1!$E$3:$J$3</c:f>
              <c:strCache>
                <c:ptCount val="6"/>
                <c:pt idx="0">
                  <c:v>ian</c:v>
                </c:pt>
                <c:pt idx="1">
                  <c:v>feb</c:v>
                </c:pt>
                <c:pt idx="2">
                  <c:v>mar</c:v>
                </c:pt>
                <c:pt idx="3">
                  <c:v>apr</c:v>
                </c:pt>
                <c:pt idx="4">
                  <c:v>mai</c:v>
                </c:pt>
                <c:pt idx="5">
                  <c:v>iun</c:v>
                </c:pt>
              </c:strCache>
            </c:strRef>
          </c:cat>
          <c:val>
            <c:numRef>
              <c:f>Sheet1!$E$4:$J$4</c:f>
              <c:numCache>
                <c:formatCode>0.0</c:formatCode>
                <c:ptCount val="6"/>
                <c:pt idx="0">
                  <c:v>5689.5</c:v>
                </c:pt>
                <c:pt idx="1">
                  <c:v>5939</c:v>
                </c:pt>
                <c:pt idx="2">
                  <c:v>5429.7</c:v>
                </c:pt>
                <c:pt idx="3">
                  <c:v>2932.8</c:v>
                </c:pt>
                <c:pt idx="4">
                  <c:v>3755.7</c:v>
                </c:pt>
                <c:pt idx="5">
                  <c:v>4843.3</c:v>
                </c:pt>
              </c:numCache>
            </c:numRef>
          </c:val>
          <c:extLst>
            <c:ext xmlns:c16="http://schemas.microsoft.com/office/drawing/2014/chart" uri="{C3380CC4-5D6E-409C-BE32-E72D297353CC}">
              <c16:uniqueId val="{00000000-3B28-4C41-9E7B-797941C2F0DF}"/>
            </c:ext>
          </c:extLst>
        </c:ser>
        <c:ser>
          <c:idx val="1"/>
          <c:order val="1"/>
          <c:tx>
            <c:strRef>
              <c:f>Sheet1!$D$5</c:f>
              <c:strCache>
                <c:ptCount val="1"/>
                <c:pt idx="0">
                  <c:v>Import CIF</c:v>
                </c:pt>
              </c:strCache>
            </c:strRef>
          </c:tx>
          <c:invertIfNegative val="0"/>
          <c:cat>
            <c:strRef>
              <c:f>Sheet1!$E$3:$J$3</c:f>
              <c:strCache>
                <c:ptCount val="6"/>
                <c:pt idx="0">
                  <c:v>ian</c:v>
                </c:pt>
                <c:pt idx="1">
                  <c:v>feb</c:v>
                </c:pt>
                <c:pt idx="2">
                  <c:v>mar</c:v>
                </c:pt>
                <c:pt idx="3">
                  <c:v>apr</c:v>
                </c:pt>
                <c:pt idx="4">
                  <c:v>mai</c:v>
                </c:pt>
                <c:pt idx="5">
                  <c:v>iun</c:v>
                </c:pt>
              </c:strCache>
            </c:strRef>
          </c:cat>
          <c:val>
            <c:numRef>
              <c:f>Sheet1!$E$5:$J$5</c:f>
              <c:numCache>
                <c:formatCode>0.0</c:formatCode>
                <c:ptCount val="6"/>
                <c:pt idx="0">
                  <c:v>7004.5</c:v>
                </c:pt>
                <c:pt idx="1">
                  <c:v>7223.9</c:v>
                </c:pt>
                <c:pt idx="2">
                  <c:v>7288.6</c:v>
                </c:pt>
                <c:pt idx="3">
                  <c:v>4566.8</c:v>
                </c:pt>
                <c:pt idx="4">
                  <c:v>5007</c:v>
                </c:pt>
                <c:pt idx="5">
                  <c:v>6164.6</c:v>
                </c:pt>
              </c:numCache>
            </c:numRef>
          </c:val>
          <c:extLst>
            <c:ext xmlns:c16="http://schemas.microsoft.com/office/drawing/2014/chart" uri="{C3380CC4-5D6E-409C-BE32-E72D297353CC}">
              <c16:uniqueId val="{00000001-3B28-4C41-9E7B-797941C2F0DF}"/>
            </c:ext>
          </c:extLst>
        </c:ser>
        <c:ser>
          <c:idx val="2"/>
          <c:order val="2"/>
          <c:tx>
            <c:strRef>
              <c:f>Sheet1!$D$6</c:f>
              <c:strCache>
                <c:ptCount val="1"/>
                <c:pt idx="0">
                  <c:v>Sold</c:v>
                </c:pt>
              </c:strCache>
            </c:strRef>
          </c:tx>
          <c:spPr>
            <a:solidFill>
              <a:schemeClr val="accent6">
                <a:lumMod val="75000"/>
              </a:schemeClr>
            </a:solidFill>
          </c:spPr>
          <c:invertIfNegative val="0"/>
          <c:dLbls>
            <c:dLbl>
              <c:idx val="2"/>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28-4C41-9E7B-797941C2F0DF}"/>
                </c:ext>
              </c:extLst>
            </c:dLbl>
            <c:spPr>
              <a:noFill/>
              <a:ln>
                <a:noFill/>
              </a:ln>
              <a:effectLst/>
            </c:spPr>
            <c:txPr>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Sheet1!$E$3:$J$3</c:f>
              <c:strCache>
                <c:ptCount val="6"/>
                <c:pt idx="0">
                  <c:v>ian</c:v>
                </c:pt>
                <c:pt idx="1">
                  <c:v>feb</c:v>
                </c:pt>
                <c:pt idx="2">
                  <c:v>mar</c:v>
                </c:pt>
                <c:pt idx="3">
                  <c:v>apr</c:v>
                </c:pt>
                <c:pt idx="4">
                  <c:v>mai</c:v>
                </c:pt>
                <c:pt idx="5">
                  <c:v>iun</c:v>
                </c:pt>
              </c:strCache>
            </c:strRef>
          </c:cat>
          <c:val>
            <c:numRef>
              <c:f>Sheet1!$E$6:$J$6</c:f>
              <c:numCache>
                <c:formatCode>0.0</c:formatCode>
                <c:ptCount val="6"/>
                <c:pt idx="0">
                  <c:v>-1315</c:v>
                </c:pt>
                <c:pt idx="1">
                  <c:v>-1284.8999999999996</c:v>
                </c:pt>
                <c:pt idx="2">
                  <c:v>-1858.9000000000005</c:v>
                </c:pt>
                <c:pt idx="3">
                  <c:v>-1634</c:v>
                </c:pt>
                <c:pt idx="4">
                  <c:v>-1251.3000000000002</c:v>
                </c:pt>
                <c:pt idx="5">
                  <c:v>-1321.3000000000002</c:v>
                </c:pt>
              </c:numCache>
            </c:numRef>
          </c:val>
          <c:extLst>
            <c:ext xmlns:c16="http://schemas.microsoft.com/office/drawing/2014/chart" uri="{C3380CC4-5D6E-409C-BE32-E72D297353CC}">
              <c16:uniqueId val="{00000003-3B28-4C41-9E7B-797941C2F0DF}"/>
            </c:ext>
          </c:extLst>
        </c:ser>
        <c:dLbls>
          <c:showLegendKey val="0"/>
          <c:showVal val="0"/>
          <c:showCatName val="0"/>
          <c:showSerName val="0"/>
          <c:showPercent val="0"/>
          <c:showBubbleSize val="0"/>
        </c:dLbls>
        <c:gapWidth val="150"/>
        <c:shape val="box"/>
        <c:axId val="47991808"/>
        <c:axId val="47993984"/>
        <c:axId val="0"/>
      </c:bar3DChart>
      <c:catAx>
        <c:axId val="47991808"/>
        <c:scaling>
          <c:orientation val="minMax"/>
        </c:scaling>
        <c:delete val="0"/>
        <c:axPos val="b"/>
        <c:title>
          <c:tx>
            <c:rich>
              <a:bodyPr/>
              <a:lstStyle/>
              <a:p>
                <a:pPr>
                  <a:defRPr/>
                </a:pPr>
                <a:r>
                  <a:rPr lang="en-US"/>
                  <a:t>- mil euro -</a:t>
                </a:r>
              </a:p>
            </c:rich>
          </c:tx>
          <c:layout>
            <c:manualLayout>
              <c:xMode val="edge"/>
              <c:yMode val="edge"/>
              <c:x val="3.8057524059492524E-2"/>
              <c:y val="5.3550597841934254E-4"/>
            </c:manualLayout>
          </c:layout>
          <c:overlay val="0"/>
        </c:title>
        <c:numFmt formatCode="General" sourceLinked="0"/>
        <c:majorTickMark val="out"/>
        <c:minorTickMark val="none"/>
        <c:tickLblPos val="low"/>
        <c:crossAx val="47993984"/>
        <c:crosses val="autoZero"/>
        <c:auto val="1"/>
        <c:lblAlgn val="ctr"/>
        <c:lblOffset val="100"/>
        <c:noMultiLvlLbl val="0"/>
      </c:catAx>
      <c:valAx>
        <c:axId val="47993984"/>
        <c:scaling>
          <c:orientation val="minMax"/>
          <c:min val="-2500"/>
        </c:scaling>
        <c:delete val="0"/>
        <c:axPos val="l"/>
        <c:numFmt formatCode="0.0" sourceLinked="1"/>
        <c:majorTickMark val="out"/>
        <c:minorTickMark val="none"/>
        <c:tickLblPos val="nextTo"/>
        <c:crossAx val="47991808"/>
        <c:crosses val="autoZero"/>
        <c:crossBetween val="between"/>
      </c:valAx>
    </c:plotArea>
    <c:legend>
      <c:legendPos val="b"/>
      <c:overlay val="0"/>
    </c:legend>
    <c:plotVisOnly val="1"/>
    <c:dispBlanksAs val="gap"/>
    <c:showDLblsOverMax val="0"/>
  </c:chart>
  <c:spPr>
    <a:solidFill>
      <a:schemeClr val="tx2">
        <a:lumMod val="20000"/>
        <a:lumOff val="80000"/>
      </a:schemeClr>
    </a:solidFill>
    <a:ln w="0" cap="rnd">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564F8-79DE-49AF-9868-FE8FD48F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39</Pages>
  <Words>11236</Words>
  <Characters>64051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Raport privind situația economică și bugetară</vt:lpstr>
    </vt:vector>
  </TitlesOfParts>
  <Company>Office07</Company>
  <LinksUpToDate>false</LinksUpToDate>
  <CharactersWithSpaces>75137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 privind situația economică și bugetară</dc:title>
  <dc:creator>FLORIN-ANDREI DAIA</dc:creator>
  <cp:lastModifiedBy>IOANA-ALINA BURLA</cp:lastModifiedBy>
  <cp:revision>34</cp:revision>
  <cp:lastPrinted>2020-07-28T07:24:00Z</cp:lastPrinted>
  <dcterms:created xsi:type="dcterms:W3CDTF">2020-08-10T20:29:00Z</dcterms:created>
  <dcterms:modified xsi:type="dcterms:W3CDTF">2020-08-13T18:14:00Z</dcterms:modified>
</cp:coreProperties>
</file>