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inorHAnsi" w:hAnsi="Tahoma" w:cs="Tahoma"/>
          <w:color w:val="auto"/>
          <w:sz w:val="24"/>
          <w:szCs w:val="24"/>
          <w:lang w:val="ro-RO"/>
        </w:rPr>
        <w:id w:val="-413402210"/>
        <w:docPartObj>
          <w:docPartGallery w:val="Table of Contents"/>
          <w:docPartUnique/>
        </w:docPartObj>
      </w:sdtPr>
      <w:sdtEndPr>
        <w:rPr>
          <w:b/>
          <w:bCs/>
          <w:noProof/>
        </w:rPr>
      </w:sdtEndPr>
      <w:sdtContent>
        <w:p w:rsidR="00C43AD2" w:rsidRPr="00A057AC" w:rsidRDefault="00C43AD2" w:rsidP="00967266">
          <w:pPr>
            <w:pStyle w:val="TOCHeading"/>
            <w:spacing w:before="1320" w:after="240" w:line="276" w:lineRule="auto"/>
            <w:ind w:firstLine="0"/>
            <w:rPr>
              <w:rFonts w:ascii="Tahoma" w:hAnsi="Tahoma" w:cs="Tahoma"/>
              <w:b/>
              <w:color w:val="auto"/>
              <w:sz w:val="28"/>
              <w:szCs w:val="28"/>
              <w:lang w:val="ro-RO"/>
            </w:rPr>
          </w:pPr>
          <w:r w:rsidRPr="00A057AC">
            <w:rPr>
              <w:rFonts w:ascii="Tahoma" w:hAnsi="Tahoma" w:cs="Tahoma"/>
              <w:b/>
              <w:color w:val="auto"/>
              <w:sz w:val="28"/>
              <w:szCs w:val="28"/>
              <w:lang w:val="ro-RO"/>
            </w:rPr>
            <w:t>Cuprins</w:t>
          </w:r>
        </w:p>
        <w:p w:rsidR="00717011" w:rsidRPr="00A057AC" w:rsidRDefault="001D24F5" w:rsidP="00717011">
          <w:pPr>
            <w:pStyle w:val="TOC1"/>
            <w:shd w:val="clear" w:color="auto" w:fill="E2EFD9" w:themeFill="accent6" w:themeFillTint="33"/>
            <w:rPr>
              <w:rFonts w:ascii="Tahoma" w:eastAsiaTheme="minorEastAsia" w:hAnsi="Tahoma" w:cs="Tahoma"/>
              <w:b w:val="0"/>
              <w:sz w:val="22"/>
              <w:szCs w:val="22"/>
            </w:rPr>
          </w:pPr>
          <w:r w:rsidRPr="00A057AC">
            <w:rPr>
              <w:rFonts w:ascii="Tahoma" w:hAnsi="Tahoma" w:cs="Tahoma"/>
              <w:sz w:val="28"/>
              <w:szCs w:val="28"/>
            </w:rPr>
            <w:fldChar w:fldCharType="begin"/>
          </w:r>
          <w:r w:rsidR="00C43AD2" w:rsidRPr="00A057AC">
            <w:rPr>
              <w:rFonts w:ascii="Tahoma" w:hAnsi="Tahoma" w:cs="Tahoma"/>
              <w:sz w:val="28"/>
              <w:szCs w:val="28"/>
            </w:rPr>
            <w:instrText xml:space="preserve"> TOC \o "1-3" \h \z \u </w:instrText>
          </w:r>
          <w:r w:rsidRPr="00A057AC">
            <w:rPr>
              <w:rFonts w:ascii="Tahoma" w:hAnsi="Tahoma" w:cs="Tahoma"/>
              <w:sz w:val="28"/>
              <w:szCs w:val="28"/>
            </w:rPr>
            <w:fldChar w:fldCharType="separate"/>
          </w:r>
          <w:hyperlink w:anchor="_Toc78799186" w:history="1">
            <w:r w:rsidR="00717011" w:rsidRPr="00A057AC">
              <w:rPr>
                <w:rStyle w:val="Hyperlink"/>
                <w:rFonts w:ascii="Tahoma" w:hAnsi="Tahoma" w:cs="Tahoma"/>
              </w:rPr>
              <w:t>I.</w:t>
            </w:r>
            <w:r w:rsidR="00717011" w:rsidRPr="00A057AC">
              <w:rPr>
                <w:rFonts w:ascii="Tahoma" w:eastAsiaTheme="minorEastAsia" w:hAnsi="Tahoma" w:cs="Tahoma"/>
                <w:b w:val="0"/>
                <w:sz w:val="22"/>
                <w:szCs w:val="22"/>
              </w:rPr>
              <w:tab/>
            </w:r>
            <w:r w:rsidR="00717011" w:rsidRPr="00A057AC">
              <w:rPr>
                <w:rStyle w:val="Hyperlink"/>
                <w:rFonts w:ascii="Tahoma" w:hAnsi="Tahoma" w:cs="Tahoma"/>
              </w:rPr>
              <w:t>Evoluții macroeconomice recente ale economiei românești</w:t>
            </w:r>
            <w:r w:rsidR="00717011" w:rsidRPr="00A057AC">
              <w:rPr>
                <w:rFonts w:ascii="Tahoma" w:hAnsi="Tahoma" w:cs="Tahoma"/>
                <w:webHidden/>
              </w:rPr>
              <w:tab/>
            </w:r>
            <w:r w:rsidRPr="00A057AC">
              <w:rPr>
                <w:rFonts w:ascii="Tahoma" w:hAnsi="Tahoma" w:cs="Tahoma"/>
                <w:webHidden/>
              </w:rPr>
              <w:fldChar w:fldCharType="begin"/>
            </w:r>
            <w:r w:rsidR="00717011" w:rsidRPr="00A057AC">
              <w:rPr>
                <w:rFonts w:ascii="Tahoma" w:hAnsi="Tahoma" w:cs="Tahoma"/>
                <w:webHidden/>
              </w:rPr>
              <w:instrText xml:space="preserve"> PAGEREF _Toc78799186 \h </w:instrText>
            </w:r>
            <w:r w:rsidRPr="00A057AC">
              <w:rPr>
                <w:rFonts w:ascii="Tahoma" w:hAnsi="Tahoma" w:cs="Tahoma"/>
                <w:webHidden/>
              </w:rPr>
            </w:r>
            <w:r w:rsidRPr="00A057AC">
              <w:rPr>
                <w:rFonts w:ascii="Tahoma" w:hAnsi="Tahoma" w:cs="Tahoma"/>
                <w:webHidden/>
              </w:rPr>
              <w:fldChar w:fldCharType="separate"/>
            </w:r>
            <w:r w:rsidR="0024450C" w:rsidRPr="00A057AC">
              <w:rPr>
                <w:rFonts w:ascii="Tahoma" w:hAnsi="Tahoma" w:cs="Tahoma"/>
                <w:webHidden/>
              </w:rPr>
              <w:t>1</w:t>
            </w:r>
            <w:r w:rsidRPr="00A057AC">
              <w:rPr>
                <w:rFonts w:ascii="Tahoma" w:hAnsi="Tahoma" w:cs="Tahoma"/>
                <w:webHidden/>
              </w:rPr>
              <w:fldChar w:fldCharType="end"/>
            </w:r>
          </w:hyperlink>
        </w:p>
        <w:p w:rsidR="00717011" w:rsidRPr="00A057AC" w:rsidRDefault="004E4A0E" w:rsidP="00717011">
          <w:pPr>
            <w:pStyle w:val="TOC1"/>
            <w:shd w:val="clear" w:color="auto" w:fill="E2EFD9" w:themeFill="accent6" w:themeFillTint="33"/>
            <w:rPr>
              <w:rFonts w:ascii="Tahoma" w:eastAsiaTheme="minorEastAsia" w:hAnsi="Tahoma" w:cs="Tahoma"/>
              <w:b w:val="0"/>
              <w:sz w:val="22"/>
              <w:szCs w:val="22"/>
            </w:rPr>
          </w:pPr>
          <w:hyperlink w:anchor="_Toc78799188" w:history="1">
            <w:r w:rsidR="00717011" w:rsidRPr="00A057AC">
              <w:rPr>
                <w:rStyle w:val="Hyperlink"/>
                <w:rFonts w:ascii="Tahoma" w:hAnsi="Tahoma" w:cs="Tahoma"/>
              </w:rPr>
              <w:t>II.</w:t>
            </w:r>
            <w:r w:rsidR="00717011" w:rsidRPr="00A057AC">
              <w:rPr>
                <w:rFonts w:ascii="Tahoma" w:eastAsiaTheme="minorEastAsia" w:hAnsi="Tahoma" w:cs="Tahoma"/>
                <w:b w:val="0"/>
                <w:sz w:val="22"/>
                <w:szCs w:val="22"/>
              </w:rPr>
              <w:tab/>
            </w:r>
            <w:r w:rsidR="00717011" w:rsidRPr="00A057AC">
              <w:rPr>
                <w:rStyle w:val="Hyperlink"/>
                <w:rFonts w:ascii="Tahoma" w:hAnsi="Tahoma" w:cs="Tahoma"/>
              </w:rPr>
              <w:t>Politica fiscal-bugetară aferentă anului 2021</w:t>
            </w:r>
            <w:r w:rsidR="00717011" w:rsidRPr="00A057AC">
              <w:rPr>
                <w:rFonts w:ascii="Tahoma" w:hAnsi="Tahoma" w:cs="Tahoma"/>
                <w:webHidden/>
              </w:rPr>
              <w:tab/>
            </w:r>
            <w:r w:rsidR="001D24F5" w:rsidRPr="00A057AC">
              <w:rPr>
                <w:rFonts w:ascii="Tahoma" w:hAnsi="Tahoma" w:cs="Tahoma"/>
                <w:webHidden/>
              </w:rPr>
              <w:fldChar w:fldCharType="begin"/>
            </w:r>
            <w:r w:rsidR="00717011" w:rsidRPr="00A057AC">
              <w:rPr>
                <w:rFonts w:ascii="Tahoma" w:hAnsi="Tahoma" w:cs="Tahoma"/>
                <w:webHidden/>
              </w:rPr>
              <w:instrText xml:space="preserve"> PAGEREF _Toc78799188 \h </w:instrText>
            </w:r>
            <w:r w:rsidR="001D24F5" w:rsidRPr="00A057AC">
              <w:rPr>
                <w:rFonts w:ascii="Tahoma" w:hAnsi="Tahoma" w:cs="Tahoma"/>
                <w:webHidden/>
              </w:rPr>
            </w:r>
            <w:r w:rsidR="001D24F5" w:rsidRPr="00A057AC">
              <w:rPr>
                <w:rFonts w:ascii="Tahoma" w:hAnsi="Tahoma" w:cs="Tahoma"/>
                <w:webHidden/>
              </w:rPr>
              <w:fldChar w:fldCharType="separate"/>
            </w:r>
            <w:r w:rsidR="0024450C" w:rsidRPr="00A057AC">
              <w:rPr>
                <w:rFonts w:ascii="Tahoma" w:hAnsi="Tahoma" w:cs="Tahoma"/>
                <w:webHidden/>
              </w:rPr>
              <w:t>10</w:t>
            </w:r>
            <w:r w:rsidR="001D24F5" w:rsidRPr="00A057AC">
              <w:rPr>
                <w:rFonts w:ascii="Tahoma" w:hAnsi="Tahoma" w:cs="Tahoma"/>
                <w:webHidden/>
              </w:rPr>
              <w:fldChar w:fldCharType="end"/>
            </w:r>
          </w:hyperlink>
        </w:p>
        <w:p w:rsidR="00717011" w:rsidRPr="00A057AC" w:rsidRDefault="004E4A0E" w:rsidP="00717011">
          <w:pPr>
            <w:pStyle w:val="TOC1"/>
            <w:shd w:val="clear" w:color="auto" w:fill="E2EFD9" w:themeFill="accent6" w:themeFillTint="33"/>
            <w:rPr>
              <w:rFonts w:ascii="Tahoma" w:eastAsiaTheme="minorEastAsia" w:hAnsi="Tahoma" w:cs="Tahoma"/>
              <w:b w:val="0"/>
              <w:sz w:val="22"/>
              <w:szCs w:val="22"/>
            </w:rPr>
          </w:pPr>
          <w:hyperlink w:anchor="_Toc78799189" w:history="1">
            <w:r w:rsidR="00717011" w:rsidRPr="00A057AC">
              <w:rPr>
                <w:rStyle w:val="Hyperlink"/>
                <w:rFonts w:ascii="Tahoma" w:hAnsi="Tahoma" w:cs="Tahoma"/>
              </w:rPr>
              <w:t>III.Execuția bugetară pe primul semestru al anului 2021</w:t>
            </w:r>
            <w:r w:rsidR="00717011" w:rsidRPr="00A057AC">
              <w:rPr>
                <w:rFonts w:ascii="Tahoma" w:hAnsi="Tahoma" w:cs="Tahoma"/>
                <w:webHidden/>
              </w:rPr>
              <w:tab/>
            </w:r>
            <w:r w:rsidR="001D24F5" w:rsidRPr="00A057AC">
              <w:rPr>
                <w:rFonts w:ascii="Tahoma" w:hAnsi="Tahoma" w:cs="Tahoma"/>
                <w:webHidden/>
              </w:rPr>
              <w:fldChar w:fldCharType="begin"/>
            </w:r>
            <w:r w:rsidR="00717011" w:rsidRPr="00A057AC">
              <w:rPr>
                <w:rFonts w:ascii="Tahoma" w:hAnsi="Tahoma" w:cs="Tahoma"/>
                <w:webHidden/>
              </w:rPr>
              <w:instrText xml:space="preserve"> PAGEREF _Toc78799189 \h </w:instrText>
            </w:r>
            <w:r w:rsidR="001D24F5" w:rsidRPr="00A057AC">
              <w:rPr>
                <w:rFonts w:ascii="Tahoma" w:hAnsi="Tahoma" w:cs="Tahoma"/>
                <w:webHidden/>
              </w:rPr>
            </w:r>
            <w:r w:rsidR="001D24F5" w:rsidRPr="00A057AC">
              <w:rPr>
                <w:rFonts w:ascii="Tahoma" w:hAnsi="Tahoma" w:cs="Tahoma"/>
                <w:webHidden/>
              </w:rPr>
              <w:fldChar w:fldCharType="separate"/>
            </w:r>
            <w:r w:rsidR="0024450C" w:rsidRPr="00A057AC">
              <w:rPr>
                <w:rFonts w:ascii="Tahoma" w:hAnsi="Tahoma" w:cs="Tahoma"/>
                <w:webHidden/>
              </w:rPr>
              <w:t>18</w:t>
            </w:r>
            <w:r w:rsidR="001D24F5" w:rsidRPr="00A057AC">
              <w:rPr>
                <w:rFonts w:ascii="Tahoma" w:hAnsi="Tahoma" w:cs="Tahoma"/>
                <w:webHidden/>
              </w:rPr>
              <w:fldChar w:fldCharType="end"/>
            </w:r>
          </w:hyperlink>
        </w:p>
        <w:p w:rsidR="00717011" w:rsidRPr="00A057AC" w:rsidRDefault="004E4A0E" w:rsidP="00717011">
          <w:pPr>
            <w:pStyle w:val="TOC1"/>
            <w:shd w:val="clear" w:color="auto" w:fill="E2EFD9" w:themeFill="accent6" w:themeFillTint="33"/>
            <w:rPr>
              <w:rFonts w:ascii="Tahoma" w:eastAsiaTheme="minorEastAsia" w:hAnsi="Tahoma" w:cs="Tahoma"/>
              <w:b w:val="0"/>
              <w:sz w:val="22"/>
              <w:szCs w:val="22"/>
            </w:rPr>
          </w:pPr>
          <w:hyperlink w:anchor="_Toc78799190" w:history="1">
            <w:r w:rsidR="00717011" w:rsidRPr="00A057AC">
              <w:rPr>
                <w:rStyle w:val="Hyperlink"/>
                <w:rFonts w:ascii="Tahoma" w:hAnsi="Tahoma" w:cs="Tahoma"/>
              </w:rPr>
              <w:t>IV. Finanțarea deficitului bugetar și datoria publică</w:t>
            </w:r>
            <w:r w:rsidR="00717011" w:rsidRPr="00A057AC">
              <w:rPr>
                <w:rFonts w:ascii="Tahoma" w:hAnsi="Tahoma" w:cs="Tahoma"/>
                <w:webHidden/>
              </w:rPr>
              <w:tab/>
            </w:r>
            <w:r w:rsidR="001D24F5" w:rsidRPr="00A057AC">
              <w:rPr>
                <w:rFonts w:ascii="Tahoma" w:hAnsi="Tahoma" w:cs="Tahoma"/>
                <w:webHidden/>
              </w:rPr>
              <w:fldChar w:fldCharType="begin"/>
            </w:r>
            <w:r w:rsidR="00717011" w:rsidRPr="00A057AC">
              <w:rPr>
                <w:rFonts w:ascii="Tahoma" w:hAnsi="Tahoma" w:cs="Tahoma"/>
                <w:webHidden/>
              </w:rPr>
              <w:instrText xml:space="preserve"> PAGEREF _Toc78799190 \h </w:instrText>
            </w:r>
            <w:r w:rsidR="001D24F5" w:rsidRPr="00A057AC">
              <w:rPr>
                <w:rFonts w:ascii="Tahoma" w:hAnsi="Tahoma" w:cs="Tahoma"/>
                <w:webHidden/>
              </w:rPr>
            </w:r>
            <w:r w:rsidR="001D24F5" w:rsidRPr="00A057AC">
              <w:rPr>
                <w:rFonts w:ascii="Tahoma" w:hAnsi="Tahoma" w:cs="Tahoma"/>
                <w:webHidden/>
              </w:rPr>
              <w:fldChar w:fldCharType="separate"/>
            </w:r>
            <w:r w:rsidR="0024450C" w:rsidRPr="00A057AC">
              <w:rPr>
                <w:rFonts w:ascii="Tahoma" w:hAnsi="Tahoma" w:cs="Tahoma"/>
                <w:webHidden/>
              </w:rPr>
              <w:t>29</w:t>
            </w:r>
            <w:r w:rsidR="001D24F5" w:rsidRPr="00A057AC">
              <w:rPr>
                <w:rFonts w:ascii="Tahoma" w:hAnsi="Tahoma" w:cs="Tahoma"/>
                <w:webHidden/>
              </w:rPr>
              <w:fldChar w:fldCharType="end"/>
            </w:r>
          </w:hyperlink>
        </w:p>
        <w:p w:rsidR="00717011" w:rsidRPr="00A057AC" w:rsidRDefault="004E4A0E" w:rsidP="00717011">
          <w:pPr>
            <w:pStyle w:val="TOC1"/>
            <w:shd w:val="clear" w:color="auto" w:fill="E2EFD9" w:themeFill="accent6" w:themeFillTint="33"/>
            <w:rPr>
              <w:rFonts w:ascii="Tahoma" w:eastAsiaTheme="minorEastAsia" w:hAnsi="Tahoma" w:cs="Tahoma"/>
              <w:b w:val="0"/>
              <w:sz w:val="22"/>
              <w:szCs w:val="22"/>
            </w:rPr>
          </w:pPr>
          <w:hyperlink w:anchor="_Toc78799191" w:history="1">
            <w:r w:rsidR="00717011" w:rsidRPr="00A057AC">
              <w:rPr>
                <w:rStyle w:val="Hyperlink"/>
                <w:rFonts w:ascii="Tahoma" w:eastAsia="MS Mincho" w:hAnsi="Tahoma" w:cs="Tahoma"/>
                <w:lang w:eastAsia="ja-JP"/>
              </w:rPr>
              <w:t>V. Absorbția fondurilor externe nerambursabile</w:t>
            </w:r>
            <w:r w:rsidR="00717011" w:rsidRPr="00A057AC">
              <w:rPr>
                <w:rFonts w:ascii="Tahoma" w:hAnsi="Tahoma" w:cs="Tahoma"/>
                <w:webHidden/>
              </w:rPr>
              <w:tab/>
            </w:r>
            <w:r w:rsidR="001D24F5" w:rsidRPr="00A057AC">
              <w:rPr>
                <w:rFonts w:ascii="Tahoma" w:hAnsi="Tahoma" w:cs="Tahoma"/>
                <w:webHidden/>
              </w:rPr>
              <w:fldChar w:fldCharType="begin"/>
            </w:r>
            <w:r w:rsidR="00717011" w:rsidRPr="00A057AC">
              <w:rPr>
                <w:rFonts w:ascii="Tahoma" w:hAnsi="Tahoma" w:cs="Tahoma"/>
                <w:webHidden/>
              </w:rPr>
              <w:instrText xml:space="preserve"> PAGEREF _Toc78799191 \h </w:instrText>
            </w:r>
            <w:r w:rsidR="001D24F5" w:rsidRPr="00A057AC">
              <w:rPr>
                <w:rFonts w:ascii="Tahoma" w:hAnsi="Tahoma" w:cs="Tahoma"/>
                <w:webHidden/>
              </w:rPr>
            </w:r>
            <w:r w:rsidR="001D24F5" w:rsidRPr="00A057AC">
              <w:rPr>
                <w:rFonts w:ascii="Tahoma" w:hAnsi="Tahoma" w:cs="Tahoma"/>
                <w:webHidden/>
              </w:rPr>
              <w:fldChar w:fldCharType="separate"/>
            </w:r>
            <w:r w:rsidR="0024450C" w:rsidRPr="00A057AC">
              <w:rPr>
                <w:rFonts w:ascii="Tahoma" w:hAnsi="Tahoma" w:cs="Tahoma"/>
                <w:webHidden/>
              </w:rPr>
              <w:t>32</w:t>
            </w:r>
            <w:r w:rsidR="001D24F5" w:rsidRPr="00A057AC">
              <w:rPr>
                <w:rFonts w:ascii="Tahoma" w:hAnsi="Tahoma" w:cs="Tahoma"/>
                <w:webHidden/>
              </w:rPr>
              <w:fldChar w:fldCharType="end"/>
            </w:r>
          </w:hyperlink>
        </w:p>
        <w:p w:rsidR="00717011" w:rsidRPr="00A057AC" w:rsidRDefault="004E4A0E" w:rsidP="00717011">
          <w:pPr>
            <w:pStyle w:val="TOC1"/>
            <w:shd w:val="clear" w:color="auto" w:fill="E2EFD9" w:themeFill="accent6" w:themeFillTint="33"/>
            <w:rPr>
              <w:rFonts w:ascii="Tahoma" w:eastAsiaTheme="minorEastAsia" w:hAnsi="Tahoma" w:cs="Tahoma"/>
              <w:b w:val="0"/>
              <w:sz w:val="22"/>
              <w:szCs w:val="22"/>
            </w:rPr>
          </w:pPr>
          <w:hyperlink w:anchor="_Toc78799192" w:history="1">
            <w:r w:rsidR="00717011" w:rsidRPr="00A057AC">
              <w:rPr>
                <w:rStyle w:val="Hyperlink"/>
                <w:rFonts w:ascii="Tahoma" w:hAnsi="Tahoma" w:cs="Tahoma"/>
              </w:rPr>
              <w:t>Concluzii</w:t>
            </w:r>
            <w:r w:rsidR="00717011" w:rsidRPr="00A057AC">
              <w:rPr>
                <w:rFonts w:ascii="Tahoma" w:hAnsi="Tahoma" w:cs="Tahoma"/>
                <w:webHidden/>
              </w:rPr>
              <w:tab/>
            </w:r>
            <w:r w:rsidR="001D24F5" w:rsidRPr="00A057AC">
              <w:rPr>
                <w:rFonts w:ascii="Tahoma" w:hAnsi="Tahoma" w:cs="Tahoma"/>
                <w:webHidden/>
              </w:rPr>
              <w:fldChar w:fldCharType="begin"/>
            </w:r>
            <w:r w:rsidR="00717011" w:rsidRPr="00A057AC">
              <w:rPr>
                <w:rFonts w:ascii="Tahoma" w:hAnsi="Tahoma" w:cs="Tahoma"/>
                <w:webHidden/>
              </w:rPr>
              <w:instrText xml:space="preserve"> PAGEREF _Toc78799192 \h </w:instrText>
            </w:r>
            <w:r w:rsidR="001D24F5" w:rsidRPr="00A057AC">
              <w:rPr>
                <w:rFonts w:ascii="Tahoma" w:hAnsi="Tahoma" w:cs="Tahoma"/>
                <w:webHidden/>
              </w:rPr>
            </w:r>
            <w:r w:rsidR="001D24F5" w:rsidRPr="00A057AC">
              <w:rPr>
                <w:rFonts w:ascii="Tahoma" w:hAnsi="Tahoma" w:cs="Tahoma"/>
                <w:webHidden/>
              </w:rPr>
              <w:fldChar w:fldCharType="separate"/>
            </w:r>
            <w:r w:rsidR="0024450C" w:rsidRPr="00A057AC">
              <w:rPr>
                <w:rFonts w:ascii="Tahoma" w:hAnsi="Tahoma" w:cs="Tahoma"/>
                <w:webHidden/>
              </w:rPr>
              <w:t>33</w:t>
            </w:r>
            <w:r w:rsidR="001D24F5" w:rsidRPr="00A057AC">
              <w:rPr>
                <w:rFonts w:ascii="Tahoma" w:hAnsi="Tahoma" w:cs="Tahoma"/>
                <w:webHidden/>
              </w:rPr>
              <w:fldChar w:fldCharType="end"/>
            </w:r>
          </w:hyperlink>
        </w:p>
        <w:p w:rsidR="00C43AD2" w:rsidRPr="00A057AC" w:rsidRDefault="001D24F5" w:rsidP="00717011">
          <w:pPr>
            <w:shd w:val="clear" w:color="auto" w:fill="FFFFFF" w:themeFill="background1"/>
            <w:spacing w:line="276" w:lineRule="auto"/>
            <w:rPr>
              <w:rFonts w:ascii="Tahoma" w:hAnsi="Tahoma" w:cs="Tahoma"/>
              <w:b/>
              <w:bCs/>
              <w:noProof/>
              <w:sz w:val="24"/>
              <w:szCs w:val="24"/>
            </w:rPr>
          </w:pPr>
          <w:r w:rsidRPr="00A057AC">
            <w:rPr>
              <w:rFonts w:ascii="Tahoma" w:hAnsi="Tahoma" w:cs="Tahoma"/>
              <w:b/>
              <w:bCs/>
              <w:noProof/>
              <w:sz w:val="28"/>
              <w:szCs w:val="28"/>
            </w:rPr>
            <w:fldChar w:fldCharType="end"/>
          </w:r>
        </w:p>
      </w:sdtContent>
    </w:sdt>
    <w:p w:rsidR="001E5189" w:rsidRPr="00A057AC" w:rsidRDefault="001E5189" w:rsidP="002A6579">
      <w:pPr>
        <w:spacing w:line="276" w:lineRule="auto"/>
        <w:rPr>
          <w:rFonts w:ascii="Tahoma" w:hAnsi="Tahoma" w:cs="Tahoma"/>
          <w:sz w:val="24"/>
          <w:szCs w:val="24"/>
        </w:rPr>
      </w:pPr>
    </w:p>
    <w:p w:rsidR="00FB0FC8" w:rsidRPr="00A057AC" w:rsidRDefault="00FB0FC8" w:rsidP="002A6579">
      <w:pPr>
        <w:keepNext/>
        <w:keepLines/>
        <w:spacing w:line="276" w:lineRule="auto"/>
        <w:rPr>
          <w:rFonts w:ascii="Tahoma" w:hAnsi="Tahoma" w:cs="Tahoma"/>
          <w:b/>
          <w:sz w:val="24"/>
          <w:szCs w:val="24"/>
        </w:rPr>
      </w:pPr>
    </w:p>
    <w:p w:rsidR="00FB0FC8" w:rsidRPr="00A057AC" w:rsidRDefault="00FB0FC8" w:rsidP="002A6579">
      <w:pPr>
        <w:keepNext/>
        <w:keepLines/>
        <w:spacing w:line="276" w:lineRule="auto"/>
        <w:rPr>
          <w:rFonts w:ascii="Tahoma" w:hAnsi="Tahoma" w:cs="Tahoma"/>
          <w:b/>
          <w:sz w:val="24"/>
          <w:szCs w:val="24"/>
        </w:rPr>
      </w:pPr>
    </w:p>
    <w:p w:rsidR="007C4F03" w:rsidRPr="00A057AC" w:rsidRDefault="007C4F03" w:rsidP="002A6579">
      <w:pPr>
        <w:keepNext/>
        <w:keepLines/>
        <w:spacing w:line="276" w:lineRule="auto"/>
        <w:rPr>
          <w:rFonts w:ascii="Tahoma" w:hAnsi="Tahoma" w:cs="Tahoma"/>
          <w:sz w:val="24"/>
          <w:szCs w:val="24"/>
        </w:rPr>
      </w:pPr>
    </w:p>
    <w:p w:rsidR="007C4F03" w:rsidRPr="00A057AC" w:rsidRDefault="007C4F03" w:rsidP="002A6579">
      <w:pPr>
        <w:keepNext/>
        <w:keepLines/>
        <w:spacing w:line="276" w:lineRule="auto"/>
        <w:rPr>
          <w:rFonts w:ascii="Tahoma" w:hAnsi="Tahoma" w:cs="Tahoma"/>
          <w:sz w:val="24"/>
          <w:szCs w:val="24"/>
        </w:rPr>
      </w:pPr>
    </w:p>
    <w:p w:rsidR="006407D7" w:rsidRPr="00A057AC" w:rsidRDefault="006407D7" w:rsidP="002A6579">
      <w:pPr>
        <w:keepNext/>
        <w:keepLines/>
        <w:spacing w:line="276" w:lineRule="auto"/>
        <w:rPr>
          <w:rFonts w:ascii="Tahoma" w:hAnsi="Tahoma" w:cs="Tahoma"/>
          <w:sz w:val="24"/>
          <w:szCs w:val="24"/>
        </w:rPr>
      </w:pPr>
    </w:p>
    <w:p w:rsidR="007C4F03" w:rsidRPr="00A057AC" w:rsidRDefault="007C4F03" w:rsidP="002A6579">
      <w:pPr>
        <w:keepNext/>
        <w:keepLines/>
        <w:spacing w:line="276" w:lineRule="auto"/>
        <w:rPr>
          <w:rFonts w:ascii="Tahoma" w:hAnsi="Tahoma" w:cs="Tahoma"/>
          <w:sz w:val="24"/>
          <w:szCs w:val="24"/>
        </w:rPr>
      </w:pPr>
    </w:p>
    <w:p w:rsidR="00F51EDE" w:rsidRPr="00A057AC" w:rsidRDefault="00F51EDE" w:rsidP="002A6579">
      <w:pPr>
        <w:keepNext/>
        <w:keepLines/>
        <w:spacing w:line="276" w:lineRule="auto"/>
        <w:rPr>
          <w:rFonts w:ascii="Tahoma" w:hAnsi="Tahoma" w:cs="Tahoma"/>
          <w:sz w:val="24"/>
          <w:szCs w:val="24"/>
        </w:rPr>
      </w:pPr>
    </w:p>
    <w:p w:rsidR="00F51EDE" w:rsidRPr="00A057AC" w:rsidRDefault="00F51EDE" w:rsidP="002A6579">
      <w:pPr>
        <w:keepNext/>
        <w:keepLines/>
        <w:spacing w:line="276" w:lineRule="auto"/>
        <w:rPr>
          <w:rFonts w:ascii="Tahoma" w:hAnsi="Tahoma" w:cs="Tahoma"/>
          <w:sz w:val="24"/>
          <w:szCs w:val="24"/>
        </w:rPr>
      </w:pPr>
    </w:p>
    <w:p w:rsidR="00F51EDE" w:rsidRPr="00A057AC" w:rsidRDefault="00F51EDE" w:rsidP="002A6579">
      <w:pPr>
        <w:keepNext/>
        <w:keepLines/>
        <w:spacing w:line="276" w:lineRule="auto"/>
        <w:rPr>
          <w:rFonts w:ascii="Tahoma" w:hAnsi="Tahoma" w:cs="Tahoma"/>
          <w:sz w:val="24"/>
          <w:szCs w:val="24"/>
        </w:rPr>
      </w:pPr>
    </w:p>
    <w:p w:rsidR="00F51EDE" w:rsidRPr="00A057AC" w:rsidRDefault="00F51EDE" w:rsidP="002A6579">
      <w:pPr>
        <w:keepNext/>
        <w:keepLines/>
        <w:spacing w:line="276" w:lineRule="auto"/>
        <w:rPr>
          <w:rFonts w:ascii="Tahoma" w:hAnsi="Tahoma" w:cs="Tahoma"/>
          <w:sz w:val="24"/>
          <w:szCs w:val="24"/>
        </w:rPr>
      </w:pPr>
    </w:p>
    <w:p w:rsidR="00F51EDE" w:rsidRPr="00A057AC" w:rsidRDefault="00F51EDE" w:rsidP="002A6579">
      <w:pPr>
        <w:keepNext/>
        <w:keepLines/>
        <w:spacing w:line="276" w:lineRule="auto"/>
        <w:rPr>
          <w:rFonts w:ascii="Tahoma" w:hAnsi="Tahoma" w:cs="Tahoma"/>
          <w:sz w:val="24"/>
          <w:szCs w:val="24"/>
        </w:rPr>
      </w:pPr>
    </w:p>
    <w:p w:rsidR="00F96228" w:rsidRPr="00A057AC" w:rsidRDefault="00F96228" w:rsidP="002A6579">
      <w:pPr>
        <w:keepNext/>
        <w:keepLines/>
        <w:spacing w:line="276" w:lineRule="auto"/>
        <w:rPr>
          <w:rFonts w:ascii="Tahoma" w:hAnsi="Tahoma" w:cs="Tahoma"/>
          <w:sz w:val="24"/>
          <w:szCs w:val="24"/>
        </w:rPr>
      </w:pPr>
      <w:r w:rsidRPr="00A057AC">
        <w:rPr>
          <w:rFonts w:ascii="Tahoma" w:hAnsi="Tahoma" w:cs="Tahoma"/>
          <w:sz w:val="24"/>
          <w:szCs w:val="24"/>
        </w:rPr>
        <w:br w:type="page"/>
      </w:r>
    </w:p>
    <w:p w:rsidR="007C4F03" w:rsidRPr="00A057AC" w:rsidRDefault="00EE2635" w:rsidP="002A6579">
      <w:pPr>
        <w:pStyle w:val="ListParagraph"/>
        <w:keepNext/>
        <w:keepLines/>
        <w:numPr>
          <w:ilvl w:val="0"/>
          <w:numId w:val="1"/>
        </w:numPr>
        <w:spacing w:line="276" w:lineRule="auto"/>
        <w:ind w:left="0" w:firstLine="630"/>
        <w:outlineLvl w:val="0"/>
        <w:rPr>
          <w:rFonts w:ascii="Tahoma" w:hAnsi="Tahoma" w:cs="Tahoma"/>
          <w:b/>
          <w:sz w:val="24"/>
          <w:szCs w:val="24"/>
        </w:rPr>
      </w:pPr>
      <w:bookmarkStart w:id="0" w:name="_Toc299543078"/>
      <w:bookmarkStart w:id="1" w:name="_Toc425320856"/>
      <w:bookmarkStart w:id="2" w:name="_Toc456256932"/>
      <w:bookmarkStart w:id="3" w:name="_Toc456257456"/>
      <w:bookmarkStart w:id="4" w:name="_Toc456258314"/>
      <w:bookmarkStart w:id="5" w:name="_Toc456258418"/>
      <w:bookmarkStart w:id="6" w:name="_Toc78799186"/>
      <w:r w:rsidRPr="00A057AC">
        <w:rPr>
          <w:rFonts w:ascii="Tahoma" w:hAnsi="Tahoma" w:cs="Tahoma"/>
          <w:b/>
          <w:sz w:val="24"/>
          <w:szCs w:val="24"/>
        </w:rPr>
        <w:lastRenderedPageBreak/>
        <w:t>Evoluții</w:t>
      </w:r>
      <w:r w:rsidR="007C4F03" w:rsidRPr="00A057AC">
        <w:rPr>
          <w:rFonts w:ascii="Tahoma" w:hAnsi="Tahoma" w:cs="Tahoma"/>
          <w:b/>
          <w:sz w:val="24"/>
          <w:szCs w:val="24"/>
        </w:rPr>
        <w:t xml:space="preserve"> macroeconomice recente ale economiei </w:t>
      </w:r>
      <w:bookmarkEnd w:id="0"/>
      <w:bookmarkEnd w:id="1"/>
      <w:bookmarkEnd w:id="2"/>
      <w:bookmarkEnd w:id="3"/>
      <w:bookmarkEnd w:id="4"/>
      <w:bookmarkEnd w:id="5"/>
      <w:r w:rsidRPr="00A057AC">
        <w:rPr>
          <w:rFonts w:ascii="Tahoma" w:hAnsi="Tahoma" w:cs="Tahoma"/>
          <w:b/>
          <w:sz w:val="24"/>
          <w:szCs w:val="24"/>
        </w:rPr>
        <w:t>românești</w:t>
      </w:r>
      <w:bookmarkEnd w:id="6"/>
    </w:p>
    <w:p w:rsidR="009D0987" w:rsidRPr="00A057AC" w:rsidRDefault="009D0987" w:rsidP="002A6579">
      <w:pPr>
        <w:pStyle w:val="ListParagraph"/>
        <w:keepNext/>
        <w:keepLines/>
        <w:spacing w:line="276" w:lineRule="auto"/>
        <w:ind w:left="0" w:firstLine="720"/>
        <w:outlineLvl w:val="0"/>
        <w:rPr>
          <w:rFonts w:ascii="Tahoma" w:hAnsi="Tahoma" w:cs="Tahoma"/>
          <w:b/>
          <w:sz w:val="24"/>
          <w:szCs w:val="24"/>
        </w:rPr>
      </w:pPr>
    </w:p>
    <w:p w:rsidR="00224048" w:rsidRPr="00224048" w:rsidRDefault="00224048" w:rsidP="00224048">
      <w:pPr>
        <w:spacing w:after="120" w:line="276" w:lineRule="auto"/>
        <w:ind w:firstLine="720"/>
        <w:rPr>
          <w:rFonts w:ascii="Tahoma" w:hAnsi="Tahoma" w:cs="Tahoma"/>
          <w:color w:val="000000" w:themeColor="text1"/>
          <w:sz w:val="24"/>
          <w:szCs w:val="24"/>
        </w:rPr>
      </w:pPr>
      <w:r w:rsidRPr="00224048">
        <w:rPr>
          <w:rFonts w:ascii="Tahoma" w:hAnsi="Tahoma" w:cs="Tahoma"/>
          <w:color w:val="000000" w:themeColor="text1"/>
          <w:sz w:val="24"/>
          <w:szCs w:val="24"/>
        </w:rPr>
        <w:t>În trimestrul I 2021, activitatea economică a continuat să se desfășoare în condiții de pandemie, însă volumul său s-a menținut aproximativ la același nivel cu trimestrul corespunzător din 2020. Astfel, c</w:t>
      </w:r>
      <w:r w:rsidRPr="00224048">
        <w:rPr>
          <w:rFonts w:ascii="Tahoma" w:eastAsia="Calibri" w:hAnsi="Tahoma" w:cs="Tahoma"/>
          <w:color w:val="000000" w:themeColor="text1"/>
          <w:sz w:val="24"/>
          <w:szCs w:val="24"/>
        </w:rPr>
        <w:t xml:space="preserve">onform datelor publicate de Institutul Național de Statistică, în trimestrul I 2021 comparativ cu trimestrul I 2020 </w:t>
      </w:r>
      <w:r w:rsidRPr="00224048">
        <w:rPr>
          <w:rFonts w:ascii="Tahoma" w:hAnsi="Tahoma" w:cs="Tahoma"/>
          <w:color w:val="000000" w:themeColor="text1"/>
          <w:sz w:val="24"/>
          <w:szCs w:val="24"/>
        </w:rPr>
        <w:t xml:space="preserve">produsul intern brut s-a </w:t>
      </w:r>
      <w:r>
        <w:rPr>
          <w:rFonts w:ascii="Tahoma" w:hAnsi="Tahoma" w:cs="Tahoma"/>
          <w:color w:val="000000" w:themeColor="text1"/>
          <w:sz w:val="24"/>
          <w:szCs w:val="24"/>
        </w:rPr>
        <w:t>majorat, în termeni reali, cu 0,1</w:t>
      </w:r>
      <w:r w:rsidRPr="00224048">
        <w:rPr>
          <w:rFonts w:ascii="Tahoma" w:hAnsi="Tahoma" w:cs="Tahoma"/>
          <w:color w:val="000000" w:themeColor="text1"/>
          <w:sz w:val="24"/>
          <w:szCs w:val="24"/>
        </w:rPr>
        <w:t xml:space="preserve">% față de aceeași perioadă din 2020 </w:t>
      </w:r>
      <w:r>
        <w:rPr>
          <w:rFonts w:ascii="Tahoma" w:hAnsi="Tahoma" w:cs="Tahoma"/>
          <w:color w:val="000000" w:themeColor="text1"/>
          <w:sz w:val="24"/>
          <w:szCs w:val="24"/>
        </w:rPr>
        <w:t>ș</w:t>
      </w:r>
      <w:r w:rsidRPr="00224048">
        <w:rPr>
          <w:rFonts w:ascii="Tahoma" w:hAnsi="Tahoma" w:cs="Tahoma"/>
          <w:color w:val="000000" w:themeColor="text1"/>
          <w:sz w:val="24"/>
          <w:szCs w:val="24"/>
        </w:rPr>
        <w:t>i</w:t>
      </w:r>
      <w:r>
        <w:rPr>
          <w:rFonts w:ascii="Tahoma" w:hAnsi="Tahoma" w:cs="Tahoma"/>
          <w:color w:val="000000" w:themeColor="text1"/>
          <w:sz w:val="24"/>
          <w:szCs w:val="24"/>
        </w:rPr>
        <w:t xml:space="preserve"> </w:t>
      </w:r>
      <w:r w:rsidRPr="00224048">
        <w:rPr>
          <w:rFonts w:ascii="Tahoma" w:hAnsi="Tahoma" w:cs="Tahoma"/>
          <w:color w:val="000000" w:themeColor="text1"/>
          <w:sz w:val="24"/>
          <w:szCs w:val="24"/>
        </w:rPr>
        <w:t>cu 2,9% față de trimestrul precedent (pe serie ajustată sezonier).</w:t>
      </w:r>
    </w:p>
    <w:p w:rsidR="00DF1038" w:rsidRPr="00A057AC" w:rsidRDefault="00DF1038" w:rsidP="0036088B">
      <w:pPr>
        <w:spacing w:after="120" w:line="276" w:lineRule="auto"/>
        <w:ind w:firstLine="720"/>
        <w:rPr>
          <w:rFonts w:ascii="Tahoma" w:hAnsi="Tahoma" w:cs="Tahoma"/>
          <w:color w:val="000000" w:themeColor="text1"/>
          <w:sz w:val="24"/>
          <w:szCs w:val="24"/>
        </w:rPr>
      </w:pPr>
      <w:r w:rsidRPr="00A057AC">
        <w:rPr>
          <w:rFonts w:ascii="Tahoma" w:hAnsi="Tahoma" w:cs="Tahoma"/>
          <w:color w:val="000000" w:themeColor="text1"/>
          <w:sz w:val="24"/>
          <w:szCs w:val="24"/>
        </w:rPr>
        <w:t xml:space="preserve">Comparativ cu </w:t>
      </w:r>
      <w:r w:rsidR="00DC05C0" w:rsidRPr="00A057AC">
        <w:rPr>
          <w:rFonts w:ascii="Tahoma" w:hAnsi="Tahoma" w:cs="Tahoma"/>
          <w:color w:val="000000" w:themeColor="text1"/>
          <w:sz w:val="24"/>
          <w:szCs w:val="24"/>
        </w:rPr>
        <w:t>evoluțiile</w:t>
      </w:r>
      <w:r w:rsidRPr="00A057AC">
        <w:rPr>
          <w:rFonts w:ascii="Tahoma" w:hAnsi="Tahoma" w:cs="Tahoma"/>
          <w:color w:val="000000" w:themeColor="text1"/>
          <w:sz w:val="24"/>
          <w:szCs w:val="24"/>
        </w:rPr>
        <w:t xml:space="preserve"> la nivelul Uniunii Europene, </w:t>
      </w:r>
      <w:r w:rsidR="00DC05C0"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de 2,9% realizată în primul trimestru </w:t>
      </w:r>
      <w:r w:rsidR="00DC05C0" w:rsidRPr="00A057AC">
        <w:rPr>
          <w:rFonts w:ascii="Tahoma" w:hAnsi="Tahoma" w:cs="Tahoma"/>
          <w:color w:val="000000" w:themeColor="text1"/>
          <w:sz w:val="24"/>
          <w:szCs w:val="24"/>
        </w:rPr>
        <w:t>față</w:t>
      </w:r>
      <w:r w:rsidRPr="00A057AC">
        <w:rPr>
          <w:rFonts w:ascii="Tahoma" w:hAnsi="Tahoma" w:cs="Tahoma"/>
          <w:color w:val="000000" w:themeColor="text1"/>
          <w:sz w:val="24"/>
          <w:szCs w:val="24"/>
        </w:rPr>
        <w:t xml:space="preserve"> de intervalul anterior, </w:t>
      </w:r>
      <w:r w:rsidR="00DC05C0" w:rsidRPr="00A057AC">
        <w:rPr>
          <w:rFonts w:ascii="Tahoma" w:hAnsi="Tahoma" w:cs="Tahoma"/>
          <w:color w:val="000000" w:themeColor="text1"/>
          <w:sz w:val="24"/>
          <w:szCs w:val="24"/>
        </w:rPr>
        <w:t>poziționează</w:t>
      </w:r>
      <w:r w:rsidRPr="00A057AC">
        <w:rPr>
          <w:rFonts w:ascii="Tahoma" w:hAnsi="Tahoma" w:cs="Tahoma"/>
          <w:color w:val="000000" w:themeColor="text1"/>
          <w:sz w:val="24"/>
          <w:szCs w:val="24"/>
        </w:rPr>
        <w:t xml:space="preserve"> </w:t>
      </w:r>
      <w:r w:rsidR="00DC05C0" w:rsidRPr="00A057AC">
        <w:rPr>
          <w:rFonts w:ascii="Tahoma" w:hAnsi="Tahoma" w:cs="Tahoma"/>
          <w:color w:val="000000" w:themeColor="text1"/>
          <w:sz w:val="24"/>
          <w:szCs w:val="24"/>
        </w:rPr>
        <w:t>țara</w:t>
      </w:r>
      <w:r w:rsidRPr="00A057AC">
        <w:rPr>
          <w:rFonts w:ascii="Tahoma" w:hAnsi="Tahoma" w:cs="Tahoma"/>
          <w:color w:val="000000" w:themeColor="text1"/>
          <w:sz w:val="24"/>
          <w:szCs w:val="24"/>
        </w:rPr>
        <w:t xml:space="preserve"> noastră pe locul 5 în topul statelor membre, după Irlanda (7,8%), </w:t>
      </w:r>
      <w:r w:rsidR="00DC05C0" w:rsidRPr="00A057AC">
        <w:rPr>
          <w:rFonts w:ascii="Tahoma" w:hAnsi="Tahoma" w:cs="Tahoma"/>
          <w:color w:val="000000" w:themeColor="text1"/>
          <w:sz w:val="24"/>
          <w:szCs w:val="24"/>
        </w:rPr>
        <w:t>Croația</w:t>
      </w:r>
      <w:r w:rsidRPr="00A057AC">
        <w:rPr>
          <w:rFonts w:ascii="Tahoma" w:hAnsi="Tahoma" w:cs="Tahoma"/>
          <w:color w:val="000000" w:themeColor="text1"/>
          <w:sz w:val="24"/>
          <w:szCs w:val="24"/>
        </w:rPr>
        <w:t xml:space="preserve"> (5,8%), Estonia (4,8%) </w:t>
      </w:r>
      <w:r w:rsidR="00DC05C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Grecia (4,4%). De asemenea, România se situează cu circa 3 puncte procentuale peste media UE27 (-0,1%) </w:t>
      </w:r>
      <w:r w:rsidR="00DC05C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Zona Euro (-0,3%).</w:t>
      </w:r>
    </w:p>
    <w:p w:rsidR="00DF1038" w:rsidRPr="00A057AC" w:rsidRDefault="00DF1038" w:rsidP="00DF1038">
      <w:pPr>
        <w:spacing w:before="120" w:after="0"/>
        <w:rPr>
          <w:rFonts w:ascii="Tahoma" w:eastAsia="Calibri" w:hAnsi="Tahoma" w:cs="Tahoma"/>
          <w:sz w:val="24"/>
          <w:szCs w:val="24"/>
        </w:rPr>
      </w:pPr>
      <w:r w:rsidRPr="00A057AC">
        <w:rPr>
          <w:rFonts w:ascii="Tahoma" w:hAnsi="Tahoma" w:cs="Tahoma"/>
          <w:color w:val="FF0000"/>
          <w:sz w:val="24"/>
          <w:szCs w:val="24"/>
        </w:rPr>
        <w:tab/>
      </w:r>
      <w:r w:rsidRPr="00A057AC">
        <w:rPr>
          <w:rFonts w:ascii="Tahoma" w:eastAsia="Calibri" w:hAnsi="Tahoma" w:cs="Tahoma"/>
          <w:sz w:val="24"/>
          <w:szCs w:val="24"/>
        </w:rPr>
        <w:tab/>
      </w:r>
    </w:p>
    <w:p w:rsidR="00DF1038" w:rsidRPr="00A057AC" w:rsidRDefault="00DF1038" w:rsidP="00DF1038">
      <w:pPr>
        <w:keepNext/>
        <w:keepLines/>
        <w:widowControl w:val="0"/>
        <w:spacing w:before="120" w:after="120"/>
        <w:ind w:firstLine="0"/>
        <w:jc w:val="center"/>
        <w:rPr>
          <w:rFonts w:ascii="Tahoma" w:hAnsi="Tahoma" w:cs="Tahoma"/>
          <w:b/>
          <w:bCs/>
          <w:color w:val="000000" w:themeColor="text1"/>
          <w:sz w:val="24"/>
          <w:szCs w:val="24"/>
        </w:rPr>
      </w:pPr>
      <w:r w:rsidRPr="00A057AC">
        <w:rPr>
          <w:rFonts w:ascii="Tahoma" w:hAnsi="Tahoma" w:cs="Tahoma"/>
          <w:b/>
          <w:bCs/>
          <w:color w:val="000000" w:themeColor="text1"/>
          <w:sz w:val="24"/>
          <w:szCs w:val="24"/>
        </w:rPr>
        <w:t>Contribuția la creșterea reală a PIB a elementelor de cheltuieli</w:t>
      </w:r>
    </w:p>
    <w:p w:rsidR="00DF1038" w:rsidRPr="00A057AC" w:rsidRDefault="00DF1038" w:rsidP="00DF1038">
      <w:pPr>
        <w:keepNext/>
        <w:keepLines/>
        <w:widowControl w:val="0"/>
        <w:spacing w:before="120" w:after="120"/>
        <w:ind w:firstLine="0"/>
        <w:jc w:val="center"/>
        <w:rPr>
          <w:rFonts w:ascii="Tahoma" w:hAnsi="Tahoma" w:cs="Tahoma"/>
          <w:color w:val="44546A" w:themeColor="text2"/>
          <w:sz w:val="24"/>
          <w:szCs w:val="24"/>
        </w:rPr>
      </w:pPr>
      <w:r w:rsidRPr="00A057AC">
        <w:rPr>
          <w:rFonts w:ascii="Tahoma" w:hAnsi="Tahoma" w:cs="Tahoma"/>
          <w:color w:val="44546A" w:themeColor="text2"/>
          <w:sz w:val="24"/>
          <w:szCs w:val="24"/>
        </w:rPr>
        <w:object w:dxaOrig="9624" w:dyaOrig="6902">
          <v:shape id="_x0000_i1026" type="#_x0000_t75" style="width:442.7pt;height:209.15pt" o:ole="">
            <v:imagedata r:id="rId8" o:title=""/>
          </v:shape>
          <o:OLEObject Type="Embed" ProgID="Excel.Sheet.12" ShapeID="_x0000_i1026" DrawAspect="Content" ObjectID="_1690384948" r:id="rId9"/>
        </w:object>
      </w:r>
    </w:p>
    <w:p w:rsidR="00DF1038" w:rsidRPr="00A057AC" w:rsidRDefault="00DF1038" w:rsidP="00DF1038">
      <w:pPr>
        <w:spacing w:after="120" w:line="269" w:lineRule="auto"/>
        <w:ind w:firstLine="641"/>
        <w:rPr>
          <w:rFonts w:ascii="Tahoma" w:hAnsi="Tahoma" w:cs="Tahoma"/>
          <w:b/>
          <w:color w:val="002060"/>
          <w:sz w:val="24"/>
          <w:szCs w:val="24"/>
        </w:rPr>
      </w:pPr>
    </w:p>
    <w:p w:rsidR="00DF1038" w:rsidRPr="00A057AC" w:rsidRDefault="00DF1038" w:rsidP="0036088B">
      <w:pPr>
        <w:spacing w:after="120" w:line="276" w:lineRule="auto"/>
        <w:ind w:firstLine="641"/>
        <w:rPr>
          <w:rFonts w:ascii="Tahoma" w:hAnsi="Tahoma" w:cs="Tahoma"/>
          <w:color w:val="000000" w:themeColor="text1"/>
          <w:sz w:val="24"/>
          <w:szCs w:val="24"/>
        </w:rPr>
      </w:pPr>
      <w:r w:rsidRPr="00A057AC">
        <w:rPr>
          <w:rFonts w:ascii="Tahoma" w:hAnsi="Tahoma" w:cs="Tahoma"/>
          <w:b/>
          <w:color w:val="000000" w:themeColor="text1"/>
          <w:sz w:val="24"/>
          <w:szCs w:val="24"/>
        </w:rPr>
        <w:t>Pe latura cererii</w:t>
      </w:r>
      <w:r w:rsidRPr="00A057AC">
        <w:rPr>
          <w:rFonts w:ascii="Tahoma" w:hAnsi="Tahoma" w:cs="Tahoma"/>
          <w:color w:val="000000" w:themeColor="text1"/>
          <w:sz w:val="24"/>
          <w:szCs w:val="24"/>
        </w:rPr>
        <w:t xml:space="preserve">, este de remarcat </w:t>
      </w:r>
      <w:r w:rsidR="00DC05C0" w:rsidRPr="00A057AC">
        <w:rPr>
          <w:rFonts w:ascii="Tahoma" w:hAnsi="Tahoma" w:cs="Tahoma"/>
          <w:color w:val="000000" w:themeColor="text1"/>
          <w:sz w:val="24"/>
          <w:szCs w:val="24"/>
        </w:rPr>
        <w:t>evoluția</w:t>
      </w:r>
      <w:r w:rsidRPr="00A057AC">
        <w:rPr>
          <w:rFonts w:ascii="Tahoma" w:hAnsi="Tahoma" w:cs="Tahoma"/>
          <w:color w:val="000000" w:themeColor="text1"/>
          <w:sz w:val="24"/>
          <w:szCs w:val="24"/>
        </w:rPr>
        <w:t xml:space="preserve"> spectaculoasă a procesului </w:t>
      </w:r>
      <w:r w:rsidR="00DC05C0" w:rsidRPr="00A057AC">
        <w:rPr>
          <w:rFonts w:ascii="Tahoma" w:hAnsi="Tahoma" w:cs="Tahoma"/>
          <w:color w:val="000000" w:themeColor="text1"/>
          <w:sz w:val="24"/>
          <w:szCs w:val="24"/>
        </w:rPr>
        <w:t>investițional</w:t>
      </w:r>
      <w:r w:rsidRPr="00A057AC">
        <w:rPr>
          <w:rFonts w:ascii="Tahoma" w:hAnsi="Tahoma" w:cs="Tahoma"/>
          <w:color w:val="000000" w:themeColor="text1"/>
          <w:sz w:val="24"/>
          <w:szCs w:val="24"/>
        </w:rPr>
        <w:t xml:space="preserve"> care s-a concretizat într-o majorare a formării brute de capital fix cu 11,7% în trimestrul I 2021 comparativ cu </w:t>
      </w:r>
      <w:r w:rsidR="00DC05C0" w:rsidRPr="00A057AC">
        <w:rPr>
          <w:rFonts w:ascii="Tahoma" w:hAnsi="Tahoma" w:cs="Tahoma"/>
          <w:color w:val="000000" w:themeColor="text1"/>
          <w:sz w:val="24"/>
          <w:szCs w:val="24"/>
        </w:rPr>
        <w:t>aceeași</w:t>
      </w:r>
      <w:r w:rsidRPr="00A057AC">
        <w:rPr>
          <w:rFonts w:ascii="Tahoma" w:hAnsi="Tahoma" w:cs="Tahoma"/>
          <w:color w:val="000000" w:themeColor="text1"/>
          <w:sz w:val="24"/>
          <w:szCs w:val="24"/>
        </w:rPr>
        <w:t xml:space="preserve"> perioadă din 2020. Cu o </w:t>
      </w:r>
      <w:r w:rsidR="00DC05C0" w:rsidRPr="00A057AC">
        <w:rPr>
          <w:rFonts w:ascii="Tahoma" w:hAnsi="Tahoma" w:cs="Tahoma"/>
          <w:color w:val="000000" w:themeColor="text1"/>
          <w:sz w:val="24"/>
          <w:szCs w:val="24"/>
        </w:rPr>
        <w:t>contribuție</w:t>
      </w:r>
      <w:r w:rsidRPr="00A057AC">
        <w:rPr>
          <w:rFonts w:ascii="Tahoma" w:hAnsi="Tahoma" w:cs="Tahoma"/>
          <w:color w:val="000000" w:themeColor="text1"/>
          <w:sz w:val="24"/>
          <w:szCs w:val="24"/>
        </w:rPr>
        <w:t xml:space="preserve"> de +2,0 puncte procentuale la dinamica ratei reale a PIB, </w:t>
      </w:r>
      <w:r w:rsidR="00DC05C0" w:rsidRPr="00A057AC">
        <w:rPr>
          <w:rFonts w:ascii="Tahoma" w:hAnsi="Tahoma" w:cs="Tahoma"/>
          <w:color w:val="000000" w:themeColor="text1"/>
          <w:sz w:val="24"/>
          <w:szCs w:val="24"/>
        </w:rPr>
        <w:t>investițiile</w:t>
      </w:r>
      <w:r w:rsidRPr="00A057AC">
        <w:rPr>
          <w:rFonts w:ascii="Tahoma" w:hAnsi="Tahoma" w:cs="Tahoma"/>
          <w:color w:val="000000" w:themeColor="text1"/>
          <w:sz w:val="24"/>
          <w:szCs w:val="24"/>
        </w:rPr>
        <w:t xml:space="preserve"> brute reprezintă principalul factor care </w:t>
      </w:r>
      <w:r w:rsidR="00DC05C0" w:rsidRPr="00A057AC">
        <w:rPr>
          <w:rFonts w:ascii="Tahoma" w:hAnsi="Tahoma" w:cs="Tahoma"/>
          <w:color w:val="000000" w:themeColor="text1"/>
          <w:sz w:val="24"/>
          <w:szCs w:val="24"/>
        </w:rPr>
        <w:t>susține</w:t>
      </w:r>
      <w:r w:rsidRPr="00A057AC">
        <w:rPr>
          <w:rFonts w:ascii="Tahoma" w:hAnsi="Tahoma" w:cs="Tahoma"/>
          <w:color w:val="000000" w:themeColor="text1"/>
          <w:sz w:val="24"/>
          <w:szCs w:val="24"/>
        </w:rPr>
        <w:t xml:space="preserve"> trecerea la etapa de recuperare a scăderii economice din anul 2020 </w:t>
      </w:r>
      <w:r w:rsidR="00DC05C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baza unei </w:t>
      </w:r>
      <w:r w:rsidR="00DC05C0" w:rsidRPr="00A057AC">
        <w:rPr>
          <w:rFonts w:ascii="Tahoma" w:hAnsi="Tahoma" w:cs="Tahoma"/>
          <w:color w:val="000000" w:themeColor="text1"/>
          <w:sz w:val="24"/>
          <w:szCs w:val="24"/>
        </w:rPr>
        <w:t>creșteri</w:t>
      </w:r>
      <w:r w:rsidRPr="00A057AC">
        <w:rPr>
          <w:rFonts w:ascii="Tahoma" w:hAnsi="Tahoma" w:cs="Tahoma"/>
          <w:color w:val="000000" w:themeColor="text1"/>
          <w:sz w:val="24"/>
          <w:szCs w:val="24"/>
        </w:rPr>
        <w:t xml:space="preserve"> economice sănătoase. Totodată, se constată </w:t>
      </w:r>
      <w:r w:rsidR="00DC05C0" w:rsidRPr="00A057AC">
        <w:rPr>
          <w:rFonts w:ascii="Tahoma" w:hAnsi="Tahoma" w:cs="Tahoma"/>
          <w:color w:val="000000" w:themeColor="text1"/>
          <w:sz w:val="24"/>
          <w:szCs w:val="24"/>
        </w:rPr>
        <w:t>tendința</w:t>
      </w:r>
      <w:r w:rsidRPr="00A057AC">
        <w:rPr>
          <w:rFonts w:ascii="Tahoma" w:hAnsi="Tahoma" w:cs="Tahoma"/>
          <w:color w:val="000000" w:themeColor="text1"/>
          <w:sz w:val="24"/>
          <w:szCs w:val="24"/>
        </w:rPr>
        <w:t xml:space="preserve"> </w:t>
      </w:r>
      <w:r w:rsidR="00DC05C0" w:rsidRPr="00A057AC">
        <w:rPr>
          <w:rFonts w:ascii="Tahoma" w:hAnsi="Tahoma" w:cs="Tahoma"/>
          <w:color w:val="000000" w:themeColor="text1"/>
          <w:sz w:val="24"/>
          <w:szCs w:val="24"/>
        </w:rPr>
        <w:t>agenților</w:t>
      </w:r>
      <w:r w:rsidRPr="00A057AC">
        <w:rPr>
          <w:rFonts w:ascii="Tahoma" w:hAnsi="Tahoma" w:cs="Tahoma"/>
          <w:color w:val="000000" w:themeColor="text1"/>
          <w:sz w:val="24"/>
          <w:szCs w:val="24"/>
        </w:rPr>
        <w:t xml:space="preserve"> economici de a-</w:t>
      </w:r>
      <w:r w:rsidR="00DC05C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forma stocuri necesare asigurării </w:t>
      </w:r>
      <w:r w:rsidR="00DC05C0" w:rsidRPr="00A057AC">
        <w:rPr>
          <w:rFonts w:ascii="Tahoma" w:hAnsi="Tahoma" w:cs="Tahoma"/>
          <w:color w:val="000000" w:themeColor="text1"/>
          <w:sz w:val="24"/>
          <w:szCs w:val="24"/>
        </w:rPr>
        <w:t>continuității</w:t>
      </w:r>
      <w:r w:rsidRPr="00A057AC">
        <w:rPr>
          <w:rFonts w:ascii="Tahoma" w:hAnsi="Tahoma" w:cs="Tahoma"/>
          <w:color w:val="000000" w:themeColor="text1"/>
          <w:sz w:val="24"/>
          <w:szCs w:val="24"/>
        </w:rPr>
        <w:t xml:space="preserve"> </w:t>
      </w:r>
      <w:r w:rsidR="00DC05C0" w:rsidRPr="00A057AC">
        <w:rPr>
          <w:rFonts w:ascii="Tahoma" w:hAnsi="Tahoma" w:cs="Tahoma"/>
          <w:color w:val="000000" w:themeColor="text1"/>
          <w:sz w:val="24"/>
          <w:szCs w:val="24"/>
        </w:rPr>
        <w:t>activității</w:t>
      </w:r>
      <w:r w:rsidRPr="00A057AC">
        <w:rPr>
          <w:rFonts w:ascii="Tahoma" w:hAnsi="Tahoma" w:cs="Tahoma"/>
          <w:color w:val="000000" w:themeColor="text1"/>
          <w:sz w:val="24"/>
          <w:szCs w:val="24"/>
        </w:rPr>
        <w:t xml:space="preserve">, ceea ce a condus la o </w:t>
      </w:r>
      <w:r w:rsidR="00DC05C0" w:rsidRPr="00A057AC">
        <w:rPr>
          <w:rFonts w:ascii="Tahoma" w:hAnsi="Tahoma" w:cs="Tahoma"/>
          <w:color w:val="000000" w:themeColor="text1"/>
          <w:sz w:val="24"/>
          <w:szCs w:val="24"/>
        </w:rPr>
        <w:t>contribuție</w:t>
      </w:r>
      <w:r w:rsidRPr="00A057AC">
        <w:rPr>
          <w:rFonts w:ascii="Tahoma" w:hAnsi="Tahoma" w:cs="Tahoma"/>
          <w:color w:val="000000" w:themeColor="text1"/>
          <w:sz w:val="24"/>
          <w:szCs w:val="24"/>
        </w:rPr>
        <w:t xml:space="preserve"> a stocurilor la produsul intern brut de +0,9 puncte procentuale. În aceste </w:t>
      </w:r>
      <w:r w:rsidR="00DC05C0" w:rsidRPr="00A057AC">
        <w:rPr>
          <w:rFonts w:ascii="Tahoma" w:hAnsi="Tahoma" w:cs="Tahoma"/>
          <w:color w:val="000000" w:themeColor="text1"/>
          <w:sz w:val="24"/>
          <w:szCs w:val="24"/>
        </w:rPr>
        <w:t>condiții</w:t>
      </w:r>
      <w:r w:rsidRPr="00A057AC">
        <w:rPr>
          <w:rFonts w:ascii="Tahoma" w:hAnsi="Tahoma" w:cs="Tahoma"/>
          <w:color w:val="000000" w:themeColor="text1"/>
          <w:sz w:val="24"/>
          <w:szCs w:val="24"/>
        </w:rPr>
        <w:t>, acumularea brută (formarea brută de capital) a avut un  avans de 14,3%.</w:t>
      </w:r>
    </w:p>
    <w:p w:rsidR="00DF1038" w:rsidRPr="00A057AC" w:rsidRDefault="00DF1038" w:rsidP="0036088B">
      <w:pPr>
        <w:spacing w:after="120" w:line="276" w:lineRule="auto"/>
        <w:ind w:firstLine="641"/>
        <w:rPr>
          <w:rFonts w:ascii="Tahoma" w:hAnsi="Tahoma" w:cs="Tahoma"/>
          <w:color w:val="000000" w:themeColor="text1"/>
          <w:sz w:val="24"/>
          <w:szCs w:val="24"/>
        </w:rPr>
      </w:pPr>
      <w:r w:rsidRPr="00A057AC">
        <w:rPr>
          <w:rFonts w:ascii="Tahoma" w:hAnsi="Tahoma" w:cs="Tahoma"/>
          <w:color w:val="000000" w:themeColor="text1"/>
          <w:sz w:val="24"/>
          <w:szCs w:val="24"/>
        </w:rPr>
        <w:lastRenderedPageBreak/>
        <w:t xml:space="preserve">Consumul privat a înregistrat o majorare cu 0,9% comparativ cu trimestrul corespunzător din anul 2020, contribuind cu +0,6 puncte procentuale la </w:t>
      </w:r>
      <w:r w:rsidR="001E69E1"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economică. În cadrul acestuia, cheltuiala pentru consumul final al gospodăriilor </w:t>
      </w:r>
      <w:r w:rsidR="001E69E1" w:rsidRPr="00A057AC">
        <w:rPr>
          <w:rFonts w:ascii="Tahoma" w:hAnsi="Tahoma" w:cs="Tahoma"/>
          <w:color w:val="000000" w:themeColor="text1"/>
          <w:sz w:val="24"/>
          <w:szCs w:val="24"/>
        </w:rPr>
        <w:t>populației</w:t>
      </w:r>
      <w:r w:rsidRPr="00A057AC">
        <w:rPr>
          <w:rFonts w:ascii="Tahoma" w:hAnsi="Tahoma" w:cs="Tahoma"/>
          <w:color w:val="000000" w:themeColor="text1"/>
          <w:sz w:val="24"/>
          <w:szCs w:val="24"/>
        </w:rPr>
        <w:t xml:space="preserve"> s-a majorat cu 0,8%, în principal, datorită </w:t>
      </w:r>
      <w:r w:rsidR="001E69E1" w:rsidRPr="00A057AC">
        <w:rPr>
          <w:rFonts w:ascii="Tahoma" w:hAnsi="Tahoma" w:cs="Tahoma"/>
          <w:color w:val="000000" w:themeColor="text1"/>
          <w:sz w:val="24"/>
          <w:szCs w:val="24"/>
        </w:rPr>
        <w:t>creșterii</w:t>
      </w:r>
      <w:r w:rsidRPr="00A057AC">
        <w:rPr>
          <w:rFonts w:ascii="Tahoma" w:hAnsi="Tahoma" w:cs="Tahoma"/>
          <w:color w:val="000000" w:themeColor="text1"/>
          <w:sz w:val="24"/>
          <w:szCs w:val="24"/>
        </w:rPr>
        <w:t xml:space="preserve"> cu 5,1% a cumpărărilor de mărfuri, această componentă având o </w:t>
      </w:r>
      <w:r w:rsidR="001E69E1" w:rsidRPr="00A057AC">
        <w:rPr>
          <w:rFonts w:ascii="Tahoma" w:hAnsi="Tahoma" w:cs="Tahoma"/>
          <w:color w:val="000000" w:themeColor="text1"/>
          <w:sz w:val="24"/>
          <w:szCs w:val="24"/>
        </w:rPr>
        <w:t>contribuție</w:t>
      </w:r>
      <w:r w:rsidRPr="00A057AC">
        <w:rPr>
          <w:rFonts w:ascii="Tahoma" w:hAnsi="Tahoma" w:cs="Tahoma"/>
          <w:color w:val="000000" w:themeColor="text1"/>
          <w:sz w:val="24"/>
          <w:szCs w:val="24"/>
        </w:rPr>
        <w:t xml:space="preserve"> de +2,1 puncte procentuale la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PIB. De asemenea, trebuie remarcată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înregistrată de componentele autoconsum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piață</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țărănească</w:t>
      </w:r>
      <w:r w:rsidRPr="00A057AC">
        <w:rPr>
          <w:rFonts w:ascii="Tahoma" w:hAnsi="Tahoma" w:cs="Tahoma"/>
          <w:color w:val="000000" w:themeColor="text1"/>
          <w:sz w:val="24"/>
          <w:szCs w:val="24"/>
        </w:rPr>
        <w:t xml:space="preserve"> (+4,3%)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alte consumuri (+5,1%). În contrast cu acestea, în </w:t>
      </w:r>
      <w:r w:rsidR="0056581A" w:rsidRPr="00A057AC">
        <w:rPr>
          <w:rFonts w:ascii="Tahoma" w:hAnsi="Tahoma" w:cs="Tahoma"/>
          <w:color w:val="000000" w:themeColor="text1"/>
          <w:sz w:val="24"/>
          <w:szCs w:val="24"/>
        </w:rPr>
        <w:t>condițiile</w:t>
      </w:r>
      <w:r w:rsidRPr="00A057AC">
        <w:rPr>
          <w:rFonts w:ascii="Tahoma" w:hAnsi="Tahoma" w:cs="Tahoma"/>
          <w:color w:val="000000" w:themeColor="text1"/>
          <w:sz w:val="24"/>
          <w:szCs w:val="24"/>
        </w:rPr>
        <w:t xml:space="preserve"> în care anul 2021 a debutat tot cu măsuri restrictive, serviciile pentru </w:t>
      </w:r>
      <w:r w:rsidR="0056581A" w:rsidRPr="00A057AC">
        <w:rPr>
          <w:rFonts w:ascii="Tahoma" w:hAnsi="Tahoma" w:cs="Tahoma"/>
          <w:color w:val="000000" w:themeColor="text1"/>
          <w:sz w:val="24"/>
          <w:szCs w:val="24"/>
        </w:rPr>
        <w:t>populație</w:t>
      </w:r>
      <w:r w:rsidRPr="00A057AC">
        <w:rPr>
          <w:rFonts w:ascii="Tahoma" w:hAnsi="Tahoma" w:cs="Tahoma"/>
          <w:color w:val="000000" w:themeColor="text1"/>
          <w:sz w:val="24"/>
          <w:szCs w:val="24"/>
        </w:rPr>
        <w:t xml:space="preserve"> au scăzut cu 11,0%, cu un aport negativ de 1,4 puncte procentuale la dinamica PIB. Pe de altă parte, consumul guvernamental a avut o </w:t>
      </w:r>
      <w:r w:rsidR="0056581A" w:rsidRPr="00A057AC">
        <w:rPr>
          <w:rFonts w:ascii="Tahoma" w:hAnsi="Tahoma" w:cs="Tahoma"/>
          <w:color w:val="000000" w:themeColor="text1"/>
          <w:sz w:val="24"/>
          <w:szCs w:val="24"/>
        </w:rPr>
        <w:t>contribuție</w:t>
      </w:r>
      <w:r w:rsidRPr="00A057AC">
        <w:rPr>
          <w:rFonts w:ascii="Tahoma" w:hAnsi="Tahoma" w:cs="Tahoma"/>
          <w:color w:val="000000" w:themeColor="text1"/>
          <w:sz w:val="24"/>
          <w:szCs w:val="24"/>
        </w:rPr>
        <w:t xml:space="preserve"> negativă la rata de </w:t>
      </w:r>
      <w:r w:rsidR="0056581A" w:rsidRPr="00A057AC">
        <w:rPr>
          <w:rFonts w:ascii="Tahoma" w:hAnsi="Tahoma" w:cs="Tahoma"/>
          <w:color w:val="000000" w:themeColor="text1"/>
          <w:sz w:val="24"/>
          <w:szCs w:val="24"/>
        </w:rPr>
        <w:t>creștere</w:t>
      </w:r>
      <w:r w:rsidRPr="00A057AC">
        <w:rPr>
          <w:rFonts w:ascii="Tahoma" w:hAnsi="Tahoma" w:cs="Tahoma"/>
          <w:color w:val="000000" w:themeColor="text1"/>
          <w:sz w:val="24"/>
          <w:szCs w:val="24"/>
        </w:rPr>
        <w:t xml:space="preserve"> economică (-1,0 puncte procentuale) reducându-se cu 4,8% comparativ cu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de 5,9% înregistrată în trimestrul I 2020.</w:t>
      </w:r>
    </w:p>
    <w:p w:rsidR="00DF1038" w:rsidRPr="00A057AC" w:rsidRDefault="00DF1038" w:rsidP="0036088B">
      <w:pPr>
        <w:spacing w:after="120" w:line="276" w:lineRule="auto"/>
        <w:ind w:firstLine="641"/>
        <w:rPr>
          <w:rFonts w:ascii="Tahoma" w:hAnsi="Tahoma" w:cs="Tahoma"/>
          <w:color w:val="000000" w:themeColor="text1"/>
          <w:sz w:val="24"/>
          <w:szCs w:val="24"/>
        </w:rPr>
      </w:pPr>
      <w:r w:rsidRPr="00A057AC">
        <w:rPr>
          <w:rFonts w:ascii="Tahoma" w:hAnsi="Tahoma" w:cs="Tahoma"/>
          <w:color w:val="000000" w:themeColor="text1"/>
          <w:sz w:val="24"/>
          <w:szCs w:val="24"/>
        </w:rPr>
        <w:t xml:space="preserve">Pe ansamblul economiei, cererea internă s-a majorat în trimestrul I 2021 comparativ cu trimestrul I 2020 cu 2,3%, contribuind cu 2,5 puncte procentuale la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PIB, fiind însă contrabalansată de cererea externă care a avut un aport negativ de 2,7 puncte procentuale la dinamica PIB. </w:t>
      </w:r>
      <w:r w:rsidR="0056581A" w:rsidRPr="00A057AC">
        <w:rPr>
          <w:rFonts w:ascii="Tahoma" w:hAnsi="Tahoma" w:cs="Tahoma"/>
          <w:color w:val="000000" w:themeColor="text1"/>
          <w:sz w:val="24"/>
          <w:szCs w:val="24"/>
        </w:rPr>
        <w:t>Contribuția</w:t>
      </w:r>
      <w:r w:rsidRPr="00A057AC">
        <w:rPr>
          <w:rFonts w:ascii="Tahoma" w:hAnsi="Tahoma" w:cs="Tahoma"/>
          <w:color w:val="000000" w:themeColor="text1"/>
          <w:sz w:val="24"/>
          <w:szCs w:val="24"/>
        </w:rPr>
        <w:t xml:space="preserve"> negativă a exportului net la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economică a fost rezultatul majorării cu 4,7% a importului de bunuri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servicii, în timp ce exportul de bunuri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servicii s-a redus cu 0,2%. În cadrul importurilor de bunuri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servicii, nevoia de a satisface cererea internă a determinat o majorare a </w:t>
      </w:r>
      <w:r w:rsidR="0056581A" w:rsidRPr="00A057AC">
        <w:rPr>
          <w:rFonts w:ascii="Tahoma" w:hAnsi="Tahoma" w:cs="Tahoma"/>
          <w:color w:val="000000" w:themeColor="text1"/>
          <w:sz w:val="24"/>
          <w:szCs w:val="24"/>
        </w:rPr>
        <w:t>importurilor</w:t>
      </w:r>
      <w:r w:rsidRPr="00A057AC">
        <w:rPr>
          <w:rFonts w:ascii="Tahoma" w:hAnsi="Tahoma" w:cs="Tahoma"/>
          <w:color w:val="000000" w:themeColor="text1"/>
          <w:sz w:val="24"/>
          <w:szCs w:val="24"/>
        </w:rPr>
        <w:t xml:space="preserve"> de bunuri cu 6,9%. De asemenea, ca urmare a unei </w:t>
      </w:r>
      <w:r w:rsidR="0056581A" w:rsidRPr="00A057AC">
        <w:rPr>
          <w:rFonts w:ascii="Tahoma" w:hAnsi="Tahoma" w:cs="Tahoma"/>
          <w:color w:val="000000" w:themeColor="text1"/>
          <w:sz w:val="24"/>
          <w:szCs w:val="24"/>
        </w:rPr>
        <w:t>ușoare</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îmbunătățiri</w:t>
      </w:r>
      <w:r w:rsidRPr="00A057AC">
        <w:rPr>
          <w:rFonts w:ascii="Tahoma" w:hAnsi="Tahoma" w:cs="Tahoma"/>
          <w:color w:val="000000" w:themeColor="text1"/>
          <w:sz w:val="24"/>
          <w:szCs w:val="24"/>
        </w:rPr>
        <w:t xml:space="preserve"> a rezultatelor </w:t>
      </w:r>
      <w:r w:rsidR="0056581A" w:rsidRPr="00A057AC">
        <w:rPr>
          <w:rFonts w:ascii="Tahoma" w:hAnsi="Tahoma" w:cs="Tahoma"/>
          <w:color w:val="000000" w:themeColor="text1"/>
          <w:sz w:val="24"/>
          <w:szCs w:val="24"/>
        </w:rPr>
        <w:t>producției</w:t>
      </w:r>
      <w:r w:rsidRPr="00A057AC">
        <w:rPr>
          <w:rFonts w:ascii="Tahoma" w:hAnsi="Tahoma" w:cs="Tahoma"/>
          <w:color w:val="000000" w:themeColor="text1"/>
          <w:sz w:val="24"/>
          <w:szCs w:val="24"/>
        </w:rPr>
        <w:t xml:space="preserve"> industriale în trimestrul I 2021, exportul de bunuri a crescut cu 2,7%. În </w:t>
      </w:r>
      <w:r w:rsidR="0056581A" w:rsidRPr="00A057AC">
        <w:rPr>
          <w:rFonts w:ascii="Tahoma" w:hAnsi="Tahoma" w:cs="Tahoma"/>
          <w:color w:val="000000" w:themeColor="text1"/>
          <w:sz w:val="24"/>
          <w:szCs w:val="24"/>
        </w:rPr>
        <w:t>condițiile</w:t>
      </w:r>
      <w:r w:rsidRPr="00A057AC">
        <w:rPr>
          <w:rFonts w:ascii="Tahoma" w:hAnsi="Tahoma" w:cs="Tahoma"/>
          <w:color w:val="000000" w:themeColor="text1"/>
          <w:sz w:val="24"/>
          <w:szCs w:val="24"/>
        </w:rPr>
        <w:t xml:space="preserve"> în care unele </w:t>
      </w:r>
      <w:r w:rsidR="0056581A" w:rsidRPr="00A057AC">
        <w:rPr>
          <w:rFonts w:ascii="Tahoma" w:hAnsi="Tahoma" w:cs="Tahoma"/>
          <w:color w:val="000000" w:themeColor="text1"/>
          <w:sz w:val="24"/>
          <w:szCs w:val="24"/>
        </w:rPr>
        <w:t>măsuri</w:t>
      </w:r>
      <w:r w:rsidRPr="00A057AC">
        <w:rPr>
          <w:rFonts w:ascii="Tahoma" w:hAnsi="Tahoma" w:cs="Tahoma"/>
          <w:color w:val="000000" w:themeColor="text1"/>
          <w:sz w:val="24"/>
          <w:szCs w:val="24"/>
        </w:rPr>
        <w:t xml:space="preserve"> restrictive au continuat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în anul 2021, atât exportul, cât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importul de servicii au rămas tot în zona negativă a dinamicii (-7,4%, respectiv -6,2%), segmentul turismului contribuind </w:t>
      </w:r>
      <w:r w:rsidR="0056581A" w:rsidRPr="00A057AC">
        <w:rPr>
          <w:rFonts w:ascii="Tahoma" w:hAnsi="Tahoma" w:cs="Tahoma"/>
          <w:color w:val="000000" w:themeColor="text1"/>
          <w:sz w:val="24"/>
          <w:szCs w:val="24"/>
        </w:rPr>
        <w:t>substanțial</w:t>
      </w:r>
      <w:r w:rsidRPr="00A057AC">
        <w:rPr>
          <w:rFonts w:ascii="Tahoma" w:hAnsi="Tahoma" w:cs="Tahoma"/>
          <w:color w:val="000000" w:themeColor="text1"/>
          <w:sz w:val="24"/>
          <w:szCs w:val="24"/>
        </w:rPr>
        <w:t xml:space="preserve"> la </w:t>
      </w:r>
      <w:r w:rsidR="0056581A" w:rsidRPr="00A057AC">
        <w:rPr>
          <w:rFonts w:ascii="Tahoma" w:hAnsi="Tahoma" w:cs="Tahoma"/>
          <w:color w:val="000000" w:themeColor="text1"/>
          <w:sz w:val="24"/>
          <w:szCs w:val="24"/>
        </w:rPr>
        <w:t>această</w:t>
      </w:r>
      <w:r w:rsidRPr="00A057AC">
        <w:rPr>
          <w:rFonts w:ascii="Tahoma" w:hAnsi="Tahoma" w:cs="Tahoma"/>
          <w:color w:val="000000" w:themeColor="text1"/>
          <w:sz w:val="24"/>
          <w:szCs w:val="24"/>
        </w:rPr>
        <w:t xml:space="preserve"> scădere (în trimestrul I 2021 comparativ cu trimestrul I 2020 sosirile vizitatorilor străini în România s-au redus cu 52,2%, iar plecările vizitatorilor români în străinătate s-au diminuat cu 54,0%).</w:t>
      </w:r>
    </w:p>
    <w:p w:rsidR="00DF1038" w:rsidRPr="00A057AC" w:rsidRDefault="00DF1038" w:rsidP="0036088B">
      <w:pPr>
        <w:spacing w:after="120" w:line="276" w:lineRule="auto"/>
        <w:rPr>
          <w:rFonts w:ascii="Tahoma" w:hAnsi="Tahoma" w:cs="Tahoma"/>
          <w:color w:val="000000" w:themeColor="text1"/>
          <w:sz w:val="24"/>
          <w:szCs w:val="24"/>
        </w:rPr>
      </w:pPr>
      <w:r w:rsidRPr="00A057AC">
        <w:rPr>
          <w:rFonts w:ascii="Tahoma" w:hAnsi="Tahoma" w:cs="Tahoma"/>
          <w:color w:val="000000" w:themeColor="text1"/>
          <w:sz w:val="24"/>
          <w:szCs w:val="24"/>
        </w:rPr>
        <w:tab/>
      </w:r>
      <w:r w:rsidRPr="00A057AC">
        <w:rPr>
          <w:rFonts w:ascii="Tahoma" w:hAnsi="Tahoma" w:cs="Tahoma"/>
          <w:color w:val="000000" w:themeColor="text1"/>
          <w:sz w:val="24"/>
          <w:szCs w:val="24"/>
        </w:rPr>
        <w:tab/>
        <w:t xml:space="preserve">Pe domenii de activitate sunt de remarcat </w:t>
      </w:r>
      <w:r w:rsidR="0056581A" w:rsidRPr="00A057AC">
        <w:rPr>
          <w:rFonts w:ascii="Tahoma" w:hAnsi="Tahoma" w:cs="Tahoma"/>
          <w:color w:val="000000" w:themeColor="text1"/>
          <w:sz w:val="24"/>
          <w:szCs w:val="24"/>
        </w:rPr>
        <w:t>evoluțiile</w:t>
      </w:r>
      <w:r w:rsidRPr="00A057AC">
        <w:rPr>
          <w:rFonts w:ascii="Tahoma" w:hAnsi="Tahoma" w:cs="Tahoma"/>
          <w:color w:val="000000" w:themeColor="text1"/>
          <w:sz w:val="24"/>
          <w:szCs w:val="24"/>
        </w:rPr>
        <w:t xml:space="preserve"> pozitive din industrie, agricultură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construcții</w:t>
      </w:r>
      <w:r w:rsidRPr="00A057AC">
        <w:rPr>
          <w:rFonts w:ascii="Tahoma" w:hAnsi="Tahoma" w:cs="Tahoma"/>
          <w:color w:val="000000" w:themeColor="text1"/>
          <w:sz w:val="24"/>
          <w:szCs w:val="24"/>
        </w:rPr>
        <w:t xml:space="preserve">. Astfel valoarea adăugată  brută din industrie s-a majorat cu 1,9% în trimestrul I 2021 comparativ cu </w:t>
      </w:r>
      <w:r w:rsidR="0056581A" w:rsidRPr="00A057AC">
        <w:rPr>
          <w:rFonts w:ascii="Tahoma" w:hAnsi="Tahoma" w:cs="Tahoma"/>
          <w:color w:val="000000" w:themeColor="text1"/>
          <w:sz w:val="24"/>
          <w:szCs w:val="24"/>
        </w:rPr>
        <w:t>aceeași</w:t>
      </w:r>
      <w:r w:rsidRPr="00A057AC">
        <w:rPr>
          <w:rFonts w:ascii="Tahoma" w:hAnsi="Tahoma" w:cs="Tahoma"/>
          <w:color w:val="000000" w:themeColor="text1"/>
          <w:sz w:val="24"/>
          <w:szCs w:val="24"/>
        </w:rPr>
        <w:t xml:space="preserve"> perioadă din 2020, ceea ce s-a concretizat într-o </w:t>
      </w:r>
      <w:r w:rsidR="0056581A" w:rsidRPr="00A057AC">
        <w:rPr>
          <w:rFonts w:ascii="Tahoma" w:hAnsi="Tahoma" w:cs="Tahoma"/>
          <w:color w:val="000000" w:themeColor="text1"/>
          <w:sz w:val="24"/>
          <w:szCs w:val="24"/>
        </w:rPr>
        <w:t>contribuție</w:t>
      </w:r>
      <w:r w:rsidRPr="00A057AC">
        <w:rPr>
          <w:rFonts w:ascii="Tahoma" w:hAnsi="Tahoma" w:cs="Tahoma"/>
          <w:color w:val="000000" w:themeColor="text1"/>
          <w:sz w:val="24"/>
          <w:szCs w:val="24"/>
        </w:rPr>
        <w:t xml:space="preserve"> la </w:t>
      </w:r>
      <w:r w:rsidR="0056581A"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reală a PIB de 0,3 puncte procentuale. În </w:t>
      </w:r>
      <w:r w:rsidR="0056581A" w:rsidRPr="00A057AC">
        <w:rPr>
          <w:rFonts w:ascii="Tahoma" w:hAnsi="Tahoma" w:cs="Tahoma"/>
          <w:color w:val="000000" w:themeColor="text1"/>
          <w:sz w:val="24"/>
          <w:szCs w:val="24"/>
        </w:rPr>
        <w:t>construcții</w:t>
      </w:r>
      <w:r w:rsidRPr="00A057AC">
        <w:rPr>
          <w:rFonts w:ascii="Tahoma" w:hAnsi="Tahoma" w:cs="Tahoma"/>
          <w:color w:val="000000" w:themeColor="text1"/>
          <w:sz w:val="24"/>
          <w:szCs w:val="24"/>
        </w:rPr>
        <w:t>, valoarea adăugată brută s-a mărit cu 1,2%, iar în agricultură cu 2,1%.</w:t>
      </w:r>
    </w:p>
    <w:p w:rsidR="00DF1038" w:rsidRPr="00A057AC" w:rsidRDefault="00DF1038" w:rsidP="0036088B">
      <w:pPr>
        <w:spacing w:after="120" w:line="276" w:lineRule="auto"/>
        <w:rPr>
          <w:rFonts w:ascii="Tahoma" w:hAnsi="Tahoma" w:cs="Tahoma"/>
          <w:color w:val="000000" w:themeColor="text1"/>
          <w:sz w:val="24"/>
          <w:szCs w:val="24"/>
        </w:rPr>
      </w:pPr>
      <w:r w:rsidRPr="00A057AC">
        <w:rPr>
          <w:rFonts w:ascii="Tahoma" w:hAnsi="Tahoma" w:cs="Tahoma"/>
          <w:color w:val="000000" w:themeColor="text1"/>
          <w:sz w:val="24"/>
          <w:szCs w:val="24"/>
        </w:rPr>
        <w:tab/>
      </w:r>
      <w:r w:rsidRPr="00A057AC">
        <w:rPr>
          <w:rFonts w:ascii="Tahoma" w:hAnsi="Tahoma" w:cs="Tahoma"/>
          <w:color w:val="000000" w:themeColor="text1"/>
          <w:sz w:val="24"/>
          <w:szCs w:val="24"/>
        </w:rPr>
        <w:tab/>
        <w:t xml:space="preserve">În ceea ce </w:t>
      </w:r>
      <w:r w:rsidR="0056581A" w:rsidRPr="00A057AC">
        <w:rPr>
          <w:rFonts w:ascii="Tahoma" w:hAnsi="Tahoma" w:cs="Tahoma"/>
          <w:color w:val="000000" w:themeColor="text1"/>
          <w:sz w:val="24"/>
          <w:szCs w:val="24"/>
        </w:rPr>
        <w:t>privește</w:t>
      </w:r>
      <w:r w:rsidRPr="00A057AC">
        <w:rPr>
          <w:rFonts w:ascii="Tahoma" w:hAnsi="Tahoma" w:cs="Tahoma"/>
          <w:color w:val="000000" w:themeColor="text1"/>
          <w:sz w:val="24"/>
          <w:szCs w:val="24"/>
        </w:rPr>
        <w:t xml:space="preserve"> sectorul </w:t>
      </w:r>
      <w:r w:rsidR="0056581A" w:rsidRPr="00A057AC">
        <w:rPr>
          <w:rFonts w:ascii="Tahoma" w:hAnsi="Tahoma" w:cs="Tahoma"/>
          <w:color w:val="000000" w:themeColor="text1"/>
          <w:sz w:val="24"/>
          <w:szCs w:val="24"/>
        </w:rPr>
        <w:t>terțiar</w:t>
      </w:r>
      <w:r w:rsidRPr="00A057AC">
        <w:rPr>
          <w:rFonts w:ascii="Tahoma" w:hAnsi="Tahoma" w:cs="Tahoma"/>
          <w:color w:val="000000" w:themeColor="text1"/>
          <w:sz w:val="24"/>
          <w:szCs w:val="24"/>
        </w:rPr>
        <w:t xml:space="preserve"> pe ansamblul său, valoarea adăugată brută s-a diminuat cu 0,6%, conducând la o reducere a PIB cu 0,3 puncte procentuale. În cadrul serviciilor se remarcă </w:t>
      </w:r>
      <w:r w:rsidR="0056581A" w:rsidRPr="00A057AC">
        <w:rPr>
          <w:rFonts w:ascii="Tahoma" w:hAnsi="Tahoma" w:cs="Tahoma"/>
          <w:color w:val="000000" w:themeColor="text1"/>
          <w:sz w:val="24"/>
          <w:szCs w:val="24"/>
        </w:rPr>
        <w:t>evoluția</w:t>
      </w:r>
      <w:r w:rsidRPr="00A057AC">
        <w:rPr>
          <w:rFonts w:ascii="Tahoma" w:hAnsi="Tahoma" w:cs="Tahoma"/>
          <w:color w:val="000000" w:themeColor="text1"/>
          <w:sz w:val="24"/>
          <w:szCs w:val="24"/>
        </w:rPr>
        <w:t xml:space="preserve"> spectaculoasă a domeniul IT, cu o majorare a VAB cu 10,7%, ceea ce a reprezentat </w:t>
      </w:r>
      <w:r w:rsidR="0056581A" w:rsidRPr="00A057AC">
        <w:rPr>
          <w:rFonts w:ascii="Tahoma" w:hAnsi="Tahoma" w:cs="Tahoma"/>
          <w:color w:val="000000" w:themeColor="text1"/>
          <w:sz w:val="24"/>
          <w:szCs w:val="24"/>
        </w:rPr>
        <w:t>susținerea</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creșterii</w:t>
      </w:r>
      <w:r w:rsidRPr="00A057AC">
        <w:rPr>
          <w:rFonts w:ascii="Tahoma" w:hAnsi="Tahoma" w:cs="Tahoma"/>
          <w:color w:val="000000" w:themeColor="text1"/>
          <w:sz w:val="24"/>
          <w:szCs w:val="24"/>
        </w:rPr>
        <w:t xml:space="preserve"> reale a PIB cu 0,8 puncte procentuale. Tot în cadrul serviciilor, s-au </w:t>
      </w:r>
      <w:r w:rsidR="0056581A" w:rsidRPr="00A057AC">
        <w:rPr>
          <w:rFonts w:ascii="Tahoma" w:hAnsi="Tahoma" w:cs="Tahoma"/>
          <w:color w:val="000000" w:themeColor="text1"/>
          <w:sz w:val="24"/>
          <w:szCs w:val="24"/>
        </w:rPr>
        <w:t>evidențiat</w:t>
      </w:r>
      <w:r w:rsidRPr="00A057AC">
        <w:rPr>
          <w:rFonts w:ascii="Tahoma" w:hAnsi="Tahoma" w:cs="Tahoma"/>
          <w:color w:val="000000" w:themeColor="text1"/>
          <w:sz w:val="24"/>
          <w:szCs w:val="24"/>
        </w:rPr>
        <w:t xml:space="preserve"> sporuri </w:t>
      </w:r>
      <w:r w:rsidR="0056581A" w:rsidRPr="00A057AC">
        <w:rPr>
          <w:rFonts w:ascii="Tahoma" w:hAnsi="Tahoma" w:cs="Tahoma"/>
          <w:color w:val="000000" w:themeColor="text1"/>
          <w:sz w:val="24"/>
          <w:szCs w:val="24"/>
        </w:rPr>
        <w:t>ușoare</w:t>
      </w:r>
      <w:r w:rsidRPr="00A057AC">
        <w:rPr>
          <w:rFonts w:ascii="Tahoma" w:hAnsi="Tahoma" w:cs="Tahoma"/>
          <w:color w:val="000000" w:themeColor="text1"/>
          <w:sz w:val="24"/>
          <w:szCs w:val="24"/>
        </w:rPr>
        <w:t xml:space="preserve"> ale VAB în ramura </w:t>
      </w:r>
      <w:r w:rsidR="0056581A" w:rsidRPr="00A057AC">
        <w:rPr>
          <w:rFonts w:ascii="Tahoma" w:hAnsi="Tahoma" w:cs="Tahoma"/>
          <w:color w:val="000000" w:themeColor="text1"/>
          <w:sz w:val="24"/>
          <w:szCs w:val="24"/>
        </w:rPr>
        <w:t>comerț</w:t>
      </w:r>
      <w:r w:rsidRPr="00A057AC">
        <w:rPr>
          <w:rFonts w:ascii="Tahoma" w:hAnsi="Tahoma" w:cs="Tahoma"/>
          <w:color w:val="000000" w:themeColor="text1"/>
          <w:sz w:val="24"/>
          <w:szCs w:val="24"/>
        </w:rPr>
        <w:t xml:space="preserve">, transporturi, hoteluri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restaurante (0,2%)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w:t>
      </w:r>
      <w:r w:rsidR="0056581A" w:rsidRPr="00A057AC">
        <w:rPr>
          <w:rFonts w:ascii="Tahoma" w:hAnsi="Tahoma" w:cs="Tahoma"/>
          <w:color w:val="000000" w:themeColor="text1"/>
          <w:sz w:val="24"/>
          <w:szCs w:val="24"/>
        </w:rPr>
        <w:t>administrație</w:t>
      </w:r>
      <w:r w:rsidRPr="00A057AC">
        <w:rPr>
          <w:rFonts w:ascii="Tahoma" w:hAnsi="Tahoma" w:cs="Tahoma"/>
          <w:color w:val="000000" w:themeColor="text1"/>
          <w:sz w:val="24"/>
          <w:szCs w:val="24"/>
        </w:rPr>
        <w:t xml:space="preserve"> publică (0,3%). Pe de altă parte, o </w:t>
      </w:r>
      <w:r w:rsidR="0056581A" w:rsidRPr="00A057AC">
        <w:rPr>
          <w:rFonts w:ascii="Tahoma" w:hAnsi="Tahoma" w:cs="Tahoma"/>
          <w:color w:val="000000" w:themeColor="text1"/>
          <w:sz w:val="24"/>
          <w:szCs w:val="24"/>
        </w:rPr>
        <w:t>contracție</w:t>
      </w:r>
      <w:r w:rsidRPr="00A057AC">
        <w:rPr>
          <w:rFonts w:ascii="Tahoma" w:hAnsi="Tahoma" w:cs="Tahoma"/>
          <w:color w:val="000000" w:themeColor="text1"/>
          <w:sz w:val="24"/>
          <w:szCs w:val="24"/>
        </w:rPr>
        <w:t xml:space="preserve"> accentuată s-a înregistrat în ramura „</w:t>
      </w:r>
      <w:r w:rsidR="0056581A" w:rsidRPr="00A057AC">
        <w:rPr>
          <w:rFonts w:ascii="Tahoma" w:hAnsi="Tahoma" w:cs="Tahoma"/>
          <w:color w:val="000000" w:themeColor="text1"/>
          <w:sz w:val="24"/>
          <w:szCs w:val="24"/>
        </w:rPr>
        <w:t>activități</w:t>
      </w:r>
      <w:r w:rsidRPr="00A057AC">
        <w:rPr>
          <w:rFonts w:ascii="Tahoma" w:hAnsi="Tahoma" w:cs="Tahoma"/>
          <w:color w:val="000000" w:themeColor="text1"/>
          <w:sz w:val="24"/>
          <w:szCs w:val="24"/>
        </w:rPr>
        <w:t xml:space="preserve"> de spectacole, culturale </w:t>
      </w:r>
      <w:r w:rsidR="0056581A"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recreative” de 16,5%, pe fondul </w:t>
      </w:r>
      <w:r w:rsidR="0056581A" w:rsidRPr="00A057AC">
        <w:rPr>
          <w:rFonts w:ascii="Tahoma" w:hAnsi="Tahoma" w:cs="Tahoma"/>
          <w:color w:val="000000" w:themeColor="text1"/>
          <w:sz w:val="24"/>
          <w:szCs w:val="24"/>
        </w:rPr>
        <w:t>menținerii</w:t>
      </w:r>
      <w:r w:rsidRPr="00A057AC">
        <w:rPr>
          <w:rFonts w:ascii="Tahoma" w:hAnsi="Tahoma" w:cs="Tahoma"/>
          <w:color w:val="000000" w:themeColor="text1"/>
          <w:sz w:val="24"/>
          <w:szCs w:val="24"/>
        </w:rPr>
        <w:t xml:space="preserve"> stării de alertă la nivel </w:t>
      </w:r>
      <w:r w:rsidR="00CB74F0" w:rsidRPr="00A057AC">
        <w:rPr>
          <w:rFonts w:ascii="Tahoma" w:hAnsi="Tahoma" w:cs="Tahoma"/>
          <w:color w:val="000000" w:themeColor="text1"/>
          <w:sz w:val="24"/>
          <w:szCs w:val="24"/>
        </w:rPr>
        <w:t>național</w:t>
      </w:r>
      <w:r w:rsidRPr="00A057AC">
        <w:rPr>
          <w:rFonts w:ascii="Tahoma" w:hAnsi="Tahoma" w:cs="Tahoma"/>
          <w:color w:val="000000" w:themeColor="text1"/>
          <w:sz w:val="24"/>
          <w:szCs w:val="24"/>
        </w:rPr>
        <w:t xml:space="preserve">, </w:t>
      </w:r>
      <w:r w:rsidRPr="00A057AC">
        <w:rPr>
          <w:rFonts w:ascii="Tahoma" w:hAnsi="Tahoma" w:cs="Tahoma"/>
          <w:color w:val="000000" w:themeColor="text1"/>
          <w:sz w:val="24"/>
          <w:szCs w:val="24"/>
        </w:rPr>
        <w:lastRenderedPageBreak/>
        <w:t xml:space="preserve">instituirea carantinei în unele </w:t>
      </w:r>
      <w:r w:rsidR="00CB74F0" w:rsidRPr="00A057AC">
        <w:rPr>
          <w:rFonts w:ascii="Tahoma" w:hAnsi="Tahoma" w:cs="Tahoma"/>
          <w:color w:val="000000" w:themeColor="text1"/>
          <w:sz w:val="24"/>
          <w:szCs w:val="24"/>
        </w:rPr>
        <w:t>localități</w:t>
      </w:r>
      <w:r w:rsidRPr="00A057AC">
        <w:rPr>
          <w:rFonts w:ascii="Tahoma" w:hAnsi="Tahoma" w:cs="Tahoma"/>
          <w:color w:val="000000" w:themeColor="text1"/>
          <w:sz w:val="24"/>
          <w:szCs w:val="24"/>
        </w:rPr>
        <w:t xml:space="preserve"> </w:t>
      </w:r>
      <w:r w:rsidR="00CB74F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w:t>
      </w:r>
      <w:r w:rsidR="00CB74F0" w:rsidRPr="00A057AC">
        <w:rPr>
          <w:rFonts w:ascii="Tahoma" w:hAnsi="Tahoma" w:cs="Tahoma"/>
          <w:color w:val="000000" w:themeColor="text1"/>
          <w:sz w:val="24"/>
          <w:szCs w:val="24"/>
        </w:rPr>
        <w:t>desfășurarea</w:t>
      </w:r>
      <w:r w:rsidRPr="00A057AC">
        <w:rPr>
          <w:rFonts w:ascii="Tahoma" w:hAnsi="Tahoma" w:cs="Tahoma"/>
          <w:color w:val="000000" w:themeColor="text1"/>
          <w:sz w:val="24"/>
          <w:szCs w:val="24"/>
        </w:rPr>
        <w:t xml:space="preserve"> cu </w:t>
      </w:r>
      <w:r w:rsidR="00CB74F0" w:rsidRPr="00A057AC">
        <w:rPr>
          <w:rFonts w:ascii="Tahoma" w:hAnsi="Tahoma" w:cs="Tahoma"/>
          <w:color w:val="000000" w:themeColor="text1"/>
          <w:sz w:val="24"/>
          <w:szCs w:val="24"/>
        </w:rPr>
        <w:t>restricții</w:t>
      </w:r>
      <w:r w:rsidRPr="00A057AC">
        <w:rPr>
          <w:rFonts w:ascii="Tahoma" w:hAnsi="Tahoma" w:cs="Tahoma"/>
          <w:color w:val="000000" w:themeColor="text1"/>
          <w:sz w:val="24"/>
          <w:szCs w:val="24"/>
        </w:rPr>
        <w:t xml:space="preserve"> a </w:t>
      </w:r>
      <w:r w:rsidR="00CB74F0" w:rsidRPr="00A057AC">
        <w:rPr>
          <w:rFonts w:ascii="Tahoma" w:hAnsi="Tahoma" w:cs="Tahoma"/>
          <w:color w:val="000000" w:themeColor="text1"/>
          <w:sz w:val="24"/>
          <w:szCs w:val="24"/>
        </w:rPr>
        <w:t>activității</w:t>
      </w:r>
      <w:r w:rsidRPr="00A057AC">
        <w:rPr>
          <w:rFonts w:ascii="Tahoma" w:hAnsi="Tahoma" w:cs="Tahoma"/>
          <w:color w:val="000000" w:themeColor="text1"/>
          <w:sz w:val="24"/>
          <w:szCs w:val="24"/>
        </w:rPr>
        <w:t xml:space="preserve"> în acest domeniu. Această scădere a dus la reducerea cu 0,5 puncte procentuale a </w:t>
      </w:r>
      <w:r w:rsidR="00CB74F0" w:rsidRPr="00A057AC">
        <w:rPr>
          <w:rFonts w:ascii="Tahoma" w:hAnsi="Tahoma" w:cs="Tahoma"/>
          <w:color w:val="000000" w:themeColor="text1"/>
          <w:sz w:val="24"/>
          <w:szCs w:val="24"/>
        </w:rPr>
        <w:t>creșterii</w:t>
      </w:r>
      <w:r w:rsidRPr="00A057AC">
        <w:rPr>
          <w:rFonts w:ascii="Tahoma" w:hAnsi="Tahoma" w:cs="Tahoma"/>
          <w:color w:val="000000" w:themeColor="text1"/>
          <w:sz w:val="24"/>
          <w:szCs w:val="24"/>
        </w:rPr>
        <w:t xml:space="preserve"> PIB. O altă categorie afectată de criza sanitară a fost cea a serviciilor profesionale, </w:t>
      </w:r>
      <w:r w:rsidR="00CB74F0" w:rsidRPr="00A057AC">
        <w:rPr>
          <w:rFonts w:ascii="Tahoma" w:hAnsi="Tahoma" w:cs="Tahoma"/>
          <w:color w:val="000000" w:themeColor="text1"/>
          <w:sz w:val="24"/>
          <w:szCs w:val="24"/>
        </w:rPr>
        <w:t>științifice</w:t>
      </w:r>
      <w:r w:rsidRPr="00A057AC">
        <w:rPr>
          <w:rFonts w:ascii="Tahoma" w:hAnsi="Tahoma" w:cs="Tahoma"/>
          <w:color w:val="000000" w:themeColor="text1"/>
          <w:sz w:val="24"/>
          <w:szCs w:val="24"/>
        </w:rPr>
        <w:t xml:space="preserve"> </w:t>
      </w:r>
      <w:r w:rsidR="00CB74F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tehnice, </w:t>
      </w:r>
      <w:r w:rsidR="00CB74F0" w:rsidRPr="00A057AC">
        <w:rPr>
          <w:rFonts w:ascii="Tahoma" w:hAnsi="Tahoma" w:cs="Tahoma"/>
          <w:color w:val="000000" w:themeColor="text1"/>
          <w:sz w:val="24"/>
          <w:szCs w:val="24"/>
        </w:rPr>
        <w:t>activități</w:t>
      </w:r>
      <w:r w:rsidRPr="00A057AC">
        <w:rPr>
          <w:rFonts w:ascii="Tahoma" w:hAnsi="Tahoma" w:cs="Tahoma"/>
          <w:color w:val="000000" w:themeColor="text1"/>
          <w:sz w:val="24"/>
          <w:szCs w:val="24"/>
        </w:rPr>
        <w:t xml:space="preserve"> de servicii suport unde VAB s-a diminuat cu 7,9%, având un impact negativ de 0,6 puncte procentuale asupra dinamicii PIB.</w:t>
      </w:r>
    </w:p>
    <w:p w:rsidR="00DF1038" w:rsidRPr="00A057AC" w:rsidRDefault="00DF1038" w:rsidP="0036088B">
      <w:pPr>
        <w:widowControl w:val="0"/>
        <w:suppressAutoHyphens/>
        <w:spacing w:before="120" w:after="0" w:line="276" w:lineRule="auto"/>
        <w:ind w:firstLine="720"/>
        <w:rPr>
          <w:rFonts w:ascii="Tahoma" w:hAnsi="Tahoma" w:cs="Tahoma"/>
          <w:color w:val="C494CC"/>
          <w:sz w:val="24"/>
          <w:szCs w:val="24"/>
        </w:rPr>
      </w:pPr>
    </w:p>
    <w:p w:rsidR="00DF1038" w:rsidRPr="00A057AC" w:rsidRDefault="00DF1038" w:rsidP="0036088B">
      <w:pPr>
        <w:keepNext/>
        <w:keepLines/>
        <w:widowControl w:val="0"/>
        <w:spacing w:before="120" w:after="120" w:line="276" w:lineRule="auto"/>
        <w:jc w:val="center"/>
        <w:rPr>
          <w:rFonts w:ascii="Tahoma" w:hAnsi="Tahoma" w:cs="Tahoma"/>
          <w:color w:val="000000" w:themeColor="text1"/>
          <w:sz w:val="24"/>
          <w:szCs w:val="24"/>
        </w:rPr>
      </w:pPr>
      <w:r w:rsidRPr="00A057AC">
        <w:rPr>
          <w:rFonts w:ascii="Tahoma" w:hAnsi="Tahoma" w:cs="Tahoma"/>
          <w:b/>
          <w:bCs/>
          <w:color w:val="000000" w:themeColor="text1"/>
          <w:sz w:val="24"/>
          <w:szCs w:val="24"/>
        </w:rPr>
        <w:t>Contribuția la creșterea reală a PIB a elementelor de creare</w:t>
      </w:r>
    </w:p>
    <w:p w:rsidR="00DF1038" w:rsidRPr="00A057AC" w:rsidRDefault="00DF1038" w:rsidP="00967266">
      <w:pPr>
        <w:spacing w:before="120" w:after="0"/>
        <w:ind w:firstLine="0"/>
        <w:jc w:val="center"/>
        <w:rPr>
          <w:rFonts w:ascii="Tahoma" w:hAnsi="Tahoma" w:cs="Tahoma"/>
          <w:color w:val="FF0000"/>
          <w:sz w:val="24"/>
          <w:szCs w:val="24"/>
        </w:rPr>
      </w:pPr>
      <w:r w:rsidRPr="00A057AC">
        <w:rPr>
          <w:rFonts w:ascii="Tahoma" w:hAnsi="Tahoma" w:cs="Tahoma"/>
          <w:color w:val="FF0000"/>
          <w:sz w:val="24"/>
          <w:szCs w:val="24"/>
        </w:rPr>
        <w:object w:dxaOrig="9698" w:dyaOrig="7273">
          <v:shape id="_x0000_i1027" type="#_x0000_t75" style="width:452.9pt;height:209.85pt" o:ole="">
            <v:imagedata r:id="rId10" o:title=""/>
          </v:shape>
          <o:OLEObject Type="Embed" ProgID="Excel.Sheet.12" ShapeID="_x0000_i1027" DrawAspect="Content" ObjectID="_1690384949" r:id="rId11"/>
        </w:object>
      </w:r>
    </w:p>
    <w:p w:rsidR="00DF1038" w:rsidRPr="00A057AC" w:rsidRDefault="00DF1038" w:rsidP="00DF1038">
      <w:pPr>
        <w:spacing w:before="120" w:after="0"/>
        <w:ind w:firstLine="0"/>
        <w:jc w:val="center"/>
        <w:rPr>
          <w:rFonts w:ascii="Tahoma" w:hAnsi="Tahoma" w:cs="Tahoma"/>
          <w:color w:val="FF0000"/>
          <w:sz w:val="24"/>
          <w:szCs w:val="24"/>
        </w:rPr>
      </w:pPr>
    </w:p>
    <w:p w:rsidR="00DF1038" w:rsidRPr="00A057AC" w:rsidRDefault="00DF1038" w:rsidP="0036088B">
      <w:pPr>
        <w:spacing w:before="120" w:after="0" w:line="276" w:lineRule="auto"/>
        <w:rPr>
          <w:rFonts w:ascii="Tahoma" w:hAnsi="Tahoma" w:cs="Tahoma"/>
          <w:color w:val="000000" w:themeColor="text1"/>
          <w:sz w:val="24"/>
          <w:szCs w:val="24"/>
        </w:rPr>
      </w:pPr>
      <w:r w:rsidRPr="00A057AC">
        <w:rPr>
          <w:rFonts w:ascii="Tahoma" w:hAnsi="Tahoma" w:cs="Tahoma"/>
          <w:color w:val="FF0000"/>
          <w:sz w:val="24"/>
          <w:szCs w:val="24"/>
        </w:rPr>
        <w:tab/>
      </w:r>
      <w:r w:rsidRPr="00A057AC">
        <w:rPr>
          <w:rFonts w:ascii="Tahoma" w:hAnsi="Tahoma" w:cs="Tahoma"/>
          <w:color w:val="FF0000"/>
          <w:sz w:val="24"/>
          <w:szCs w:val="24"/>
        </w:rPr>
        <w:tab/>
      </w:r>
      <w:r w:rsidRPr="00A057AC">
        <w:rPr>
          <w:rFonts w:ascii="Tahoma" w:hAnsi="Tahoma" w:cs="Tahoma"/>
          <w:color w:val="000000" w:themeColor="text1"/>
          <w:sz w:val="24"/>
          <w:szCs w:val="24"/>
        </w:rPr>
        <w:t xml:space="preserve">Valoarea de 225,1 miliarde lei a produsului intern brut, realizat în trimestrul I 2021, a fost rezultatul unei </w:t>
      </w:r>
      <w:r w:rsidR="00CB74F0" w:rsidRPr="00A057AC">
        <w:rPr>
          <w:rFonts w:ascii="Tahoma" w:hAnsi="Tahoma" w:cs="Tahoma"/>
          <w:color w:val="000000" w:themeColor="text1"/>
          <w:sz w:val="24"/>
          <w:szCs w:val="24"/>
        </w:rPr>
        <w:t>contracții</w:t>
      </w:r>
      <w:r w:rsidRPr="00A057AC">
        <w:rPr>
          <w:rFonts w:ascii="Tahoma" w:hAnsi="Tahoma" w:cs="Tahoma"/>
          <w:color w:val="000000" w:themeColor="text1"/>
          <w:sz w:val="24"/>
          <w:szCs w:val="24"/>
        </w:rPr>
        <w:t xml:space="preserve"> de 0,2%, în termeni reali </w:t>
      </w:r>
      <w:r w:rsidR="00CB74F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a unui deflator de 3,3%, ceea ce a condus la o </w:t>
      </w:r>
      <w:r w:rsidR="00CB74F0" w:rsidRPr="00A057AC">
        <w:rPr>
          <w:rFonts w:ascii="Tahoma" w:hAnsi="Tahoma" w:cs="Tahoma"/>
          <w:color w:val="000000" w:themeColor="text1"/>
          <w:sz w:val="24"/>
          <w:szCs w:val="24"/>
        </w:rPr>
        <w:t>creștere</w:t>
      </w:r>
      <w:r w:rsidRPr="00A057AC">
        <w:rPr>
          <w:rFonts w:ascii="Tahoma" w:hAnsi="Tahoma" w:cs="Tahoma"/>
          <w:color w:val="000000" w:themeColor="text1"/>
          <w:sz w:val="24"/>
          <w:szCs w:val="24"/>
        </w:rPr>
        <w:t xml:space="preserve"> nominală de 3,2%.</w:t>
      </w:r>
    </w:p>
    <w:p w:rsidR="00DF1038" w:rsidRPr="00A057AC" w:rsidRDefault="00DF1038" w:rsidP="0036088B">
      <w:pPr>
        <w:widowControl w:val="0"/>
        <w:suppressAutoHyphens/>
        <w:spacing w:before="120" w:after="120" w:line="276" w:lineRule="auto"/>
        <w:ind w:firstLine="720"/>
        <w:rPr>
          <w:rFonts w:ascii="Tahoma" w:hAnsi="Tahoma" w:cs="Tahoma"/>
          <w:color w:val="000000" w:themeColor="text1"/>
          <w:sz w:val="24"/>
          <w:szCs w:val="24"/>
        </w:rPr>
      </w:pPr>
      <w:r w:rsidRPr="00A057AC">
        <w:rPr>
          <w:rFonts w:ascii="Tahoma" w:eastAsia="Times New Roman" w:hAnsi="Tahoma" w:cs="Tahoma"/>
          <w:b/>
          <w:color w:val="000000" w:themeColor="text1"/>
          <w:sz w:val="24"/>
          <w:szCs w:val="24"/>
        </w:rPr>
        <w:t>Volumul producției industriale</w:t>
      </w:r>
      <w:r w:rsidRPr="00A057AC">
        <w:rPr>
          <w:rFonts w:ascii="Tahoma" w:eastAsia="Times New Roman" w:hAnsi="Tahoma" w:cs="Tahoma"/>
          <w:color w:val="000000" w:themeColor="text1"/>
          <w:sz w:val="24"/>
          <w:szCs w:val="24"/>
        </w:rPr>
        <w:t xml:space="preserve"> s-a majorat cu 16,</w:t>
      </w:r>
      <w:r w:rsidR="007614E0" w:rsidRPr="00A057AC">
        <w:rPr>
          <w:rFonts w:ascii="Tahoma" w:eastAsia="Times New Roman" w:hAnsi="Tahoma" w:cs="Tahoma"/>
          <w:color w:val="000000" w:themeColor="text1"/>
          <w:sz w:val="24"/>
          <w:szCs w:val="24"/>
        </w:rPr>
        <w:t>0</w:t>
      </w:r>
      <w:r w:rsidRPr="00A057AC">
        <w:rPr>
          <w:rFonts w:ascii="Tahoma" w:eastAsia="Times New Roman" w:hAnsi="Tahoma" w:cs="Tahoma"/>
          <w:color w:val="000000" w:themeColor="text1"/>
          <w:sz w:val="24"/>
          <w:szCs w:val="24"/>
        </w:rPr>
        <w:t xml:space="preserve">% în primele </w:t>
      </w:r>
      <w:r w:rsidR="007614E0" w:rsidRPr="00A057AC">
        <w:rPr>
          <w:rFonts w:ascii="Tahoma" w:eastAsia="Times New Roman" w:hAnsi="Tahoma" w:cs="Tahoma"/>
          <w:color w:val="000000" w:themeColor="text1"/>
          <w:sz w:val="24"/>
          <w:szCs w:val="24"/>
        </w:rPr>
        <w:t>6</w:t>
      </w:r>
      <w:r w:rsidRPr="00A057AC">
        <w:rPr>
          <w:rFonts w:ascii="Tahoma" w:eastAsia="Times New Roman" w:hAnsi="Tahoma" w:cs="Tahoma"/>
          <w:color w:val="000000" w:themeColor="text1"/>
          <w:sz w:val="24"/>
          <w:szCs w:val="24"/>
        </w:rPr>
        <w:t xml:space="preserve"> luni ale anului curent față de aceeași perioadă din 2020, pe seama revigorării unor ramuri cu o pondere ridicată la export, care au fost afectate anul trecut în contextul pandemiei, respectiv </w:t>
      </w:r>
      <w:r w:rsidRPr="00A057AC">
        <w:rPr>
          <w:rFonts w:ascii="Tahoma" w:hAnsi="Tahoma" w:cs="Tahoma"/>
          <w:color w:val="000000" w:themeColor="text1"/>
          <w:sz w:val="24"/>
          <w:szCs w:val="24"/>
        </w:rPr>
        <w:t xml:space="preserve">fabricarea autovehiculelor de transport </w:t>
      </w:r>
      <w:r w:rsidR="00CB74F0" w:rsidRPr="00A057AC">
        <w:rPr>
          <w:rFonts w:ascii="Tahoma" w:hAnsi="Tahoma" w:cs="Tahoma"/>
          <w:color w:val="000000" w:themeColor="text1"/>
          <w:sz w:val="24"/>
          <w:szCs w:val="24"/>
        </w:rPr>
        <w:t>rutier</w:t>
      </w:r>
      <w:r w:rsidRPr="00A057AC">
        <w:rPr>
          <w:rFonts w:ascii="Tahoma" w:hAnsi="Tahoma" w:cs="Tahoma"/>
          <w:color w:val="000000" w:themeColor="text1"/>
          <w:sz w:val="24"/>
          <w:szCs w:val="24"/>
        </w:rPr>
        <w:t xml:space="preserve"> </w:t>
      </w:r>
      <w:r w:rsidR="007614E0" w:rsidRPr="00A057AC">
        <w:rPr>
          <w:rFonts w:ascii="Tahoma" w:hAnsi="Tahoma" w:cs="Tahoma"/>
          <w:color w:val="000000" w:themeColor="text1"/>
          <w:sz w:val="24"/>
          <w:szCs w:val="24"/>
        </w:rPr>
        <w:t xml:space="preserve">(+38,0%), fabricarea echipamentelor electrice (+32,7%), fabricarea de </w:t>
      </w:r>
      <w:r w:rsidR="00CB74F0" w:rsidRPr="00A057AC">
        <w:rPr>
          <w:rFonts w:ascii="Tahoma" w:hAnsi="Tahoma" w:cs="Tahoma"/>
          <w:color w:val="000000" w:themeColor="text1"/>
          <w:sz w:val="24"/>
          <w:szCs w:val="24"/>
        </w:rPr>
        <w:t>mașini</w:t>
      </w:r>
      <w:r w:rsidR="007614E0" w:rsidRPr="00A057AC">
        <w:rPr>
          <w:rFonts w:ascii="Tahoma" w:hAnsi="Tahoma" w:cs="Tahoma"/>
          <w:color w:val="000000" w:themeColor="text1"/>
          <w:sz w:val="24"/>
          <w:szCs w:val="24"/>
        </w:rPr>
        <w:t xml:space="preserve">, utilaje </w:t>
      </w:r>
      <w:r w:rsidR="00CB74F0" w:rsidRPr="00A057AC">
        <w:rPr>
          <w:rFonts w:ascii="Tahoma" w:hAnsi="Tahoma" w:cs="Tahoma"/>
          <w:color w:val="000000" w:themeColor="text1"/>
          <w:sz w:val="24"/>
          <w:szCs w:val="24"/>
        </w:rPr>
        <w:t>și</w:t>
      </w:r>
      <w:r w:rsidR="007614E0" w:rsidRPr="00A057AC">
        <w:rPr>
          <w:rFonts w:ascii="Tahoma" w:hAnsi="Tahoma" w:cs="Tahoma"/>
          <w:color w:val="000000" w:themeColor="text1"/>
          <w:sz w:val="24"/>
          <w:szCs w:val="24"/>
        </w:rPr>
        <w:t xml:space="preserve"> echipamente (+28,1%) </w:t>
      </w:r>
      <w:r w:rsidR="00CB74F0" w:rsidRPr="00A057AC">
        <w:rPr>
          <w:rFonts w:ascii="Tahoma" w:hAnsi="Tahoma" w:cs="Tahoma"/>
          <w:color w:val="000000" w:themeColor="text1"/>
          <w:sz w:val="24"/>
          <w:szCs w:val="24"/>
        </w:rPr>
        <w:t>și</w:t>
      </w:r>
      <w:r w:rsidR="007614E0" w:rsidRPr="00A057AC">
        <w:rPr>
          <w:rFonts w:ascii="Tahoma" w:hAnsi="Tahoma" w:cs="Tahoma"/>
          <w:color w:val="000000" w:themeColor="text1"/>
          <w:sz w:val="24"/>
          <w:szCs w:val="24"/>
        </w:rPr>
        <w:t xml:space="preserve"> fabricarea mobilei (+26,9%). </w:t>
      </w:r>
      <w:r w:rsidRPr="00A057AC">
        <w:rPr>
          <w:rFonts w:ascii="Tahoma" w:hAnsi="Tahoma" w:cs="Tahoma"/>
          <w:color w:val="000000" w:themeColor="text1"/>
          <w:sz w:val="24"/>
          <w:szCs w:val="24"/>
        </w:rPr>
        <w:t xml:space="preserve"> În structură, industria prelucrătoare a </w:t>
      </w:r>
      <w:r w:rsidR="00CB74F0" w:rsidRPr="00A057AC">
        <w:rPr>
          <w:rFonts w:ascii="Tahoma" w:hAnsi="Tahoma" w:cs="Tahoma"/>
          <w:color w:val="000000" w:themeColor="text1"/>
          <w:sz w:val="24"/>
          <w:szCs w:val="24"/>
        </w:rPr>
        <w:t>depășit</w:t>
      </w:r>
      <w:r w:rsidRPr="00A057AC">
        <w:rPr>
          <w:rFonts w:ascii="Tahoma" w:hAnsi="Tahoma" w:cs="Tahoma"/>
          <w:color w:val="000000" w:themeColor="text1"/>
          <w:sz w:val="24"/>
          <w:szCs w:val="24"/>
        </w:rPr>
        <w:t xml:space="preserve"> cu </w:t>
      </w:r>
      <w:r w:rsidR="007614E0" w:rsidRPr="00A057AC">
        <w:rPr>
          <w:rFonts w:ascii="Tahoma" w:hAnsi="Tahoma" w:cs="Tahoma"/>
          <w:color w:val="000000" w:themeColor="text1"/>
          <w:sz w:val="24"/>
          <w:szCs w:val="24"/>
        </w:rPr>
        <w:t>1,8</w:t>
      </w:r>
      <w:r w:rsidRPr="00A057AC">
        <w:rPr>
          <w:rFonts w:ascii="Tahoma" w:hAnsi="Tahoma" w:cs="Tahoma"/>
          <w:color w:val="000000" w:themeColor="text1"/>
          <w:sz w:val="24"/>
          <w:szCs w:val="24"/>
        </w:rPr>
        <w:t xml:space="preserve"> puncte procentuale </w:t>
      </w:r>
      <w:r w:rsidR="00CB74F0" w:rsidRPr="00A057AC">
        <w:rPr>
          <w:rFonts w:ascii="Tahoma" w:hAnsi="Tahoma" w:cs="Tahoma"/>
          <w:color w:val="000000" w:themeColor="text1"/>
          <w:sz w:val="24"/>
          <w:szCs w:val="24"/>
        </w:rPr>
        <w:t>creșterea</w:t>
      </w:r>
      <w:r w:rsidRPr="00A057AC">
        <w:rPr>
          <w:rFonts w:ascii="Tahoma" w:hAnsi="Tahoma" w:cs="Tahoma"/>
          <w:color w:val="000000" w:themeColor="text1"/>
          <w:sz w:val="24"/>
          <w:szCs w:val="24"/>
        </w:rPr>
        <w:t xml:space="preserve"> pe total industrie, majorându-se cu </w:t>
      </w:r>
      <w:r w:rsidR="007614E0" w:rsidRPr="00A057AC">
        <w:rPr>
          <w:rFonts w:ascii="Tahoma" w:hAnsi="Tahoma" w:cs="Tahoma"/>
          <w:color w:val="000000" w:themeColor="text1"/>
          <w:sz w:val="24"/>
          <w:szCs w:val="24"/>
        </w:rPr>
        <w:t>17,8</w:t>
      </w:r>
      <w:r w:rsidRPr="00A057AC">
        <w:rPr>
          <w:rFonts w:ascii="Tahoma" w:hAnsi="Tahoma" w:cs="Tahoma"/>
          <w:color w:val="000000" w:themeColor="text1"/>
          <w:sz w:val="24"/>
          <w:szCs w:val="24"/>
        </w:rPr>
        <w:t xml:space="preserve">%, urmată de </w:t>
      </w:r>
      <w:r w:rsidR="00CB74F0" w:rsidRPr="00A057AC">
        <w:rPr>
          <w:rFonts w:ascii="Tahoma" w:hAnsi="Tahoma" w:cs="Tahoma"/>
          <w:color w:val="000000" w:themeColor="text1"/>
          <w:sz w:val="24"/>
          <w:szCs w:val="24"/>
        </w:rPr>
        <w:t>producția</w:t>
      </w:r>
      <w:r w:rsidRPr="00A057AC">
        <w:rPr>
          <w:rFonts w:ascii="Tahoma" w:hAnsi="Tahoma" w:cs="Tahoma"/>
          <w:color w:val="000000" w:themeColor="text1"/>
          <w:sz w:val="24"/>
          <w:szCs w:val="24"/>
        </w:rPr>
        <w:t xml:space="preserve"> de energie electrică </w:t>
      </w:r>
      <w:r w:rsidR="00CB74F0" w:rsidRPr="00A057AC">
        <w:rPr>
          <w:rFonts w:ascii="Tahoma" w:hAnsi="Tahoma" w:cs="Tahoma"/>
          <w:color w:val="000000" w:themeColor="text1"/>
          <w:sz w:val="24"/>
          <w:szCs w:val="24"/>
        </w:rPr>
        <w:t>și</w:t>
      </w:r>
      <w:r w:rsidRPr="00A057AC">
        <w:rPr>
          <w:rFonts w:ascii="Tahoma" w:hAnsi="Tahoma" w:cs="Tahoma"/>
          <w:color w:val="000000" w:themeColor="text1"/>
          <w:sz w:val="24"/>
          <w:szCs w:val="24"/>
        </w:rPr>
        <w:t xml:space="preserve"> termică (12,</w:t>
      </w:r>
      <w:r w:rsidR="007614E0" w:rsidRPr="00A057AC">
        <w:rPr>
          <w:rFonts w:ascii="Tahoma" w:hAnsi="Tahoma" w:cs="Tahoma"/>
          <w:color w:val="000000" w:themeColor="text1"/>
          <w:sz w:val="24"/>
          <w:szCs w:val="24"/>
        </w:rPr>
        <w:t>9</w:t>
      </w:r>
      <w:r w:rsidRPr="00A057AC">
        <w:rPr>
          <w:rFonts w:ascii="Tahoma" w:hAnsi="Tahoma" w:cs="Tahoma"/>
          <w:color w:val="000000" w:themeColor="text1"/>
          <w:sz w:val="24"/>
          <w:szCs w:val="24"/>
        </w:rPr>
        <w:t xml:space="preserve">%), în timp ce în industria extractivă s-a consemnat o scădere de </w:t>
      </w:r>
      <w:r w:rsidR="007614E0" w:rsidRPr="00A057AC">
        <w:rPr>
          <w:rFonts w:ascii="Tahoma" w:hAnsi="Tahoma" w:cs="Tahoma"/>
          <w:color w:val="000000" w:themeColor="text1"/>
          <w:sz w:val="24"/>
          <w:szCs w:val="24"/>
        </w:rPr>
        <w:t>2,1</w:t>
      </w:r>
      <w:r w:rsidRPr="00A057AC">
        <w:rPr>
          <w:rFonts w:ascii="Tahoma" w:hAnsi="Tahoma" w:cs="Tahoma"/>
          <w:color w:val="000000" w:themeColor="text1"/>
          <w:sz w:val="24"/>
          <w:szCs w:val="24"/>
        </w:rPr>
        <w:t xml:space="preserve">%.  </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În cazul ramurilor industriei ușoare, se constată o continuare a declinului în cazul fabricării articolelor de îmbrăcăminte (-</w:t>
      </w:r>
      <w:r w:rsidR="007614E0" w:rsidRPr="00A057AC">
        <w:rPr>
          <w:rFonts w:ascii="Tahoma" w:eastAsia="Times New Roman" w:hAnsi="Tahoma" w:cs="Tahoma"/>
          <w:color w:val="000000" w:themeColor="text1"/>
          <w:sz w:val="24"/>
          <w:szCs w:val="24"/>
        </w:rPr>
        <w:t>10,0</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o redresare într-un ritm lent în ceea ce </w:t>
      </w:r>
      <w:r w:rsidR="00CB74F0" w:rsidRPr="00A057AC">
        <w:rPr>
          <w:rFonts w:ascii="Tahoma" w:eastAsia="Times New Roman" w:hAnsi="Tahoma" w:cs="Tahoma"/>
          <w:color w:val="000000" w:themeColor="text1"/>
          <w:sz w:val="24"/>
          <w:szCs w:val="24"/>
        </w:rPr>
        <w:t>privește</w:t>
      </w:r>
      <w:r w:rsidRPr="00A057AC">
        <w:rPr>
          <w:rFonts w:ascii="Tahoma" w:eastAsia="Times New Roman" w:hAnsi="Tahoma" w:cs="Tahoma"/>
          <w:color w:val="000000" w:themeColor="text1"/>
          <w:sz w:val="24"/>
          <w:szCs w:val="24"/>
        </w:rPr>
        <w:t xml:space="preserve"> produsele </w:t>
      </w:r>
      <w:r w:rsidR="00C26D04" w:rsidRPr="00A057AC">
        <w:rPr>
          <w:rFonts w:ascii="Tahoma" w:eastAsia="Times New Roman" w:hAnsi="Tahoma" w:cs="Tahoma"/>
          <w:color w:val="000000" w:themeColor="text1"/>
          <w:sz w:val="24"/>
          <w:szCs w:val="24"/>
        </w:rPr>
        <w:t>de</w:t>
      </w:r>
      <w:r w:rsidRPr="00A057AC">
        <w:rPr>
          <w:rFonts w:ascii="Tahoma" w:eastAsia="Times New Roman" w:hAnsi="Tahoma" w:cs="Tahoma"/>
          <w:color w:val="000000" w:themeColor="text1"/>
          <w:sz w:val="24"/>
          <w:szCs w:val="24"/>
        </w:rPr>
        <w:t xml:space="preserve"> pielărie </w:t>
      </w:r>
      <w:r w:rsidR="00CB74F0"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încălțăminte</w:t>
      </w:r>
      <w:r w:rsidRPr="00A057AC">
        <w:rPr>
          <w:rFonts w:ascii="Tahoma" w:eastAsia="Times New Roman" w:hAnsi="Tahoma" w:cs="Tahoma"/>
          <w:color w:val="000000" w:themeColor="text1"/>
          <w:sz w:val="24"/>
          <w:szCs w:val="24"/>
        </w:rPr>
        <w:t xml:space="preserve"> (</w:t>
      </w:r>
      <w:r w:rsidR="00C26D04" w:rsidRPr="00A057AC">
        <w:rPr>
          <w:rFonts w:ascii="Tahoma" w:eastAsia="Times New Roman" w:hAnsi="Tahoma" w:cs="Tahoma"/>
          <w:color w:val="000000" w:themeColor="text1"/>
          <w:sz w:val="24"/>
          <w:szCs w:val="24"/>
        </w:rPr>
        <w:t>1,1</w:t>
      </w:r>
      <w:r w:rsidRPr="00A057AC">
        <w:rPr>
          <w:rFonts w:ascii="Tahoma" w:eastAsia="Times New Roman" w:hAnsi="Tahoma" w:cs="Tahoma"/>
          <w:color w:val="000000" w:themeColor="text1"/>
          <w:sz w:val="24"/>
          <w:szCs w:val="24"/>
        </w:rPr>
        <w:t xml:space="preserve">%). </w:t>
      </w:r>
    </w:p>
    <w:p w:rsidR="00DF1038" w:rsidRPr="00A057AC" w:rsidRDefault="00DF1038" w:rsidP="00C26D04">
      <w:pPr>
        <w:widowControl w:val="0"/>
        <w:suppressAutoHyphens/>
        <w:spacing w:before="120" w:after="120" w:line="276" w:lineRule="auto"/>
        <w:ind w:firstLine="720"/>
        <w:rPr>
          <w:rFonts w:ascii="Tahoma" w:eastAsia="Times New Roman" w:hAnsi="Tahoma" w:cs="Tahoma"/>
          <w:color w:val="000000" w:themeColor="text1"/>
          <w:sz w:val="24"/>
          <w:szCs w:val="24"/>
          <w:highlight w:val="yellow"/>
        </w:rPr>
      </w:pPr>
      <w:r w:rsidRPr="00A057AC">
        <w:rPr>
          <w:rFonts w:ascii="Tahoma" w:eastAsia="Times New Roman" w:hAnsi="Tahoma" w:cs="Tahoma"/>
          <w:color w:val="000000" w:themeColor="text1"/>
          <w:sz w:val="24"/>
          <w:szCs w:val="24"/>
        </w:rPr>
        <w:t xml:space="preserve">Orientarea </w:t>
      </w:r>
      <w:r w:rsidR="00CB74F0" w:rsidRPr="00A057AC">
        <w:rPr>
          <w:rFonts w:ascii="Tahoma" w:eastAsia="Times New Roman" w:hAnsi="Tahoma" w:cs="Tahoma"/>
          <w:color w:val="000000" w:themeColor="text1"/>
          <w:sz w:val="24"/>
          <w:szCs w:val="24"/>
        </w:rPr>
        <w:t>populației</w:t>
      </w:r>
      <w:r w:rsidRPr="00A057AC">
        <w:rPr>
          <w:rFonts w:ascii="Tahoma" w:eastAsia="Times New Roman" w:hAnsi="Tahoma" w:cs="Tahoma"/>
          <w:color w:val="000000" w:themeColor="text1"/>
          <w:sz w:val="24"/>
          <w:szCs w:val="24"/>
        </w:rPr>
        <w:t xml:space="preserve"> către bunurile de </w:t>
      </w:r>
      <w:r w:rsidR="00CB74F0" w:rsidRPr="00A057AC">
        <w:rPr>
          <w:rFonts w:ascii="Tahoma" w:eastAsia="Times New Roman" w:hAnsi="Tahoma" w:cs="Tahoma"/>
          <w:color w:val="000000" w:themeColor="text1"/>
          <w:sz w:val="24"/>
          <w:szCs w:val="24"/>
        </w:rPr>
        <w:t>folosință</w:t>
      </w:r>
      <w:r w:rsidRPr="00A057AC">
        <w:rPr>
          <w:rFonts w:ascii="Tahoma" w:eastAsia="Times New Roman" w:hAnsi="Tahoma" w:cs="Tahoma"/>
          <w:color w:val="000000" w:themeColor="text1"/>
          <w:sz w:val="24"/>
          <w:szCs w:val="24"/>
        </w:rPr>
        <w:t xml:space="preserve"> îndelungată a condus la o majorare de </w:t>
      </w:r>
      <w:r w:rsidR="00C26D04" w:rsidRPr="00A057AC">
        <w:rPr>
          <w:rFonts w:ascii="Tahoma" w:eastAsia="Times New Roman" w:hAnsi="Tahoma" w:cs="Tahoma"/>
          <w:color w:val="000000" w:themeColor="text1"/>
          <w:sz w:val="24"/>
          <w:szCs w:val="24"/>
        </w:rPr>
        <w:t>42</w:t>
      </w:r>
      <w:r w:rsidRPr="00A057AC">
        <w:rPr>
          <w:rFonts w:ascii="Tahoma" w:eastAsia="Times New Roman" w:hAnsi="Tahoma" w:cs="Tahoma"/>
          <w:color w:val="000000" w:themeColor="text1"/>
          <w:sz w:val="24"/>
          <w:szCs w:val="24"/>
        </w:rPr>
        <w:t xml:space="preserve">,6% pe această componentă, în </w:t>
      </w:r>
      <w:r w:rsidR="00C26D04" w:rsidRPr="00A057AC">
        <w:rPr>
          <w:rFonts w:ascii="Tahoma" w:eastAsia="Times New Roman" w:hAnsi="Tahoma" w:cs="Tahoma"/>
          <w:color w:val="000000" w:themeColor="text1"/>
          <w:sz w:val="24"/>
          <w:szCs w:val="24"/>
        </w:rPr>
        <w:t>primul semestru</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Deși</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producția</w:t>
      </w:r>
      <w:r w:rsidRPr="00A057AC">
        <w:rPr>
          <w:rFonts w:ascii="Tahoma" w:eastAsia="Times New Roman" w:hAnsi="Tahoma" w:cs="Tahoma"/>
          <w:color w:val="000000" w:themeColor="text1"/>
          <w:sz w:val="24"/>
          <w:szCs w:val="24"/>
        </w:rPr>
        <w:t xml:space="preserve"> de bunuri de capital a crescut cu </w:t>
      </w:r>
      <w:r w:rsidR="00C26D04" w:rsidRPr="00A057AC">
        <w:rPr>
          <w:rFonts w:ascii="Tahoma" w:eastAsia="Times New Roman" w:hAnsi="Tahoma" w:cs="Tahoma"/>
          <w:color w:val="000000" w:themeColor="text1"/>
          <w:sz w:val="24"/>
          <w:szCs w:val="24"/>
        </w:rPr>
        <w:t>28,2</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influențată</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de revenirea principalilor parteneri </w:t>
      </w:r>
      <w:r w:rsidRPr="00A057AC">
        <w:rPr>
          <w:rFonts w:ascii="Tahoma" w:eastAsia="Times New Roman" w:hAnsi="Tahoma" w:cs="Tahoma"/>
          <w:color w:val="000000" w:themeColor="text1"/>
          <w:sz w:val="24"/>
          <w:szCs w:val="24"/>
        </w:rPr>
        <w:lastRenderedPageBreak/>
        <w:t xml:space="preserve">comerciali, acest sector fiind puternic integrat în lanțurile de producție europene, nu a </w:t>
      </w:r>
      <w:r w:rsidR="00CB74F0" w:rsidRPr="00A057AC">
        <w:rPr>
          <w:rFonts w:ascii="Tahoma" w:eastAsia="Times New Roman" w:hAnsi="Tahoma" w:cs="Tahoma"/>
          <w:color w:val="000000" w:themeColor="text1"/>
          <w:sz w:val="24"/>
          <w:szCs w:val="24"/>
        </w:rPr>
        <w:t>reușit</w:t>
      </w:r>
      <w:r w:rsidRPr="00A057AC">
        <w:rPr>
          <w:rFonts w:ascii="Tahoma" w:eastAsia="Times New Roman" w:hAnsi="Tahoma" w:cs="Tahoma"/>
          <w:color w:val="000000" w:themeColor="text1"/>
          <w:sz w:val="24"/>
          <w:szCs w:val="24"/>
        </w:rPr>
        <w:t xml:space="preserve"> să atingă nivelul pre-pandemie. În cazul bunurilor de uz curent, </w:t>
      </w:r>
      <w:r w:rsidR="00CB74F0" w:rsidRPr="00A057AC">
        <w:rPr>
          <w:rFonts w:ascii="Tahoma" w:eastAsia="Times New Roman" w:hAnsi="Tahoma" w:cs="Tahoma"/>
          <w:color w:val="000000" w:themeColor="text1"/>
          <w:sz w:val="24"/>
          <w:szCs w:val="24"/>
        </w:rPr>
        <w:t>creșterea</w:t>
      </w:r>
      <w:r w:rsidRPr="00A057AC">
        <w:rPr>
          <w:rFonts w:ascii="Tahoma" w:eastAsia="Times New Roman" w:hAnsi="Tahoma" w:cs="Tahoma"/>
          <w:color w:val="000000" w:themeColor="text1"/>
          <w:sz w:val="24"/>
          <w:szCs w:val="24"/>
        </w:rPr>
        <w:t xml:space="preserve"> înregistrată a fost de numai 1,</w:t>
      </w:r>
      <w:r w:rsidR="00C26D04" w:rsidRPr="00A057AC">
        <w:rPr>
          <w:rFonts w:ascii="Tahoma" w:eastAsia="Times New Roman" w:hAnsi="Tahoma" w:cs="Tahoma"/>
          <w:color w:val="000000" w:themeColor="text1"/>
          <w:sz w:val="24"/>
          <w:szCs w:val="24"/>
        </w:rPr>
        <w:t>1</w:t>
      </w:r>
      <w:r w:rsidRPr="00A057AC">
        <w:rPr>
          <w:rFonts w:ascii="Tahoma" w:eastAsia="Times New Roman" w:hAnsi="Tahoma" w:cs="Tahoma"/>
          <w:color w:val="000000" w:themeColor="text1"/>
          <w:sz w:val="24"/>
          <w:szCs w:val="24"/>
        </w:rPr>
        <w:t>%.</w:t>
      </w:r>
    </w:p>
    <w:p w:rsidR="00DF1038" w:rsidRPr="00A057AC" w:rsidRDefault="00DF1038" w:rsidP="00C26D04">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În primul trimestru din 2021, </w:t>
      </w:r>
      <w:r w:rsidRPr="00A057AC">
        <w:rPr>
          <w:rFonts w:ascii="Tahoma" w:eastAsia="Times New Roman" w:hAnsi="Tahoma" w:cs="Tahoma"/>
          <w:b/>
          <w:color w:val="000000" w:themeColor="text1"/>
          <w:sz w:val="24"/>
          <w:szCs w:val="24"/>
        </w:rPr>
        <w:t>investițiile nete</w:t>
      </w:r>
      <w:r w:rsidRPr="00A057AC">
        <w:rPr>
          <w:rFonts w:ascii="Tahoma" w:eastAsia="Times New Roman" w:hAnsi="Tahoma" w:cs="Tahoma"/>
          <w:color w:val="000000" w:themeColor="text1"/>
          <w:sz w:val="24"/>
          <w:szCs w:val="24"/>
        </w:rPr>
        <w:t xml:space="preserve"> au crescut cu 9,9% comparativ cu trimestrul I 2020, consemnând a 3-a cea mai mare dinamică trimestrială în T1 din ultimii 10 ani. </w:t>
      </w:r>
      <w:r w:rsidRPr="00A057AC">
        <w:rPr>
          <w:rFonts w:ascii="Tahoma" w:eastAsia="Times New Roman" w:hAnsi="Tahoma" w:cs="Tahoma"/>
          <w:b/>
          <w:color w:val="000000" w:themeColor="text1"/>
          <w:sz w:val="24"/>
          <w:szCs w:val="24"/>
        </w:rPr>
        <w:t>Investițiile nete</w:t>
      </w:r>
      <w:r w:rsidRPr="00A057AC">
        <w:rPr>
          <w:rFonts w:ascii="Tahoma" w:eastAsia="Times New Roman" w:hAnsi="Tahoma" w:cs="Tahoma"/>
          <w:color w:val="000000" w:themeColor="text1"/>
          <w:sz w:val="24"/>
          <w:szCs w:val="24"/>
        </w:rPr>
        <w:t xml:space="preserve"> în utilaje s-au majorat cu 18,1%, reprezentând 36,6% din total, în timp ce lucrările de construcții noi pe total economie au crescut cu 6,5%, fiind predominante în structura investițiilor, cu o pondere de 53,3%.</w:t>
      </w:r>
    </w:p>
    <w:p w:rsidR="00C26D04" w:rsidRPr="00A057AC" w:rsidRDefault="00CB74F0" w:rsidP="00BC12C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Deși</w:t>
      </w:r>
      <w:r w:rsidR="00DF1038" w:rsidRPr="00A057AC">
        <w:rPr>
          <w:rFonts w:ascii="Tahoma" w:eastAsia="Times New Roman" w:hAnsi="Tahoma" w:cs="Tahoma"/>
          <w:color w:val="000000" w:themeColor="text1"/>
          <w:sz w:val="24"/>
          <w:szCs w:val="24"/>
        </w:rPr>
        <w:t xml:space="preserve"> într-un ritm atenuat, performanța sectorului construcții continuă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în acest an, </w:t>
      </w:r>
      <w:r w:rsidR="00DF1038" w:rsidRPr="00A057AC">
        <w:rPr>
          <w:rFonts w:ascii="Tahoma" w:eastAsia="Times New Roman" w:hAnsi="Tahoma" w:cs="Tahoma"/>
          <w:b/>
          <w:color w:val="000000" w:themeColor="text1"/>
          <w:sz w:val="24"/>
          <w:szCs w:val="24"/>
        </w:rPr>
        <w:t>volumul lucrărilor de construcții</w:t>
      </w:r>
      <w:r w:rsidR="00DF1038" w:rsidRPr="00A057AC">
        <w:rPr>
          <w:rFonts w:ascii="Tahoma" w:eastAsia="Times New Roman" w:hAnsi="Tahoma" w:cs="Tahoma"/>
          <w:color w:val="000000" w:themeColor="text1"/>
          <w:sz w:val="24"/>
          <w:szCs w:val="24"/>
        </w:rPr>
        <w:t xml:space="preserve"> majorându-se în primele 5 luni cu 5,5%, față de perioada similară a anului precedent. Pe obiecte de construcții se </w:t>
      </w:r>
      <w:r w:rsidRPr="00A057AC">
        <w:rPr>
          <w:rFonts w:ascii="Tahoma" w:eastAsia="Times New Roman" w:hAnsi="Tahoma" w:cs="Tahoma"/>
          <w:color w:val="000000" w:themeColor="text1"/>
          <w:sz w:val="24"/>
          <w:szCs w:val="24"/>
        </w:rPr>
        <w:t>detașează</w:t>
      </w:r>
      <w:r w:rsidR="00DF1038" w:rsidRPr="00A057AC">
        <w:rPr>
          <w:rFonts w:ascii="Tahoma" w:eastAsia="Times New Roman" w:hAnsi="Tahoma" w:cs="Tahoma"/>
          <w:color w:val="000000" w:themeColor="text1"/>
          <w:sz w:val="24"/>
          <w:szCs w:val="24"/>
        </w:rPr>
        <w:t xml:space="preserve"> clădirile </w:t>
      </w:r>
      <w:r w:rsidRPr="00A057AC">
        <w:rPr>
          <w:rFonts w:ascii="Tahoma" w:eastAsia="Times New Roman" w:hAnsi="Tahoma" w:cs="Tahoma"/>
          <w:color w:val="000000" w:themeColor="text1"/>
          <w:sz w:val="24"/>
          <w:szCs w:val="24"/>
        </w:rPr>
        <w:t>rezidențiale</w:t>
      </w:r>
      <w:r w:rsidR="00DF1038" w:rsidRPr="00A057AC">
        <w:rPr>
          <w:rFonts w:ascii="Tahoma" w:eastAsia="Times New Roman" w:hAnsi="Tahoma" w:cs="Tahoma"/>
          <w:color w:val="000000" w:themeColor="text1"/>
          <w:sz w:val="24"/>
          <w:szCs w:val="24"/>
        </w:rPr>
        <w:t xml:space="preserve">, cu o </w:t>
      </w:r>
      <w:r w:rsidRPr="00A057AC">
        <w:rPr>
          <w:rFonts w:ascii="Tahoma" w:eastAsia="Times New Roman" w:hAnsi="Tahoma" w:cs="Tahoma"/>
          <w:color w:val="000000" w:themeColor="text1"/>
          <w:sz w:val="24"/>
          <w:szCs w:val="24"/>
        </w:rPr>
        <w:t>creștere</w:t>
      </w:r>
      <w:r w:rsidR="00DF1038" w:rsidRPr="00A057AC">
        <w:rPr>
          <w:rFonts w:ascii="Tahoma" w:eastAsia="Times New Roman" w:hAnsi="Tahoma" w:cs="Tahoma"/>
          <w:color w:val="000000" w:themeColor="text1"/>
          <w:sz w:val="24"/>
          <w:szCs w:val="24"/>
        </w:rPr>
        <w:t xml:space="preserve"> de 23,9%, în timp ce pe elemente de structură </w:t>
      </w:r>
      <w:r w:rsidRPr="00A057AC">
        <w:rPr>
          <w:rFonts w:ascii="Tahoma" w:eastAsia="Times New Roman" w:hAnsi="Tahoma" w:cs="Tahoma"/>
          <w:color w:val="000000" w:themeColor="text1"/>
          <w:sz w:val="24"/>
          <w:szCs w:val="24"/>
        </w:rPr>
        <w:t>construcțiile</w:t>
      </w:r>
      <w:r w:rsidR="00DF1038" w:rsidRPr="00A057AC">
        <w:rPr>
          <w:rFonts w:ascii="Tahoma" w:eastAsia="Times New Roman" w:hAnsi="Tahoma" w:cs="Tahoma"/>
          <w:color w:val="000000" w:themeColor="text1"/>
          <w:sz w:val="24"/>
          <w:szCs w:val="24"/>
        </w:rPr>
        <w:t xml:space="preserve"> noi s-au majorat cu 12,8%, iar reparațiile capitale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lucrările de întreținere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reparații curente (datorită </w:t>
      </w:r>
      <w:r w:rsidRPr="00A057AC">
        <w:rPr>
          <w:rFonts w:ascii="Tahoma" w:eastAsia="Times New Roman" w:hAnsi="Tahoma" w:cs="Tahoma"/>
          <w:color w:val="000000" w:themeColor="text1"/>
          <w:sz w:val="24"/>
          <w:szCs w:val="24"/>
        </w:rPr>
        <w:t>creșterilor</w:t>
      </w:r>
      <w:r w:rsidR="00DF1038" w:rsidRPr="00A057AC">
        <w:rPr>
          <w:rFonts w:ascii="Tahoma" w:eastAsia="Times New Roman" w:hAnsi="Tahoma" w:cs="Tahoma"/>
          <w:color w:val="000000" w:themeColor="text1"/>
          <w:sz w:val="24"/>
          <w:szCs w:val="24"/>
        </w:rPr>
        <w:t xml:space="preserve"> semnificative din anul precedent) au scăzut în această perioadă cu 11,3%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respectiv 6,8%.</w:t>
      </w:r>
    </w:p>
    <w:p w:rsidR="00C26D04" w:rsidRPr="00A057AC" w:rsidRDefault="00C26D04" w:rsidP="00BC12C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b/>
          <w:color w:val="000000" w:themeColor="text1"/>
          <w:sz w:val="24"/>
          <w:szCs w:val="24"/>
        </w:rPr>
        <w:t xml:space="preserve">Volumul cifrei de afaceri pentru </w:t>
      </w:r>
      <w:r w:rsidR="00CB74F0" w:rsidRPr="00A057AC">
        <w:rPr>
          <w:rFonts w:ascii="Tahoma" w:eastAsia="Times New Roman" w:hAnsi="Tahoma" w:cs="Tahoma"/>
          <w:b/>
          <w:color w:val="000000" w:themeColor="text1"/>
          <w:sz w:val="24"/>
          <w:szCs w:val="24"/>
        </w:rPr>
        <w:t>comerțul</w:t>
      </w:r>
      <w:r w:rsidRPr="00A057AC">
        <w:rPr>
          <w:rFonts w:ascii="Tahoma" w:eastAsia="Times New Roman" w:hAnsi="Tahoma" w:cs="Tahoma"/>
          <w:b/>
          <w:color w:val="000000" w:themeColor="text1"/>
          <w:sz w:val="24"/>
          <w:szCs w:val="24"/>
        </w:rPr>
        <w:t xml:space="preserve"> cu amănuntul</w:t>
      </w:r>
      <w:r w:rsidRPr="00A057AC">
        <w:rPr>
          <w:rFonts w:ascii="Tahoma" w:eastAsia="Times New Roman" w:hAnsi="Tahoma" w:cs="Tahoma"/>
          <w:color w:val="000000" w:themeColor="text1"/>
          <w:sz w:val="24"/>
          <w:szCs w:val="24"/>
        </w:rPr>
        <w:t xml:space="preserve"> a fost mai ridicat  în primul semestru cu 13,4% comparativ cu </w:t>
      </w:r>
      <w:r w:rsidR="00CB74F0" w:rsidRPr="00A057AC">
        <w:rPr>
          <w:rFonts w:ascii="Tahoma" w:eastAsia="Times New Roman" w:hAnsi="Tahoma" w:cs="Tahoma"/>
          <w:color w:val="000000" w:themeColor="text1"/>
          <w:sz w:val="24"/>
          <w:szCs w:val="24"/>
        </w:rPr>
        <w:t>aceeași</w:t>
      </w:r>
      <w:r w:rsidRPr="00A057AC">
        <w:rPr>
          <w:rFonts w:ascii="Tahoma" w:eastAsia="Times New Roman" w:hAnsi="Tahoma" w:cs="Tahoma"/>
          <w:color w:val="000000" w:themeColor="text1"/>
          <w:sz w:val="24"/>
          <w:szCs w:val="24"/>
        </w:rPr>
        <w:t xml:space="preserve"> perioadă a anului 2020, în principal datorită vânzărilor de produse nealimentare (+21,4%) </w:t>
      </w:r>
      <w:r w:rsidR="00CB74F0"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w:t>
      </w:r>
      <w:r w:rsidR="00CB74F0" w:rsidRPr="00A057AC">
        <w:rPr>
          <w:rFonts w:ascii="Tahoma" w:eastAsia="Times New Roman" w:hAnsi="Tahoma" w:cs="Tahoma"/>
          <w:color w:val="000000" w:themeColor="text1"/>
          <w:sz w:val="24"/>
          <w:szCs w:val="24"/>
        </w:rPr>
        <w:t>carburanți</w:t>
      </w:r>
      <w:r w:rsidRPr="00A057AC">
        <w:rPr>
          <w:rFonts w:ascii="Tahoma" w:eastAsia="Times New Roman" w:hAnsi="Tahoma" w:cs="Tahoma"/>
          <w:color w:val="000000" w:themeColor="text1"/>
          <w:sz w:val="24"/>
          <w:szCs w:val="24"/>
        </w:rPr>
        <w:t xml:space="preserve"> (+14,7%), în timp ce în cazul produselor alimentare </w:t>
      </w:r>
      <w:r w:rsidR="00CB74F0" w:rsidRPr="00A057AC">
        <w:rPr>
          <w:rFonts w:ascii="Tahoma" w:eastAsia="Times New Roman" w:hAnsi="Tahoma" w:cs="Tahoma"/>
          <w:color w:val="000000" w:themeColor="text1"/>
          <w:sz w:val="24"/>
          <w:szCs w:val="24"/>
        </w:rPr>
        <w:t>creșterea</w:t>
      </w:r>
      <w:r w:rsidRPr="00A057AC">
        <w:rPr>
          <w:rFonts w:ascii="Tahoma" w:eastAsia="Times New Roman" w:hAnsi="Tahoma" w:cs="Tahoma"/>
          <w:color w:val="000000" w:themeColor="text1"/>
          <w:sz w:val="24"/>
          <w:szCs w:val="24"/>
        </w:rPr>
        <w:t xml:space="preserve"> a fost de doar 4,9%. </w:t>
      </w:r>
      <w:r w:rsidR="00BC1133" w:rsidRPr="00A057AC">
        <w:rPr>
          <w:rFonts w:ascii="Tahoma" w:eastAsia="Times New Roman" w:hAnsi="Tahoma" w:cs="Tahoma"/>
          <w:color w:val="000000" w:themeColor="text1"/>
          <w:sz w:val="24"/>
          <w:szCs w:val="24"/>
        </w:rPr>
        <w:t xml:space="preserve">În cadrul mărfurilor nealimentare, este de remarcat </w:t>
      </w:r>
      <w:r w:rsidR="00CB74F0" w:rsidRPr="00A057AC">
        <w:rPr>
          <w:rFonts w:ascii="Tahoma" w:eastAsia="Times New Roman" w:hAnsi="Tahoma" w:cs="Tahoma"/>
          <w:color w:val="000000" w:themeColor="text1"/>
          <w:sz w:val="24"/>
          <w:szCs w:val="24"/>
        </w:rPr>
        <w:t>creșterea</w:t>
      </w:r>
      <w:r w:rsidR="00BC1133" w:rsidRPr="00A057AC">
        <w:rPr>
          <w:rFonts w:ascii="Tahoma" w:eastAsia="Times New Roman" w:hAnsi="Tahoma" w:cs="Tahoma"/>
          <w:color w:val="000000" w:themeColor="text1"/>
          <w:sz w:val="24"/>
          <w:szCs w:val="24"/>
        </w:rPr>
        <w:t xml:space="preserve"> volumului vânzărilor de textile, îmbrăcăminte, încălțăminte (59,6%). </w:t>
      </w:r>
      <w:r w:rsidR="00CB74F0" w:rsidRPr="00A057AC">
        <w:rPr>
          <w:rFonts w:ascii="Tahoma" w:eastAsia="Times New Roman" w:hAnsi="Tahoma" w:cs="Tahoma"/>
          <w:color w:val="000000" w:themeColor="text1"/>
          <w:sz w:val="24"/>
          <w:szCs w:val="24"/>
        </w:rPr>
        <w:t>Preferințele</w:t>
      </w:r>
      <w:r w:rsidRPr="00A057AC">
        <w:rPr>
          <w:rFonts w:ascii="Tahoma" w:eastAsia="Times New Roman" w:hAnsi="Tahoma" w:cs="Tahoma"/>
          <w:color w:val="000000" w:themeColor="text1"/>
          <w:sz w:val="24"/>
          <w:szCs w:val="24"/>
        </w:rPr>
        <w:t xml:space="preserve"> consumatorilor continuă să fie îndreptate spre </w:t>
      </w:r>
      <w:r w:rsidR="00CB74F0" w:rsidRPr="00A057AC">
        <w:rPr>
          <w:rFonts w:ascii="Tahoma" w:eastAsia="Times New Roman" w:hAnsi="Tahoma" w:cs="Tahoma"/>
          <w:color w:val="000000" w:themeColor="text1"/>
          <w:sz w:val="24"/>
          <w:szCs w:val="24"/>
        </w:rPr>
        <w:t>achizițiile</w:t>
      </w:r>
      <w:r w:rsidRPr="00A057AC">
        <w:rPr>
          <w:rFonts w:ascii="Tahoma" w:eastAsia="Times New Roman" w:hAnsi="Tahoma" w:cs="Tahoma"/>
          <w:color w:val="000000" w:themeColor="text1"/>
          <w:sz w:val="24"/>
          <w:szCs w:val="24"/>
        </w:rPr>
        <w:t xml:space="preserve"> prin intermediul caselor de comenzi sau prin internet, acestea înregistrând o </w:t>
      </w:r>
      <w:r w:rsidR="00CB74F0" w:rsidRPr="00A057AC">
        <w:rPr>
          <w:rFonts w:ascii="Tahoma" w:eastAsia="Times New Roman" w:hAnsi="Tahoma" w:cs="Tahoma"/>
          <w:color w:val="000000" w:themeColor="text1"/>
          <w:sz w:val="24"/>
          <w:szCs w:val="24"/>
        </w:rPr>
        <w:t>creștere</w:t>
      </w:r>
      <w:r w:rsidRPr="00A057AC">
        <w:rPr>
          <w:rFonts w:ascii="Tahoma" w:eastAsia="Times New Roman" w:hAnsi="Tahoma" w:cs="Tahoma"/>
          <w:color w:val="000000" w:themeColor="text1"/>
          <w:sz w:val="24"/>
          <w:szCs w:val="24"/>
        </w:rPr>
        <w:t xml:space="preserve"> de 18,4%.</w:t>
      </w:r>
    </w:p>
    <w:p w:rsidR="00DF1038" w:rsidRPr="00A057AC" w:rsidRDefault="00DF1038" w:rsidP="00BC12C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b/>
          <w:color w:val="000000" w:themeColor="text1"/>
          <w:sz w:val="24"/>
          <w:szCs w:val="24"/>
        </w:rPr>
        <w:t>Exporturile de bunuri</w:t>
      </w:r>
      <w:r w:rsidRPr="00A057AC">
        <w:rPr>
          <w:rFonts w:ascii="Tahoma" w:eastAsia="Times New Roman" w:hAnsi="Tahoma" w:cs="Tahoma"/>
          <w:color w:val="000000" w:themeColor="text1"/>
          <w:sz w:val="24"/>
          <w:szCs w:val="24"/>
        </w:rPr>
        <w:t xml:space="preserve"> au totalizat în primele </w:t>
      </w:r>
      <w:r w:rsidR="00C26D04" w:rsidRPr="00A057AC">
        <w:rPr>
          <w:rFonts w:ascii="Tahoma" w:eastAsia="Times New Roman" w:hAnsi="Tahoma" w:cs="Tahoma"/>
          <w:color w:val="000000" w:themeColor="text1"/>
          <w:sz w:val="24"/>
          <w:szCs w:val="24"/>
        </w:rPr>
        <w:t>6</w:t>
      </w:r>
      <w:r w:rsidRPr="00A057AC">
        <w:rPr>
          <w:rFonts w:ascii="Tahoma" w:eastAsia="Times New Roman" w:hAnsi="Tahoma" w:cs="Tahoma"/>
          <w:color w:val="000000" w:themeColor="text1"/>
          <w:sz w:val="24"/>
          <w:szCs w:val="24"/>
        </w:rPr>
        <w:t xml:space="preserve"> luni ale anului 2021, valoarea de </w:t>
      </w:r>
      <w:r w:rsidR="00C26D04" w:rsidRPr="00A057AC">
        <w:rPr>
          <w:rFonts w:ascii="Tahoma" w:eastAsia="Times New Roman" w:hAnsi="Tahoma" w:cs="Tahoma"/>
          <w:color w:val="000000" w:themeColor="text1"/>
          <w:sz w:val="24"/>
          <w:szCs w:val="24"/>
        </w:rPr>
        <w:t>36,2</w:t>
      </w:r>
      <w:r w:rsidRPr="00A057AC">
        <w:rPr>
          <w:rFonts w:ascii="Tahoma" w:eastAsia="Times New Roman" w:hAnsi="Tahoma" w:cs="Tahoma"/>
          <w:color w:val="000000" w:themeColor="text1"/>
          <w:sz w:val="24"/>
          <w:szCs w:val="24"/>
        </w:rPr>
        <w:t xml:space="preserve"> miliarde euro, înregistrând o dinamică pozitivă de 26,</w:t>
      </w:r>
      <w:r w:rsidR="00C26D04" w:rsidRPr="00A057AC">
        <w:rPr>
          <w:rFonts w:ascii="Tahoma" w:eastAsia="Times New Roman" w:hAnsi="Tahoma" w:cs="Tahoma"/>
          <w:color w:val="000000" w:themeColor="text1"/>
          <w:sz w:val="24"/>
          <w:szCs w:val="24"/>
        </w:rPr>
        <w:t>5</w:t>
      </w:r>
      <w:r w:rsidRPr="00A057AC">
        <w:rPr>
          <w:rFonts w:ascii="Tahoma" w:eastAsia="Times New Roman" w:hAnsi="Tahoma" w:cs="Tahoma"/>
          <w:color w:val="000000" w:themeColor="text1"/>
          <w:sz w:val="24"/>
          <w:szCs w:val="24"/>
        </w:rPr>
        <w:t>% față de perioada similară a anului precedent (+</w:t>
      </w:r>
      <w:r w:rsidR="00AA4AEA" w:rsidRPr="00A057AC">
        <w:rPr>
          <w:rFonts w:ascii="Tahoma" w:eastAsia="Times New Roman" w:hAnsi="Tahoma" w:cs="Tahoma"/>
          <w:color w:val="000000" w:themeColor="text1"/>
          <w:sz w:val="24"/>
          <w:szCs w:val="24"/>
        </w:rPr>
        <w:t>7,6</w:t>
      </w:r>
      <w:r w:rsidRPr="00A057AC">
        <w:rPr>
          <w:rFonts w:ascii="Tahoma" w:eastAsia="Times New Roman" w:hAnsi="Tahoma" w:cs="Tahoma"/>
          <w:color w:val="000000" w:themeColor="text1"/>
          <w:sz w:val="24"/>
          <w:szCs w:val="24"/>
        </w:rPr>
        <w:t xml:space="preserve"> miliarde euro). Expedierile intra-comunitare au înregistrat o majorare de </w:t>
      </w:r>
      <w:r w:rsidR="00AA4AEA" w:rsidRPr="00A057AC">
        <w:rPr>
          <w:rFonts w:ascii="Tahoma" w:eastAsia="Times New Roman" w:hAnsi="Tahoma" w:cs="Tahoma"/>
          <w:color w:val="000000" w:themeColor="text1"/>
          <w:sz w:val="24"/>
          <w:szCs w:val="24"/>
        </w:rPr>
        <w:t>28,6</w:t>
      </w:r>
      <w:r w:rsidRPr="00A057AC">
        <w:rPr>
          <w:rFonts w:ascii="Tahoma" w:eastAsia="Times New Roman" w:hAnsi="Tahoma" w:cs="Tahoma"/>
          <w:color w:val="000000" w:themeColor="text1"/>
          <w:sz w:val="24"/>
          <w:szCs w:val="24"/>
        </w:rPr>
        <w:t xml:space="preserve">%, ponderea produselor destinate statelor UE în exporturile totale reprezentând 74,1%. </w:t>
      </w:r>
    </w:p>
    <w:p w:rsidR="00DF1038" w:rsidRPr="00A057AC" w:rsidRDefault="00DF1038" w:rsidP="00BC12C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La nivel sectorial, exportul de mașini și echipamente pentru transport a  constituit aproape jumătate din totalul bunurilor livrate pe piețele externe (</w:t>
      </w:r>
      <w:r w:rsidR="00AA4AEA" w:rsidRPr="00A057AC">
        <w:rPr>
          <w:rFonts w:ascii="Tahoma" w:eastAsia="Times New Roman" w:hAnsi="Tahoma" w:cs="Tahoma"/>
          <w:color w:val="000000" w:themeColor="text1"/>
          <w:sz w:val="24"/>
          <w:szCs w:val="24"/>
        </w:rPr>
        <w:t>47,9</w:t>
      </w:r>
      <w:r w:rsidRPr="00A057AC">
        <w:rPr>
          <w:rFonts w:ascii="Tahoma" w:eastAsia="Times New Roman" w:hAnsi="Tahoma" w:cs="Tahoma"/>
          <w:color w:val="000000" w:themeColor="text1"/>
          <w:sz w:val="24"/>
          <w:szCs w:val="24"/>
        </w:rPr>
        <w:t xml:space="preserve">%) și a înregistrat o creștere cu </w:t>
      </w:r>
      <w:r w:rsidR="00AA4AEA" w:rsidRPr="00A057AC">
        <w:rPr>
          <w:rFonts w:ascii="Tahoma" w:eastAsia="Times New Roman" w:hAnsi="Tahoma" w:cs="Tahoma"/>
          <w:color w:val="000000" w:themeColor="text1"/>
          <w:sz w:val="24"/>
          <w:szCs w:val="24"/>
        </w:rPr>
        <w:t>30,2</w:t>
      </w:r>
      <w:r w:rsidRPr="00A057AC">
        <w:rPr>
          <w:rFonts w:ascii="Tahoma" w:eastAsia="Times New Roman" w:hAnsi="Tahoma" w:cs="Tahoma"/>
          <w:color w:val="000000" w:themeColor="text1"/>
          <w:sz w:val="24"/>
          <w:szCs w:val="24"/>
        </w:rPr>
        <w:t xml:space="preserve">% față de intervalul </w:t>
      </w:r>
      <w:r w:rsidR="00AA4AEA" w:rsidRPr="00A057AC">
        <w:rPr>
          <w:rFonts w:ascii="Tahoma" w:eastAsia="Times New Roman" w:hAnsi="Tahoma" w:cs="Tahoma"/>
          <w:color w:val="000000" w:themeColor="text1"/>
          <w:sz w:val="24"/>
          <w:szCs w:val="24"/>
        </w:rPr>
        <w:t>primul semestru</w:t>
      </w:r>
      <w:r w:rsidRPr="00A057AC">
        <w:rPr>
          <w:rFonts w:ascii="Tahoma" w:eastAsia="Times New Roman" w:hAnsi="Tahoma" w:cs="Tahoma"/>
          <w:color w:val="000000" w:themeColor="text1"/>
          <w:sz w:val="24"/>
          <w:szCs w:val="24"/>
        </w:rPr>
        <w:t xml:space="preserve"> 2020. Produsele industriei manufacturiere au susținut în proporție de peste 30% nivelul exporturilor, de menționat fiind faptul că livrările de mărfuri manufacturate, clasificate în principal după materia primă (fier, oțel, cauciuc, metal, etc.) au crescut cu </w:t>
      </w:r>
      <w:r w:rsidR="00AA4AEA" w:rsidRPr="00A057AC">
        <w:rPr>
          <w:rFonts w:ascii="Tahoma" w:eastAsia="Times New Roman" w:hAnsi="Tahoma" w:cs="Tahoma"/>
          <w:color w:val="000000" w:themeColor="text1"/>
          <w:sz w:val="24"/>
          <w:szCs w:val="24"/>
        </w:rPr>
        <w:t>31,7</w:t>
      </w:r>
      <w:r w:rsidRPr="00A057AC">
        <w:rPr>
          <w:rFonts w:ascii="Tahoma" w:eastAsia="Times New Roman" w:hAnsi="Tahoma" w:cs="Tahoma"/>
          <w:color w:val="000000" w:themeColor="text1"/>
          <w:sz w:val="24"/>
          <w:szCs w:val="24"/>
        </w:rPr>
        <w:t xml:space="preserve">%, ca urmare a majorării cu </w:t>
      </w:r>
      <w:r w:rsidR="00AA4AEA" w:rsidRPr="00A057AC">
        <w:rPr>
          <w:rFonts w:ascii="Tahoma" w:eastAsia="Times New Roman" w:hAnsi="Tahoma" w:cs="Tahoma"/>
          <w:color w:val="000000" w:themeColor="text1"/>
          <w:sz w:val="24"/>
          <w:szCs w:val="24"/>
        </w:rPr>
        <w:t>33,3</w:t>
      </w:r>
      <w:r w:rsidRPr="00A057AC">
        <w:rPr>
          <w:rFonts w:ascii="Tahoma" w:eastAsia="Times New Roman" w:hAnsi="Tahoma" w:cs="Tahoma"/>
          <w:color w:val="000000" w:themeColor="text1"/>
          <w:sz w:val="24"/>
          <w:szCs w:val="24"/>
        </w:rPr>
        <w:t xml:space="preserve">% a expedierilor către piața intra-UE. </w:t>
      </w:r>
    </w:p>
    <w:p w:rsidR="00DF1038" w:rsidRPr="00A057AC" w:rsidRDefault="00DF1038" w:rsidP="00BC12C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b/>
          <w:color w:val="000000" w:themeColor="text1"/>
          <w:sz w:val="24"/>
          <w:szCs w:val="24"/>
        </w:rPr>
        <w:t>Importurile de bunuri</w:t>
      </w:r>
      <w:r w:rsidRPr="00A057AC">
        <w:rPr>
          <w:rFonts w:ascii="Tahoma" w:eastAsia="Times New Roman" w:hAnsi="Tahoma" w:cs="Tahoma"/>
          <w:color w:val="000000" w:themeColor="text1"/>
          <w:sz w:val="24"/>
          <w:szCs w:val="24"/>
        </w:rPr>
        <w:t xml:space="preserve"> au crescut, în primele </w:t>
      </w:r>
      <w:r w:rsidR="003A3260" w:rsidRPr="00A057AC">
        <w:rPr>
          <w:rFonts w:ascii="Tahoma" w:eastAsia="Times New Roman" w:hAnsi="Tahoma" w:cs="Tahoma"/>
          <w:color w:val="000000" w:themeColor="text1"/>
          <w:sz w:val="24"/>
          <w:szCs w:val="24"/>
        </w:rPr>
        <w:t>6</w:t>
      </w:r>
      <w:r w:rsidRPr="00A057AC">
        <w:rPr>
          <w:rFonts w:ascii="Tahoma" w:eastAsia="Times New Roman" w:hAnsi="Tahoma" w:cs="Tahoma"/>
          <w:color w:val="000000" w:themeColor="text1"/>
          <w:sz w:val="24"/>
          <w:szCs w:val="24"/>
        </w:rPr>
        <w:t xml:space="preserve"> luni ale anului 2021 cu 2</w:t>
      </w:r>
      <w:r w:rsidR="003A3260" w:rsidRPr="00A057AC">
        <w:rPr>
          <w:rFonts w:ascii="Tahoma" w:eastAsia="Times New Roman" w:hAnsi="Tahoma" w:cs="Tahoma"/>
          <w:color w:val="000000" w:themeColor="text1"/>
          <w:sz w:val="24"/>
          <w:szCs w:val="24"/>
        </w:rPr>
        <w:t>5</w:t>
      </w:r>
      <w:r w:rsidRPr="00A057AC">
        <w:rPr>
          <w:rFonts w:ascii="Tahoma" w:eastAsia="Times New Roman" w:hAnsi="Tahoma" w:cs="Tahoma"/>
          <w:color w:val="000000" w:themeColor="text1"/>
          <w:sz w:val="24"/>
          <w:szCs w:val="24"/>
        </w:rPr>
        <w:t>,6%, pe fondul avansului de 2</w:t>
      </w:r>
      <w:r w:rsidR="003A3260" w:rsidRPr="00A057AC">
        <w:rPr>
          <w:rFonts w:ascii="Tahoma" w:eastAsia="Times New Roman" w:hAnsi="Tahoma" w:cs="Tahoma"/>
          <w:color w:val="000000" w:themeColor="text1"/>
          <w:sz w:val="24"/>
          <w:szCs w:val="24"/>
        </w:rPr>
        <w:t>6</w:t>
      </w:r>
      <w:r w:rsidRPr="00A057AC">
        <w:rPr>
          <w:rFonts w:ascii="Tahoma" w:eastAsia="Times New Roman" w:hAnsi="Tahoma" w:cs="Tahoma"/>
          <w:color w:val="000000" w:themeColor="text1"/>
          <w:sz w:val="24"/>
          <w:szCs w:val="24"/>
        </w:rPr>
        <w:t>,5% consemnat pe zona intra-UE de proveniență a produselor. Ponderea achizițiilor intra-comunitare a reprezentat 73,</w:t>
      </w:r>
      <w:r w:rsidR="003A3260" w:rsidRPr="00A057AC">
        <w:rPr>
          <w:rFonts w:ascii="Tahoma" w:eastAsia="Times New Roman" w:hAnsi="Tahoma" w:cs="Tahoma"/>
          <w:color w:val="000000" w:themeColor="text1"/>
          <w:sz w:val="24"/>
          <w:szCs w:val="24"/>
        </w:rPr>
        <w:t>5</w:t>
      </w:r>
      <w:r w:rsidRPr="00A057AC">
        <w:rPr>
          <w:rFonts w:ascii="Tahoma" w:eastAsia="Times New Roman" w:hAnsi="Tahoma" w:cs="Tahoma"/>
          <w:color w:val="000000" w:themeColor="text1"/>
          <w:sz w:val="24"/>
          <w:szCs w:val="24"/>
        </w:rPr>
        <w:t xml:space="preserve">% din valoarea totală a importurilor realizate în </w:t>
      </w:r>
      <w:r w:rsidR="003A3260" w:rsidRPr="00A057AC">
        <w:rPr>
          <w:rFonts w:ascii="Tahoma" w:eastAsia="Times New Roman" w:hAnsi="Tahoma" w:cs="Tahoma"/>
          <w:color w:val="000000" w:themeColor="text1"/>
          <w:sz w:val="24"/>
          <w:szCs w:val="24"/>
        </w:rPr>
        <w:t>primul semestru din</w:t>
      </w:r>
      <w:r w:rsidRPr="00A057AC">
        <w:rPr>
          <w:rFonts w:ascii="Tahoma" w:eastAsia="Times New Roman" w:hAnsi="Tahoma" w:cs="Tahoma"/>
          <w:color w:val="000000" w:themeColor="text1"/>
          <w:sz w:val="24"/>
          <w:szCs w:val="24"/>
        </w:rPr>
        <w:t xml:space="preserve"> 2021. </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lastRenderedPageBreak/>
        <w:t>Structura importurilor de bunuri a fost dominat</w:t>
      </w:r>
      <w:bookmarkStart w:id="7" w:name="_Hlk34901648"/>
      <w:r w:rsidRPr="00A057AC">
        <w:rPr>
          <w:rFonts w:ascii="Tahoma" w:eastAsia="Times New Roman" w:hAnsi="Tahoma" w:cs="Tahoma"/>
          <w:color w:val="000000" w:themeColor="text1"/>
          <w:sz w:val="24"/>
          <w:szCs w:val="24"/>
        </w:rPr>
        <w:t>ă,</w:t>
      </w:r>
      <w:bookmarkEnd w:id="7"/>
      <w:r w:rsidRPr="00A057AC">
        <w:rPr>
          <w:rFonts w:ascii="Tahoma" w:eastAsia="Times New Roman" w:hAnsi="Tahoma" w:cs="Tahoma"/>
          <w:color w:val="000000" w:themeColor="text1"/>
          <w:sz w:val="24"/>
          <w:szCs w:val="24"/>
        </w:rPr>
        <w:t xml:space="preserve"> ca și </w:t>
      </w:r>
      <w:bookmarkStart w:id="8" w:name="_Hlk57145759"/>
      <w:r w:rsidRPr="00A057AC">
        <w:rPr>
          <w:rFonts w:ascii="Tahoma" w:eastAsia="Times New Roman" w:hAnsi="Tahoma" w:cs="Tahoma"/>
          <w:color w:val="000000" w:themeColor="text1"/>
          <w:sz w:val="24"/>
          <w:szCs w:val="24"/>
        </w:rPr>
        <w:t>în</w:t>
      </w:r>
      <w:bookmarkEnd w:id="8"/>
      <w:r w:rsidRPr="00A057AC">
        <w:rPr>
          <w:rFonts w:ascii="Tahoma" w:eastAsia="Times New Roman" w:hAnsi="Tahoma" w:cs="Tahoma"/>
          <w:color w:val="000000" w:themeColor="text1"/>
          <w:sz w:val="24"/>
          <w:szCs w:val="24"/>
        </w:rPr>
        <w:t xml:space="preserve"> cazul exporturilor, de grupele de produse: mașini și echipamente pentru transport (36,6%) și alte produse manufacturate (</w:t>
      </w:r>
      <w:r w:rsidR="003A3260" w:rsidRPr="00A057AC">
        <w:rPr>
          <w:rFonts w:ascii="Tahoma" w:eastAsia="Times New Roman" w:hAnsi="Tahoma" w:cs="Tahoma"/>
          <w:color w:val="000000" w:themeColor="text1"/>
          <w:sz w:val="24"/>
          <w:szCs w:val="24"/>
        </w:rPr>
        <w:t>30,0</w:t>
      </w:r>
      <w:r w:rsidRPr="00A057AC">
        <w:rPr>
          <w:rFonts w:ascii="Tahoma" w:eastAsia="Times New Roman" w:hAnsi="Tahoma" w:cs="Tahoma"/>
          <w:color w:val="000000" w:themeColor="text1"/>
          <w:sz w:val="24"/>
          <w:szCs w:val="24"/>
        </w:rPr>
        <w:t>%).</w:t>
      </w:r>
    </w:p>
    <w:p w:rsidR="00DF1038" w:rsidRPr="00A057AC" w:rsidRDefault="00CB74F0" w:rsidP="0036088B">
      <w:pPr>
        <w:widowControl w:val="0"/>
        <w:suppressAutoHyphens/>
        <w:spacing w:before="120" w:after="120" w:line="276" w:lineRule="auto"/>
        <w:ind w:firstLine="720"/>
        <w:jc w:val="center"/>
        <w:rPr>
          <w:rFonts w:ascii="Tahoma" w:eastAsia="Times New Roman" w:hAnsi="Tahoma" w:cs="Tahoma"/>
          <w:color w:val="000000" w:themeColor="text1"/>
          <w:sz w:val="24"/>
          <w:szCs w:val="24"/>
        </w:rPr>
      </w:pPr>
      <w:r w:rsidRPr="00A057AC">
        <w:rPr>
          <w:rFonts w:ascii="Tahoma" w:eastAsia="Times New Roman" w:hAnsi="Tahoma" w:cs="Tahoma"/>
          <w:b/>
          <w:bCs/>
          <w:color w:val="000000" w:themeColor="text1"/>
          <w:sz w:val="24"/>
          <w:szCs w:val="24"/>
        </w:rPr>
        <w:t>Evoluția</w:t>
      </w:r>
      <w:r w:rsidR="00DF1038" w:rsidRPr="00A057AC">
        <w:rPr>
          <w:rFonts w:ascii="Tahoma" w:eastAsia="Times New Roman" w:hAnsi="Tahoma" w:cs="Tahoma"/>
          <w:b/>
          <w:bCs/>
          <w:color w:val="000000" w:themeColor="text1"/>
          <w:sz w:val="24"/>
          <w:szCs w:val="24"/>
        </w:rPr>
        <w:t xml:space="preserve"> </w:t>
      </w:r>
      <w:r w:rsidRPr="00A057AC">
        <w:rPr>
          <w:rFonts w:ascii="Tahoma" w:eastAsia="Times New Roman" w:hAnsi="Tahoma" w:cs="Tahoma"/>
          <w:b/>
          <w:bCs/>
          <w:color w:val="000000" w:themeColor="text1"/>
          <w:sz w:val="24"/>
          <w:szCs w:val="24"/>
        </w:rPr>
        <w:t>Comerțului</w:t>
      </w:r>
      <w:r w:rsidR="00DF1038" w:rsidRPr="00A057AC">
        <w:rPr>
          <w:rFonts w:ascii="Tahoma" w:eastAsia="Times New Roman" w:hAnsi="Tahoma" w:cs="Tahoma"/>
          <w:b/>
          <w:bCs/>
          <w:color w:val="000000" w:themeColor="text1"/>
          <w:sz w:val="24"/>
          <w:szCs w:val="24"/>
        </w:rPr>
        <w:t xml:space="preserve"> Exterior ianuarie - </w:t>
      </w:r>
      <w:r w:rsidR="003A3260" w:rsidRPr="00A057AC">
        <w:rPr>
          <w:rFonts w:ascii="Tahoma" w:eastAsia="Times New Roman" w:hAnsi="Tahoma" w:cs="Tahoma"/>
          <w:b/>
          <w:bCs/>
          <w:color w:val="000000" w:themeColor="text1"/>
          <w:sz w:val="24"/>
          <w:szCs w:val="24"/>
        </w:rPr>
        <w:t>iunie</w:t>
      </w:r>
      <w:r w:rsidR="00DF1038" w:rsidRPr="00A057AC">
        <w:rPr>
          <w:rFonts w:ascii="Tahoma" w:eastAsia="Times New Roman" w:hAnsi="Tahoma" w:cs="Tahoma"/>
          <w:b/>
          <w:bCs/>
          <w:color w:val="000000" w:themeColor="text1"/>
          <w:sz w:val="24"/>
          <w:szCs w:val="24"/>
        </w:rPr>
        <w:t xml:space="preserve"> 2021</w:t>
      </w:r>
    </w:p>
    <w:p w:rsidR="00DF1038" w:rsidRPr="00A057AC" w:rsidRDefault="003A3260" w:rsidP="00DF1038">
      <w:pPr>
        <w:suppressAutoHyphens/>
        <w:spacing w:before="120" w:after="0" w:line="276" w:lineRule="auto"/>
        <w:ind w:firstLine="0"/>
        <w:jc w:val="center"/>
        <w:rPr>
          <w:rFonts w:ascii="Tahoma" w:eastAsia="Times New Roman" w:hAnsi="Tahoma" w:cs="Tahoma"/>
          <w:b/>
          <w:bCs/>
          <w:color w:val="002060"/>
          <w:sz w:val="24"/>
          <w:szCs w:val="24"/>
        </w:rPr>
      </w:pPr>
      <w:r w:rsidRPr="00A057AC">
        <w:rPr>
          <w:rFonts w:ascii="Tahoma" w:eastAsia="Times New Roman" w:hAnsi="Tahoma" w:cs="Tahoma"/>
          <w:b/>
          <w:bCs/>
          <w:noProof/>
          <w:color w:val="002060"/>
          <w:sz w:val="24"/>
          <w:szCs w:val="24"/>
          <w:lang w:val="en-US"/>
        </w:rPr>
        <w:drawing>
          <wp:inline distT="0" distB="0" distL="0" distR="0" wp14:anchorId="78D7F2F9" wp14:editId="0F913BC9">
            <wp:extent cx="4889380" cy="2682815"/>
            <wp:effectExtent l="19050" t="0" r="25520" b="3235"/>
            <wp:docPr id="3" name="Chart 1">
              <a:extLst xmlns:a="http://schemas.openxmlformats.org/drawingml/2006/main">
                <a:ext uri="{FF2B5EF4-FFF2-40B4-BE49-F238E27FC236}">
                  <a16:creationId xmlns:a16="http://schemas.microsoft.com/office/drawing/2014/main" id="{EDF500F3-B1CC-4A38-9AC6-FA7FE8B8D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1038" w:rsidRPr="00A057AC" w:rsidRDefault="00DF1038" w:rsidP="0036088B">
      <w:pPr>
        <w:suppressAutoHyphens/>
        <w:spacing w:before="120" w:after="0" w:line="276" w:lineRule="auto"/>
        <w:ind w:left="142" w:hanging="142"/>
        <w:rPr>
          <w:rFonts w:ascii="Tahoma" w:eastAsia="Times New Roman" w:hAnsi="Tahoma" w:cs="Tahoma"/>
          <w:b/>
          <w:bCs/>
          <w:color w:val="000000" w:themeColor="text1"/>
          <w:sz w:val="24"/>
          <w:szCs w:val="24"/>
        </w:rPr>
      </w:pPr>
      <w:r w:rsidRPr="00A057AC">
        <w:rPr>
          <w:rFonts w:ascii="Tahoma" w:eastAsia="Times New Roman" w:hAnsi="Tahoma" w:cs="Tahoma"/>
          <w:b/>
          <w:bCs/>
          <w:color w:val="002060"/>
          <w:sz w:val="24"/>
          <w:szCs w:val="24"/>
        </w:rPr>
        <w:tab/>
      </w:r>
      <w:r w:rsidRPr="00A057AC">
        <w:rPr>
          <w:rFonts w:ascii="Tahoma" w:eastAsia="Times New Roman" w:hAnsi="Tahoma" w:cs="Tahoma"/>
          <w:b/>
          <w:bCs/>
          <w:color w:val="002060"/>
          <w:sz w:val="24"/>
          <w:szCs w:val="24"/>
        </w:rPr>
        <w:tab/>
      </w:r>
      <w:r w:rsidRPr="00A057AC">
        <w:rPr>
          <w:rFonts w:ascii="Tahoma" w:eastAsia="Times New Roman" w:hAnsi="Tahoma" w:cs="Tahoma"/>
          <w:b/>
          <w:color w:val="000000" w:themeColor="text1"/>
          <w:sz w:val="24"/>
          <w:szCs w:val="24"/>
        </w:rPr>
        <w:t>Balanța comercială a României</w:t>
      </w:r>
      <w:r w:rsidRPr="00A057AC">
        <w:rPr>
          <w:rFonts w:ascii="Tahoma" w:eastAsia="Times New Roman" w:hAnsi="Tahoma" w:cs="Tahoma"/>
          <w:color w:val="000000" w:themeColor="text1"/>
          <w:sz w:val="24"/>
          <w:szCs w:val="24"/>
        </w:rPr>
        <w:t xml:space="preserve"> s-a închis, în primele </w:t>
      </w:r>
      <w:r w:rsidR="00BC1133" w:rsidRPr="00A057AC">
        <w:rPr>
          <w:rFonts w:ascii="Tahoma" w:eastAsia="Times New Roman" w:hAnsi="Tahoma" w:cs="Tahoma"/>
          <w:color w:val="000000" w:themeColor="text1"/>
          <w:sz w:val="24"/>
          <w:szCs w:val="24"/>
        </w:rPr>
        <w:t>6</w:t>
      </w:r>
      <w:r w:rsidRPr="00A057AC">
        <w:rPr>
          <w:rFonts w:ascii="Tahoma" w:eastAsia="Times New Roman" w:hAnsi="Tahoma" w:cs="Tahoma"/>
          <w:color w:val="000000" w:themeColor="text1"/>
          <w:sz w:val="24"/>
          <w:szCs w:val="24"/>
        </w:rPr>
        <w:t xml:space="preserve"> luni ale anului 2021, cu un d</w:t>
      </w:r>
      <w:r w:rsidR="003A3260" w:rsidRPr="00A057AC">
        <w:rPr>
          <w:rFonts w:ascii="Tahoma" w:eastAsia="Times New Roman" w:hAnsi="Tahoma" w:cs="Tahoma"/>
          <w:color w:val="000000" w:themeColor="text1"/>
          <w:sz w:val="24"/>
          <w:szCs w:val="24"/>
        </w:rPr>
        <w:t>eficit FOB-CIF în valoare de 10,7</w:t>
      </w:r>
      <w:r w:rsidRPr="00A057AC">
        <w:rPr>
          <w:rFonts w:ascii="Tahoma" w:eastAsia="Times New Roman" w:hAnsi="Tahoma" w:cs="Tahoma"/>
          <w:color w:val="000000" w:themeColor="text1"/>
          <w:sz w:val="24"/>
          <w:szCs w:val="24"/>
        </w:rPr>
        <w:t xml:space="preserve"> miliarde eu</w:t>
      </w:r>
      <w:r w:rsidR="003A3260" w:rsidRPr="00A057AC">
        <w:rPr>
          <w:rFonts w:ascii="Tahoma" w:eastAsia="Times New Roman" w:hAnsi="Tahoma" w:cs="Tahoma"/>
          <w:color w:val="000000" w:themeColor="text1"/>
          <w:sz w:val="24"/>
          <w:szCs w:val="24"/>
        </w:rPr>
        <w:t>ro, generat în proporție de 71,5</w:t>
      </w:r>
      <w:r w:rsidRPr="00A057AC">
        <w:rPr>
          <w:rFonts w:ascii="Tahoma" w:eastAsia="Times New Roman" w:hAnsi="Tahoma" w:cs="Tahoma"/>
          <w:color w:val="000000" w:themeColor="text1"/>
          <w:sz w:val="24"/>
          <w:szCs w:val="24"/>
        </w:rPr>
        <w:t xml:space="preserve">% de către zona intra a schimburilor de bunuri. </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Sectorul de mașini și echipamente pentru transport a acoperit </w:t>
      </w:r>
      <w:r w:rsidR="003A3260" w:rsidRPr="00A057AC">
        <w:rPr>
          <w:rFonts w:ascii="Tahoma" w:eastAsia="Times New Roman" w:hAnsi="Tahoma" w:cs="Tahoma"/>
          <w:color w:val="000000" w:themeColor="text1"/>
          <w:sz w:val="24"/>
          <w:szCs w:val="24"/>
        </w:rPr>
        <w:t>doar 1,9</w:t>
      </w:r>
      <w:r w:rsidRPr="00A057AC">
        <w:rPr>
          <w:rFonts w:ascii="Tahoma" w:eastAsia="Times New Roman" w:hAnsi="Tahoma" w:cs="Tahoma"/>
          <w:color w:val="000000" w:themeColor="text1"/>
          <w:sz w:val="24"/>
          <w:szCs w:val="24"/>
        </w:rPr>
        <w:t xml:space="preserve">% din deficitul comercial total, cu un excedent de </w:t>
      </w:r>
      <w:r w:rsidR="003A3260" w:rsidRPr="00A057AC">
        <w:rPr>
          <w:rFonts w:ascii="Tahoma" w:eastAsia="Times New Roman" w:hAnsi="Tahoma" w:cs="Tahoma"/>
          <w:color w:val="000000" w:themeColor="text1"/>
          <w:sz w:val="24"/>
          <w:szCs w:val="24"/>
        </w:rPr>
        <w:t>207,1</w:t>
      </w:r>
      <w:r w:rsidR="00CB74F0" w:rsidRPr="00A057AC">
        <w:rPr>
          <w:rFonts w:ascii="Tahoma" w:eastAsia="Times New Roman" w:hAnsi="Tahoma" w:cs="Tahoma"/>
          <w:color w:val="000000" w:themeColor="text1"/>
          <w:sz w:val="24"/>
          <w:szCs w:val="24"/>
        </w:rPr>
        <w:t xml:space="preserve"> milioane </w:t>
      </w:r>
      <w:r w:rsidRPr="00A057AC">
        <w:rPr>
          <w:rFonts w:ascii="Tahoma" w:eastAsia="Times New Roman" w:hAnsi="Tahoma" w:cs="Tahoma"/>
          <w:color w:val="000000" w:themeColor="text1"/>
          <w:sz w:val="24"/>
          <w:szCs w:val="24"/>
        </w:rPr>
        <w:t>euro. Pe zona de petrochimie (produse farmaceutice, îngrășăminte, materiale plastic</w:t>
      </w:r>
      <w:r w:rsidR="00CB74F0" w:rsidRPr="00A057AC">
        <w:rPr>
          <w:rFonts w:ascii="Tahoma" w:eastAsia="Times New Roman" w:hAnsi="Tahoma" w:cs="Tahoma"/>
          <w:color w:val="000000" w:themeColor="text1"/>
          <w:sz w:val="24"/>
          <w:szCs w:val="24"/>
        </w:rPr>
        <w:t>e etc.) deficitul a fost de</w:t>
      </w:r>
      <w:r w:rsidRPr="00A057AC">
        <w:rPr>
          <w:rFonts w:ascii="Tahoma" w:eastAsia="Times New Roman" w:hAnsi="Tahoma" w:cs="Tahoma"/>
          <w:color w:val="000000" w:themeColor="text1"/>
          <w:sz w:val="24"/>
          <w:szCs w:val="24"/>
        </w:rPr>
        <w:t xml:space="preserve"> </w:t>
      </w:r>
      <w:r w:rsidR="003A3260" w:rsidRPr="00A057AC">
        <w:rPr>
          <w:rFonts w:ascii="Tahoma" w:eastAsia="Times New Roman" w:hAnsi="Tahoma" w:cs="Tahoma"/>
          <w:color w:val="000000" w:themeColor="text1"/>
          <w:sz w:val="24"/>
          <w:szCs w:val="24"/>
        </w:rPr>
        <w:t>5</w:t>
      </w:r>
      <w:r w:rsidRPr="00A057AC">
        <w:rPr>
          <w:rFonts w:ascii="Tahoma" w:eastAsia="Times New Roman" w:hAnsi="Tahoma" w:cs="Tahoma"/>
          <w:color w:val="000000" w:themeColor="text1"/>
          <w:sz w:val="24"/>
          <w:szCs w:val="24"/>
        </w:rPr>
        <w:t>,1 miliarde euro și a reprezentat aproape 4</w:t>
      </w:r>
      <w:r w:rsidR="003A3260" w:rsidRPr="00A057AC">
        <w:rPr>
          <w:rFonts w:ascii="Tahoma" w:eastAsia="Times New Roman" w:hAnsi="Tahoma" w:cs="Tahoma"/>
          <w:color w:val="000000" w:themeColor="text1"/>
          <w:sz w:val="24"/>
          <w:szCs w:val="24"/>
        </w:rPr>
        <w:t>8</w:t>
      </w:r>
      <w:r w:rsidRPr="00A057AC">
        <w:rPr>
          <w:rFonts w:ascii="Tahoma" w:eastAsia="Times New Roman" w:hAnsi="Tahoma" w:cs="Tahoma"/>
          <w:color w:val="000000" w:themeColor="text1"/>
          <w:sz w:val="24"/>
          <w:szCs w:val="24"/>
        </w:rPr>
        <w:t>% din pierderea consemnată pe total, în timp ce la aliment</w:t>
      </w:r>
      <w:r w:rsidR="003A3260" w:rsidRPr="00A057AC">
        <w:rPr>
          <w:rFonts w:ascii="Tahoma" w:eastAsia="Times New Roman" w:hAnsi="Tahoma" w:cs="Tahoma"/>
          <w:color w:val="000000" w:themeColor="text1"/>
          <w:sz w:val="24"/>
          <w:szCs w:val="24"/>
        </w:rPr>
        <w:t>e și animale vii, minusul de 1,5</w:t>
      </w:r>
      <w:r w:rsidRPr="00A057AC">
        <w:rPr>
          <w:rFonts w:ascii="Tahoma" w:eastAsia="Times New Roman" w:hAnsi="Tahoma" w:cs="Tahoma"/>
          <w:color w:val="000000" w:themeColor="text1"/>
          <w:sz w:val="24"/>
          <w:szCs w:val="24"/>
        </w:rPr>
        <w:t xml:space="preserve"> miliarde euro a rezultat în totalitate din comerțul cu statele UE.</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În primele 5 luni din 2021, </w:t>
      </w:r>
      <w:r w:rsidRPr="00A057AC">
        <w:rPr>
          <w:rFonts w:ascii="Tahoma" w:eastAsia="Times New Roman" w:hAnsi="Tahoma" w:cs="Tahoma"/>
          <w:b/>
          <w:color w:val="000000" w:themeColor="text1"/>
          <w:sz w:val="24"/>
          <w:szCs w:val="24"/>
        </w:rPr>
        <w:t>contul curent al balanței de plăți</w:t>
      </w:r>
      <w:r w:rsidRPr="00A057AC">
        <w:rPr>
          <w:rFonts w:ascii="Tahoma" w:eastAsia="Times New Roman" w:hAnsi="Tahoma" w:cs="Tahoma"/>
          <w:color w:val="000000" w:themeColor="text1"/>
          <w:sz w:val="24"/>
          <w:szCs w:val="24"/>
        </w:rPr>
        <w:t xml:space="preserve"> a înregistrat un sold negativ în valoare de 5.947 milioane euro, comparativ cu 3.207 milioane euro atins în aceeași perioadă din anul 2020. În structură,</w:t>
      </w:r>
      <w:r w:rsidR="00035122" w:rsidRPr="00A057AC">
        <w:rPr>
          <w:rFonts w:ascii="Tahoma" w:eastAsia="Times New Roman" w:hAnsi="Tahoma" w:cs="Tahoma"/>
          <w:color w:val="000000" w:themeColor="text1"/>
          <w:sz w:val="24"/>
          <w:szCs w:val="24"/>
        </w:rPr>
        <w:t xml:space="preserve"> </w:t>
      </w:r>
      <w:r w:rsidRPr="00A057AC">
        <w:rPr>
          <w:rFonts w:ascii="Tahoma" w:eastAsia="Times New Roman" w:hAnsi="Tahoma" w:cs="Tahoma"/>
          <w:color w:val="000000" w:themeColor="text1"/>
          <w:sz w:val="24"/>
          <w:szCs w:val="24"/>
        </w:rPr>
        <w:t>a fost consemnat un deficit al balanței bunurilor cu 1.130 milioane euro mai mare, balanța veniturilor secundare și cea a serviciilor au înregistrat excedente mai mici cu 287 milioane euro, respectiv cu 72 milioane euro, în timp ce veniturile primare și-au transformat excedentul în deficit.</w:t>
      </w:r>
    </w:p>
    <w:p w:rsidR="00DF1038" w:rsidRPr="00A057AC" w:rsidRDefault="00035122"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b/>
          <w:color w:val="000000" w:themeColor="text1"/>
          <w:sz w:val="24"/>
          <w:szCs w:val="24"/>
        </w:rPr>
        <w:t>Investițiile</w:t>
      </w:r>
      <w:r w:rsidR="00DF1038" w:rsidRPr="00A057AC">
        <w:rPr>
          <w:rFonts w:ascii="Tahoma" w:eastAsia="Times New Roman" w:hAnsi="Tahoma" w:cs="Tahoma"/>
          <w:b/>
          <w:color w:val="000000" w:themeColor="text1"/>
          <w:sz w:val="24"/>
          <w:szCs w:val="24"/>
        </w:rPr>
        <w:t xml:space="preserve"> străine directe </w:t>
      </w:r>
      <w:r w:rsidR="00DF1038" w:rsidRPr="00A057AC">
        <w:rPr>
          <w:rFonts w:ascii="Tahoma" w:eastAsia="Times New Roman" w:hAnsi="Tahoma" w:cs="Tahoma"/>
          <w:color w:val="000000" w:themeColor="text1"/>
          <w:sz w:val="24"/>
          <w:szCs w:val="24"/>
        </w:rPr>
        <w:t xml:space="preserve">au însumat, în perioada ianuarie-mai 2021, o valoare de 2.432 milioane euro, comparativ cu 758 milioane euro în </w:t>
      </w:r>
      <w:r w:rsidRPr="00A057AC">
        <w:rPr>
          <w:rFonts w:ascii="Tahoma" w:eastAsia="Times New Roman" w:hAnsi="Tahoma" w:cs="Tahoma"/>
          <w:color w:val="000000" w:themeColor="text1"/>
          <w:sz w:val="24"/>
          <w:szCs w:val="24"/>
        </w:rPr>
        <w:t>aceeași</w:t>
      </w:r>
      <w:r w:rsidR="00DF1038" w:rsidRPr="00A057AC">
        <w:rPr>
          <w:rFonts w:ascii="Tahoma" w:eastAsia="Times New Roman" w:hAnsi="Tahoma" w:cs="Tahoma"/>
          <w:color w:val="000000" w:themeColor="text1"/>
          <w:sz w:val="24"/>
          <w:szCs w:val="24"/>
        </w:rPr>
        <w:t xml:space="preserve"> perioadă a anului anterior. Nivelul investițiilor reale în economie (</w:t>
      </w:r>
      <w:r w:rsidRPr="00A057AC">
        <w:rPr>
          <w:rFonts w:ascii="Tahoma" w:eastAsia="Times New Roman" w:hAnsi="Tahoma" w:cs="Tahoma"/>
          <w:color w:val="000000" w:themeColor="text1"/>
          <w:sz w:val="24"/>
          <w:szCs w:val="24"/>
        </w:rPr>
        <w:t>participații</w:t>
      </w:r>
      <w:r w:rsidR="00DF1038" w:rsidRPr="00A057AC">
        <w:rPr>
          <w:rFonts w:ascii="Tahoma" w:eastAsia="Times New Roman" w:hAnsi="Tahoma" w:cs="Tahoma"/>
          <w:color w:val="000000" w:themeColor="text1"/>
          <w:sz w:val="24"/>
          <w:szCs w:val="24"/>
        </w:rPr>
        <w:t xml:space="preserve"> la capital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profit reinvestit) a fost de 2.340 milioane euro, în timp ce pentru creditele intragrup a fost consemnată o valoare netă de 92 milioane euro.</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Creșterea </w:t>
      </w:r>
      <w:r w:rsidRPr="00A057AC">
        <w:rPr>
          <w:rFonts w:ascii="Tahoma" w:eastAsia="Times New Roman" w:hAnsi="Tahoma" w:cs="Tahoma"/>
          <w:b/>
          <w:color w:val="000000" w:themeColor="text1"/>
          <w:sz w:val="24"/>
          <w:szCs w:val="24"/>
        </w:rPr>
        <w:t xml:space="preserve">prețurilor de consum </w:t>
      </w:r>
      <w:r w:rsidR="00035122"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-a continuat traiectoria manifestată încă din prima parte a anului, inflația anuală ajungând în luna iunie la un vârf de 3,94%, cu </w:t>
      </w:r>
      <w:r w:rsidRPr="00A057AC">
        <w:rPr>
          <w:rFonts w:ascii="Tahoma" w:eastAsia="Times New Roman" w:hAnsi="Tahoma" w:cs="Tahoma"/>
          <w:color w:val="000000" w:themeColor="text1"/>
          <w:sz w:val="24"/>
          <w:szCs w:val="24"/>
        </w:rPr>
        <w:lastRenderedPageBreak/>
        <w:t xml:space="preserve">aproape 1 punct procentual mai mult decât în luna ianuarie 2021. </w:t>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Pe medie, în primul semestru al anului 2021 comparativ cu perioada corespunzătoare a anului anterior, prețurile de consum au crescut cu 3,36%. Creșterile cele mai pronunțate s-au înregistrat la mărfurile nealimentare (4,67%), urmate de tarifele la servicii (2,51%), în timp ce prețurile mărfurilor alimentare s-au majorat doar cu 1,93%. </w:t>
      </w:r>
    </w:p>
    <w:p w:rsidR="00DF1038" w:rsidRPr="00A057AC" w:rsidRDefault="00035122" w:rsidP="0036088B">
      <w:pPr>
        <w:widowControl w:val="0"/>
        <w:suppressAutoHyphens/>
        <w:spacing w:before="120" w:after="24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Creșterea</w:t>
      </w:r>
      <w:r w:rsidR="00DF1038" w:rsidRPr="00A057AC">
        <w:rPr>
          <w:rFonts w:ascii="Tahoma" w:eastAsia="Times New Roman" w:hAnsi="Tahoma" w:cs="Tahoma"/>
          <w:color w:val="000000" w:themeColor="text1"/>
          <w:sz w:val="24"/>
          <w:szCs w:val="24"/>
        </w:rPr>
        <w:t xml:space="preserve"> bruscă a </w:t>
      </w:r>
      <w:r w:rsidRPr="00A057AC">
        <w:rPr>
          <w:rFonts w:ascii="Tahoma" w:eastAsia="Times New Roman" w:hAnsi="Tahoma" w:cs="Tahoma"/>
          <w:color w:val="000000" w:themeColor="text1"/>
          <w:sz w:val="24"/>
          <w:szCs w:val="24"/>
        </w:rPr>
        <w:t>prețurilor</w:t>
      </w:r>
      <w:r w:rsidR="00DF1038" w:rsidRPr="00A057AC">
        <w:rPr>
          <w:rFonts w:ascii="Tahoma" w:eastAsia="Times New Roman" w:hAnsi="Tahoma" w:cs="Tahoma"/>
          <w:color w:val="000000" w:themeColor="text1"/>
          <w:sz w:val="24"/>
          <w:szCs w:val="24"/>
        </w:rPr>
        <w:t xml:space="preserve"> la energia electrică de la începutul anului, precum </w:t>
      </w:r>
      <w:r w:rsidRPr="00A057AC">
        <w:rPr>
          <w:rFonts w:ascii="Tahoma" w:eastAsia="Times New Roman" w:hAnsi="Tahoma" w:cs="Tahoma"/>
          <w:color w:val="000000" w:themeColor="text1"/>
          <w:sz w:val="24"/>
          <w:szCs w:val="24"/>
        </w:rPr>
        <w:t>și</w:t>
      </w:r>
      <w:r w:rsidR="00DF1038" w:rsidRPr="00A057AC">
        <w:rPr>
          <w:rFonts w:ascii="Tahoma" w:eastAsia="Times New Roman" w:hAnsi="Tahoma" w:cs="Tahoma"/>
          <w:color w:val="000000" w:themeColor="text1"/>
          <w:sz w:val="24"/>
          <w:szCs w:val="24"/>
        </w:rPr>
        <w:t xml:space="preserve"> majorarea prețurilor la carburanți, ca urmare a </w:t>
      </w:r>
      <w:r w:rsidRPr="00A057AC">
        <w:rPr>
          <w:rFonts w:ascii="Tahoma" w:eastAsia="Times New Roman" w:hAnsi="Tahoma" w:cs="Tahoma"/>
          <w:color w:val="000000" w:themeColor="text1"/>
          <w:sz w:val="24"/>
          <w:szCs w:val="24"/>
        </w:rPr>
        <w:t>creșterilor</w:t>
      </w:r>
      <w:r w:rsidR="00DF1038" w:rsidRPr="00A057AC">
        <w:rPr>
          <w:rFonts w:ascii="Tahoma" w:eastAsia="Times New Roman" w:hAnsi="Tahoma" w:cs="Tahoma"/>
          <w:color w:val="000000" w:themeColor="text1"/>
          <w:sz w:val="24"/>
          <w:szCs w:val="24"/>
        </w:rPr>
        <w:t xml:space="preserve"> pronunțate ale cotațiilor petrolului din prima parte a anului 2021, au influențat semnificativ evoluția prețurilor în cazul bunurilor nealimentare. Deprecierea monedei naționale din primul semestru a contribuit, de asemenea, la creșterea prețurilor de consum.</w:t>
      </w:r>
    </w:p>
    <w:p w:rsidR="00DF1038" w:rsidRPr="00A057AC" w:rsidRDefault="00DF1038" w:rsidP="0036088B">
      <w:pPr>
        <w:widowControl w:val="0"/>
        <w:suppressAutoHyphens/>
        <w:spacing w:before="120" w:after="24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color w:val="000000" w:themeColor="text1"/>
          <w:sz w:val="24"/>
          <w:szCs w:val="24"/>
        </w:rPr>
        <w:t xml:space="preserve">Totodată, contextul de relaxare a </w:t>
      </w:r>
      <w:r w:rsidR="00035122" w:rsidRPr="00A057AC">
        <w:rPr>
          <w:rFonts w:ascii="Tahoma" w:eastAsia="Times New Roman" w:hAnsi="Tahoma" w:cs="Tahoma"/>
          <w:color w:val="000000" w:themeColor="text1"/>
          <w:sz w:val="24"/>
          <w:szCs w:val="24"/>
        </w:rPr>
        <w:t>condițiilor</w:t>
      </w:r>
      <w:r w:rsidRPr="00A057AC">
        <w:rPr>
          <w:rFonts w:ascii="Tahoma" w:eastAsia="Times New Roman" w:hAnsi="Tahoma" w:cs="Tahoma"/>
          <w:color w:val="000000" w:themeColor="text1"/>
          <w:sz w:val="24"/>
          <w:szCs w:val="24"/>
        </w:rPr>
        <w:t xml:space="preserve"> de prevenire a extinderii pandemiei de C</w:t>
      </w:r>
      <w:r w:rsidR="00035122" w:rsidRPr="00A057AC">
        <w:rPr>
          <w:rFonts w:ascii="Tahoma" w:eastAsia="Times New Roman" w:hAnsi="Tahoma" w:cs="Tahoma"/>
          <w:color w:val="000000" w:themeColor="text1"/>
          <w:sz w:val="24"/>
          <w:szCs w:val="24"/>
        </w:rPr>
        <w:t>OVID</w:t>
      </w:r>
      <w:r w:rsidRPr="00A057AC">
        <w:rPr>
          <w:rFonts w:ascii="Tahoma" w:eastAsia="Times New Roman" w:hAnsi="Tahoma" w:cs="Tahoma"/>
          <w:color w:val="000000" w:themeColor="text1"/>
          <w:sz w:val="24"/>
          <w:szCs w:val="24"/>
        </w:rPr>
        <w:t xml:space="preserve">-19 a condus la scăderea </w:t>
      </w:r>
      <w:r w:rsidR="00035122" w:rsidRPr="00A057AC">
        <w:rPr>
          <w:rFonts w:ascii="Tahoma" w:eastAsia="Times New Roman" w:hAnsi="Tahoma" w:cs="Tahoma"/>
          <w:color w:val="000000" w:themeColor="text1"/>
          <w:sz w:val="24"/>
          <w:szCs w:val="24"/>
        </w:rPr>
        <w:t>prețurilor</w:t>
      </w:r>
      <w:r w:rsidRPr="00A057AC">
        <w:rPr>
          <w:rFonts w:ascii="Tahoma" w:eastAsia="Times New Roman" w:hAnsi="Tahoma" w:cs="Tahoma"/>
          <w:color w:val="000000" w:themeColor="text1"/>
          <w:sz w:val="24"/>
          <w:szCs w:val="24"/>
        </w:rPr>
        <w:t xml:space="preserve"> mărfurilor alimentare, </w:t>
      </w:r>
      <w:r w:rsidR="00035122" w:rsidRPr="00A057AC">
        <w:rPr>
          <w:rFonts w:ascii="Tahoma" w:eastAsia="Times New Roman" w:hAnsi="Tahoma" w:cs="Tahoma"/>
          <w:color w:val="000000" w:themeColor="text1"/>
          <w:sz w:val="24"/>
          <w:szCs w:val="24"/>
        </w:rPr>
        <w:t>față</w:t>
      </w:r>
      <w:r w:rsidRPr="00A057AC">
        <w:rPr>
          <w:rFonts w:ascii="Tahoma" w:eastAsia="Times New Roman" w:hAnsi="Tahoma" w:cs="Tahoma"/>
          <w:color w:val="000000" w:themeColor="text1"/>
          <w:sz w:val="24"/>
          <w:szCs w:val="24"/>
        </w:rPr>
        <w:t xml:space="preserve"> de anul precedent, fapt indus de majorarea ofertei de consum pentru produsele de strictă necesitate, cât </w:t>
      </w:r>
      <w:r w:rsidR="00035122"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de revenirea la normal a </w:t>
      </w:r>
      <w:r w:rsidR="00035122" w:rsidRPr="00A057AC">
        <w:rPr>
          <w:rFonts w:ascii="Tahoma" w:eastAsia="Times New Roman" w:hAnsi="Tahoma" w:cs="Tahoma"/>
          <w:color w:val="000000" w:themeColor="text1"/>
          <w:sz w:val="24"/>
          <w:szCs w:val="24"/>
        </w:rPr>
        <w:t>activităților</w:t>
      </w:r>
      <w:r w:rsidRPr="00A057AC">
        <w:rPr>
          <w:rFonts w:ascii="Tahoma" w:eastAsia="Times New Roman" w:hAnsi="Tahoma" w:cs="Tahoma"/>
          <w:color w:val="000000" w:themeColor="text1"/>
          <w:sz w:val="24"/>
          <w:szCs w:val="24"/>
        </w:rPr>
        <w:t xml:space="preserve"> economice privind lanțurile de aprovizionare </w:t>
      </w:r>
      <w:r w:rsidR="00035122" w:rsidRPr="00A057AC">
        <w:rPr>
          <w:rFonts w:ascii="Tahoma" w:eastAsia="Times New Roman" w:hAnsi="Tahoma" w:cs="Tahoma"/>
          <w:color w:val="000000" w:themeColor="text1"/>
          <w:sz w:val="24"/>
          <w:szCs w:val="24"/>
        </w:rPr>
        <w:t>și</w:t>
      </w:r>
      <w:r w:rsidRPr="00A057AC">
        <w:rPr>
          <w:rFonts w:ascii="Tahoma" w:eastAsia="Times New Roman" w:hAnsi="Tahoma" w:cs="Tahoma"/>
          <w:color w:val="000000" w:themeColor="text1"/>
          <w:sz w:val="24"/>
          <w:szCs w:val="24"/>
        </w:rPr>
        <w:t xml:space="preserve"> distribuție. </w:t>
      </w:r>
    </w:p>
    <w:p w:rsidR="00DF1038" w:rsidRPr="00A057AC" w:rsidRDefault="00DF1038" w:rsidP="0036088B">
      <w:pPr>
        <w:widowControl w:val="0"/>
        <w:suppressAutoHyphens/>
        <w:spacing w:after="120" w:line="276" w:lineRule="auto"/>
        <w:ind w:hanging="360"/>
        <w:jc w:val="center"/>
        <w:rPr>
          <w:rFonts w:ascii="Tahoma" w:eastAsia="Times New Roman" w:hAnsi="Tahoma" w:cs="Tahoma"/>
          <w:b/>
          <w:bCs/>
          <w:color w:val="000000" w:themeColor="text1"/>
          <w:sz w:val="24"/>
          <w:szCs w:val="24"/>
        </w:rPr>
      </w:pPr>
      <w:r w:rsidRPr="00A057AC">
        <w:rPr>
          <w:rFonts w:ascii="Tahoma" w:eastAsia="Times New Roman" w:hAnsi="Tahoma" w:cs="Tahoma"/>
          <w:b/>
          <w:bCs/>
          <w:color w:val="000000" w:themeColor="text1"/>
          <w:sz w:val="24"/>
          <w:szCs w:val="24"/>
        </w:rPr>
        <w:t>Contribuții la rata anuală a inflației (%)</w:t>
      </w:r>
    </w:p>
    <w:p w:rsidR="00DF1038" w:rsidRPr="00A057AC" w:rsidRDefault="00317481" w:rsidP="00DF1038">
      <w:pPr>
        <w:widowControl w:val="0"/>
        <w:suppressAutoHyphens/>
        <w:spacing w:line="276" w:lineRule="auto"/>
        <w:ind w:firstLine="0"/>
        <w:jc w:val="center"/>
        <w:rPr>
          <w:rFonts w:ascii="Tahoma" w:eastAsia="Times New Roman" w:hAnsi="Tahoma" w:cs="Tahoma"/>
          <w:b/>
          <w:noProof/>
          <w:color w:val="002060"/>
          <w:sz w:val="24"/>
          <w:szCs w:val="24"/>
        </w:rPr>
      </w:pPr>
      <w:r w:rsidRPr="00A057AC">
        <w:rPr>
          <w:rFonts w:ascii="Tahoma" w:eastAsia="Times New Roman" w:hAnsi="Tahoma" w:cs="Tahoma"/>
          <w:b/>
          <w:noProof/>
          <w:color w:val="002060"/>
          <w:sz w:val="24"/>
          <w:szCs w:val="24"/>
          <w:lang w:val="en-US"/>
        </w:rPr>
        <w:drawing>
          <wp:inline distT="0" distB="0" distL="0" distR="0" wp14:anchorId="51AF5547" wp14:editId="4E6754AA">
            <wp:extent cx="4912827" cy="2242868"/>
            <wp:effectExtent l="19050" t="0" r="21123" b="5032"/>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1038" w:rsidRPr="00A057AC" w:rsidRDefault="00DF1038" w:rsidP="0036088B">
      <w:pPr>
        <w:widowControl w:val="0"/>
        <w:suppressAutoHyphens/>
        <w:spacing w:before="120" w:after="120" w:line="276" w:lineRule="auto"/>
        <w:ind w:firstLine="720"/>
        <w:rPr>
          <w:rFonts w:ascii="Tahoma" w:eastAsia="Times New Roman" w:hAnsi="Tahoma" w:cs="Tahoma"/>
          <w:color w:val="000000" w:themeColor="text1"/>
          <w:sz w:val="24"/>
          <w:szCs w:val="24"/>
        </w:rPr>
      </w:pPr>
      <w:r w:rsidRPr="00A057AC">
        <w:rPr>
          <w:rFonts w:ascii="Tahoma" w:eastAsia="Times New Roman" w:hAnsi="Tahoma" w:cs="Tahoma"/>
          <w:b/>
          <w:color w:val="000000" w:themeColor="text1"/>
          <w:sz w:val="24"/>
          <w:szCs w:val="24"/>
        </w:rPr>
        <w:t>Cursul mediu de schimb leu/euro</w:t>
      </w:r>
      <w:r w:rsidRPr="00A057AC">
        <w:rPr>
          <w:rFonts w:ascii="Tahoma" w:eastAsia="Times New Roman" w:hAnsi="Tahoma" w:cs="Tahoma"/>
          <w:color w:val="000000" w:themeColor="text1"/>
          <w:sz w:val="24"/>
          <w:szCs w:val="24"/>
        </w:rPr>
        <w:t xml:space="preserve"> s-a situat, în primele 6 luni ale anului curent, la valoarea de 4,9008 lei/euro, moneda națională înregistrând o depreciere în termeni nominali de 1,73%, față de perioada corespunzătoare din 2020, în timp ce în termeni reali aceasta s-a apreciat cu 1,57%. În perioada ianuarie - iunie 2021, raportul euro/dolar a fost de 1,21.</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b/>
          <w:sz w:val="24"/>
          <w:szCs w:val="24"/>
        </w:rPr>
        <w:t>Efectivul salariaților</w:t>
      </w:r>
      <w:r w:rsidRPr="00A057AC">
        <w:rPr>
          <w:rFonts w:ascii="Tahoma" w:hAnsi="Tahoma" w:cs="Tahoma"/>
          <w:sz w:val="24"/>
          <w:szCs w:val="24"/>
        </w:rPr>
        <w:t xml:space="preserve"> s-a majorat începând cu luna ianuarie din 2021 </w:t>
      </w:r>
      <w:r w:rsidR="00A12797" w:rsidRPr="00A057AC">
        <w:rPr>
          <w:rFonts w:ascii="Tahoma" w:hAnsi="Tahoma" w:cs="Tahoma"/>
          <w:sz w:val="24"/>
          <w:szCs w:val="24"/>
        </w:rPr>
        <w:t>față</w:t>
      </w:r>
      <w:r w:rsidRPr="00A057AC">
        <w:rPr>
          <w:rFonts w:ascii="Tahoma" w:hAnsi="Tahoma" w:cs="Tahoma"/>
          <w:sz w:val="24"/>
          <w:szCs w:val="24"/>
        </w:rPr>
        <w:t xml:space="preserve"> de luna anterioară, </w:t>
      </w:r>
      <w:r w:rsidR="00A12797" w:rsidRPr="00A057AC">
        <w:rPr>
          <w:rFonts w:ascii="Tahoma" w:hAnsi="Tahoma" w:cs="Tahoma"/>
          <w:sz w:val="24"/>
          <w:szCs w:val="24"/>
        </w:rPr>
        <w:t>și</w:t>
      </w:r>
      <w:r w:rsidRPr="00A057AC">
        <w:rPr>
          <w:rFonts w:ascii="Tahoma" w:hAnsi="Tahoma" w:cs="Tahoma"/>
          <w:sz w:val="24"/>
          <w:szCs w:val="24"/>
        </w:rPr>
        <w:t xml:space="preserve"> s-a înscris pe un trend ușor crescător comparativ cu traiectoria din perioada corespunzătoare din 2020. Acesta a ajuns la sfârșitul lunii iunie la 4</w:t>
      </w:r>
      <w:r w:rsidR="00A12797" w:rsidRPr="00A057AC">
        <w:rPr>
          <w:rFonts w:ascii="Tahoma" w:hAnsi="Tahoma" w:cs="Tahoma"/>
          <w:sz w:val="24"/>
          <w:szCs w:val="24"/>
        </w:rPr>
        <w:t>.</w:t>
      </w:r>
      <w:r w:rsidRPr="00A057AC">
        <w:rPr>
          <w:rFonts w:ascii="Tahoma" w:hAnsi="Tahoma" w:cs="Tahoma"/>
          <w:sz w:val="24"/>
          <w:szCs w:val="24"/>
        </w:rPr>
        <w:t xml:space="preserve">969,2 mii persoane. Față de efectivul salariaților înregistrat la sfârșitul lunii iunie din anul 2020 </w:t>
      </w:r>
      <w:r w:rsidR="00261FFF" w:rsidRPr="00A057AC">
        <w:rPr>
          <w:rFonts w:ascii="Tahoma" w:hAnsi="Tahoma" w:cs="Tahoma"/>
          <w:sz w:val="24"/>
          <w:szCs w:val="24"/>
        </w:rPr>
        <w:t>creșterea</w:t>
      </w:r>
      <w:r w:rsidRPr="00A057AC">
        <w:rPr>
          <w:rFonts w:ascii="Tahoma" w:hAnsi="Tahoma" w:cs="Tahoma"/>
          <w:sz w:val="24"/>
          <w:szCs w:val="24"/>
        </w:rPr>
        <w:t xml:space="preserve"> a fost de 1,5%.</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b/>
          <w:sz w:val="24"/>
          <w:szCs w:val="24"/>
        </w:rPr>
        <w:lastRenderedPageBreak/>
        <w:t>Numărul mediu al salariaților</w:t>
      </w:r>
      <w:r w:rsidRPr="00A057AC">
        <w:rPr>
          <w:rFonts w:ascii="Tahoma" w:hAnsi="Tahoma" w:cs="Tahoma"/>
          <w:sz w:val="24"/>
          <w:szCs w:val="24"/>
        </w:rPr>
        <w:t xml:space="preserve"> (calculat ca medie aritmetică a efectivelor lunare) în primele 6 luni ale anului 2021 a fost de 4.949,9 mii persoane, în </w:t>
      </w:r>
      <w:r w:rsidR="00261FFF" w:rsidRPr="00A057AC">
        <w:rPr>
          <w:rFonts w:ascii="Tahoma" w:hAnsi="Tahoma" w:cs="Tahoma"/>
          <w:sz w:val="24"/>
          <w:szCs w:val="24"/>
        </w:rPr>
        <w:t>creștere</w:t>
      </w:r>
      <w:r w:rsidRPr="00A057AC">
        <w:rPr>
          <w:rFonts w:ascii="Tahoma" w:hAnsi="Tahoma" w:cs="Tahoma"/>
          <w:sz w:val="24"/>
          <w:szCs w:val="24"/>
        </w:rPr>
        <w:t xml:space="preserve"> cu 0,1% față de aceeași perioadă a anului 2020. Pe sectoare, evoluția a fost următoarea: sectorul bugetar a avut o creștere de 1,5%, iar în sectorul concurențial  s-a înregistrat o scădere de 0,2% față de aceeași perioadă a anului 2020. În structură, distribuția a fost următoarea: salariații din sectorul bugetar reprezentau 19,9% din totalul salariaților din economie, iar cei din sectorul concurențial 80,1%.</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sz w:val="24"/>
          <w:szCs w:val="24"/>
        </w:rPr>
        <w:t xml:space="preserve">Reducerea numărului mediu al salariaților a fost cauzată exclusiv de efectele pandemiei de COVID-19 atât la nivel național (măsurile de distanțare socială), cât și internațional (reducerea exporturilor </w:t>
      </w:r>
      <w:r w:rsidR="0009615F" w:rsidRPr="00A057AC">
        <w:rPr>
          <w:rFonts w:ascii="Tahoma" w:hAnsi="Tahoma" w:cs="Tahoma"/>
          <w:sz w:val="24"/>
          <w:szCs w:val="24"/>
        </w:rPr>
        <w:t>și</w:t>
      </w:r>
      <w:r w:rsidRPr="00A057AC">
        <w:rPr>
          <w:rFonts w:ascii="Tahoma" w:hAnsi="Tahoma" w:cs="Tahoma"/>
          <w:sz w:val="24"/>
          <w:szCs w:val="24"/>
        </w:rPr>
        <w:t xml:space="preserve"> problemele lanțurilor de aprovizionare). Astfel, începând cu luna ianuarie scăderea s-a atenuat </w:t>
      </w:r>
      <w:r w:rsidR="0009615F" w:rsidRPr="00A057AC">
        <w:rPr>
          <w:rFonts w:ascii="Tahoma" w:hAnsi="Tahoma" w:cs="Tahoma"/>
          <w:sz w:val="24"/>
          <w:szCs w:val="24"/>
        </w:rPr>
        <w:t>față</w:t>
      </w:r>
      <w:r w:rsidRPr="00A057AC">
        <w:rPr>
          <w:rFonts w:ascii="Tahoma" w:hAnsi="Tahoma" w:cs="Tahoma"/>
          <w:sz w:val="24"/>
          <w:szCs w:val="24"/>
        </w:rPr>
        <w:t xml:space="preserve"> de luna corespunzătoare din anul precedent iar din luna aprilie dinamica a trecut în teritoriu pozitiv pentru prima dată în ultimele 13 luni (+0,9% în aprilie </w:t>
      </w:r>
      <w:r w:rsidR="0096611E" w:rsidRPr="00A057AC">
        <w:rPr>
          <w:rFonts w:ascii="Tahoma" w:hAnsi="Tahoma" w:cs="Tahoma"/>
          <w:sz w:val="24"/>
          <w:szCs w:val="24"/>
        </w:rPr>
        <w:t>și</w:t>
      </w:r>
      <w:r w:rsidRPr="00A057AC">
        <w:rPr>
          <w:rFonts w:ascii="Tahoma" w:hAnsi="Tahoma" w:cs="Tahoma"/>
          <w:sz w:val="24"/>
          <w:szCs w:val="24"/>
        </w:rPr>
        <w:t xml:space="preserve"> accelerare la 1,4% în </w:t>
      </w:r>
      <w:r w:rsidR="00F7638E" w:rsidRPr="00A057AC">
        <w:rPr>
          <w:rFonts w:ascii="Tahoma" w:hAnsi="Tahoma" w:cs="Tahoma"/>
          <w:sz w:val="24"/>
          <w:szCs w:val="24"/>
        </w:rPr>
        <w:t>mai, respectiv 1,5% în iunie). Î</w:t>
      </w:r>
      <w:r w:rsidRPr="00A057AC">
        <w:rPr>
          <w:rFonts w:ascii="Tahoma" w:hAnsi="Tahoma" w:cs="Tahoma"/>
          <w:sz w:val="24"/>
          <w:szCs w:val="24"/>
        </w:rPr>
        <w:t xml:space="preserve">n primele 6 luni din acest an, </w:t>
      </w:r>
      <w:r w:rsidRPr="00A057AC">
        <w:rPr>
          <w:rFonts w:ascii="Tahoma" w:hAnsi="Tahoma" w:cs="Tahoma"/>
          <w:b/>
          <w:sz w:val="24"/>
          <w:szCs w:val="24"/>
        </w:rPr>
        <w:t>în sectorul bugetar</w:t>
      </w:r>
      <w:r w:rsidRPr="00A057AC">
        <w:rPr>
          <w:rFonts w:ascii="Tahoma" w:hAnsi="Tahoma" w:cs="Tahoma"/>
          <w:sz w:val="24"/>
          <w:szCs w:val="24"/>
        </w:rPr>
        <w:t xml:space="preserve">, s-a înregistrat o creștere cu 1,5%, iar în cadrul acestuia s-a observat o </w:t>
      </w:r>
      <w:r w:rsidR="0096611E" w:rsidRPr="00A057AC">
        <w:rPr>
          <w:rFonts w:ascii="Tahoma" w:hAnsi="Tahoma" w:cs="Tahoma"/>
          <w:sz w:val="24"/>
          <w:szCs w:val="24"/>
        </w:rPr>
        <w:t>creștere</w:t>
      </w:r>
      <w:r w:rsidRPr="00A057AC">
        <w:rPr>
          <w:rFonts w:ascii="Tahoma" w:hAnsi="Tahoma" w:cs="Tahoma"/>
          <w:sz w:val="24"/>
          <w:szCs w:val="24"/>
        </w:rPr>
        <w:t xml:space="preserve"> de 3,8% în sănătate </w:t>
      </w:r>
      <w:r w:rsidR="0096611E" w:rsidRPr="00A057AC">
        <w:rPr>
          <w:rFonts w:ascii="Tahoma" w:hAnsi="Tahoma" w:cs="Tahoma"/>
          <w:sz w:val="24"/>
          <w:szCs w:val="24"/>
        </w:rPr>
        <w:t>și</w:t>
      </w:r>
      <w:r w:rsidRPr="00A057AC">
        <w:rPr>
          <w:rFonts w:ascii="Tahoma" w:hAnsi="Tahoma" w:cs="Tahoma"/>
          <w:sz w:val="24"/>
          <w:szCs w:val="24"/>
        </w:rPr>
        <w:t xml:space="preserve"> asistență socială </w:t>
      </w:r>
      <w:r w:rsidR="0096611E" w:rsidRPr="00A057AC">
        <w:rPr>
          <w:rFonts w:ascii="Tahoma" w:hAnsi="Tahoma" w:cs="Tahoma"/>
          <w:sz w:val="24"/>
          <w:szCs w:val="24"/>
        </w:rPr>
        <w:t>și</w:t>
      </w:r>
      <w:r w:rsidRPr="00A057AC">
        <w:rPr>
          <w:rFonts w:ascii="Tahoma" w:hAnsi="Tahoma" w:cs="Tahoma"/>
          <w:sz w:val="24"/>
          <w:szCs w:val="24"/>
        </w:rPr>
        <w:t xml:space="preserve"> de 0,4% în </w:t>
      </w:r>
      <w:r w:rsidR="0096611E" w:rsidRPr="00A057AC">
        <w:rPr>
          <w:rFonts w:ascii="Tahoma" w:hAnsi="Tahoma" w:cs="Tahoma"/>
          <w:sz w:val="24"/>
          <w:szCs w:val="24"/>
        </w:rPr>
        <w:t>învățământ</w:t>
      </w:r>
      <w:r w:rsidRPr="00A057AC">
        <w:rPr>
          <w:rFonts w:ascii="Tahoma" w:hAnsi="Tahoma" w:cs="Tahoma"/>
          <w:sz w:val="24"/>
          <w:szCs w:val="24"/>
        </w:rPr>
        <w:t xml:space="preserve">, </w:t>
      </w:r>
      <w:r w:rsidR="0096611E" w:rsidRPr="00A057AC">
        <w:rPr>
          <w:rFonts w:ascii="Tahoma" w:hAnsi="Tahoma" w:cs="Tahoma"/>
          <w:sz w:val="24"/>
          <w:szCs w:val="24"/>
        </w:rPr>
        <w:t>și</w:t>
      </w:r>
      <w:r w:rsidRPr="00A057AC">
        <w:rPr>
          <w:rFonts w:ascii="Tahoma" w:hAnsi="Tahoma" w:cs="Tahoma"/>
          <w:sz w:val="24"/>
          <w:szCs w:val="24"/>
        </w:rPr>
        <w:t xml:space="preserve"> în </w:t>
      </w:r>
      <w:r w:rsidR="0096611E" w:rsidRPr="00A057AC">
        <w:rPr>
          <w:rFonts w:ascii="Tahoma" w:hAnsi="Tahoma" w:cs="Tahoma"/>
          <w:sz w:val="24"/>
          <w:szCs w:val="24"/>
        </w:rPr>
        <w:t>același</w:t>
      </w:r>
      <w:r w:rsidRPr="00A057AC">
        <w:rPr>
          <w:rFonts w:ascii="Tahoma" w:hAnsi="Tahoma" w:cs="Tahoma"/>
          <w:sz w:val="24"/>
          <w:szCs w:val="24"/>
        </w:rPr>
        <w:t xml:space="preserve"> timp o scădere de 0,9% în administrația publică. Salariații din sectorul bugetar au fost distribuiți astfel: 43,0% în sănătate </w:t>
      </w:r>
      <w:r w:rsidR="0096611E" w:rsidRPr="00A057AC">
        <w:rPr>
          <w:rFonts w:ascii="Tahoma" w:hAnsi="Tahoma" w:cs="Tahoma"/>
          <w:sz w:val="24"/>
          <w:szCs w:val="24"/>
        </w:rPr>
        <w:t>și</w:t>
      </w:r>
      <w:r w:rsidRPr="00A057AC">
        <w:rPr>
          <w:rFonts w:ascii="Tahoma" w:hAnsi="Tahoma" w:cs="Tahoma"/>
          <w:sz w:val="24"/>
          <w:szCs w:val="24"/>
        </w:rPr>
        <w:t xml:space="preserve"> asistență socială; 35,7% în activitățile de învățământ </w:t>
      </w:r>
      <w:r w:rsidR="0096611E" w:rsidRPr="00A057AC">
        <w:rPr>
          <w:rFonts w:ascii="Tahoma" w:hAnsi="Tahoma" w:cs="Tahoma"/>
          <w:sz w:val="24"/>
          <w:szCs w:val="24"/>
        </w:rPr>
        <w:t>și</w:t>
      </w:r>
      <w:r w:rsidRPr="00A057AC">
        <w:rPr>
          <w:rFonts w:ascii="Tahoma" w:hAnsi="Tahoma" w:cs="Tahoma"/>
          <w:sz w:val="24"/>
          <w:szCs w:val="24"/>
        </w:rPr>
        <w:t xml:space="preserve"> 21,2% în administrația publică.</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b/>
          <w:sz w:val="24"/>
          <w:szCs w:val="24"/>
        </w:rPr>
        <w:t>În sectorul concurențial</w:t>
      </w:r>
      <w:r w:rsidRPr="00A057AC">
        <w:rPr>
          <w:rFonts w:ascii="Tahoma" w:hAnsi="Tahoma" w:cs="Tahoma"/>
          <w:sz w:val="24"/>
          <w:szCs w:val="24"/>
        </w:rPr>
        <w:t xml:space="preserve">, s-au înregistrat scăderi ale numărului de salariați în primele 6 luni față de perioada similară din 2020 în industrie cu 2,2% </w:t>
      </w:r>
      <w:r w:rsidR="0007115C" w:rsidRPr="00A057AC">
        <w:rPr>
          <w:rFonts w:ascii="Tahoma" w:hAnsi="Tahoma" w:cs="Tahoma"/>
          <w:sz w:val="24"/>
          <w:szCs w:val="24"/>
        </w:rPr>
        <w:t>și</w:t>
      </w:r>
      <w:r w:rsidRPr="00A057AC">
        <w:rPr>
          <w:rFonts w:ascii="Tahoma" w:hAnsi="Tahoma" w:cs="Tahoma"/>
          <w:sz w:val="24"/>
          <w:szCs w:val="24"/>
        </w:rPr>
        <w:t xml:space="preserve"> în agricultură cu 0,7%, o </w:t>
      </w:r>
      <w:r w:rsidR="0007115C" w:rsidRPr="00A057AC">
        <w:rPr>
          <w:rFonts w:ascii="Tahoma" w:hAnsi="Tahoma" w:cs="Tahoma"/>
          <w:sz w:val="24"/>
          <w:szCs w:val="24"/>
        </w:rPr>
        <w:t>staționare</w:t>
      </w:r>
      <w:r w:rsidRPr="00A057AC">
        <w:rPr>
          <w:rFonts w:ascii="Tahoma" w:hAnsi="Tahoma" w:cs="Tahoma"/>
          <w:sz w:val="24"/>
          <w:szCs w:val="24"/>
        </w:rPr>
        <w:t xml:space="preserve"> în servicii comerciale, iar în construcții a fost un spor de 5,4%. </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sz w:val="24"/>
          <w:szCs w:val="24"/>
        </w:rPr>
        <w:t xml:space="preserve">Distribuția </w:t>
      </w:r>
      <w:r w:rsidRPr="00A057AC">
        <w:rPr>
          <w:rFonts w:ascii="Tahoma" w:hAnsi="Tahoma" w:cs="Tahoma"/>
          <w:b/>
          <w:sz w:val="24"/>
          <w:szCs w:val="24"/>
        </w:rPr>
        <w:t xml:space="preserve">salariaților pe activități economice </w:t>
      </w:r>
      <w:r w:rsidRPr="00A057AC">
        <w:rPr>
          <w:rFonts w:ascii="Tahoma" w:hAnsi="Tahoma" w:cs="Tahoma"/>
          <w:sz w:val="24"/>
          <w:szCs w:val="24"/>
        </w:rPr>
        <w:t xml:space="preserve">la sfârșitul lunii mai arată că: 26,0% din totalul salariaților din economie </w:t>
      </w:r>
      <w:r w:rsidR="0007115C" w:rsidRPr="00A057AC">
        <w:rPr>
          <w:rFonts w:ascii="Tahoma" w:hAnsi="Tahoma" w:cs="Tahoma"/>
          <w:sz w:val="24"/>
          <w:szCs w:val="24"/>
        </w:rPr>
        <w:t>și</w:t>
      </w:r>
      <w:r w:rsidRPr="00A057AC">
        <w:rPr>
          <w:rFonts w:ascii="Tahoma" w:hAnsi="Tahoma" w:cs="Tahoma"/>
          <w:sz w:val="24"/>
          <w:szCs w:val="24"/>
        </w:rPr>
        <w:t xml:space="preserve"> 32,4% din numărul </w:t>
      </w:r>
      <w:r w:rsidR="00DC05C0" w:rsidRPr="00A057AC">
        <w:rPr>
          <w:rFonts w:ascii="Tahoma" w:hAnsi="Tahoma" w:cs="Tahoma"/>
          <w:sz w:val="24"/>
          <w:szCs w:val="24"/>
        </w:rPr>
        <w:t>salariaților</w:t>
      </w:r>
      <w:r w:rsidRPr="00A057AC">
        <w:rPr>
          <w:rFonts w:ascii="Tahoma" w:hAnsi="Tahoma" w:cs="Tahoma"/>
          <w:sz w:val="24"/>
          <w:szCs w:val="24"/>
        </w:rPr>
        <w:t xml:space="preserve"> din sectorul </w:t>
      </w:r>
      <w:r w:rsidR="0007115C" w:rsidRPr="00A057AC">
        <w:rPr>
          <w:rFonts w:ascii="Tahoma" w:hAnsi="Tahoma" w:cs="Tahoma"/>
          <w:sz w:val="24"/>
          <w:szCs w:val="24"/>
        </w:rPr>
        <w:t>concurențial</w:t>
      </w:r>
      <w:r w:rsidRPr="00A057AC">
        <w:rPr>
          <w:rFonts w:ascii="Tahoma" w:hAnsi="Tahoma" w:cs="Tahoma"/>
          <w:sz w:val="24"/>
          <w:szCs w:val="24"/>
        </w:rPr>
        <w:t xml:space="preserve"> erau în industrie (din care 21,8% în total economie erau în industria prelucrătoare); 16,2% în comerț; 8,6% în sănătate </w:t>
      </w:r>
      <w:r w:rsidR="0007115C" w:rsidRPr="00A057AC">
        <w:rPr>
          <w:rFonts w:ascii="Tahoma" w:hAnsi="Tahoma" w:cs="Tahoma"/>
          <w:sz w:val="24"/>
          <w:szCs w:val="24"/>
        </w:rPr>
        <w:t>și</w:t>
      </w:r>
      <w:r w:rsidRPr="00A057AC">
        <w:rPr>
          <w:rFonts w:ascii="Tahoma" w:hAnsi="Tahoma" w:cs="Tahoma"/>
          <w:sz w:val="24"/>
          <w:szCs w:val="24"/>
        </w:rPr>
        <w:t xml:space="preserve"> asistență socială; 8,6% în construcții; 7,1% în învățământ; 5,2% în transport </w:t>
      </w:r>
      <w:r w:rsidR="0007115C" w:rsidRPr="00A057AC">
        <w:rPr>
          <w:rFonts w:ascii="Tahoma" w:hAnsi="Tahoma" w:cs="Tahoma"/>
          <w:sz w:val="24"/>
          <w:szCs w:val="24"/>
        </w:rPr>
        <w:t>și</w:t>
      </w:r>
      <w:r w:rsidRPr="00A057AC">
        <w:rPr>
          <w:rFonts w:ascii="Tahoma" w:hAnsi="Tahoma" w:cs="Tahoma"/>
          <w:sz w:val="24"/>
          <w:szCs w:val="24"/>
        </w:rPr>
        <w:t xml:space="preserve"> depozitare; 4,4% în hoteluri </w:t>
      </w:r>
      <w:r w:rsidR="0007115C" w:rsidRPr="00A057AC">
        <w:rPr>
          <w:rFonts w:ascii="Tahoma" w:hAnsi="Tahoma" w:cs="Tahoma"/>
          <w:sz w:val="24"/>
          <w:szCs w:val="24"/>
        </w:rPr>
        <w:t>și</w:t>
      </w:r>
      <w:r w:rsidRPr="00A057AC">
        <w:rPr>
          <w:rFonts w:ascii="Tahoma" w:hAnsi="Tahoma" w:cs="Tahoma"/>
          <w:sz w:val="24"/>
          <w:szCs w:val="24"/>
        </w:rPr>
        <w:t xml:space="preserve"> restaurante; 4,2% în administrația publică; 2,4% în agricultură, silvicultură </w:t>
      </w:r>
      <w:r w:rsidR="0007115C" w:rsidRPr="00A057AC">
        <w:rPr>
          <w:rFonts w:ascii="Tahoma" w:hAnsi="Tahoma" w:cs="Tahoma"/>
          <w:sz w:val="24"/>
          <w:szCs w:val="24"/>
        </w:rPr>
        <w:t>și</w:t>
      </w:r>
      <w:r w:rsidRPr="00A057AC">
        <w:rPr>
          <w:rFonts w:ascii="Tahoma" w:hAnsi="Tahoma" w:cs="Tahoma"/>
          <w:sz w:val="24"/>
          <w:szCs w:val="24"/>
        </w:rPr>
        <w:t xml:space="preserve"> pescuit.</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b/>
          <w:sz w:val="24"/>
          <w:szCs w:val="24"/>
        </w:rPr>
        <w:t>Creșteri semnificative ale numărului de salariați</w:t>
      </w:r>
      <w:r w:rsidRPr="00A057AC">
        <w:rPr>
          <w:rFonts w:ascii="Tahoma" w:hAnsi="Tahoma" w:cs="Tahoma"/>
          <w:sz w:val="24"/>
          <w:szCs w:val="24"/>
        </w:rPr>
        <w:t xml:space="preserve">, în primele 6 luni ale anului 2021, s-au înregistrat în următoarele activități economice: </w:t>
      </w:r>
      <w:r w:rsidR="00DC05C0" w:rsidRPr="00A057AC">
        <w:rPr>
          <w:rFonts w:ascii="Tahoma" w:hAnsi="Tahoma" w:cs="Tahoma"/>
          <w:sz w:val="24"/>
          <w:szCs w:val="24"/>
        </w:rPr>
        <w:t>activități</w:t>
      </w:r>
      <w:r w:rsidRPr="00A057AC">
        <w:rPr>
          <w:rFonts w:ascii="Tahoma" w:hAnsi="Tahoma" w:cs="Tahoma"/>
          <w:sz w:val="24"/>
          <w:szCs w:val="24"/>
        </w:rPr>
        <w:t xml:space="preserve"> de servicii anexe </w:t>
      </w:r>
      <w:r w:rsidR="0007115C" w:rsidRPr="00A057AC">
        <w:rPr>
          <w:rFonts w:ascii="Tahoma" w:hAnsi="Tahoma" w:cs="Tahoma"/>
          <w:sz w:val="24"/>
          <w:szCs w:val="24"/>
        </w:rPr>
        <w:t>extracției</w:t>
      </w:r>
      <w:r w:rsidRPr="00A057AC">
        <w:rPr>
          <w:rFonts w:ascii="Tahoma" w:hAnsi="Tahoma" w:cs="Tahoma"/>
          <w:sz w:val="24"/>
          <w:szCs w:val="24"/>
        </w:rPr>
        <w:t xml:space="preserve"> </w:t>
      </w:r>
      <w:r w:rsidR="00BC1133" w:rsidRPr="00A057AC">
        <w:rPr>
          <w:rFonts w:ascii="Tahoma" w:hAnsi="Tahoma" w:cs="Tahoma"/>
          <w:sz w:val="24"/>
          <w:szCs w:val="24"/>
        </w:rPr>
        <w:t>(+</w:t>
      </w:r>
      <w:r w:rsidRPr="00A057AC">
        <w:rPr>
          <w:rFonts w:ascii="Tahoma" w:hAnsi="Tahoma" w:cs="Tahoma"/>
          <w:sz w:val="24"/>
          <w:szCs w:val="24"/>
        </w:rPr>
        <w:t>12,3%</w:t>
      </w:r>
      <w:r w:rsidR="00BC1133" w:rsidRPr="00A057AC">
        <w:rPr>
          <w:rFonts w:ascii="Tahoma" w:hAnsi="Tahoma" w:cs="Tahoma"/>
          <w:sz w:val="24"/>
          <w:szCs w:val="24"/>
        </w:rPr>
        <w:t>)</w:t>
      </w:r>
      <w:r w:rsidRPr="00A057AC">
        <w:rPr>
          <w:rFonts w:ascii="Tahoma" w:hAnsi="Tahoma" w:cs="Tahoma"/>
          <w:sz w:val="24"/>
          <w:szCs w:val="24"/>
        </w:rPr>
        <w:t xml:space="preserve">; activități de servicii în tehnologia informației </w:t>
      </w:r>
      <w:r w:rsidR="00BC1133" w:rsidRPr="00A057AC">
        <w:rPr>
          <w:rFonts w:ascii="Tahoma" w:hAnsi="Tahoma" w:cs="Tahoma"/>
          <w:sz w:val="24"/>
          <w:szCs w:val="24"/>
        </w:rPr>
        <w:t>+(</w:t>
      </w:r>
      <w:r w:rsidRPr="00A057AC">
        <w:rPr>
          <w:rFonts w:ascii="Tahoma" w:hAnsi="Tahoma" w:cs="Tahoma"/>
          <w:sz w:val="24"/>
          <w:szCs w:val="24"/>
        </w:rPr>
        <w:t>11,4%</w:t>
      </w:r>
      <w:r w:rsidR="00BC1133" w:rsidRPr="00A057AC">
        <w:rPr>
          <w:rFonts w:ascii="Tahoma" w:hAnsi="Tahoma" w:cs="Tahoma"/>
          <w:sz w:val="24"/>
          <w:szCs w:val="24"/>
        </w:rPr>
        <w:t>)</w:t>
      </w:r>
      <w:r w:rsidRPr="00A057AC">
        <w:rPr>
          <w:rFonts w:ascii="Tahoma" w:hAnsi="Tahoma" w:cs="Tahoma"/>
          <w:sz w:val="24"/>
          <w:szCs w:val="24"/>
        </w:rPr>
        <w:t xml:space="preserve">; fabricarea echipamentelor electrice </w:t>
      </w:r>
      <w:r w:rsidR="00BC1133" w:rsidRPr="00A057AC">
        <w:rPr>
          <w:rFonts w:ascii="Tahoma" w:hAnsi="Tahoma" w:cs="Tahoma"/>
          <w:sz w:val="24"/>
          <w:szCs w:val="24"/>
        </w:rPr>
        <w:t>(+</w:t>
      </w:r>
      <w:r w:rsidRPr="00A057AC">
        <w:rPr>
          <w:rFonts w:ascii="Tahoma" w:hAnsi="Tahoma" w:cs="Tahoma"/>
          <w:sz w:val="24"/>
          <w:szCs w:val="24"/>
        </w:rPr>
        <w:t>8,7%</w:t>
      </w:r>
      <w:r w:rsidR="00BC1133" w:rsidRPr="00A057AC">
        <w:rPr>
          <w:rFonts w:ascii="Tahoma" w:hAnsi="Tahoma" w:cs="Tahoma"/>
          <w:sz w:val="24"/>
          <w:szCs w:val="24"/>
        </w:rPr>
        <w:t>)</w:t>
      </w:r>
      <w:r w:rsidRPr="00A057AC">
        <w:rPr>
          <w:rFonts w:ascii="Tahoma" w:hAnsi="Tahoma" w:cs="Tahoma"/>
          <w:sz w:val="24"/>
          <w:szCs w:val="24"/>
        </w:rPr>
        <w:t>; fabricarea produselor din tutun</w:t>
      </w:r>
      <w:r w:rsidR="00BC1133" w:rsidRPr="00A057AC">
        <w:rPr>
          <w:rFonts w:ascii="Tahoma" w:hAnsi="Tahoma" w:cs="Tahoma"/>
          <w:sz w:val="24"/>
          <w:szCs w:val="24"/>
        </w:rPr>
        <w:t xml:space="preserve">         (+</w:t>
      </w:r>
      <w:r w:rsidRPr="00A057AC">
        <w:rPr>
          <w:rFonts w:ascii="Tahoma" w:hAnsi="Tahoma" w:cs="Tahoma"/>
          <w:sz w:val="24"/>
          <w:szCs w:val="24"/>
        </w:rPr>
        <w:t>5,4%</w:t>
      </w:r>
      <w:r w:rsidR="00BC1133" w:rsidRPr="00A057AC">
        <w:rPr>
          <w:rFonts w:ascii="Tahoma" w:hAnsi="Tahoma" w:cs="Tahoma"/>
          <w:sz w:val="24"/>
          <w:szCs w:val="24"/>
        </w:rPr>
        <w:t>)</w:t>
      </w:r>
      <w:r w:rsidRPr="00A057AC">
        <w:rPr>
          <w:rFonts w:ascii="Tahoma" w:hAnsi="Tahoma" w:cs="Tahoma"/>
          <w:sz w:val="24"/>
          <w:szCs w:val="24"/>
        </w:rPr>
        <w:t xml:space="preserve">; </w:t>
      </w:r>
      <w:r w:rsidR="0007115C" w:rsidRPr="00A057AC">
        <w:rPr>
          <w:rFonts w:ascii="Tahoma" w:hAnsi="Tahoma" w:cs="Tahoma"/>
          <w:sz w:val="24"/>
          <w:szCs w:val="24"/>
        </w:rPr>
        <w:t>extracția</w:t>
      </w:r>
      <w:r w:rsidRPr="00A057AC">
        <w:rPr>
          <w:rFonts w:ascii="Tahoma" w:hAnsi="Tahoma" w:cs="Tahoma"/>
          <w:sz w:val="24"/>
          <w:szCs w:val="24"/>
        </w:rPr>
        <w:t xml:space="preserve"> minereurilor metalifere</w:t>
      </w:r>
      <w:r w:rsidR="00BC1133" w:rsidRPr="00A057AC">
        <w:rPr>
          <w:rFonts w:ascii="Tahoma" w:hAnsi="Tahoma" w:cs="Tahoma"/>
          <w:sz w:val="24"/>
          <w:szCs w:val="24"/>
        </w:rPr>
        <w:t xml:space="preserve"> (+</w:t>
      </w:r>
      <w:r w:rsidRPr="00A057AC">
        <w:rPr>
          <w:rFonts w:ascii="Tahoma" w:hAnsi="Tahoma" w:cs="Tahoma"/>
          <w:sz w:val="24"/>
          <w:szCs w:val="24"/>
        </w:rPr>
        <w:t>4,4%</w:t>
      </w:r>
      <w:r w:rsidR="00BC1133" w:rsidRPr="00A057AC">
        <w:rPr>
          <w:rFonts w:ascii="Tahoma" w:hAnsi="Tahoma" w:cs="Tahoma"/>
          <w:sz w:val="24"/>
          <w:szCs w:val="24"/>
        </w:rPr>
        <w:t>)</w:t>
      </w:r>
      <w:r w:rsidRPr="00A057AC">
        <w:rPr>
          <w:rFonts w:ascii="Tahoma" w:hAnsi="Tahoma" w:cs="Tahoma"/>
          <w:sz w:val="24"/>
          <w:szCs w:val="24"/>
        </w:rPr>
        <w:t xml:space="preserve">; fabricarea produselor farmaceutice de bază </w:t>
      </w:r>
      <w:r w:rsidR="0007115C" w:rsidRPr="00A057AC">
        <w:rPr>
          <w:rFonts w:ascii="Tahoma" w:hAnsi="Tahoma" w:cs="Tahoma"/>
          <w:sz w:val="24"/>
          <w:szCs w:val="24"/>
        </w:rPr>
        <w:t>și</w:t>
      </w:r>
      <w:r w:rsidRPr="00A057AC">
        <w:rPr>
          <w:rFonts w:ascii="Tahoma" w:hAnsi="Tahoma" w:cs="Tahoma"/>
          <w:sz w:val="24"/>
          <w:szCs w:val="24"/>
        </w:rPr>
        <w:t xml:space="preserve"> a preparatelor farmaceutice </w:t>
      </w:r>
      <w:r w:rsidR="00BC1133" w:rsidRPr="00A057AC">
        <w:rPr>
          <w:rFonts w:ascii="Tahoma" w:hAnsi="Tahoma" w:cs="Tahoma"/>
          <w:sz w:val="24"/>
          <w:szCs w:val="24"/>
        </w:rPr>
        <w:t>(+</w:t>
      </w:r>
      <w:r w:rsidRPr="00A057AC">
        <w:rPr>
          <w:rFonts w:ascii="Tahoma" w:hAnsi="Tahoma" w:cs="Tahoma"/>
          <w:sz w:val="24"/>
          <w:szCs w:val="24"/>
        </w:rPr>
        <w:t>4,0%</w:t>
      </w:r>
      <w:r w:rsidR="00BC1133" w:rsidRPr="00A057AC">
        <w:rPr>
          <w:rFonts w:ascii="Tahoma" w:hAnsi="Tahoma" w:cs="Tahoma"/>
          <w:sz w:val="24"/>
          <w:szCs w:val="24"/>
        </w:rPr>
        <w:t>)</w:t>
      </w:r>
      <w:r w:rsidRPr="00A057AC">
        <w:rPr>
          <w:rFonts w:ascii="Tahoma" w:hAnsi="Tahoma" w:cs="Tahoma"/>
          <w:sz w:val="24"/>
          <w:szCs w:val="24"/>
        </w:rPr>
        <w:t xml:space="preserve">; alte activități extractive </w:t>
      </w:r>
      <w:r w:rsidR="00BC1133" w:rsidRPr="00A057AC">
        <w:rPr>
          <w:rFonts w:ascii="Tahoma" w:hAnsi="Tahoma" w:cs="Tahoma"/>
          <w:sz w:val="24"/>
          <w:szCs w:val="24"/>
        </w:rPr>
        <w:t>(+</w:t>
      </w:r>
      <w:r w:rsidRPr="00A057AC">
        <w:rPr>
          <w:rFonts w:ascii="Tahoma" w:hAnsi="Tahoma" w:cs="Tahoma"/>
          <w:sz w:val="24"/>
          <w:szCs w:val="24"/>
        </w:rPr>
        <w:t>3,4%</w:t>
      </w:r>
      <w:r w:rsidR="00BC1133" w:rsidRPr="00A057AC">
        <w:rPr>
          <w:rFonts w:ascii="Tahoma" w:hAnsi="Tahoma" w:cs="Tahoma"/>
          <w:sz w:val="24"/>
          <w:szCs w:val="24"/>
        </w:rPr>
        <w:t>)</w:t>
      </w:r>
      <w:r w:rsidRPr="00A057AC">
        <w:rPr>
          <w:rFonts w:ascii="Tahoma" w:hAnsi="Tahoma" w:cs="Tahoma"/>
          <w:sz w:val="24"/>
          <w:szCs w:val="24"/>
        </w:rPr>
        <w:t>;</w:t>
      </w:r>
      <w:r w:rsidR="00BC1133" w:rsidRPr="00A057AC">
        <w:rPr>
          <w:rFonts w:ascii="Tahoma" w:hAnsi="Tahoma" w:cs="Tahoma"/>
          <w:sz w:val="24"/>
          <w:szCs w:val="24"/>
        </w:rPr>
        <w:t xml:space="preserve"> </w:t>
      </w:r>
      <w:r w:rsidRPr="00A057AC">
        <w:rPr>
          <w:rFonts w:ascii="Tahoma" w:hAnsi="Tahoma" w:cs="Tahoma"/>
          <w:sz w:val="24"/>
          <w:szCs w:val="24"/>
        </w:rPr>
        <w:t xml:space="preserve">fabricarea hârtiei şi a produselor din hârtie </w:t>
      </w:r>
      <w:r w:rsidR="00BC1133" w:rsidRPr="00A057AC">
        <w:rPr>
          <w:rFonts w:ascii="Tahoma" w:hAnsi="Tahoma" w:cs="Tahoma"/>
          <w:sz w:val="24"/>
          <w:szCs w:val="24"/>
        </w:rPr>
        <w:t>(+</w:t>
      </w:r>
      <w:r w:rsidRPr="00A057AC">
        <w:rPr>
          <w:rFonts w:ascii="Tahoma" w:hAnsi="Tahoma" w:cs="Tahoma"/>
          <w:sz w:val="24"/>
          <w:szCs w:val="24"/>
        </w:rPr>
        <w:t>2,4%</w:t>
      </w:r>
      <w:r w:rsidR="00BC1133" w:rsidRPr="00A057AC">
        <w:rPr>
          <w:rFonts w:ascii="Tahoma" w:hAnsi="Tahoma" w:cs="Tahoma"/>
          <w:sz w:val="24"/>
          <w:szCs w:val="24"/>
        </w:rPr>
        <w:t>)</w:t>
      </w:r>
      <w:r w:rsidRPr="00A057AC">
        <w:rPr>
          <w:rFonts w:ascii="Tahoma" w:hAnsi="Tahoma" w:cs="Tahoma"/>
          <w:sz w:val="24"/>
          <w:szCs w:val="24"/>
        </w:rPr>
        <w:t>.</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sz w:val="24"/>
          <w:szCs w:val="24"/>
        </w:rPr>
        <w:t xml:space="preserve">În perioada ianuarie – iunie 2021 comparativ cu aceeași perioadă din 2020 numărul locurilor de muncă a crescut cu </w:t>
      </w:r>
      <w:r w:rsidRPr="00A057AC">
        <w:rPr>
          <w:rFonts w:ascii="Tahoma" w:hAnsi="Tahoma" w:cs="Tahoma"/>
          <w:b/>
          <w:sz w:val="24"/>
          <w:szCs w:val="24"/>
        </w:rPr>
        <w:t>5,8 mii (locuri de muncă în regim salarial</w:t>
      </w:r>
      <w:r w:rsidRPr="00A057AC">
        <w:rPr>
          <w:rFonts w:ascii="Tahoma" w:hAnsi="Tahoma" w:cs="Tahoma"/>
          <w:sz w:val="24"/>
          <w:szCs w:val="24"/>
        </w:rPr>
        <w:t>).</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sz w:val="24"/>
          <w:szCs w:val="24"/>
        </w:rPr>
        <w:t xml:space="preserve"> Industria a cunoscut o diminuare a locurilor de muncă  cu 29,6 mii  pe total, din care industria prelucrătoare cu 28,4 mii locuri de muncă. Ramurile industriei </w:t>
      </w:r>
      <w:r w:rsidRPr="00A057AC">
        <w:rPr>
          <w:rFonts w:ascii="Tahoma" w:hAnsi="Tahoma" w:cs="Tahoma"/>
          <w:sz w:val="24"/>
          <w:szCs w:val="24"/>
        </w:rPr>
        <w:lastRenderedPageBreak/>
        <w:t xml:space="preserve">prelucrătoare au fost afectate neuniform, circa 52% din reducerea numărului mediu de salariați localizându-se în șase ramuri după cum urmează: fabricarea articolelor de îmbrăcăminte </w:t>
      </w:r>
      <w:r w:rsidR="00540515" w:rsidRPr="00A057AC">
        <w:rPr>
          <w:rFonts w:ascii="Tahoma" w:hAnsi="Tahoma" w:cs="Tahoma"/>
          <w:sz w:val="24"/>
          <w:szCs w:val="24"/>
        </w:rPr>
        <w:t>(</w:t>
      </w:r>
      <w:r w:rsidRPr="00A057AC">
        <w:rPr>
          <w:rFonts w:ascii="Tahoma" w:hAnsi="Tahoma" w:cs="Tahoma"/>
          <w:sz w:val="24"/>
          <w:szCs w:val="24"/>
        </w:rPr>
        <w:t>-13,4 mii persoane</w:t>
      </w:r>
      <w:r w:rsidR="00540515" w:rsidRPr="00A057AC">
        <w:rPr>
          <w:rFonts w:ascii="Tahoma" w:hAnsi="Tahoma" w:cs="Tahoma"/>
          <w:sz w:val="24"/>
          <w:szCs w:val="24"/>
        </w:rPr>
        <w:t>)</w:t>
      </w:r>
      <w:r w:rsidRPr="00A057AC">
        <w:rPr>
          <w:rFonts w:ascii="Tahoma" w:hAnsi="Tahoma" w:cs="Tahoma"/>
          <w:sz w:val="24"/>
          <w:szCs w:val="24"/>
        </w:rPr>
        <w:t>; fabricarea autovehiculelor de transport rutier</w:t>
      </w:r>
      <w:r w:rsidR="00540515" w:rsidRPr="00A057AC">
        <w:rPr>
          <w:rFonts w:ascii="Tahoma" w:hAnsi="Tahoma" w:cs="Tahoma"/>
          <w:sz w:val="24"/>
          <w:szCs w:val="24"/>
        </w:rPr>
        <w:t xml:space="preserve"> </w:t>
      </w:r>
      <w:r w:rsidR="00E95717" w:rsidRPr="00A057AC">
        <w:rPr>
          <w:rFonts w:ascii="Tahoma" w:hAnsi="Tahoma" w:cs="Tahoma"/>
          <w:sz w:val="24"/>
          <w:szCs w:val="24"/>
        </w:rPr>
        <w:t xml:space="preserve">  </w:t>
      </w:r>
      <w:r w:rsidR="00540515" w:rsidRPr="00A057AC">
        <w:rPr>
          <w:rFonts w:ascii="Tahoma" w:hAnsi="Tahoma" w:cs="Tahoma"/>
          <w:sz w:val="24"/>
          <w:szCs w:val="24"/>
        </w:rPr>
        <w:t xml:space="preserve">   </w:t>
      </w:r>
      <w:r w:rsidRPr="00A057AC">
        <w:rPr>
          <w:rFonts w:ascii="Tahoma" w:hAnsi="Tahoma" w:cs="Tahoma"/>
          <w:sz w:val="24"/>
          <w:szCs w:val="24"/>
        </w:rPr>
        <w:t xml:space="preserve"> </w:t>
      </w:r>
      <w:r w:rsidR="00E95717" w:rsidRPr="00A057AC">
        <w:rPr>
          <w:rFonts w:ascii="Tahoma" w:hAnsi="Tahoma" w:cs="Tahoma"/>
          <w:sz w:val="24"/>
          <w:szCs w:val="24"/>
        </w:rPr>
        <w:t xml:space="preserve">  </w:t>
      </w:r>
      <w:r w:rsidR="00540515" w:rsidRPr="00A057AC">
        <w:rPr>
          <w:rFonts w:ascii="Tahoma" w:hAnsi="Tahoma" w:cs="Tahoma"/>
          <w:sz w:val="24"/>
          <w:szCs w:val="24"/>
        </w:rPr>
        <w:t>(</w:t>
      </w:r>
      <w:r w:rsidRPr="00A057AC">
        <w:rPr>
          <w:rFonts w:ascii="Tahoma" w:hAnsi="Tahoma" w:cs="Tahoma"/>
          <w:sz w:val="24"/>
          <w:szCs w:val="24"/>
        </w:rPr>
        <w:t>-8,7 mii persoane</w:t>
      </w:r>
      <w:r w:rsidR="00540515" w:rsidRPr="00A057AC">
        <w:rPr>
          <w:rFonts w:ascii="Tahoma" w:hAnsi="Tahoma" w:cs="Tahoma"/>
          <w:sz w:val="24"/>
          <w:szCs w:val="24"/>
        </w:rPr>
        <w:t>)</w:t>
      </w:r>
      <w:r w:rsidRPr="00A057AC">
        <w:rPr>
          <w:rFonts w:ascii="Tahoma" w:hAnsi="Tahoma" w:cs="Tahoma"/>
          <w:sz w:val="24"/>
          <w:szCs w:val="24"/>
        </w:rPr>
        <w:t>; t</w:t>
      </w:r>
      <w:r w:rsidR="00540515" w:rsidRPr="00A057AC">
        <w:rPr>
          <w:rFonts w:ascii="Tahoma" w:hAnsi="Tahoma" w:cs="Tahoma"/>
          <w:sz w:val="24"/>
          <w:szCs w:val="24"/>
        </w:rPr>
        <w:t xml:space="preserve">ăbăcirea </w:t>
      </w:r>
      <w:r w:rsidR="0007115C" w:rsidRPr="00A057AC">
        <w:rPr>
          <w:rFonts w:ascii="Tahoma" w:hAnsi="Tahoma" w:cs="Tahoma"/>
          <w:sz w:val="24"/>
          <w:szCs w:val="24"/>
        </w:rPr>
        <w:t>și</w:t>
      </w:r>
      <w:r w:rsidR="00E95717" w:rsidRPr="00A057AC">
        <w:rPr>
          <w:rFonts w:ascii="Tahoma" w:hAnsi="Tahoma" w:cs="Tahoma"/>
          <w:sz w:val="24"/>
          <w:szCs w:val="24"/>
        </w:rPr>
        <w:t xml:space="preserve"> finisarea pieilor </w:t>
      </w:r>
      <w:r w:rsidR="00540515" w:rsidRPr="00A057AC">
        <w:rPr>
          <w:rFonts w:ascii="Tahoma" w:hAnsi="Tahoma" w:cs="Tahoma"/>
          <w:sz w:val="24"/>
          <w:szCs w:val="24"/>
        </w:rPr>
        <w:t>(</w:t>
      </w:r>
      <w:r w:rsidRPr="00A057AC">
        <w:rPr>
          <w:rFonts w:ascii="Tahoma" w:hAnsi="Tahoma" w:cs="Tahoma"/>
          <w:sz w:val="24"/>
          <w:szCs w:val="24"/>
        </w:rPr>
        <w:t>-4,6 mii</w:t>
      </w:r>
      <w:r w:rsidR="0007115C" w:rsidRPr="00A057AC">
        <w:rPr>
          <w:rFonts w:ascii="Tahoma" w:hAnsi="Tahoma" w:cs="Tahoma"/>
          <w:sz w:val="24"/>
          <w:szCs w:val="24"/>
        </w:rPr>
        <w:t xml:space="preserve"> </w:t>
      </w:r>
      <w:r w:rsidRPr="00A057AC">
        <w:rPr>
          <w:rFonts w:ascii="Tahoma" w:hAnsi="Tahoma" w:cs="Tahoma"/>
          <w:sz w:val="24"/>
          <w:szCs w:val="24"/>
        </w:rPr>
        <w:t>persoane</w:t>
      </w:r>
      <w:r w:rsidR="00540515" w:rsidRPr="00A057AC">
        <w:rPr>
          <w:rFonts w:ascii="Tahoma" w:hAnsi="Tahoma" w:cs="Tahoma"/>
          <w:sz w:val="24"/>
          <w:szCs w:val="24"/>
        </w:rPr>
        <w:t>)</w:t>
      </w:r>
      <w:r w:rsidRPr="00A057AC">
        <w:rPr>
          <w:rFonts w:ascii="Tahoma" w:hAnsi="Tahoma" w:cs="Tahoma"/>
          <w:sz w:val="24"/>
          <w:szCs w:val="24"/>
        </w:rPr>
        <w:t xml:space="preserve">; industria construcțiilor metalice </w:t>
      </w:r>
      <w:r w:rsidR="0007115C" w:rsidRPr="00A057AC">
        <w:rPr>
          <w:rFonts w:ascii="Tahoma" w:hAnsi="Tahoma" w:cs="Tahoma"/>
          <w:sz w:val="24"/>
          <w:szCs w:val="24"/>
        </w:rPr>
        <w:t>și</w:t>
      </w:r>
      <w:r w:rsidRPr="00A057AC">
        <w:rPr>
          <w:rFonts w:ascii="Tahoma" w:hAnsi="Tahoma" w:cs="Tahoma"/>
          <w:sz w:val="24"/>
          <w:szCs w:val="24"/>
        </w:rPr>
        <w:t xml:space="preserve"> a produselor din metal, exclusiv mașini, utilaje </w:t>
      </w:r>
      <w:r w:rsidR="0007115C" w:rsidRPr="00A057AC">
        <w:rPr>
          <w:rFonts w:ascii="Tahoma" w:hAnsi="Tahoma" w:cs="Tahoma"/>
          <w:sz w:val="24"/>
          <w:szCs w:val="24"/>
        </w:rPr>
        <w:t>și</w:t>
      </w:r>
      <w:r w:rsidRPr="00A057AC">
        <w:rPr>
          <w:rFonts w:ascii="Tahoma" w:hAnsi="Tahoma" w:cs="Tahoma"/>
          <w:sz w:val="24"/>
          <w:szCs w:val="24"/>
        </w:rPr>
        <w:t xml:space="preserve"> instalații</w:t>
      </w:r>
      <w:r w:rsidR="00E95717" w:rsidRPr="00A057AC">
        <w:rPr>
          <w:rFonts w:ascii="Tahoma" w:hAnsi="Tahoma" w:cs="Tahoma"/>
          <w:sz w:val="24"/>
          <w:szCs w:val="24"/>
        </w:rPr>
        <w:t xml:space="preserve">     </w:t>
      </w:r>
      <w:r w:rsidRPr="00A057AC">
        <w:rPr>
          <w:rFonts w:ascii="Tahoma" w:hAnsi="Tahoma" w:cs="Tahoma"/>
          <w:sz w:val="24"/>
          <w:szCs w:val="24"/>
        </w:rPr>
        <w:t xml:space="preserve"> </w:t>
      </w:r>
      <w:r w:rsidR="00540515" w:rsidRPr="00A057AC">
        <w:rPr>
          <w:rFonts w:ascii="Tahoma" w:hAnsi="Tahoma" w:cs="Tahoma"/>
          <w:sz w:val="24"/>
          <w:szCs w:val="24"/>
        </w:rPr>
        <w:t xml:space="preserve">  (</w:t>
      </w:r>
      <w:r w:rsidRPr="00A057AC">
        <w:rPr>
          <w:rFonts w:ascii="Tahoma" w:hAnsi="Tahoma" w:cs="Tahoma"/>
          <w:sz w:val="24"/>
          <w:szCs w:val="24"/>
        </w:rPr>
        <w:t>-1,6 mii persoane</w:t>
      </w:r>
      <w:r w:rsidR="00540515" w:rsidRPr="00A057AC">
        <w:rPr>
          <w:rFonts w:ascii="Tahoma" w:hAnsi="Tahoma" w:cs="Tahoma"/>
          <w:sz w:val="24"/>
          <w:szCs w:val="24"/>
        </w:rPr>
        <w:t>)</w:t>
      </w:r>
      <w:r w:rsidRPr="00A057AC">
        <w:rPr>
          <w:rFonts w:ascii="Tahoma" w:hAnsi="Tahoma" w:cs="Tahoma"/>
          <w:sz w:val="24"/>
          <w:szCs w:val="24"/>
        </w:rPr>
        <w:t xml:space="preserve">; fabricarea de mașini, utilaje </w:t>
      </w:r>
      <w:r w:rsidR="0007115C" w:rsidRPr="00A057AC">
        <w:rPr>
          <w:rFonts w:ascii="Tahoma" w:hAnsi="Tahoma" w:cs="Tahoma"/>
          <w:sz w:val="24"/>
          <w:szCs w:val="24"/>
        </w:rPr>
        <w:t>și</w:t>
      </w:r>
      <w:r w:rsidRPr="00A057AC">
        <w:rPr>
          <w:rFonts w:ascii="Tahoma" w:hAnsi="Tahoma" w:cs="Tahoma"/>
          <w:sz w:val="24"/>
          <w:szCs w:val="24"/>
        </w:rPr>
        <w:t xml:space="preserve"> echipamente </w:t>
      </w:r>
      <w:r w:rsidR="00540515" w:rsidRPr="00A057AC">
        <w:rPr>
          <w:rFonts w:ascii="Tahoma" w:hAnsi="Tahoma" w:cs="Tahoma"/>
          <w:sz w:val="24"/>
          <w:szCs w:val="24"/>
        </w:rPr>
        <w:t>(</w:t>
      </w:r>
      <w:r w:rsidRPr="00A057AC">
        <w:rPr>
          <w:rFonts w:ascii="Tahoma" w:hAnsi="Tahoma" w:cs="Tahoma"/>
          <w:sz w:val="24"/>
          <w:szCs w:val="24"/>
        </w:rPr>
        <w:t>-2,1 mii persoane</w:t>
      </w:r>
      <w:r w:rsidR="00540515" w:rsidRPr="00A057AC">
        <w:rPr>
          <w:rFonts w:ascii="Tahoma" w:hAnsi="Tahoma" w:cs="Tahoma"/>
          <w:sz w:val="24"/>
          <w:szCs w:val="24"/>
        </w:rPr>
        <w:t>)</w:t>
      </w:r>
      <w:r w:rsidRPr="00A057AC">
        <w:rPr>
          <w:rFonts w:ascii="Tahoma" w:hAnsi="Tahoma" w:cs="Tahoma"/>
          <w:sz w:val="24"/>
          <w:szCs w:val="24"/>
        </w:rPr>
        <w:t xml:space="preserve">. În hoteluri </w:t>
      </w:r>
      <w:r w:rsidR="0007115C" w:rsidRPr="00A057AC">
        <w:rPr>
          <w:rFonts w:ascii="Tahoma" w:hAnsi="Tahoma" w:cs="Tahoma"/>
          <w:sz w:val="24"/>
          <w:szCs w:val="24"/>
        </w:rPr>
        <w:t>și</w:t>
      </w:r>
      <w:r w:rsidRPr="00A057AC">
        <w:rPr>
          <w:rFonts w:ascii="Tahoma" w:hAnsi="Tahoma" w:cs="Tahoma"/>
          <w:sz w:val="24"/>
          <w:szCs w:val="24"/>
        </w:rPr>
        <w:t xml:space="preserve"> restaurante una dintre cele mai afectate activități, scăderea numărului de salariați a fost de 2,7%, respectiv 5,7 mii persoane. În cadrul efectivelor de salariați de la sfârșitul lunii au fost cuprinse </w:t>
      </w:r>
      <w:r w:rsidR="0007115C" w:rsidRPr="00A057AC">
        <w:rPr>
          <w:rFonts w:ascii="Tahoma" w:hAnsi="Tahoma" w:cs="Tahoma"/>
          <w:sz w:val="24"/>
          <w:szCs w:val="24"/>
        </w:rPr>
        <w:t>și</w:t>
      </w:r>
      <w:r w:rsidRPr="00A057AC">
        <w:rPr>
          <w:rFonts w:ascii="Tahoma" w:hAnsi="Tahoma" w:cs="Tahoma"/>
          <w:sz w:val="24"/>
          <w:szCs w:val="24"/>
        </w:rPr>
        <w:t xml:space="preserve"> persoanele care beneficiază de șomajul tehnic, în conformitate cu prevederile legale în vigoare.</w:t>
      </w:r>
    </w:p>
    <w:p w:rsidR="00BC12CB" w:rsidRPr="00A057AC" w:rsidRDefault="00BC12CB" w:rsidP="00BC12CB">
      <w:pPr>
        <w:spacing w:before="120" w:after="120" w:line="276" w:lineRule="auto"/>
        <w:ind w:firstLine="720"/>
        <w:rPr>
          <w:rFonts w:ascii="Tahoma" w:hAnsi="Tahoma" w:cs="Tahoma"/>
          <w:sz w:val="24"/>
          <w:szCs w:val="24"/>
        </w:rPr>
      </w:pPr>
      <w:r w:rsidRPr="00A057AC">
        <w:rPr>
          <w:rFonts w:ascii="Tahoma" w:hAnsi="Tahoma" w:cs="Tahoma"/>
          <w:sz w:val="24"/>
          <w:szCs w:val="24"/>
        </w:rPr>
        <w:t xml:space="preserve">În același timp, au existat </w:t>
      </w:r>
      <w:r w:rsidR="0007115C" w:rsidRPr="00A057AC">
        <w:rPr>
          <w:rFonts w:ascii="Tahoma" w:hAnsi="Tahoma" w:cs="Tahoma"/>
          <w:sz w:val="24"/>
          <w:szCs w:val="24"/>
        </w:rPr>
        <w:t>și</w:t>
      </w:r>
      <w:r w:rsidRPr="00A057AC">
        <w:rPr>
          <w:rFonts w:ascii="Tahoma" w:hAnsi="Tahoma" w:cs="Tahoma"/>
          <w:sz w:val="24"/>
          <w:szCs w:val="24"/>
        </w:rPr>
        <w:t xml:space="preserve"> ramuri care nu au fost afectate de criza sanitară </w:t>
      </w:r>
      <w:r w:rsidR="0007115C" w:rsidRPr="00A057AC">
        <w:rPr>
          <w:rFonts w:ascii="Tahoma" w:hAnsi="Tahoma" w:cs="Tahoma"/>
          <w:sz w:val="24"/>
          <w:szCs w:val="24"/>
        </w:rPr>
        <w:t>și</w:t>
      </w:r>
      <w:r w:rsidRPr="00A057AC">
        <w:rPr>
          <w:rFonts w:ascii="Tahoma" w:hAnsi="Tahoma" w:cs="Tahoma"/>
          <w:sz w:val="24"/>
          <w:szCs w:val="24"/>
        </w:rPr>
        <w:t xml:space="preserve"> care </w:t>
      </w:r>
      <w:r w:rsidR="0007115C" w:rsidRPr="00A057AC">
        <w:rPr>
          <w:rFonts w:ascii="Tahoma" w:hAnsi="Tahoma" w:cs="Tahoma"/>
          <w:sz w:val="24"/>
          <w:szCs w:val="24"/>
        </w:rPr>
        <w:t>și</w:t>
      </w:r>
      <w:r w:rsidRPr="00A057AC">
        <w:rPr>
          <w:rFonts w:ascii="Tahoma" w:hAnsi="Tahoma" w:cs="Tahoma"/>
          <w:sz w:val="24"/>
          <w:szCs w:val="24"/>
        </w:rPr>
        <w:t>-au extins personalul: sectorul construcțiilor a angajat în primele 6 luni din anul 2021 cu 21,8 mii persoane (respectiv 5,4%) mai mult față de perioada corespunzătoare din 2020, urmat de activitățile de servicii IT, cu un plus de 9,4 mii persoane (4,8%).</w:t>
      </w:r>
    </w:p>
    <w:p w:rsidR="0042309C" w:rsidRPr="00A057AC" w:rsidRDefault="00532D81" w:rsidP="0042309C">
      <w:pPr>
        <w:spacing w:before="120" w:after="120" w:line="276" w:lineRule="auto"/>
        <w:ind w:firstLine="720"/>
        <w:rPr>
          <w:rFonts w:ascii="Tahoma" w:hAnsi="Tahoma" w:cs="Tahoma"/>
          <w:sz w:val="24"/>
          <w:szCs w:val="24"/>
        </w:rPr>
      </w:pPr>
      <w:r w:rsidRPr="00A057AC">
        <w:rPr>
          <w:rFonts w:ascii="Tahoma" w:eastAsia="Calibri" w:hAnsi="Tahoma" w:cs="Tahoma"/>
          <w:b/>
          <w:sz w:val="24"/>
          <w:szCs w:val="24"/>
        </w:rPr>
        <w:t>Câștigul</w:t>
      </w:r>
      <w:r w:rsidR="0042309C" w:rsidRPr="00A057AC">
        <w:rPr>
          <w:rFonts w:ascii="Tahoma" w:eastAsia="Calibri" w:hAnsi="Tahoma" w:cs="Tahoma"/>
          <w:b/>
          <w:sz w:val="24"/>
          <w:szCs w:val="24"/>
        </w:rPr>
        <w:t xml:space="preserve"> salarial mediu brut</w:t>
      </w:r>
      <w:r w:rsidR="0042309C" w:rsidRPr="00A057AC">
        <w:rPr>
          <w:rFonts w:ascii="Tahoma" w:eastAsia="Calibri" w:hAnsi="Tahoma" w:cs="Tahoma"/>
          <w:sz w:val="24"/>
          <w:szCs w:val="24"/>
        </w:rPr>
        <w:t xml:space="preserve"> pe total economie, a fost în primele 6 luni ale anului 2021 de 5</w:t>
      </w:r>
      <w:r w:rsidR="0007115C" w:rsidRPr="00A057AC">
        <w:rPr>
          <w:rFonts w:ascii="Tahoma" w:eastAsia="Calibri" w:hAnsi="Tahoma" w:cs="Tahoma"/>
          <w:sz w:val="24"/>
          <w:szCs w:val="24"/>
        </w:rPr>
        <w:t>.</w:t>
      </w:r>
      <w:r w:rsidR="0042309C" w:rsidRPr="00A057AC">
        <w:rPr>
          <w:rFonts w:ascii="Tahoma" w:eastAsia="Calibri" w:hAnsi="Tahoma" w:cs="Tahoma"/>
          <w:sz w:val="24"/>
          <w:szCs w:val="24"/>
        </w:rPr>
        <w:t>685 lei, cu 7,9</w:t>
      </w:r>
      <w:r w:rsidR="0042309C" w:rsidRPr="00A057AC">
        <w:rPr>
          <w:rFonts w:ascii="Tahoma" w:hAnsi="Tahoma" w:cs="Tahoma"/>
          <w:sz w:val="24"/>
          <w:szCs w:val="24"/>
        </w:rPr>
        <w:t xml:space="preserve"> </w:t>
      </w:r>
      <w:r w:rsidR="0042309C" w:rsidRPr="00A057AC">
        <w:rPr>
          <w:rFonts w:ascii="Tahoma" w:eastAsia="Calibri" w:hAnsi="Tahoma" w:cs="Tahoma"/>
          <w:sz w:val="24"/>
          <w:szCs w:val="24"/>
        </w:rPr>
        <w:t xml:space="preserve">% mai mare decât cel înregistrat în perioada corespunzătoare a anului 2020. </w:t>
      </w:r>
      <w:r w:rsidRPr="00A057AC">
        <w:rPr>
          <w:rFonts w:ascii="Tahoma" w:eastAsia="Calibri" w:hAnsi="Tahoma" w:cs="Tahoma"/>
          <w:sz w:val="24"/>
          <w:szCs w:val="24"/>
        </w:rPr>
        <w:t>Câștigul</w:t>
      </w:r>
      <w:r w:rsidR="0042309C" w:rsidRPr="00A057AC">
        <w:rPr>
          <w:rFonts w:ascii="Tahoma" w:eastAsia="Calibri" w:hAnsi="Tahoma" w:cs="Tahoma"/>
          <w:sz w:val="24"/>
          <w:szCs w:val="24"/>
        </w:rPr>
        <w:t xml:space="preserve"> salarial mediu net s-a majorat cu 8,0%, fiind de 3</w:t>
      </w:r>
      <w:r w:rsidR="0007115C" w:rsidRPr="00A057AC">
        <w:rPr>
          <w:rFonts w:ascii="Tahoma" w:eastAsia="Calibri" w:hAnsi="Tahoma" w:cs="Tahoma"/>
          <w:sz w:val="24"/>
          <w:szCs w:val="24"/>
        </w:rPr>
        <w:t>.</w:t>
      </w:r>
      <w:r w:rsidR="0042309C" w:rsidRPr="00A057AC">
        <w:rPr>
          <w:rFonts w:ascii="Tahoma" w:eastAsia="Calibri" w:hAnsi="Tahoma" w:cs="Tahoma"/>
          <w:sz w:val="24"/>
          <w:szCs w:val="24"/>
        </w:rPr>
        <w:t>484 lei.</w:t>
      </w:r>
    </w:p>
    <w:p w:rsidR="0042309C" w:rsidRPr="00A057AC" w:rsidRDefault="0042309C" w:rsidP="0042309C">
      <w:pPr>
        <w:spacing w:before="120" w:after="120" w:line="276" w:lineRule="auto"/>
        <w:ind w:firstLine="720"/>
        <w:rPr>
          <w:rFonts w:ascii="Tahoma" w:hAnsi="Tahoma" w:cs="Tahoma"/>
          <w:sz w:val="24"/>
          <w:szCs w:val="24"/>
        </w:rPr>
      </w:pPr>
      <w:r w:rsidRPr="00A057AC">
        <w:rPr>
          <w:rFonts w:ascii="Tahoma" w:eastAsia="Calibri" w:hAnsi="Tahoma" w:cs="Tahoma"/>
          <w:sz w:val="24"/>
          <w:szCs w:val="24"/>
        </w:rPr>
        <w:t>Câștigul salarial mediu brut a crescut comparativ cu perioada corespunzătoare a anului 2020, în următoarele activități:</w:t>
      </w:r>
      <w:r w:rsidRPr="00A057AC">
        <w:rPr>
          <w:rFonts w:ascii="Tahoma" w:eastAsia="Times New Roman" w:hAnsi="Tahoma" w:cs="Tahoma"/>
          <w:sz w:val="24"/>
          <w:szCs w:val="24"/>
        </w:rPr>
        <w:t xml:space="preserve"> silvicultură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exploatare forestieră; pescuit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acvacultură (24,3%), fabricarea autovehiculelor de transport rutier, a remorcilor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semiremorcilor (18,8%), fabricarea de mobilă (18,8%), </w:t>
      </w:r>
      <w:r w:rsidR="00532D81" w:rsidRPr="00A057AC">
        <w:rPr>
          <w:rFonts w:ascii="Tahoma" w:eastAsia="Times New Roman" w:hAnsi="Tahoma" w:cs="Tahoma"/>
          <w:sz w:val="24"/>
          <w:szCs w:val="24"/>
        </w:rPr>
        <w:t>extracția</w:t>
      </w:r>
      <w:r w:rsidRPr="00A057AC">
        <w:rPr>
          <w:rFonts w:ascii="Tahoma" w:eastAsia="Times New Roman" w:hAnsi="Tahoma" w:cs="Tahoma"/>
          <w:sz w:val="24"/>
          <w:szCs w:val="24"/>
        </w:rPr>
        <w:t xml:space="preserve"> cărbunelui superior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inferior (16,1%), fabricarea produselor din cauciuc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mase plastice (14,6%), </w:t>
      </w:r>
      <w:r w:rsidR="00532D81" w:rsidRPr="00A057AC">
        <w:rPr>
          <w:rFonts w:ascii="Tahoma" w:eastAsia="Times New Roman" w:hAnsi="Tahoma" w:cs="Tahoma"/>
          <w:sz w:val="24"/>
          <w:szCs w:val="24"/>
        </w:rPr>
        <w:t>extracția</w:t>
      </w:r>
      <w:r w:rsidRPr="00A057AC">
        <w:rPr>
          <w:rFonts w:ascii="Tahoma" w:eastAsia="Times New Roman" w:hAnsi="Tahoma" w:cs="Tahoma"/>
          <w:sz w:val="24"/>
          <w:szCs w:val="24"/>
        </w:rPr>
        <w:t xml:space="preserve"> petrolului brut </w:t>
      </w:r>
      <w:r w:rsidR="00532D81" w:rsidRPr="00A057AC">
        <w:rPr>
          <w:rFonts w:ascii="Tahoma" w:eastAsia="Times New Roman" w:hAnsi="Tahoma" w:cs="Tahoma"/>
          <w:sz w:val="24"/>
          <w:szCs w:val="24"/>
        </w:rPr>
        <w:t>și</w:t>
      </w:r>
      <w:r w:rsidRPr="00A057AC">
        <w:rPr>
          <w:rFonts w:ascii="Tahoma" w:eastAsia="Times New Roman" w:hAnsi="Tahoma" w:cs="Tahoma"/>
          <w:sz w:val="24"/>
          <w:szCs w:val="24"/>
        </w:rPr>
        <w:t xml:space="preserve"> a gazelor naturale (13,7%), industria metalurgică (12,8%),</w:t>
      </w:r>
      <w:r w:rsidRPr="00A057AC">
        <w:rPr>
          <w:rFonts w:ascii="Tahoma" w:eastAsia="Times New Roman" w:hAnsi="Tahoma" w:cs="Tahoma"/>
          <w:bCs/>
          <w:sz w:val="24"/>
          <w:szCs w:val="24"/>
        </w:rPr>
        <w:t xml:space="preserve"> hoteluri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restaurante (12,0%), industria prelucrătoare (11,8%), </w:t>
      </w:r>
      <w:r w:rsidR="00532D81" w:rsidRPr="00A057AC">
        <w:rPr>
          <w:rFonts w:ascii="Tahoma" w:eastAsia="Times New Roman" w:hAnsi="Tahoma" w:cs="Tahoma"/>
          <w:bCs/>
          <w:sz w:val="24"/>
          <w:szCs w:val="24"/>
        </w:rPr>
        <w:t>activități</w:t>
      </w:r>
      <w:r w:rsidRPr="00A057AC">
        <w:rPr>
          <w:rFonts w:ascii="Tahoma" w:eastAsia="Times New Roman" w:hAnsi="Tahoma" w:cs="Tahoma"/>
          <w:bCs/>
          <w:sz w:val="24"/>
          <w:szCs w:val="24"/>
        </w:rPr>
        <w:t xml:space="preserve"> de spectacole, culturale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recreative (10,9%), agricultură, silvicultură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pescuit (9</w:t>
      </w:r>
      <w:r w:rsidR="00B45E6F" w:rsidRPr="00A057AC">
        <w:rPr>
          <w:rFonts w:ascii="Tahoma" w:eastAsia="Times New Roman" w:hAnsi="Tahoma" w:cs="Tahoma"/>
          <w:bCs/>
          <w:sz w:val="24"/>
          <w:szCs w:val="24"/>
        </w:rPr>
        <w:t xml:space="preserve">,2%), </w:t>
      </w:r>
      <w:r w:rsidR="00532D81" w:rsidRPr="00A057AC">
        <w:rPr>
          <w:rFonts w:ascii="Tahoma" w:eastAsia="Times New Roman" w:hAnsi="Tahoma" w:cs="Tahoma"/>
          <w:bCs/>
          <w:sz w:val="24"/>
          <w:szCs w:val="24"/>
        </w:rPr>
        <w:t>activități</w:t>
      </w:r>
      <w:r w:rsidR="00B45E6F" w:rsidRPr="00A057AC">
        <w:rPr>
          <w:rFonts w:ascii="Tahoma" w:eastAsia="Times New Roman" w:hAnsi="Tahoma" w:cs="Tahoma"/>
          <w:bCs/>
          <w:sz w:val="24"/>
          <w:szCs w:val="24"/>
        </w:rPr>
        <w:t xml:space="preserve"> profesionale, </w:t>
      </w:r>
      <w:r w:rsidR="00532D81" w:rsidRPr="00A057AC">
        <w:rPr>
          <w:rFonts w:ascii="Tahoma" w:eastAsia="Times New Roman" w:hAnsi="Tahoma" w:cs="Tahoma"/>
          <w:bCs/>
          <w:sz w:val="24"/>
          <w:szCs w:val="24"/>
        </w:rPr>
        <w:t>științifice</w:t>
      </w:r>
      <w:r w:rsidRPr="00A057AC">
        <w:rPr>
          <w:rFonts w:ascii="Tahoma" w:eastAsia="Times New Roman" w:hAnsi="Tahoma" w:cs="Tahoma"/>
          <w:bCs/>
          <w:sz w:val="24"/>
          <w:szCs w:val="24"/>
        </w:rPr>
        <w:t xml:space="preserve">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tehnice (9,1%), </w:t>
      </w:r>
      <w:r w:rsidR="00532D81" w:rsidRPr="00A057AC">
        <w:rPr>
          <w:rFonts w:ascii="Tahoma" w:eastAsia="Times New Roman" w:hAnsi="Tahoma" w:cs="Tahoma"/>
          <w:bCs/>
          <w:sz w:val="24"/>
          <w:szCs w:val="24"/>
        </w:rPr>
        <w:t>comerț</w:t>
      </w:r>
      <w:r w:rsidRPr="00A057AC">
        <w:rPr>
          <w:rFonts w:ascii="Tahoma" w:eastAsia="Times New Roman" w:hAnsi="Tahoma" w:cs="Tahoma"/>
          <w:bCs/>
          <w:sz w:val="24"/>
          <w:szCs w:val="24"/>
        </w:rPr>
        <w:t xml:space="preserve"> cu ridicata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cu amănuntul; repararea autovehiculelor </w:t>
      </w:r>
      <w:r w:rsidR="00532D81" w:rsidRPr="00A057AC">
        <w:rPr>
          <w:rFonts w:ascii="Tahoma" w:eastAsia="Times New Roman" w:hAnsi="Tahoma" w:cs="Tahoma"/>
          <w:bCs/>
          <w:sz w:val="24"/>
          <w:szCs w:val="24"/>
        </w:rPr>
        <w:t>și</w:t>
      </w:r>
      <w:r w:rsidRPr="00A057AC">
        <w:rPr>
          <w:rFonts w:ascii="Tahoma" w:eastAsia="Times New Roman" w:hAnsi="Tahoma" w:cs="Tahoma"/>
          <w:bCs/>
          <w:sz w:val="24"/>
          <w:szCs w:val="24"/>
        </w:rPr>
        <w:t xml:space="preserve"> motocicletelor (8,9%).</w:t>
      </w:r>
    </w:p>
    <w:p w:rsidR="0042309C" w:rsidRPr="00A057AC" w:rsidRDefault="0042309C" w:rsidP="0042309C">
      <w:pPr>
        <w:spacing w:before="120" w:after="120" w:line="276" w:lineRule="auto"/>
        <w:ind w:firstLine="720"/>
        <w:rPr>
          <w:rFonts w:ascii="Tahoma" w:hAnsi="Tahoma" w:cs="Tahoma"/>
          <w:sz w:val="24"/>
          <w:szCs w:val="24"/>
        </w:rPr>
      </w:pPr>
      <w:r w:rsidRPr="00A057AC">
        <w:rPr>
          <w:rFonts w:ascii="Tahoma" w:eastAsia="Calibri" w:hAnsi="Tahoma" w:cs="Tahoma"/>
          <w:sz w:val="24"/>
          <w:szCs w:val="24"/>
        </w:rPr>
        <w:t xml:space="preserve">In sectorul bugetar, </w:t>
      </w:r>
      <w:r w:rsidR="00532D81" w:rsidRPr="00A057AC">
        <w:rPr>
          <w:rFonts w:ascii="Tahoma" w:eastAsia="Calibri" w:hAnsi="Tahoma" w:cs="Tahoma"/>
          <w:sz w:val="24"/>
          <w:szCs w:val="24"/>
        </w:rPr>
        <w:t>creșterea</w:t>
      </w:r>
      <w:r w:rsidRPr="00A057AC">
        <w:rPr>
          <w:rFonts w:ascii="Tahoma" w:eastAsia="Calibri" w:hAnsi="Tahoma" w:cs="Tahoma"/>
          <w:sz w:val="24"/>
          <w:szCs w:val="24"/>
        </w:rPr>
        <w:t xml:space="preserve"> medie a </w:t>
      </w:r>
      <w:r w:rsidR="00532D81" w:rsidRPr="00A057AC">
        <w:rPr>
          <w:rFonts w:ascii="Tahoma" w:eastAsia="Calibri" w:hAnsi="Tahoma" w:cs="Tahoma"/>
          <w:sz w:val="24"/>
          <w:szCs w:val="24"/>
        </w:rPr>
        <w:t>câștigului</w:t>
      </w:r>
      <w:r w:rsidRPr="00A057AC">
        <w:rPr>
          <w:rFonts w:ascii="Tahoma" w:eastAsia="Calibri" w:hAnsi="Tahoma" w:cs="Tahoma"/>
          <w:sz w:val="24"/>
          <w:szCs w:val="24"/>
        </w:rPr>
        <w:t xml:space="preserve"> salarial mediu brut a fost de 3,3% comparativ cu perioada corespunzătoare a anului 2020, în timp ce în sectorul </w:t>
      </w:r>
      <w:r w:rsidR="00532D81" w:rsidRPr="00A057AC">
        <w:rPr>
          <w:rFonts w:ascii="Tahoma" w:eastAsia="Calibri" w:hAnsi="Tahoma" w:cs="Tahoma"/>
          <w:sz w:val="24"/>
          <w:szCs w:val="24"/>
        </w:rPr>
        <w:t>concurențial</w:t>
      </w:r>
      <w:r w:rsidRPr="00A057AC">
        <w:rPr>
          <w:rFonts w:ascii="Tahoma" w:eastAsia="Calibri" w:hAnsi="Tahoma" w:cs="Tahoma"/>
          <w:sz w:val="24"/>
          <w:szCs w:val="24"/>
        </w:rPr>
        <w:t xml:space="preserve"> s-a majorat cu 9,3%.</w:t>
      </w:r>
    </w:p>
    <w:p w:rsidR="0042309C" w:rsidRPr="00A057AC" w:rsidRDefault="0042309C" w:rsidP="0042309C">
      <w:pPr>
        <w:spacing w:before="120" w:after="120" w:line="276" w:lineRule="auto"/>
        <w:ind w:firstLine="720"/>
        <w:rPr>
          <w:rFonts w:ascii="Tahoma" w:eastAsia="Calibri" w:hAnsi="Tahoma" w:cs="Tahoma"/>
          <w:sz w:val="24"/>
          <w:szCs w:val="24"/>
        </w:rPr>
      </w:pPr>
      <w:r w:rsidRPr="00A057AC">
        <w:rPr>
          <w:rFonts w:ascii="Tahoma" w:eastAsia="Calibri" w:hAnsi="Tahoma" w:cs="Tahoma"/>
          <w:b/>
          <w:sz w:val="24"/>
          <w:szCs w:val="24"/>
        </w:rPr>
        <w:t>În termeni reali</w:t>
      </w:r>
      <w:r w:rsidRPr="00A057AC">
        <w:rPr>
          <w:rFonts w:ascii="Tahoma" w:eastAsia="Calibri" w:hAnsi="Tahoma" w:cs="Tahoma"/>
          <w:sz w:val="24"/>
          <w:szCs w:val="24"/>
        </w:rPr>
        <w:t xml:space="preserve">, pe total economie, </w:t>
      </w:r>
      <w:r w:rsidR="00532D81" w:rsidRPr="00A057AC">
        <w:rPr>
          <w:rFonts w:ascii="Tahoma" w:eastAsia="Calibri" w:hAnsi="Tahoma" w:cs="Tahoma"/>
          <w:sz w:val="24"/>
          <w:szCs w:val="24"/>
        </w:rPr>
        <w:t>creșterea</w:t>
      </w:r>
      <w:r w:rsidRPr="00A057AC">
        <w:rPr>
          <w:rFonts w:ascii="Tahoma" w:eastAsia="Calibri" w:hAnsi="Tahoma" w:cs="Tahoma"/>
          <w:sz w:val="24"/>
          <w:szCs w:val="24"/>
        </w:rPr>
        <w:t xml:space="preserve"> </w:t>
      </w:r>
      <w:r w:rsidR="00532D81" w:rsidRPr="00A057AC">
        <w:rPr>
          <w:rFonts w:ascii="Tahoma" w:eastAsia="Calibri" w:hAnsi="Tahoma" w:cs="Tahoma"/>
          <w:sz w:val="24"/>
          <w:szCs w:val="24"/>
        </w:rPr>
        <w:t>câștigului</w:t>
      </w:r>
      <w:r w:rsidRPr="00A057AC">
        <w:rPr>
          <w:rFonts w:ascii="Tahoma" w:eastAsia="Calibri" w:hAnsi="Tahoma" w:cs="Tahoma"/>
          <w:sz w:val="24"/>
          <w:szCs w:val="24"/>
        </w:rPr>
        <w:t xml:space="preserve"> salarial a fost de 4,5%. </w:t>
      </w:r>
      <w:r w:rsidR="00532D81" w:rsidRPr="00A057AC">
        <w:rPr>
          <w:rFonts w:ascii="Tahoma" w:eastAsia="Calibri" w:hAnsi="Tahoma" w:cs="Tahoma"/>
          <w:sz w:val="24"/>
          <w:szCs w:val="24"/>
        </w:rPr>
        <w:t>Câștigul</w:t>
      </w:r>
      <w:r w:rsidRPr="00A057AC">
        <w:rPr>
          <w:rFonts w:ascii="Tahoma" w:eastAsia="Calibri" w:hAnsi="Tahoma" w:cs="Tahoma"/>
          <w:sz w:val="24"/>
          <w:szCs w:val="24"/>
        </w:rPr>
        <w:t xml:space="preserve"> salarial real în sectorul bugetar a înregistrat o scădere de 0,2%, iar în sectorul </w:t>
      </w:r>
      <w:r w:rsidR="00532D81" w:rsidRPr="00A057AC">
        <w:rPr>
          <w:rFonts w:ascii="Tahoma" w:eastAsia="Calibri" w:hAnsi="Tahoma" w:cs="Tahoma"/>
          <w:sz w:val="24"/>
          <w:szCs w:val="24"/>
        </w:rPr>
        <w:t>concurențial</w:t>
      </w:r>
      <w:r w:rsidRPr="00A057AC">
        <w:rPr>
          <w:rFonts w:ascii="Tahoma" w:eastAsia="Calibri" w:hAnsi="Tahoma" w:cs="Tahoma"/>
          <w:sz w:val="24"/>
          <w:szCs w:val="24"/>
        </w:rPr>
        <w:t xml:space="preserve"> o </w:t>
      </w:r>
      <w:r w:rsidR="00532D81" w:rsidRPr="00A057AC">
        <w:rPr>
          <w:rFonts w:ascii="Tahoma" w:eastAsia="Calibri" w:hAnsi="Tahoma" w:cs="Tahoma"/>
          <w:sz w:val="24"/>
          <w:szCs w:val="24"/>
        </w:rPr>
        <w:t>creștere</w:t>
      </w:r>
      <w:r w:rsidRPr="00A057AC">
        <w:rPr>
          <w:rFonts w:ascii="Tahoma" w:eastAsia="Calibri" w:hAnsi="Tahoma" w:cs="Tahoma"/>
          <w:sz w:val="24"/>
          <w:szCs w:val="24"/>
        </w:rPr>
        <w:t xml:space="preserve"> de 6,0%.</w:t>
      </w:r>
      <w:r w:rsidRPr="00A057AC">
        <w:rPr>
          <w:rFonts w:ascii="Tahoma" w:eastAsia="Calibri" w:hAnsi="Tahoma" w:cs="Tahoma"/>
          <w:sz w:val="24"/>
          <w:szCs w:val="24"/>
        </w:rPr>
        <w:tab/>
      </w:r>
    </w:p>
    <w:p w:rsidR="0042309C" w:rsidRPr="00A057AC" w:rsidRDefault="0042309C" w:rsidP="0042309C">
      <w:pPr>
        <w:spacing w:before="120" w:after="120" w:line="276" w:lineRule="auto"/>
        <w:ind w:firstLine="0"/>
        <w:rPr>
          <w:rFonts w:ascii="Tahoma" w:eastAsia="Calibri" w:hAnsi="Tahoma" w:cs="Tahoma"/>
          <w:b/>
          <w:sz w:val="24"/>
          <w:szCs w:val="24"/>
        </w:rPr>
      </w:pPr>
      <w:r w:rsidRPr="00A057AC">
        <w:rPr>
          <w:rFonts w:ascii="Tahoma" w:eastAsia="Calibri" w:hAnsi="Tahoma" w:cs="Tahoma"/>
          <w:sz w:val="24"/>
          <w:szCs w:val="24"/>
        </w:rPr>
        <w:tab/>
      </w:r>
      <w:r w:rsidRPr="00A057AC">
        <w:rPr>
          <w:rFonts w:ascii="Tahoma" w:eastAsia="Calibri" w:hAnsi="Tahoma" w:cs="Tahoma"/>
          <w:b/>
          <w:sz w:val="24"/>
          <w:szCs w:val="24"/>
        </w:rPr>
        <w:t>La nivelul întregii economii, în primele 6 luni ale anului 2021, fondul de salarii s-a majorat cu 8,0% în condițiile în care numărul mediu de salariați a crescut cu 0,1%</w:t>
      </w:r>
      <w:r w:rsidR="00022C4B" w:rsidRPr="00A057AC">
        <w:rPr>
          <w:rFonts w:ascii="Tahoma" w:eastAsia="Calibri" w:hAnsi="Tahoma" w:cs="Tahoma"/>
          <w:b/>
          <w:sz w:val="24"/>
          <w:szCs w:val="24"/>
        </w:rPr>
        <w:t>,</w:t>
      </w:r>
      <w:r w:rsidRPr="00A057AC">
        <w:rPr>
          <w:rFonts w:ascii="Tahoma" w:eastAsia="Calibri" w:hAnsi="Tahoma" w:cs="Tahoma"/>
          <w:b/>
          <w:sz w:val="24"/>
          <w:szCs w:val="24"/>
        </w:rPr>
        <w:t xml:space="preserve"> iar câștigul salarial mediu brut cu 7,9%.</w:t>
      </w:r>
    </w:p>
    <w:p w:rsidR="00022C4B" w:rsidRPr="00A057AC" w:rsidRDefault="00022C4B" w:rsidP="00022C4B">
      <w:pPr>
        <w:spacing w:before="120" w:after="120" w:line="276" w:lineRule="auto"/>
        <w:ind w:firstLine="720"/>
        <w:rPr>
          <w:rFonts w:ascii="Tahoma" w:hAnsi="Tahoma" w:cs="Tahoma"/>
          <w:sz w:val="24"/>
          <w:szCs w:val="24"/>
        </w:rPr>
      </w:pPr>
      <w:bookmarkStart w:id="9" w:name="_Toc456256933"/>
      <w:bookmarkStart w:id="10" w:name="_Toc456257457"/>
      <w:bookmarkStart w:id="11" w:name="_Toc456258315"/>
      <w:bookmarkStart w:id="12" w:name="_Toc456258420"/>
      <w:r w:rsidRPr="00A057AC">
        <w:rPr>
          <w:rFonts w:ascii="Tahoma" w:hAnsi="Tahoma" w:cs="Tahoma"/>
          <w:b/>
          <w:sz w:val="24"/>
          <w:szCs w:val="24"/>
        </w:rPr>
        <w:t>Șomajul înregistrat</w:t>
      </w:r>
      <w:r w:rsidRPr="00A057AC">
        <w:rPr>
          <w:rFonts w:ascii="Tahoma" w:hAnsi="Tahoma" w:cs="Tahoma"/>
          <w:sz w:val="24"/>
          <w:szCs w:val="24"/>
        </w:rPr>
        <w:t xml:space="preserve"> la nivel </w:t>
      </w:r>
      <w:r w:rsidR="00532D81" w:rsidRPr="00A057AC">
        <w:rPr>
          <w:rFonts w:ascii="Tahoma" w:hAnsi="Tahoma" w:cs="Tahoma"/>
          <w:sz w:val="24"/>
          <w:szCs w:val="24"/>
        </w:rPr>
        <w:t>național</w:t>
      </w:r>
      <w:r w:rsidRPr="00A057AC">
        <w:rPr>
          <w:rFonts w:ascii="Tahoma" w:hAnsi="Tahoma" w:cs="Tahoma"/>
          <w:sz w:val="24"/>
          <w:szCs w:val="24"/>
        </w:rPr>
        <w:t xml:space="preserve"> a avut un trend crescător, urmare a  manifestării efectelor pandemiei de COVID-19. Măsurile de sprijin adoptate de </w:t>
      </w:r>
      <w:r w:rsidRPr="00A057AC">
        <w:rPr>
          <w:rFonts w:ascii="Tahoma" w:hAnsi="Tahoma" w:cs="Tahoma"/>
          <w:sz w:val="24"/>
          <w:szCs w:val="24"/>
        </w:rPr>
        <w:lastRenderedPageBreak/>
        <w:t xml:space="preserve">Guvernul României, în special cele care au vizat șomajul tehnic, au făcut ca personalul să rămână angajat în cadrul firmelor chiar dacă activitatea acestora a suferit diminuări. Șomajul înregistrat la sfârșitul lunii iunie 2020 a ajuns la 260,7 mii persoane cu o rată a șomajului de 3,0%, iar la sfârșitul lunii iunie 2021 numărul șomerilor înregistrați a crescut  la 262,1 mii persoane  cu o rată a șomajului înregistrat tot de 3,0%. Numărul șomerilor înregistrați la sfârșitul lunii iunie 2021 a crescut cu 1,4 mii persoane (0,6%) față de iunie 2020. Din totalul șomerilor înregistrați, 69,5 mii persoane au fost șomerii indemnizați (26,5%) </w:t>
      </w:r>
      <w:r w:rsidR="00532D81" w:rsidRPr="00A057AC">
        <w:rPr>
          <w:rFonts w:ascii="Tahoma" w:hAnsi="Tahoma" w:cs="Tahoma"/>
          <w:sz w:val="24"/>
          <w:szCs w:val="24"/>
        </w:rPr>
        <w:t>și</w:t>
      </w:r>
      <w:r w:rsidRPr="00A057AC">
        <w:rPr>
          <w:rFonts w:ascii="Tahoma" w:hAnsi="Tahoma" w:cs="Tahoma"/>
          <w:sz w:val="24"/>
          <w:szCs w:val="24"/>
        </w:rPr>
        <w:t xml:space="preserve"> 192,6 mii persoane șomeri neindemnizaţi (73,5%). Pe medii de rezidență numărul șomerilor înregistrați se prezintă astfel: 82,4 mii persoane (31,4%) din mediul urban </w:t>
      </w:r>
      <w:r w:rsidR="00532D81" w:rsidRPr="00A057AC">
        <w:rPr>
          <w:rFonts w:ascii="Tahoma" w:hAnsi="Tahoma" w:cs="Tahoma"/>
          <w:sz w:val="24"/>
          <w:szCs w:val="24"/>
        </w:rPr>
        <w:t>și</w:t>
      </w:r>
      <w:r w:rsidRPr="00A057AC">
        <w:rPr>
          <w:rFonts w:ascii="Tahoma" w:hAnsi="Tahoma" w:cs="Tahoma"/>
          <w:sz w:val="24"/>
          <w:szCs w:val="24"/>
        </w:rPr>
        <w:t xml:space="preserve">  179,7 mii persoane (68,6%) din mediul rural.</w:t>
      </w:r>
    </w:p>
    <w:p w:rsidR="00022C4B" w:rsidRPr="00A057AC" w:rsidRDefault="00022C4B" w:rsidP="00022C4B">
      <w:pPr>
        <w:spacing w:before="120" w:after="120" w:line="276" w:lineRule="auto"/>
        <w:ind w:firstLine="720"/>
        <w:rPr>
          <w:rFonts w:ascii="Tahoma" w:hAnsi="Tahoma" w:cs="Tahoma"/>
          <w:sz w:val="24"/>
          <w:szCs w:val="24"/>
        </w:rPr>
      </w:pPr>
      <w:r w:rsidRPr="00A057AC">
        <w:rPr>
          <w:rFonts w:ascii="Tahoma" w:hAnsi="Tahoma" w:cs="Tahoma"/>
          <w:b/>
          <w:sz w:val="24"/>
          <w:szCs w:val="24"/>
        </w:rPr>
        <w:t>Structura șomajului pe grupe de vârstă,</w:t>
      </w:r>
      <w:r w:rsidRPr="00A057AC">
        <w:rPr>
          <w:rFonts w:ascii="Tahoma" w:hAnsi="Tahoma" w:cs="Tahoma"/>
          <w:sz w:val="24"/>
          <w:szCs w:val="24"/>
        </w:rPr>
        <w:t xml:space="preserve"> la </w:t>
      </w:r>
      <w:r w:rsidR="00532D81" w:rsidRPr="00A057AC">
        <w:rPr>
          <w:rFonts w:ascii="Tahoma" w:hAnsi="Tahoma" w:cs="Tahoma"/>
          <w:sz w:val="24"/>
          <w:szCs w:val="24"/>
        </w:rPr>
        <w:t>sfârșitul</w:t>
      </w:r>
      <w:r w:rsidRPr="00A057AC">
        <w:rPr>
          <w:rFonts w:ascii="Tahoma" w:hAnsi="Tahoma" w:cs="Tahoma"/>
          <w:sz w:val="24"/>
          <w:szCs w:val="24"/>
        </w:rPr>
        <w:t xml:space="preserve"> lunii iunie 2021, ne arată că cea mai mare pondere a avut-o grupa de vârstă 40 - 49 de ani, care reprezentau 27,5% din totalul șomerilor înregistrați, urmați de grupele 50 - 55 de ani (20,8%), peste 55 de ani (20,3%) și 30-39 ani (17,1%). </w:t>
      </w:r>
    </w:p>
    <w:p w:rsidR="00022C4B" w:rsidRPr="00A057AC" w:rsidRDefault="00022C4B" w:rsidP="00022C4B">
      <w:pPr>
        <w:spacing w:before="120" w:after="120" w:line="276" w:lineRule="auto"/>
        <w:ind w:firstLine="720"/>
        <w:rPr>
          <w:rFonts w:ascii="Tahoma" w:hAnsi="Tahoma" w:cs="Tahoma"/>
          <w:sz w:val="24"/>
          <w:szCs w:val="24"/>
        </w:rPr>
      </w:pPr>
      <w:r w:rsidRPr="00A057AC">
        <w:rPr>
          <w:rFonts w:ascii="Tahoma" w:hAnsi="Tahoma" w:cs="Tahoma"/>
          <w:b/>
          <w:sz w:val="24"/>
          <w:szCs w:val="24"/>
        </w:rPr>
        <w:t>După nivelul de instruire</w:t>
      </w:r>
      <w:r w:rsidRPr="00A057AC">
        <w:rPr>
          <w:rFonts w:ascii="Tahoma" w:hAnsi="Tahoma" w:cs="Tahoma"/>
          <w:sz w:val="24"/>
          <w:szCs w:val="24"/>
        </w:rPr>
        <w:t xml:space="preserve">, șomerii fără studii și cei cu nivel de instruire primar, gimnazial </w:t>
      </w:r>
      <w:r w:rsidR="0007115C" w:rsidRPr="00A057AC">
        <w:rPr>
          <w:rFonts w:ascii="Tahoma" w:hAnsi="Tahoma" w:cs="Tahoma"/>
          <w:sz w:val="24"/>
          <w:szCs w:val="24"/>
        </w:rPr>
        <w:t>și</w:t>
      </w:r>
      <w:r w:rsidRPr="00A057AC">
        <w:rPr>
          <w:rFonts w:ascii="Tahoma" w:hAnsi="Tahoma" w:cs="Tahoma"/>
          <w:sz w:val="24"/>
          <w:szCs w:val="24"/>
        </w:rPr>
        <w:t xml:space="preserve"> profesional aveau ponderea cea mai mare în totalul șomerilor înregistrați, respectiv 73,3%. Șomerii cu nivel de instruire liceal și post-liceal reprezentau 20,9% din totalul șomerilor înregistrați, iar cei cu studii universitare reprezentau 5,7%. </w:t>
      </w:r>
    </w:p>
    <w:p w:rsidR="00022C4B" w:rsidRPr="00A057AC" w:rsidRDefault="00022C4B" w:rsidP="00022C4B">
      <w:pPr>
        <w:pStyle w:val="Heading1"/>
        <w:spacing w:before="120" w:after="120" w:line="276" w:lineRule="auto"/>
        <w:ind w:firstLine="706"/>
        <w:rPr>
          <w:rFonts w:ascii="Tahoma" w:hAnsi="Tahoma" w:cs="Tahoma"/>
          <w:color w:val="auto"/>
          <w:sz w:val="24"/>
          <w:szCs w:val="24"/>
        </w:rPr>
      </w:pPr>
      <w:bookmarkStart w:id="13" w:name="_Toc77774445"/>
      <w:bookmarkStart w:id="14" w:name="_Toc78286374"/>
      <w:bookmarkStart w:id="15" w:name="_Toc78799064"/>
      <w:bookmarkStart w:id="16" w:name="_Toc78799187"/>
      <w:r w:rsidRPr="00A057AC">
        <w:rPr>
          <w:rFonts w:ascii="Tahoma" w:hAnsi="Tahoma" w:cs="Tahoma"/>
          <w:color w:val="auto"/>
          <w:sz w:val="24"/>
          <w:szCs w:val="24"/>
        </w:rPr>
        <w:t xml:space="preserve">În ceea ce privește </w:t>
      </w:r>
      <w:r w:rsidRPr="00A057AC">
        <w:rPr>
          <w:rFonts w:ascii="Tahoma" w:hAnsi="Tahoma" w:cs="Tahoma"/>
          <w:b/>
          <w:color w:val="auto"/>
          <w:sz w:val="24"/>
          <w:szCs w:val="24"/>
        </w:rPr>
        <w:t>șomajul de lungă durată</w:t>
      </w:r>
      <w:r w:rsidRPr="00A057AC">
        <w:rPr>
          <w:rFonts w:ascii="Tahoma" w:hAnsi="Tahoma" w:cs="Tahoma"/>
          <w:color w:val="auto"/>
          <w:sz w:val="24"/>
          <w:szCs w:val="24"/>
        </w:rPr>
        <w:t xml:space="preserve">, la sfârșitul lunii iunie 2021 se aflau înregistrați 104,1 mii persoane (39,7% din totalul </w:t>
      </w:r>
      <w:r w:rsidR="00532D81" w:rsidRPr="00A057AC">
        <w:rPr>
          <w:rFonts w:ascii="Tahoma" w:hAnsi="Tahoma" w:cs="Tahoma"/>
          <w:color w:val="auto"/>
          <w:sz w:val="24"/>
          <w:szCs w:val="24"/>
        </w:rPr>
        <w:t>șomerilor</w:t>
      </w:r>
      <w:r w:rsidRPr="00A057AC">
        <w:rPr>
          <w:rFonts w:ascii="Tahoma" w:hAnsi="Tahoma" w:cs="Tahoma"/>
          <w:color w:val="auto"/>
          <w:sz w:val="24"/>
          <w:szCs w:val="24"/>
        </w:rPr>
        <w:t xml:space="preserve"> </w:t>
      </w:r>
      <w:r w:rsidR="00532D81" w:rsidRPr="00A057AC">
        <w:rPr>
          <w:rFonts w:ascii="Tahoma" w:hAnsi="Tahoma" w:cs="Tahoma"/>
          <w:color w:val="auto"/>
          <w:sz w:val="24"/>
          <w:szCs w:val="24"/>
        </w:rPr>
        <w:t>înregistrați</w:t>
      </w:r>
      <w:r w:rsidRPr="00A057AC">
        <w:rPr>
          <w:rFonts w:ascii="Tahoma" w:hAnsi="Tahoma" w:cs="Tahoma"/>
          <w:color w:val="auto"/>
          <w:sz w:val="24"/>
          <w:szCs w:val="24"/>
        </w:rPr>
        <w:t xml:space="preserve">), din care 10,3 mii persoane din rândul tinerilor cu vârsta sub 25 de ani (41,9% din totalul </w:t>
      </w:r>
      <w:r w:rsidR="00532D81" w:rsidRPr="00A057AC">
        <w:rPr>
          <w:rFonts w:ascii="Tahoma" w:hAnsi="Tahoma" w:cs="Tahoma"/>
          <w:color w:val="auto"/>
          <w:sz w:val="24"/>
          <w:szCs w:val="24"/>
        </w:rPr>
        <w:t>șomerilor</w:t>
      </w:r>
      <w:r w:rsidRPr="00A057AC">
        <w:rPr>
          <w:rFonts w:ascii="Tahoma" w:hAnsi="Tahoma" w:cs="Tahoma"/>
          <w:color w:val="auto"/>
          <w:sz w:val="24"/>
          <w:szCs w:val="24"/>
        </w:rPr>
        <w:t xml:space="preserve"> de lungă durată sub 25 de ani) </w:t>
      </w:r>
      <w:r w:rsidR="00532D81" w:rsidRPr="00A057AC">
        <w:rPr>
          <w:rFonts w:ascii="Tahoma" w:hAnsi="Tahoma" w:cs="Tahoma"/>
          <w:color w:val="auto"/>
          <w:sz w:val="24"/>
          <w:szCs w:val="24"/>
        </w:rPr>
        <w:t>și</w:t>
      </w:r>
      <w:r w:rsidRPr="00A057AC">
        <w:rPr>
          <w:rFonts w:ascii="Tahoma" w:hAnsi="Tahoma" w:cs="Tahoma"/>
          <w:color w:val="auto"/>
          <w:sz w:val="24"/>
          <w:szCs w:val="24"/>
        </w:rPr>
        <w:t xml:space="preserve"> 93,8 mii persoane </w:t>
      </w:r>
      <w:bookmarkEnd w:id="13"/>
      <w:bookmarkEnd w:id="14"/>
      <w:r w:rsidRPr="00A057AC">
        <w:rPr>
          <w:rFonts w:ascii="Tahoma" w:hAnsi="Tahoma" w:cs="Tahoma"/>
          <w:color w:val="auto"/>
          <w:sz w:val="24"/>
          <w:szCs w:val="24"/>
        </w:rPr>
        <w:t>(39,5% din rândul adulților cu vârsta peste 25 de ani).</w:t>
      </w:r>
      <w:bookmarkEnd w:id="15"/>
      <w:bookmarkEnd w:id="16"/>
    </w:p>
    <w:p w:rsidR="00E80EAC" w:rsidRPr="00A057AC" w:rsidRDefault="00E80EAC" w:rsidP="00E80EAC">
      <w:pPr>
        <w:rPr>
          <w:rFonts w:ascii="Tahoma" w:hAnsi="Tahoma" w:cs="Tahoma"/>
        </w:rPr>
      </w:pPr>
      <w:r w:rsidRPr="00A057AC">
        <w:rPr>
          <w:rFonts w:ascii="Tahoma" w:hAnsi="Tahoma" w:cs="Tahoma"/>
        </w:rPr>
        <w:br w:type="page"/>
      </w:r>
    </w:p>
    <w:p w:rsidR="0056154D" w:rsidRPr="00A057AC" w:rsidRDefault="002548C2" w:rsidP="00717011">
      <w:pPr>
        <w:pStyle w:val="Heading1"/>
        <w:numPr>
          <w:ilvl w:val="0"/>
          <w:numId w:val="1"/>
        </w:numPr>
        <w:rPr>
          <w:rFonts w:ascii="Tahoma" w:hAnsi="Tahoma" w:cs="Tahoma"/>
          <w:b/>
          <w:color w:val="auto"/>
          <w:sz w:val="24"/>
          <w:szCs w:val="24"/>
        </w:rPr>
      </w:pPr>
      <w:bookmarkStart w:id="17" w:name="_Toc78799188"/>
      <w:r w:rsidRPr="00A057AC">
        <w:rPr>
          <w:rFonts w:ascii="Tahoma" w:hAnsi="Tahoma" w:cs="Tahoma"/>
          <w:b/>
          <w:color w:val="auto"/>
          <w:sz w:val="24"/>
          <w:szCs w:val="24"/>
        </w:rPr>
        <w:lastRenderedPageBreak/>
        <w:t>P</w:t>
      </w:r>
      <w:r w:rsidR="00E3087D" w:rsidRPr="00A057AC">
        <w:rPr>
          <w:rFonts w:ascii="Tahoma" w:hAnsi="Tahoma" w:cs="Tahoma"/>
          <w:b/>
          <w:color w:val="auto"/>
          <w:sz w:val="24"/>
          <w:szCs w:val="24"/>
        </w:rPr>
        <w:t xml:space="preserve">olitica fiscal-bugetară </w:t>
      </w:r>
      <w:r w:rsidR="00191D8D" w:rsidRPr="00A057AC">
        <w:rPr>
          <w:rFonts w:ascii="Tahoma" w:hAnsi="Tahoma" w:cs="Tahoma"/>
          <w:b/>
          <w:color w:val="auto"/>
          <w:sz w:val="24"/>
          <w:szCs w:val="24"/>
        </w:rPr>
        <w:t>aferentă</w:t>
      </w:r>
      <w:r w:rsidR="00E3087D" w:rsidRPr="00A057AC">
        <w:rPr>
          <w:rFonts w:ascii="Tahoma" w:hAnsi="Tahoma" w:cs="Tahoma"/>
          <w:b/>
          <w:color w:val="auto"/>
          <w:sz w:val="24"/>
          <w:szCs w:val="24"/>
        </w:rPr>
        <w:t xml:space="preserve"> anul</w:t>
      </w:r>
      <w:r w:rsidR="00191D8D" w:rsidRPr="00A057AC">
        <w:rPr>
          <w:rFonts w:ascii="Tahoma" w:hAnsi="Tahoma" w:cs="Tahoma"/>
          <w:b/>
          <w:color w:val="auto"/>
          <w:sz w:val="24"/>
          <w:szCs w:val="24"/>
        </w:rPr>
        <w:t>ui</w:t>
      </w:r>
      <w:bookmarkEnd w:id="9"/>
      <w:bookmarkEnd w:id="10"/>
      <w:bookmarkEnd w:id="11"/>
      <w:bookmarkEnd w:id="12"/>
      <w:r w:rsidR="00E95717" w:rsidRPr="00A057AC">
        <w:rPr>
          <w:rFonts w:ascii="Tahoma" w:hAnsi="Tahoma" w:cs="Tahoma"/>
          <w:b/>
          <w:color w:val="auto"/>
          <w:sz w:val="24"/>
          <w:szCs w:val="24"/>
        </w:rPr>
        <w:t xml:space="preserve"> </w:t>
      </w:r>
      <w:r w:rsidR="00E3539E" w:rsidRPr="00A057AC">
        <w:rPr>
          <w:rFonts w:ascii="Tahoma" w:hAnsi="Tahoma" w:cs="Tahoma"/>
          <w:b/>
          <w:color w:val="auto"/>
          <w:sz w:val="24"/>
          <w:szCs w:val="24"/>
        </w:rPr>
        <w:t>20</w:t>
      </w:r>
      <w:r w:rsidR="00C21D8D" w:rsidRPr="00A057AC">
        <w:rPr>
          <w:rFonts w:ascii="Tahoma" w:hAnsi="Tahoma" w:cs="Tahoma"/>
          <w:b/>
          <w:color w:val="auto"/>
          <w:sz w:val="24"/>
          <w:szCs w:val="24"/>
        </w:rPr>
        <w:t>2</w:t>
      </w:r>
      <w:r w:rsidR="0036088B" w:rsidRPr="00A057AC">
        <w:rPr>
          <w:rFonts w:ascii="Tahoma" w:hAnsi="Tahoma" w:cs="Tahoma"/>
          <w:b/>
          <w:color w:val="auto"/>
          <w:sz w:val="24"/>
          <w:szCs w:val="24"/>
        </w:rPr>
        <w:t>1</w:t>
      </w:r>
      <w:bookmarkEnd w:id="17"/>
    </w:p>
    <w:p w:rsidR="00D6065B" w:rsidRPr="00A057AC" w:rsidRDefault="00D6065B" w:rsidP="002A6579">
      <w:pPr>
        <w:pStyle w:val="ListParagraph"/>
        <w:keepNext/>
        <w:keepLines/>
        <w:spacing w:line="276" w:lineRule="auto"/>
        <w:ind w:left="567"/>
        <w:outlineLvl w:val="0"/>
        <w:rPr>
          <w:rFonts w:ascii="Tahoma" w:hAnsi="Tahoma" w:cs="Tahoma"/>
          <w:b/>
          <w:sz w:val="24"/>
          <w:szCs w:val="24"/>
        </w:rPr>
      </w:pPr>
    </w:p>
    <w:p w:rsidR="00642BCD" w:rsidRPr="00A057AC" w:rsidRDefault="00642BCD" w:rsidP="0036088B">
      <w:pPr>
        <w:keepNext/>
        <w:keepLines/>
        <w:tabs>
          <w:tab w:val="left" w:pos="851"/>
        </w:tabs>
        <w:spacing w:after="120" w:line="276" w:lineRule="auto"/>
        <w:ind w:firstLine="0"/>
        <w:rPr>
          <w:rFonts w:ascii="Tahoma" w:hAnsi="Tahoma" w:cs="Tahoma"/>
          <w:sz w:val="24"/>
          <w:szCs w:val="24"/>
        </w:rPr>
      </w:pPr>
      <w:r w:rsidRPr="00A057AC">
        <w:rPr>
          <w:rFonts w:ascii="Tahoma" w:hAnsi="Tahoma" w:cs="Tahoma"/>
          <w:sz w:val="24"/>
          <w:szCs w:val="24"/>
        </w:rPr>
        <w:t>Construcția bugetară pe anul 20</w:t>
      </w:r>
      <w:r w:rsidR="00C21D8D" w:rsidRPr="00A057AC">
        <w:rPr>
          <w:rFonts w:ascii="Tahoma" w:hAnsi="Tahoma" w:cs="Tahoma"/>
          <w:sz w:val="24"/>
          <w:szCs w:val="24"/>
        </w:rPr>
        <w:t>2</w:t>
      </w:r>
      <w:r w:rsidR="00ED2A71" w:rsidRPr="00A057AC">
        <w:rPr>
          <w:rFonts w:ascii="Tahoma" w:hAnsi="Tahoma" w:cs="Tahoma"/>
          <w:sz w:val="24"/>
          <w:szCs w:val="24"/>
        </w:rPr>
        <w:t>1</w:t>
      </w:r>
      <w:r w:rsidRPr="00A057AC">
        <w:rPr>
          <w:rFonts w:ascii="Tahoma" w:hAnsi="Tahoma" w:cs="Tahoma"/>
          <w:sz w:val="24"/>
          <w:szCs w:val="24"/>
        </w:rPr>
        <w:t xml:space="preserve"> a avut la bază următoarele obiective:</w:t>
      </w:r>
    </w:p>
    <w:p w:rsidR="00ED2A71" w:rsidRPr="00A057AC" w:rsidRDefault="00ED2A71" w:rsidP="0036088B">
      <w:pPr>
        <w:pStyle w:val="ListParagraph"/>
        <w:numPr>
          <w:ilvl w:val="0"/>
          <w:numId w:val="17"/>
        </w:numPr>
        <w:shd w:val="clear" w:color="auto" w:fill="FFFFFF"/>
        <w:spacing w:after="0" w:line="276" w:lineRule="auto"/>
        <w:rPr>
          <w:rFonts w:ascii="Tahoma" w:hAnsi="Tahoma" w:cs="Tahoma"/>
          <w:sz w:val="24"/>
          <w:szCs w:val="24"/>
          <w:lang w:eastAsia="ro-RO"/>
        </w:rPr>
      </w:pPr>
      <w:r w:rsidRPr="00A057AC">
        <w:rPr>
          <w:rFonts w:ascii="Tahoma" w:eastAsia="+mn-ea" w:hAnsi="Tahoma" w:cs="Tahoma"/>
          <w:bCs/>
          <w:sz w:val="24"/>
          <w:szCs w:val="24"/>
        </w:rPr>
        <w:t>Susținerea unei creșteri economice inteligente, sustenabile și incluzive</w:t>
      </w:r>
      <w:r w:rsidRPr="00A057AC">
        <w:rPr>
          <w:rFonts w:ascii="Tahoma" w:eastAsia="+mn-ea" w:hAnsi="Tahoma" w:cs="Tahoma"/>
          <w:sz w:val="24"/>
          <w:szCs w:val="24"/>
        </w:rPr>
        <w:t xml:space="preserve"> pe orizontul de referință, finanțarea schemelor de ajutor de stat prin </w:t>
      </w:r>
      <w:r w:rsidRPr="00A057AC">
        <w:rPr>
          <w:rFonts w:ascii="Tahoma" w:eastAsia="+mn-ea" w:hAnsi="Tahoma" w:cs="Tahoma"/>
          <w:bCs/>
          <w:sz w:val="24"/>
          <w:szCs w:val="24"/>
        </w:rPr>
        <w:t xml:space="preserve">măsuri de înlăturare a efectelor crizei  pandemice generate de </w:t>
      </w:r>
      <w:r w:rsidR="00532D81" w:rsidRPr="00A057AC">
        <w:rPr>
          <w:rFonts w:ascii="Tahoma" w:eastAsia="+mn-ea" w:hAnsi="Tahoma" w:cs="Tahoma"/>
          <w:bCs/>
          <w:sz w:val="24"/>
          <w:szCs w:val="24"/>
        </w:rPr>
        <w:t>COVID-</w:t>
      </w:r>
      <w:r w:rsidRPr="00A057AC">
        <w:rPr>
          <w:rFonts w:ascii="Tahoma" w:eastAsia="+mn-ea" w:hAnsi="Tahoma" w:cs="Tahoma"/>
          <w:bCs/>
          <w:sz w:val="24"/>
          <w:szCs w:val="24"/>
        </w:rPr>
        <w:t>19 care țintesc populația și agenții economici;</w:t>
      </w:r>
    </w:p>
    <w:p w:rsidR="00ED2A71" w:rsidRPr="00A057AC" w:rsidRDefault="00ED2A71" w:rsidP="0036088B">
      <w:pPr>
        <w:numPr>
          <w:ilvl w:val="0"/>
          <w:numId w:val="17"/>
        </w:numPr>
        <w:spacing w:before="120" w:after="0" w:line="276" w:lineRule="auto"/>
        <w:rPr>
          <w:rFonts w:ascii="Tahoma" w:hAnsi="Tahoma" w:cs="Tahoma"/>
          <w:sz w:val="24"/>
          <w:szCs w:val="24"/>
        </w:rPr>
      </w:pPr>
      <w:r w:rsidRPr="00A057AC">
        <w:rPr>
          <w:rFonts w:ascii="Tahoma" w:eastAsia="+mn-ea" w:hAnsi="Tahoma" w:cs="Tahoma"/>
          <w:bCs/>
          <w:sz w:val="24"/>
          <w:szCs w:val="24"/>
        </w:rPr>
        <w:t>Realizarea graduală a consolidării fiscale prin măsuri care să permită atingerea  țintei de deficit prev</w:t>
      </w:r>
      <w:r w:rsidR="000A45A8" w:rsidRPr="00A057AC">
        <w:rPr>
          <w:rFonts w:ascii="Tahoma" w:eastAsia="+mn-ea" w:hAnsi="Tahoma" w:cs="Tahoma"/>
          <w:bCs/>
          <w:sz w:val="24"/>
          <w:szCs w:val="24"/>
        </w:rPr>
        <w:t>ă</w:t>
      </w:r>
      <w:r w:rsidRPr="00A057AC">
        <w:rPr>
          <w:rFonts w:ascii="Tahoma" w:eastAsia="+mn-ea" w:hAnsi="Tahoma" w:cs="Tahoma"/>
          <w:bCs/>
          <w:sz w:val="24"/>
          <w:szCs w:val="24"/>
        </w:rPr>
        <w:t>zută de regulamentele europene pân</w:t>
      </w:r>
      <w:r w:rsidR="000A45A8" w:rsidRPr="00A057AC">
        <w:rPr>
          <w:rFonts w:ascii="Tahoma" w:eastAsia="+mn-ea" w:hAnsi="Tahoma" w:cs="Tahoma"/>
          <w:bCs/>
          <w:sz w:val="24"/>
          <w:szCs w:val="24"/>
        </w:rPr>
        <w:t>ă</w:t>
      </w:r>
      <w:r w:rsidRPr="00A057AC">
        <w:rPr>
          <w:rFonts w:ascii="Tahoma" w:eastAsia="+mn-ea" w:hAnsi="Tahoma" w:cs="Tahoma"/>
          <w:bCs/>
          <w:sz w:val="24"/>
          <w:szCs w:val="24"/>
        </w:rPr>
        <w:t xml:space="preserve"> la sfârșitul orizontului d</w:t>
      </w:r>
      <w:r w:rsidR="000A45A8" w:rsidRPr="00A057AC">
        <w:rPr>
          <w:rFonts w:ascii="Tahoma" w:eastAsia="+mn-ea" w:hAnsi="Tahoma" w:cs="Tahoma"/>
          <w:bCs/>
          <w:sz w:val="24"/>
          <w:szCs w:val="24"/>
        </w:rPr>
        <w:t>e prognoză, respectiv anul 2024</w:t>
      </w:r>
      <w:r w:rsidRPr="00A057AC">
        <w:rPr>
          <w:rFonts w:ascii="Tahoma" w:eastAsia="+mn-ea" w:hAnsi="Tahoma" w:cs="Tahoma"/>
          <w:bCs/>
          <w:sz w:val="24"/>
          <w:szCs w:val="24"/>
        </w:rPr>
        <w:t>;</w:t>
      </w:r>
    </w:p>
    <w:p w:rsidR="00ED2A71" w:rsidRPr="00A057AC" w:rsidRDefault="00ED2A71" w:rsidP="0036088B">
      <w:pPr>
        <w:numPr>
          <w:ilvl w:val="0"/>
          <w:numId w:val="17"/>
        </w:numPr>
        <w:spacing w:before="120" w:after="0" w:line="276" w:lineRule="auto"/>
        <w:rPr>
          <w:rFonts w:ascii="Tahoma" w:hAnsi="Tahoma" w:cs="Tahoma"/>
          <w:sz w:val="24"/>
          <w:szCs w:val="24"/>
        </w:rPr>
      </w:pPr>
      <w:r w:rsidRPr="00A057AC">
        <w:rPr>
          <w:rFonts w:ascii="Tahoma" w:eastAsia="+mn-ea" w:hAnsi="Tahoma" w:cs="Tahoma"/>
          <w:bCs/>
          <w:sz w:val="24"/>
          <w:szCs w:val="24"/>
        </w:rPr>
        <w:t xml:space="preserve">Reforma, prioritizarea și programarea multianuală a </w:t>
      </w:r>
      <w:r w:rsidR="00532D81" w:rsidRPr="00A057AC">
        <w:rPr>
          <w:rFonts w:ascii="Tahoma" w:eastAsia="+mn-ea" w:hAnsi="Tahoma" w:cs="Tahoma"/>
          <w:bCs/>
          <w:sz w:val="24"/>
          <w:szCs w:val="24"/>
        </w:rPr>
        <w:t>investițiilor</w:t>
      </w:r>
      <w:r w:rsidRPr="00A057AC">
        <w:rPr>
          <w:rFonts w:ascii="Tahoma" w:eastAsia="+mn-ea" w:hAnsi="Tahoma" w:cs="Tahoma"/>
          <w:bCs/>
          <w:sz w:val="24"/>
          <w:szCs w:val="24"/>
        </w:rPr>
        <w:t xml:space="preserve"> publice prin creșterea aportului fondurilor europene </w:t>
      </w:r>
      <w:r w:rsidRPr="00A057AC">
        <w:rPr>
          <w:rFonts w:ascii="Tahoma" w:eastAsia="+mn-ea" w:hAnsi="Tahoma" w:cs="Tahoma"/>
          <w:sz w:val="24"/>
          <w:szCs w:val="24"/>
        </w:rPr>
        <w:t xml:space="preserve">cu efect multiplicator </w:t>
      </w:r>
      <w:r w:rsidR="00532D81" w:rsidRPr="00A057AC">
        <w:rPr>
          <w:rFonts w:ascii="Tahoma" w:eastAsia="+mn-ea" w:hAnsi="Tahoma" w:cs="Tahoma"/>
          <w:sz w:val="24"/>
          <w:szCs w:val="24"/>
        </w:rPr>
        <w:t>și</w:t>
      </w:r>
      <w:r w:rsidRPr="00A057AC">
        <w:rPr>
          <w:rFonts w:ascii="Tahoma" w:eastAsia="+mn-ea" w:hAnsi="Tahoma" w:cs="Tahoma"/>
          <w:sz w:val="24"/>
          <w:szCs w:val="24"/>
        </w:rPr>
        <w:t xml:space="preserve"> aport direct la formarea brută de capital fix;</w:t>
      </w:r>
    </w:p>
    <w:p w:rsidR="00ED2A71" w:rsidRPr="00A057AC" w:rsidRDefault="00ED2A71" w:rsidP="0036088B">
      <w:pPr>
        <w:numPr>
          <w:ilvl w:val="0"/>
          <w:numId w:val="17"/>
        </w:numPr>
        <w:spacing w:before="120" w:after="0" w:line="276" w:lineRule="auto"/>
        <w:rPr>
          <w:rFonts w:ascii="Tahoma" w:hAnsi="Tahoma" w:cs="Tahoma"/>
          <w:sz w:val="24"/>
          <w:szCs w:val="24"/>
        </w:rPr>
      </w:pPr>
      <w:r w:rsidRPr="00A057AC">
        <w:rPr>
          <w:rFonts w:ascii="Tahoma" w:eastAsia="+mn-ea" w:hAnsi="Tahoma" w:cs="Tahoma"/>
          <w:bCs/>
          <w:sz w:val="24"/>
          <w:szCs w:val="24"/>
        </w:rPr>
        <w:t xml:space="preserve">Crearea unei politici fiscale predictibile pentru susținerea și adaptarea mediului de afaceri la provocările ridicate de criza sanitară, simplificarea fiscalității și fluidizarea proceselor interne, </w:t>
      </w:r>
      <w:r w:rsidRPr="00A057AC">
        <w:rPr>
          <w:rFonts w:ascii="Tahoma" w:eastAsia="+mn-ea" w:hAnsi="Tahoma" w:cs="Tahoma"/>
          <w:sz w:val="24"/>
          <w:szCs w:val="24"/>
        </w:rPr>
        <w:t xml:space="preserve">pentru a crea premisa unei creșteri economice durabile; </w:t>
      </w:r>
    </w:p>
    <w:p w:rsidR="00ED2A71" w:rsidRPr="00A057AC" w:rsidRDefault="00ED2A71" w:rsidP="0036088B">
      <w:pPr>
        <w:numPr>
          <w:ilvl w:val="0"/>
          <w:numId w:val="17"/>
        </w:numPr>
        <w:shd w:val="clear" w:color="auto" w:fill="FFFFFF"/>
        <w:spacing w:before="120" w:after="0" w:line="276" w:lineRule="auto"/>
        <w:rPr>
          <w:rFonts w:ascii="Tahoma" w:hAnsi="Tahoma" w:cs="Tahoma"/>
          <w:sz w:val="24"/>
          <w:szCs w:val="24"/>
        </w:rPr>
      </w:pPr>
      <w:r w:rsidRPr="00A057AC">
        <w:rPr>
          <w:rFonts w:ascii="Tahoma" w:eastAsia="+mn-ea" w:hAnsi="Tahoma" w:cs="Tahoma"/>
          <w:bCs/>
          <w:sz w:val="24"/>
          <w:szCs w:val="24"/>
        </w:rPr>
        <w:t xml:space="preserve">Dezvoltarea </w:t>
      </w:r>
      <w:r w:rsidR="00FF292C" w:rsidRPr="00A057AC">
        <w:rPr>
          <w:rFonts w:ascii="Tahoma" w:eastAsia="+mn-ea" w:hAnsi="Tahoma" w:cs="Tahoma"/>
          <w:bCs/>
          <w:sz w:val="24"/>
          <w:szCs w:val="24"/>
        </w:rPr>
        <w:t>și</w:t>
      </w:r>
      <w:r w:rsidRPr="00A057AC">
        <w:rPr>
          <w:rFonts w:ascii="Tahoma" w:eastAsia="+mn-ea" w:hAnsi="Tahoma" w:cs="Tahoma"/>
          <w:bCs/>
          <w:sz w:val="24"/>
          <w:szCs w:val="24"/>
        </w:rPr>
        <w:t xml:space="preserve"> diversificarea instrumentelor de management ale datoriei publice pentru menținerea datoriei publice la un nivel sustenabil;</w:t>
      </w:r>
    </w:p>
    <w:p w:rsidR="00ED2A71" w:rsidRPr="00A057AC" w:rsidRDefault="00ED2A71" w:rsidP="0036088B">
      <w:pPr>
        <w:numPr>
          <w:ilvl w:val="0"/>
          <w:numId w:val="17"/>
        </w:numPr>
        <w:shd w:val="clear" w:color="auto" w:fill="FFFFFF"/>
        <w:spacing w:before="120" w:after="0" w:line="276" w:lineRule="auto"/>
        <w:rPr>
          <w:rFonts w:ascii="Tahoma" w:hAnsi="Tahoma" w:cs="Tahoma"/>
          <w:sz w:val="24"/>
          <w:szCs w:val="24"/>
        </w:rPr>
      </w:pPr>
      <w:r w:rsidRPr="00A057AC">
        <w:rPr>
          <w:rFonts w:ascii="Tahoma" w:hAnsi="Tahoma" w:cs="Tahoma"/>
          <w:sz w:val="24"/>
          <w:szCs w:val="24"/>
        </w:rPr>
        <w:t>Eficientizarea calitativă a cheltuielilor pu</w:t>
      </w:r>
      <w:r w:rsidR="007B17E9" w:rsidRPr="00A057AC">
        <w:rPr>
          <w:rFonts w:ascii="Tahoma" w:hAnsi="Tahoma" w:cs="Tahoma"/>
          <w:sz w:val="24"/>
          <w:szCs w:val="24"/>
        </w:rPr>
        <w:t xml:space="preserve">blice printr-un pachet susținut </w:t>
      </w:r>
      <w:r w:rsidRPr="00A057AC">
        <w:rPr>
          <w:rFonts w:ascii="Tahoma" w:hAnsi="Tahoma" w:cs="Tahoma"/>
          <w:sz w:val="24"/>
          <w:szCs w:val="24"/>
        </w:rPr>
        <w:t>de reforme în domeniul cheltuielilor de personal, al pensiilor, precum și asupra operatorilor economici așa cum sunt definiți în Ordonanța Guvernului nr.26/2013</w:t>
      </w:r>
      <w:r w:rsidR="007B17E9" w:rsidRPr="00A057AC">
        <w:rPr>
          <w:rFonts w:ascii="Tahoma" w:hAnsi="Tahoma" w:cs="Tahoma"/>
          <w:sz w:val="24"/>
          <w:szCs w:val="24"/>
        </w:rPr>
        <w:t>.</w:t>
      </w:r>
    </w:p>
    <w:p w:rsidR="0036088B" w:rsidRPr="00A057AC" w:rsidRDefault="0036088B" w:rsidP="002A6579">
      <w:pPr>
        <w:keepNext/>
        <w:keepLines/>
        <w:spacing w:after="120" w:line="276" w:lineRule="auto"/>
        <w:ind w:firstLine="0"/>
        <w:rPr>
          <w:rFonts w:ascii="Tahoma" w:hAnsi="Tahoma" w:cs="Tahoma"/>
          <w:b/>
          <w:bCs/>
          <w:sz w:val="24"/>
          <w:szCs w:val="24"/>
        </w:rPr>
      </w:pPr>
    </w:p>
    <w:p w:rsidR="00E3539E" w:rsidRPr="00A057AC" w:rsidRDefault="007C4F03" w:rsidP="002A6579">
      <w:pPr>
        <w:keepNext/>
        <w:keepLines/>
        <w:spacing w:after="120" w:line="276" w:lineRule="auto"/>
        <w:ind w:firstLine="0"/>
        <w:rPr>
          <w:rFonts w:ascii="Tahoma" w:hAnsi="Tahoma" w:cs="Tahoma"/>
          <w:b/>
          <w:bCs/>
          <w:sz w:val="24"/>
          <w:szCs w:val="24"/>
        </w:rPr>
      </w:pPr>
      <w:r w:rsidRPr="00A057AC">
        <w:rPr>
          <w:rFonts w:ascii="Tahoma" w:hAnsi="Tahoma" w:cs="Tahoma"/>
          <w:b/>
          <w:bCs/>
          <w:sz w:val="24"/>
          <w:szCs w:val="24"/>
        </w:rPr>
        <w:t xml:space="preserve">Principalele măsuri </w:t>
      </w:r>
      <w:r w:rsidR="008A09B8" w:rsidRPr="00A057AC">
        <w:rPr>
          <w:rFonts w:ascii="Tahoma" w:hAnsi="Tahoma" w:cs="Tahoma"/>
          <w:b/>
          <w:bCs/>
          <w:sz w:val="24"/>
          <w:szCs w:val="24"/>
        </w:rPr>
        <w:t>avute în vedere la elabora</w:t>
      </w:r>
      <w:r w:rsidR="001D00F4" w:rsidRPr="00A057AC">
        <w:rPr>
          <w:rFonts w:ascii="Tahoma" w:hAnsi="Tahoma" w:cs="Tahoma"/>
          <w:b/>
          <w:bCs/>
          <w:sz w:val="24"/>
          <w:szCs w:val="24"/>
        </w:rPr>
        <w:t xml:space="preserve">rea </w:t>
      </w:r>
      <w:r w:rsidRPr="00A057AC">
        <w:rPr>
          <w:rFonts w:ascii="Tahoma" w:hAnsi="Tahoma" w:cs="Tahoma"/>
          <w:b/>
          <w:bCs/>
          <w:sz w:val="24"/>
          <w:szCs w:val="24"/>
        </w:rPr>
        <w:t>bugetul</w:t>
      </w:r>
      <w:r w:rsidR="001D00F4" w:rsidRPr="00A057AC">
        <w:rPr>
          <w:rFonts w:ascii="Tahoma" w:hAnsi="Tahoma" w:cs="Tahoma"/>
          <w:b/>
          <w:bCs/>
          <w:sz w:val="24"/>
          <w:szCs w:val="24"/>
        </w:rPr>
        <w:t>ui</w:t>
      </w:r>
      <w:r w:rsidRPr="00A057AC">
        <w:rPr>
          <w:rFonts w:ascii="Tahoma" w:hAnsi="Tahoma" w:cs="Tahoma"/>
          <w:b/>
          <w:bCs/>
          <w:sz w:val="24"/>
          <w:szCs w:val="24"/>
        </w:rPr>
        <w:t xml:space="preserve"> pe anul </w:t>
      </w:r>
      <w:r w:rsidR="00DC7F79" w:rsidRPr="00A057AC">
        <w:rPr>
          <w:rFonts w:ascii="Tahoma" w:hAnsi="Tahoma" w:cs="Tahoma"/>
          <w:b/>
          <w:bCs/>
          <w:sz w:val="24"/>
          <w:szCs w:val="24"/>
        </w:rPr>
        <w:t>20</w:t>
      </w:r>
      <w:r w:rsidR="00605688" w:rsidRPr="00A057AC">
        <w:rPr>
          <w:rFonts w:ascii="Tahoma" w:hAnsi="Tahoma" w:cs="Tahoma"/>
          <w:b/>
          <w:bCs/>
          <w:sz w:val="24"/>
          <w:szCs w:val="24"/>
        </w:rPr>
        <w:t>2</w:t>
      </w:r>
      <w:r w:rsidR="00724E48" w:rsidRPr="00A057AC">
        <w:rPr>
          <w:rFonts w:ascii="Tahoma" w:hAnsi="Tahoma" w:cs="Tahoma"/>
          <w:b/>
          <w:bCs/>
          <w:sz w:val="24"/>
          <w:szCs w:val="24"/>
        </w:rPr>
        <w:t>1</w:t>
      </w:r>
      <w:r w:rsidRPr="00A057AC">
        <w:rPr>
          <w:rFonts w:ascii="Tahoma" w:hAnsi="Tahoma" w:cs="Tahoma"/>
          <w:b/>
          <w:bCs/>
          <w:sz w:val="24"/>
          <w:szCs w:val="24"/>
        </w:rPr>
        <w:t>:</w:t>
      </w:r>
    </w:p>
    <w:p w:rsidR="00724E48" w:rsidRPr="00A057AC" w:rsidRDefault="00724E48" w:rsidP="007B17E9">
      <w:pPr>
        <w:numPr>
          <w:ilvl w:val="0"/>
          <w:numId w:val="18"/>
        </w:numPr>
        <w:shd w:val="clear" w:color="auto" w:fill="FFFFFF"/>
        <w:spacing w:before="120" w:after="120" w:line="276" w:lineRule="auto"/>
        <w:ind w:right="-58"/>
        <w:rPr>
          <w:rFonts w:ascii="Tahoma" w:eastAsia="Calibri" w:hAnsi="Tahoma" w:cs="Tahoma"/>
          <w:sz w:val="24"/>
          <w:szCs w:val="24"/>
        </w:rPr>
      </w:pPr>
      <w:r w:rsidRPr="00A057AC">
        <w:rPr>
          <w:rFonts w:ascii="Tahoma" w:eastAsia="Calibri" w:hAnsi="Tahoma" w:cs="Tahoma"/>
          <w:b/>
          <w:iCs/>
          <w:sz w:val="24"/>
          <w:szCs w:val="24"/>
        </w:rPr>
        <w:t xml:space="preserve">menținerea în anul 2021 a cuantumului brut al salariilor de bază/soldelor de </w:t>
      </w:r>
      <w:r w:rsidR="00FF292C" w:rsidRPr="00A057AC">
        <w:rPr>
          <w:rFonts w:ascii="Tahoma" w:eastAsia="Calibri" w:hAnsi="Tahoma" w:cs="Tahoma"/>
          <w:b/>
          <w:iCs/>
          <w:sz w:val="24"/>
          <w:szCs w:val="24"/>
        </w:rPr>
        <w:t>funcție</w:t>
      </w:r>
      <w:r w:rsidRPr="00A057AC">
        <w:rPr>
          <w:rFonts w:ascii="Tahoma" w:eastAsia="Calibri" w:hAnsi="Tahoma" w:cs="Tahoma"/>
          <w:b/>
          <w:iCs/>
          <w:sz w:val="24"/>
          <w:szCs w:val="24"/>
        </w:rPr>
        <w:t xml:space="preserve">/salariilor de </w:t>
      </w:r>
      <w:r w:rsidR="00FF292C" w:rsidRPr="00A057AC">
        <w:rPr>
          <w:rFonts w:ascii="Tahoma" w:eastAsia="Calibri" w:hAnsi="Tahoma" w:cs="Tahoma"/>
          <w:b/>
          <w:iCs/>
          <w:sz w:val="24"/>
          <w:szCs w:val="24"/>
        </w:rPr>
        <w:t>funcție</w:t>
      </w:r>
      <w:r w:rsidRPr="00A057AC">
        <w:rPr>
          <w:rFonts w:ascii="Tahoma" w:eastAsia="Calibri" w:hAnsi="Tahoma" w:cs="Tahoma"/>
          <w:b/>
          <w:iCs/>
          <w:sz w:val="24"/>
          <w:szCs w:val="24"/>
        </w:rPr>
        <w:t xml:space="preserve"> /</w:t>
      </w:r>
      <w:r w:rsidR="00FF292C" w:rsidRPr="00A057AC">
        <w:rPr>
          <w:rFonts w:ascii="Tahoma" w:eastAsia="Calibri" w:hAnsi="Tahoma" w:cs="Tahoma"/>
          <w:b/>
          <w:iCs/>
          <w:sz w:val="24"/>
          <w:szCs w:val="24"/>
        </w:rPr>
        <w:t>indemnizațiilor</w:t>
      </w:r>
      <w:r w:rsidRPr="00A057AC">
        <w:rPr>
          <w:rFonts w:ascii="Tahoma" w:eastAsia="Calibri" w:hAnsi="Tahoma" w:cs="Tahoma"/>
          <w:b/>
          <w:iCs/>
          <w:sz w:val="24"/>
          <w:szCs w:val="24"/>
        </w:rPr>
        <w:t xml:space="preserve"> de încadrare lunară</w:t>
      </w:r>
      <w:r w:rsidRPr="00A057AC">
        <w:rPr>
          <w:rFonts w:ascii="Tahoma" w:eastAsia="Calibri" w:hAnsi="Tahoma" w:cs="Tahoma"/>
          <w:iCs/>
          <w:sz w:val="24"/>
          <w:szCs w:val="24"/>
        </w:rPr>
        <w:t xml:space="preserve"> de care beneficiază personalul plătit din fonduri publice, precum și a indemnizațiilor aferente funcțiilor de demnitate publică și funcțiilor asimilate acestora, prevăzute în anexa nr. IX la </w:t>
      </w:r>
      <w:r w:rsidRPr="00A057AC">
        <w:rPr>
          <w:rFonts w:ascii="Tahoma" w:eastAsia="Calibri" w:hAnsi="Tahoma" w:cs="Tahoma"/>
          <w:i/>
          <w:iCs/>
          <w:sz w:val="24"/>
          <w:szCs w:val="24"/>
        </w:rPr>
        <w:t>Legea-cadru nr. 153/2017</w:t>
      </w:r>
      <w:r w:rsidRPr="00A057AC">
        <w:rPr>
          <w:rFonts w:ascii="Tahoma" w:eastAsia="Calibri" w:hAnsi="Tahoma" w:cs="Tahoma"/>
          <w:iCs/>
          <w:sz w:val="24"/>
          <w:szCs w:val="24"/>
        </w:rPr>
        <w:t>, la nivelul acordat pentru luna decembrie 2020;</w:t>
      </w:r>
    </w:p>
    <w:p w:rsidR="00724E48" w:rsidRPr="00A057AC" w:rsidRDefault="00724E48" w:rsidP="007B17E9">
      <w:pPr>
        <w:numPr>
          <w:ilvl w:val="0"/>
          <w:numId w:val="18"/>
        </w:numPr>
        <w:shd w:val="clear" w:color="auto" w:fill="FFFFFF"/>
        <w:spacing w:before="120" w:after="120" w:line="276" w:lineRule="auto"/>
        <w:ind w:right="-58"/>
        <w:rPr>
          <w:rFonts w:ascii="Tahoma" w:eastAsia="Calibri" w:hAnsi="Tahoma" w:cs="Tahoma"/>
          <w:sz w:val="24"/>
          <w:szCs w:val="24"/>
        </w:rPr>
      </w:pPr>
      <w:r w:rsidRPr="00A057AC">
        <w:rPr>
          <w:rFonts w:ascii="Tahoma" w:eastAsia="Calibri" w:hAnsi="Tahoma" w:cs="Tahoma"/>
          <w:b/>
          <w:iCs/>
          <w:sz w:val="24"/>
          <w:szCs w:val="24"/>
        </w:rPr>
        <w:t xml:space="preserve">menținerea în anul 2021 a cuantumului sporurilor, </w:t>
      </w:r>
      <w:r w:rsidR="00FF292C" w:rsidRPr="00A057AC">
        <w:rPr>
          <w:rFonts w:ascii="Tahoma" w:eastAsia="Calibri" w:hAnsi="Tahoma" w:cs="Tahoma"/>
          <w:b/>
          <w:iCs/>
          <w:sz w:val="24"/>
          <w:szCs w:val="24"/>
        </w:rPr>
        <w:t>indemnizațiilor</w:t>
      </w:r>
      <w:r w:rsidRPr="00A057AC">
        <w:rPr>
          <w:rFonts w:ascii="Tahoma" w:eastAsia="Calibri" w:hAnsi="Tahoma" w:cs="Tahoma"/>
          <w:b/>
          <w:iCs/>
          <w:sz w:val="24"/>
          <w:szCs w:val="24"/>
        </w:rPr>
        <w:t xml:space="preserve">, </w:t>
      </w:r>
      <w:r w:rsidR="00FF292C" w:rsidRPr="00A057AC">
        <w:rPr>
          <w:rFonts w:ascii="Tahoma" w:eastAsia="Calibri" w:hAnsi="Tahoma" w:cs="Tahoma"/>
          <w:b/>
          <w:iCs/>
          <w:sz w:val="24"/>
          <w:szCs w:val="24"/>
        </w:rPr>
        <w:t>compensațiilor</w:t>
      </w:r>
      <w:r w:rsidRPr="00A057AC">
        <w:rPr>
          <w:rFonts w:ascii="Tahoma" w:eastAsia="Calibri" w:hAnsi="Tahoma" w:cs="Tahoma"/>
          <w:b/>
          <w:iCs/>
          <w:sz w:val="24"/>
          <w:szCs w:val="24"/>
        </w:rPr>
        <w:t>, primelor</w:t>
      </w:r>
      <w:r w:rsidRPr="00A057AC">
        <w:rPr>
          <w:rFonts w:ascii="Tahoma" w:eastAsia="Calibri" w:hAnsi="Tahoma" w:cs="Tahoma"/>
          <w:iCs/>
          <w:sz w:val="24"/>
          <w:szCs w:val="24"/>
        </w:rPr>
        <w:t xml:space="preserve"> </w:t>
      </w:r>
      <w:r w:rsidR="00FF292C" w:rsidRPr="00A057AC">
        <w:rPr>
          <w:rFonts w:ascii="Tahoma" w:eastAsia="Calibri" w:hAnsi="Tahoma" w:cs="Tahoma"/>
          <w:iCs/>
          <w:sz w:val="24"/>
          <w:szCs w:val="24"/>
        </w:rPr>
        <w:t>și</w:t>
      </w:r>
      <w:r w:rsidRPr="00A057AC">
        <w:rPr>
          <w:rFonts w:ascii="Tahoma" w:eastAsia="Calibri" w:hAnsi="Tahoma" w:cs="Tahoma"/>
          <w:iCs/>
          <w:sz w:val="24"/>
          <w:szCs w:val="24"/>
        </w:rPr>
        <w:t xml:space="preserve"> al celorlalte elemente ale sistemului de salarizare care fac parte, potrivit legii, din salariul brut lunar cel mult la nivelul cuantumului acordat pentru luna decembrie 2020, în măsura în care personalul ocupă aceeași funcție și își desfășoară activitatea în aceleași condiții;</w:t>
      </w:r>
    </w:p>
    <w:p w:rsidR="00724E48" w:rsidRPr="00A057AC" w:rsidRDefault="00724E48" w:rsidP="007B17E9">
      <w:pPr>
        <w:numPr>
          <w:ilvl w:val="0"/>
          <w:numId w:val="18"/>
        </w:numPr>
        <w:shd w:val="clear" w:color="auto" w:fill="FFFFFF"/>
        <w:spacing w:before="120" w:after="120" w:line="276" w:lineRule="auto"/>
        <w:ind w:right="-58"/>
        <w:rPr>
          <w:rFonts w:ascii="Tahoma" w:eastAsia="Calibri" w:hAnsi="Tahoma" w:cs="Tahoma"/>
          <w:b/>
          <w:sz w:val="24"/>
        </w:rPr>
      </w:pPr>
      <w:r w:rsidRPr="00A057AC">
        <w:rPr>
          <w:rFonts w:ascii="Tahoma" w:eastAsia="Calibri" w:hAnsi="Tahoma" w:cs="Tahoma"/>
          <w:b/>
          <w:iCs/>
          <w:sz w:val="24"/>
        </w:rPr>
        <w:t>menținerea în anul 2021 a cuantumului indemnizației de hrană la nivelul stabilit pentru anul 2020;</w:t>
      </w:r>
    </w:p>
    <w:p w:rsidR="00724E48" w:rsidRPr="00A057AC" w:rsidRDefault="00724E48" w:rsidP="007B17E9">
      <w:pPr>
        <w:numPr>
          <w:ilvl w:val="0"/>
          <w:numId w:val="18"/>
        </w:numPr>
        <w:shd w:val="clear" w:color="auto" w:fill="FFFFFF"/>
        <w:spacing w:before="120" w:after="120" w:line="276" w:lineRule="auto"/>
        <w:ind w:right="-58"/>
        <w:rPr>
          <w:rFonts w:ascii="Tahoma" w:eastAsia="Calibri" w:hAnsi="Tahoma" w:cs="Tahoma"/>
          <w:b/>
          <w:sz w:val="24"/>
        </w:rPr>
      </w:pPr>
      <w:r w:rsidRPr="00A057AC">
        <w:rPr>
          <w:rFonts w:ascii="Tahoma" w:eastAsia="Calibri" w:hAnsi="Tahoma" w:cs="Tahoma"/>
          <w:b/>
          <w:iCs/>
          <w:sz w:val="24"/>
        </w:rPr>
        <w:lastRenderedPageBreak/>
        <w:t xml:space="preserve">neacordarea de premii și a </w:t>
      </w:r>
      <w:r w:rsidR="00FF292C" w:rsidRPr="00A057AC">
        <w:rPr>
          <w:rFonts w:ascii="Tahoma" w:eastAsia="Calibri" w:hAnsi="Tahoma" w:cs="Tahoma"/>
          <w:b/>
          <w:iCs/>
          <w:sz w:val="24"/>
        </w:rPr>
        <w:t>indemnizației</w:t>
      </w:r>
      <w:r w:rsidRPr="00A057AC">
        <w:rPr>
          <w:rFonts w:ascii="Tahoma" w:eastAsia="Calibri" w:hAnsi="Tahoma" w:cs="Tahoma"/>
          <w:b/>
          <w:iCs/>
          <w:sz w:val="24"/>
        </w:rPr>
        <w:t xml:space="preserve"> de </w:t>
      </w:r>
      <w:r w:rsidR="00FF292C" w:rsidRPr="00A057AC">
        <w:rPr>
          <w:rFonts w:ascii="Tahoma" w:eastAsia="Calibri" w:hAnsi="Tahoma" w:cs="Tahoma"/>
          <w:b/>
          <w:iCs/>
          <w:sz w:val="24"/>
        </w:rPr>
        <w:t>vacanță</w:t>
      </w:r>
      <w:r w:rsidRPr="00A057AC">
        <w:rPr>
          <w:rFonts w:ascii="Tahoma" w:eastAsia="Calibri" w:hAnsi="Tahoma" w:cs="Tahoma"/>
          <w:b/>
          <w:iCs/>
          <w:sz w:val="24"/>
        </w:rPr>
        <w:t xml:space="preserve"> prevăzută de </w:t>
      </w:r>
      <w:r w:rsidRPr="00A057AC">
        <w:rPr>
          <w:rFonts w:ascii="Tahoma" w:eastAsia="Calibri" w:hAnsi="Tahoma" w:cs="Tahoma"/>
          <w:b/>
          <w:i/>
          <w:iCs/>
          <w:sz w:val="24"/>
        </w:rPr>
        <w:t>Legea-cadru nr. 153/2017;</w:t>
      </w:r>
    </w:p>
    <w:p w:rsidR="00724E48" w:rsidRPr="00A057AC" w:rsidRDefault="00724E48" w:rsidP="007B17E9">
      <w:pPr>
        <w:numPr>
          <w:ilvl w:val="0"/>
          <w:numId w:val="18"/>
        </w:numPr>
        <w:shd w:val="clear" w:color="auto" w:fill="FFFFFF"/>
        <w:spacing w:before="120" w:after="120" w:line="276" w:lineRule="auto"/>
        <w:ind w:right="-58"/>
        <w:rPr>
          <w:rFonts w:ascii="Tahoma" w:eastAsia="Calibri" w:hAnsi="Tahoma" w:cs="Tahoma"/>
          <w:sz w:val="24"/>
        </w:rPr>
      </w:pPr>
      <w:r w:rsidRPr="00A057AC">
        <w:rPr>
          <w:rFonts w:ascii="Tahoma" w:eastAsia="Calibri" w:hAnsi="Tahoma" w:cs="Tahoma"/>
          <w:b/>
          <w:bCs/>
          <w:sz w:val="24"/>
        </w:rPr>
        <w:t>compensarea orelor suplimentare pentru personalul bugetar nu</w:t>
      </w:r>
      <w:r w:rsidR="00FF292C" w:rsidRPr="00A057AC">
        <w:rPr>
          <w:rFonts w:ascii="Tahoma" w:eastAsia="Calibri" w:hAnsi="Tahoma" w:cs="Tahoma"/>
          <w:b/>
          <w:bCs/>
          <w:sz w:val="24"/>
        </w:rPr>
        <w:t xml:space="preserve">mai cu timp liber corespunzător </w:t>
      </w:r>
      <w:r w:rsidRPr="00A057AC">
        <w:rPr>
          <w:rFonts w:ascii="Tahoma" w:eastAsia="Calibri" w:hAnsi="Tahoma" w:cs="Tahoma"/>
          <w:bCs/>
          <w:sz w:val="24"/>
        </w:rPr>
        <w:t>pentru polițiști și cadre militare se mențin reglementările din anii anteriori care vizează acordarea drepturilor salariale pentru activitatea desfășurată în zilele de sărbători legale;</w:t>
      </w:r>
    </w:p>
    <w:p w:rsidR="00724E48" w:rsidRPr="00A057AC" w:rsidRDefault="00724E48" w:rsidP="007B17E9">
      <w:pPr>
        <w:pStyle w:val="ListParagraph"/>
        <w:numPr>
          <w:ilvl w:val="0"/>
          <w:numId w:val="18"/>
        </w:numPr>
        <w:spacing w:after="120" w:line="276" w:lineRule="auto"/>
        <w:rPr>
          <w:rFonts w:ascii="Tahoma" w:eastAsia="Calibri" w:hAnsi="Tahoma" w:cs="Tahoma"/>
          <w:iCs/>
          <w:color w:val="000000"/>
          <w:sz w:val="24"/>
        </w:rPr>
      </w:pPr>
      <w:r w:rsidRPr="00A057AC">
        <w:rPr>
          <w:rFonts w:ascii="Tahoma" w:eastAsia="Calibri" w:hAnsi="Tahoma" w:cs="Tahoma"/>
          <w:b/>
          <w:iCs/>
          <w:sz w:val="24"/>
        </w:rPr>
        <w:t xml:space="preserve">prelungirea folosirii voucherelor de vacanță </w:t>
      </w:r>
      <w:r w:rsidRPr="00A057AC">
        <w:rPr>
          <w:rFonts w:ascii="Tahoma" w:eastAsia="Calibri" w:hAnsi="Tahoma" w:cs="Tahoma"/>
          <w:iCs/>
          <w:sz w:val="24"/>
        </w:rPr>
        <w:t>emise în anul 2019 și</w:t>
      </w:r>
      <w:r w:rsidRPr="00A057AC">
        <w:rPr>
          <w:rFonts w:ascii="Tahoma" w:eastAsia="Calibri" w:hAnsi="Tahoma" w:cs="Tahoma"/>
          <w:iCs/>
          <w:color w:val="000000"/>
          <w:sz w:val="24"/>
        </w:rPr>
        <w:t xml:space="preserve"> anul 2020 până la sfârșitul anului 2021 și suspendarea emiterii de vouchere de vacanță pentru anul 2021 de către autoritățile și instituțiile publice, astfel cum sunt definite la art. 2 alin. (1) pct. 30 din Legea nr. 500/2002, cu modificările </w:t>
      </w:r>
      <w:r w:rsidR="00FF292C" w:rsidRPr="00A057AC">
        <w:rPr>
          <w:rFonts w:ascii="Tahoma" w:eastAsia="Calibri" w:hAnsi="Tahoma" w:cs="Tahoma"/>
          <w:iCs/>
          <w:color w:val="000000"/>
          <w:sz w:val="24"/>
        </w:rPr>
        <w:t>și</w:t>
      </w:r>
      <w:r w:rsidRPr="00A057AC">
        <w:rPr>
          <w:rFonts w:ascii="Tahoma" w:eastAsia="Calibri" w:hAnsi="Tahoma" w:cs="Tahoma"/>
          <w:iCs/>
          <w:color w:val="000000"/>
          <w:sz w:val="24"/>
        </w:rPr>
        <w:t xml:space="preserve"> completările ulterioare, </w:t>
      </w:r>
      <w:r w:rsidR="00FF292C" w:rsidRPr="00A057AC">
        <w:rPr>
          <w:rFonts w:ascii="Tahoma" w:eastAsia="Calibri" w:hAnsi="Tahoma" w:cs="Tahoma"/>
          <w:iCs/>
          <w:color w:val="000000"/>
          <w:sz w:val="24"/>
        </w:rPr>
        <w:t>și</w:t>
      </w:r>
      <w:r w:rsidRPr="00A057AC">
        <w:rPr>
          <w:rFonts w:ascii="Tahoma" w:eastAsia="Calibri" w:hAnsi="Tahoma" w:cs="Tahoma"/>
          <w:iCs/>
          <w:color w:val="000000"/>
          <w:sz w:val="24"/>
        </w:rPr>
        <w:t xml:space="preserve"> la art. 2 alin. (1) pct. 39 din Legea nr. 273/2006, cu modificările </w:t>
      </w:r>
      <w:r w:rsidR="00FF292C" w:rsidRPr="00A057AC">
        <w:rPr>
          <w:rFonts w:ascii="Tahoma" w:eastAsia="Calibri" w:hAnsi="Tahoma" w:cs="Tahoma"/>
          <w:iCs/>
          <w:color w:val="000000"/>
          <w:sz w:val="24"/>
        </w:rPr>
        <w:t>și</w:t>
      </w:r>
      <w:r w:rsidRPr="00A057AC">
        <w:rPr>
          <w:rFonts w:ascii="Tahoma" w:eastAsia="Calibri" w:hAnsi="Tahoma" w:cs="Tahoma"/>
          <w:iCs/>
          <w:color w:val="000000"/>
          <w:sz w:val="24"/>
        </w:rPr>
        <w:t xml:space="preserve"> completările ulterioare, indiferent de sistemul de </w:t>
      </w:r>
      <w:r w:rsidR="00FF292C" w:rsidRPr="00A057AC">
        <w:rPr>
          <w:rFonts w:ascii="Tahoma" w:eastAsia="Calibri" w:hAnsi="Tahoma" w:cs="Tahoma"/>
          <w:iCs/>
          <w:color w:val="000000"/>
          <w:sz w:val="24"/>
        </w:rPr>
        <w:t>finanțare</w:t>
      </w:r>
      <w:r w:rsidRPr="00A057AC">
        <w:rPr>
          <w:rFonts w:ascii="Tahoma" w:eastAsia="Calibri" w:hAnsi="Tahoma" w:cs="Tahoma"/>
          <w:iCs/>
          <w:color w:val="000000"/>
          <w:sz w:val="24"/>
        </w:rPr>
        <w:t xml:space="preserve"> </w:t>
      </w:r>
      <w:r w:rsidR="00FF292C" w:rsidRPr="00A057AC">
        <w:rPr>
          <w:rFonts w:ascii="Tahoma" w:eastAsia="Calibri" w:hAnsi="Tahoma" w:cs="Tahoma"/>
          <w:iCs/>
          <w:color w:val="000000"/>
          <w:sz w:val="24"/>
        </w:rPr>
        <w:t>și</w:t>
      </w:r>
      <w:r w:rsidRPr="00A057AC">
        <w:rPr>
          <w:rFonts w:ascii="Tahoma" w:eastAsia="Calibri" w:hAnsi="Tahoma" w:cs="Tahoma"/>
          <w:iCs/>
          <w:color w:val="000000"/>
          <w:sz w:val="24"/>
        </w:rPr>
        <w:t xml:space="preserve"> de subordonare, inclusiv </w:t>
      </w:r>
      <w:r w:rsidR="00FF292C" w:rsidRPr="00A057AC">
        <w:rPr>
          <w:rFonts w:ascii="Tahoma" w:eastAsia="Calibri" w:hAnsi="Tahoma" w:cs="Tahoma"/>
          <w:iCs/>
          <w:color w:val="000000"/>
          <w:sz w:val="24"/>
        </w:rPr>
        <w:t>activitățile</w:t>
      </w:r>
      <w:r w:rsidRPr="00A057AC">
        <w:rPr>
          <w:rFonts w:ascii="Tahoma" w:eastAsia="Calibri" w:hAnsi="Tahoma" w:cs="Tahoma"/>
          <w:iCs/>
          <w:color w:val="000000"/>
          <w:sz w:val="24"/>
        </w:rPr>
        <w:t xml:space="preserve"> </w:t>
      </w:r>
      <w:r w:rsidR="00FF292C" w:rsidRPr="00A057AC">
        <w:rPr>
          <w:rFonts w:ascii="Tahoma" w:eastAsia="Calibri" w:hAnsi="Tahoma" w:cs="Tahoma"/>
          <w:iCs/>
          <w:color w:val="000000"/>
          <w:sz w:val="24"/>
        </w:rPr>
        <w:t>finanțate</w:t>
      </w:r>
      <w:r w:rsidRPr="00A057AC">
        <w:rPr>
          <w:rFonts w:ascii="Tahoma" w:eastAsia="Calibri" w:hAnsi="Tahoma" w:cs="Tahoma"/>
          <w:iCs/>
          <w:color w:val="000000"/>
          <w:sz w:val="24"/>
        </w:rPr>
        <w:t xml:space="preserve"> integral din venituri proprii, </w:t>
      </w:r>
      <w:r w:rsidR="00FF292C" w:rsidRPr="00A057AC">
        <w:rPr>
          <w:rFonts w:ascii="Tahoma" w:eastAsia="Calibri" w:hAnsi="Tahoma" w:cs="Tahoma"/>
          <w:iCs/>
          <w:color w:val="000000"/>
          <w:sz w:val="24"/>
        </w:rPr>
        <w:t>înființate</w:t>
      </w:r>
      <w:r w:rsidRPr="00A057AC">
        <w:rPr>
          <w:rFonts w:ascii="Tahoma" w:eastAsia="Calibri" w:hAnsi="Tahoma" w:cs="Tahoma"/>
          <w:iCs/>
          <w:color w:val="000000"/>
          <w:sz w:val="24"/>
        </w:rPr>
        <w:t xml:space="preserve"> pe lângă </w:t>
      </w:r>
      <w:r w:rsidR="00FF292C" w:rsidRPr="00A057AC">
        <w:rPr>
          <w:rFonts w:ascii="Tahoma" w:eastAsia="Calibri" w:hAnsi="Tahoma" w:cs="Tahoma"/>
          <w:iCs/>
          <w:color w:val="000000"/>
          <w:sz w:val="24"/>
        </w:rPr>
        <w:t>instituțiile</w:t>
      </w:r>
      <w:r w:rsidRPr="00A057AC">
        <w:rPr>
          <w:rFonts w:ascii="Tahoma" w:eastAsia="Calibri" w:hAnsi="Tahoma" w:cs="Tahoma"/>
          <w:iCs/>
          <w:color w:val="000000"/>
          <w:sz w:val="24"/>
        </w:rPr>
        <w:t xml:space="preserve"> publice, precum și serviciile publice autonome de interes </w:t>
      </w:r>
      <w:r w:rsidR="00FF292C" w:rsidRPr="00A057AC">
        <w:rPr>
          <w:rFonts w:ascii="Tahoma" w:eastAsia="Calibri" w:hAnsi="Tahoma" w:cs="Tahoma"/>
          <w:iCs/>
          <w:color w:val="000000"/>
          <w:sz w:val="24"/>
        </w:rPr>
        <w:t>național</w:t>
      </w:r>
      <w:r w:rsidRPr="00A057AC">
        <w:rPr>
          <w:rFonts w:ascii="Tahoma" w:eastAsia="Calibri" w:hAnsi="Tahoma" w:cs="Tahoma"/>
          <w:iCs/>
          <w:color w:val="000000"/>
          <w:sz w:val="24"/>
        </w:rPr>
        <w:t xml:space="preserve">, cu personalitate juridică, reglementate prin Legea nr.41/1994; </w:t>
      </w:r>
    </w:p>
    <w:p w:rsidR="00724E48" w:rsidRPr="00A057AC" w:rsidRDefault="00724E48" w:rsidP="007B17E9">
      <w:pPr>
        <w:numPr>
          <w:ilvl w:val="0"/>
          <w:numId w:val="19"/>
        </w:numPr>
        <w:autoSpaceDE w:val="0"/>
        <w:spacing w:after="120" w:line="276" w:lineRule="auto"/>
        <w:textAlignment w:val="baseline"/>
        <w:rPr>
          <w:rFonts w:ascii="Tahoma" w:eastAsia="Times New Roman" w:hAnsi="Tahoma" w:cs="Tahoma"/>
          <w:color w:val="000000" w:themeColor="text1"/>
          <w:kern w:val="1"/>
          <w:sz w:val="24"/>
          <w:szCs w:val="24"/>
          <w:lang w:eastAsia="ar-SA"/>
        </w:rPr>
      </w:pPr>
      <w:r w:rsidRPr="00A057AC">
        <w:rPr>
          <w:rFonts w:ascii="Tahoma" w:eastAsia="Times New Roman" w:hAnsi="Tahoma" w:cs="Tahoma"/>
          <w:color w:val="000000" w:themeColor="text1"/>
          <w:kern w:val="1"/>
          <w:sz w:val="24"/>
          <w:szCs w:val="24"/>
          <w:lang w:eastAsia="ar-SA"/>
        </w:rPr>
        <w:t xml:space="preserve">studenții înmatriculați la forma de învățământ cu frecvență, în instituțiile de învățământ superior acreditate, </w:t>
      </w:r>
      <w:r w:rsidRPr="00A057AC">
        <w:rPr>
          <w:rFonts w:ascii="Tahoma" w:eastAsia="Times New Roman" w:hAnsi="Tahoma" w:cs="Tahoma"/>
          <w:b/>
          <w:color w:val="000000" w:themeColor="text1"/>
          <w:kern w:val="1"/>
          <w:sz w:val="24"/>
          <w:szCs w:val="24"/>
          <w:lang w:eastAsia="ar-SA"/>
        </w:rPr>
        <w:t xml:space="preserve">în vârstă de până la 26 de ani, beneficiază de tarif redus cu 50% pe mijloacele de transport local în comun, transportul intern auto, transport intern feroviar la toate categoriile de trenuri și naval. </w:t>
      </w:r>
      <w:r w:rsidRPr="00A057AC">
        <w:rPr>
          <w:rFonts w:ascii="Tahoma" w:eastAsia="Times New Roman" w:hAnsi="Tahoma" w:cs="Tahoma"/>
          <w:color w:val="000000" w:themeColor="text1"/>
          <w:kern w:val="1"/>
          <w:sz w:val="24"/>
          <w:szCs w:val="24"/>
          <w:lang w:eastAsia="ar-SA"/>
        </w:rPr>
        <w:t>Studenții orfani sau proveniți din casele de copii beneficiază de gratuitate pentru aceste categorii de transport.”</w:t>
      </w:r>
    </w:p>
    <w:p w:rsidR="00D246D6" w:rsidRPr="00A057AC" w:rsidRDefault="00D246D6" w:rsidP="002A6579">
      <w:pPr>
        <w:spacing w:line="276" w:lineRule="auto"/>
        <w:rPr>
          <w:rFonts w:ascii="Tahoma" w:hAnsi="Tahoma" w:cs="Tahoma"/>
          <w:sz w:val="24"/>
          <w:szCs w:val="24"/>
          <w:lang w:eastAsia="ro-RO"/>
        </w:rPr>
      </w:pPr>
    </w:p>
    <w:p w:rsidR="00593AD9" w:rsidRPr="00A057AC" w:rsidRDefault="001069C2" w:rsidP="002A6579">
      <w:pPr>
        <w:keepNext/>
        <w:keepLines/>
        <w:spacing w:line="276" w:lineRule="auto"/>
        <w:ind w:firstLine="680"/>
        <w:jc w:val="center"/>
        <w:rPr>
          <w:rFonts w:ascii="Tahoma" w:hAnsi="Tahoma" w:cs="Tahoma"/>
          <w:b/>
          <w:bCs/>
          <w:sz w:val="24"/>
          <w:szCs w:val="24"/>
        </w:rPr>
      </w:pPr>
      <w:r w:rsidRPr="00A057AC">
        <w:rPr>
          <w:rFonts w:ascii="Tahoma" w:hAnsi="Tahoma" w:cs="Tahoma"/>
          <w:b/>
          <w:bCs/>
          <w:sz w:val="24"/>
          <w:szCs w:val="24"/>
        </w:rPr>
        <w:t xml:space="preserve">Măsuri destinate îmbunătățirii nivelului de colectare a veniturilor bugetare avute în vedere de către Agenția Națională de Administrare Fiscală </w:t>
      </w:r>
    </w:p>
    <w:p w:rsidR="00E80EAC" w:rsidRPr="00A057AC" w:rsidRDefault="00E80EAC" w:rsidP="007B17E9">
      <w:pPr>
        <w:suppressAutoHyphens/>
        <w:spacing w:after="0" w:line="276" w:lineRule="auto"/>
        <w:ind w:firstLine="720"/>
        <w:rPr>
          <w:rFonts w:ascii="Tahoma" w:eastAsia="Times New Roman" w:hAnsi="Tahoma" w:cs="Tahoma"/>
          <w:sz w:val="24"/>
          <w:szCs w:val="24"/>
          <w:lang w:eastAsia="zh-CN"/>
        </w:rPr>
      </w:pPr>
      <w:bookmarkStart w:id="18" w:name="_Toc299543080"/>
      <w:bookmarkStart w:id="19" w:name="_Toc425320858"/>
      <w:bookmarkStart w:id="20" w:name="_Toc425428327"/>
      <w:bookmarkStart w:id="21" w:name="_Toc456256137"/>
      <w:bookmarkStart w:id="22" w:name="_Toc456256934"/>
      <w:bookmarkStart w:id="23" w:name="_Toc456257458"/>
      <w:bookmarkStart w:id="24" w:name="_Toc456258316"/>
      <w:bookmarkStart w:id="25" w:name="_Toc456258421"/>
      <w:r w:rsidRPr="00A057AC">
        <w:rPr>
          <w:rFonts w:ascii="Tahoma" w:eastAsia="SimSun" w:hAnsi="Tahoma" w:cs="Tahoma"/>
          <w:sz w:val="24"/>
          <w:szCs w:val="24"/>
        </w:rPr>
        <w:t xml:space="preserve">Obiectivele strategice ale A.N.A.F. vizează permanenta </w:t>
      </w:r>
      <w:r w:rsidR="00FF292C" w:rsidRPr="00A057AC">
        <w:rPr>
          <w:rFonts w:ascii="Tahoma" w:eastAsia="SimSun" w:hAnsi="Tahoma" w:cs="Tahoma"/>
          <w:sz w:val="24"/>
          <w:szCs w:val="24"/>
        </w:rPr>
        <w:t>îmbunătățire</w:t>
      </w:r>
      <w:r w:rsidRPr="00A057AC">
        <w:rPr>
          <w:rFonts w:ascii="Tahoma" w:eastAsia="SimSun" w:hAnsi="Tahoma" w:cs="Tahoma"/>
          <w:sz w:val="24"/>
          <w:szCs w:val="24"/>
        </w:rPr>
        <w:t xml:space="preserve"> a colectării bugetare pe întregul flux al </w:t>
      </w:r>
      <w:r w:rsidR="00FF292C" w:rsidRPr="00A057AC">
        <w:rPr>
          <w:rFonts w:ascii="Tahoma" w:eastAsia="SimSun" w:hAnsi="Tahoma" w:cs="Tahoma"/>
          <w:sz w:val="24"/>
          <w:szCs w:val="24"/>
        </w:rPr>
        <w:t>activităților</w:t>
      </w:r>
      <w:r w:rsidRPr="00A057AC">
        <w:rPr>
          <w:rFonts w:ascii="Tahoma" w:eastAsia="SimSun" w:hAnsi="Tahoma" w:cs="Tahoma"/>
          <w:sz w:val="24"/>
          <w:szCs w:val="24"/>
        </w:rPr>
        <w:t xml:space="preserve"> de administrare fiscală, dar și combaterea  fermă a evaziunii fiscale. În acest context și cu scopul eficientizării colectării veniturilor Bugetului General Consolidat au fost adoptate Planul Operațional de Recuperare a Veniturilor și Strategia ANAF 2021-2024. Aceste documente conțin măsuri concrete a căror implementare a fost inițiată încă din anul 2020, într-un context sanitar și economic dificil. </w:t>
      </w:r>
    </w:p>
    <w:p w:rsidR="00E80EAC" w:rsidRPr="00A057AC" w:rsidRDefault="00E80EAC" w:rsidP="007B17E9">
      <w:pPr>
        <w:suppressAutoHyphens/>
        <w:spacing w:before="120" w:after="0" w:line="276" w:lineRule="auto"/>
        <w:ind w:firstLine="720"/>
        <w:rPr>
          <w:rFonts w:ascii="Tahoma" w:eastAsia="Times New Roman" w:hAnsi="Tahoma" w:cs="Tahoma"/>
          <w:sz w:val="24"/>
          <w:szCs w:val="24"/>
          <w:lang w:eastAsia="zh-CN"/>
        </w:rPr>
      </w:pPr>
      <w:r w:rsidRPr="00A057AC">
        <w:rPr>
          <w:rFonts w:ascii="Tahoma" w:eastAsia="SimSun" w:hAnsi="Tahoma" w:cs="Tahoma"/>
          <w:bCs/>
          <w:iCs/>
          <w:sz w:val="24"/>
          <w:szCs w:val="24"/>
        </w:rPr>
        <w:t>Începând cu luna ianuarie, ANAF a reluat treptat activitățile normale de administrare fiscală, propunându-și o revenire rapidă la nivelul conformării fiscale înregistrate la finalul anului 2019. Principalele linii de acțiune stabilite pentru acest an se încadrează în viziunea extinsă pe termen mediu prezentată în Strategia ANAF, acestea fiind</w:t>
      </w:r>
      <w:r w:rsidRPr="00A057AC">
        <w:rPr>
          <w:rFonts w:ascii="Tahoma" w:eastAsia="Calibri" w:hAnsi="Tahoma" w:cs="Tahoma"/>
          <w:bCs/>
          <w:iCs/>
          <w:sz w:val="24"/>
          <w:szCs w:val="24"/>
        </w:rPr>
        <w:t xml:space="preserve">: </w:t>
      </w:r>
    </w:p>
    <w:p w:rsidR="00E80EAC" w:rsidRPr="00A057AC" w:rsidRDefault="00E80EAC" w:rsidP="00E80EAC">
      <w:pPr>
        <w:numPr>
          <w:ilvl w:val="0"/>
          <w:numId w:val="26"/>
        </w:numPr>
        <w:suppressAutoHyphens/>
        <w:spacing w:before="120" w:after="120" w:line="276" w:lineRule="auto"/>
        <w:ind w:left="720"/>
        <w:rPr>
          <w:rFonts w:ascii="Tahoma" w:eastAsia="Times New Roman" w:hAnsi="Tahoma" w:cs="Tahoma"/>
          <w:sz w:val="24"/>
          <w:szCs w:val="24"/>
          <w:lang w:eastAsia="zh-CN"/>
        </w:rPr>
      </w:pPr>
      <w:r w:rsidRPr="00A057AC">
        <w:rPr>
          <w:rFonts w:ascii="Tahoma" w:eastAsia="Calibri" w:hAnsi="Tahoma" w:cs="Tahoma"/>
          <w:b/>
          <w:bCs/>
          <w:sz w:val="24"/>
          <w:lang w:eastAsia="zh-CN"/>
        </w:rPr>
        <w:t>Simplificarea procedurilor de administrare fiscală</w:t>
      </w:r>
      <w:r w:rsidRPr="00A057AC">
        <w:rPr>
          <w:rFonts w:ascii="Tahoma" w:eastAsia="Calibri" w:hAnsi="Tahoma" w:cs="Tahoma"/>
          <w:sz w:val="24"/>
          <w:lang w:eastAsia="zh-CN"/>
        </w:rPr>
        <w:t xml:space="preserve">: simplificarea declarațiilor fiscale, continuarea procesului de extindere a depunerii on-line a </w:t>
      </w:r>
      <w:r w:rsidRPr="00A057AC">
        <w:rPr>
          <w:rFonts w:ascii="Tahoma" w:eastAsia="Calibri" w:hAnsi="Tahoma" w:cs="Tahoma"/>
          <w:sz w:val="24"/>
          <w:lang w:eastAsia="zh-CN"/>
        </w:rPr>
        <w:lastRenderedPageBreak/>
        <w:t>declarațiilor de înregistrare fiscală, asigurarea posibilității contribuabililor de a solicita înregistrarea fiscală inițială prin mijloace electronice;</w:t>
      </w:r>
    </w:p>
    <w:p w:rsidR="00E80EAC" w:rsidRPr="00A057AC" w:rsidRDefault="00E80EAC" w:rsidP="00E80EAC">
      <w:pPr>
        <w:numPr>
          <w:ilvl w:val="0"/>
          <w:numId w:val="26"/>
        </w:numPr>
        <w:suppressAutoHyphens/>
        <w:spacing w:before="120" w:after="120" w:line="276" w:lineRule="auto"/>
        <w:ind w:left="720"/>
        <w:rPr>
          <w:rFonts w:ascii="Tahoma" w:eastAsia="Times New Roman" w:hAnsi="Tahoma" w:cs="Tahoma"/>
          <w:sz w:val="24"/>
          <w:szCs w:val="24"/>
          <w:lang w:eastAsia="zh-CN"/>
        </w:rPr>
      </w:pPr>
      <w:r w:rsidRPr="00A057AC">
        <w:rPr>
          <w:rFonts w:ascii="Tahoma" w:eastAsia="Calibri" w:hAnsi="Tahoma" w:cs="Tahoma"/>
          <w:b/>
          <w:bCs/>
          <w:sz w:val="24"/>
          <w:lang w:eastAsia="zh-CN"/>
        </w:rPr>
        <w:t>Accelerarea procesului de digitalizare:</w:t>
      </w:r>
      <w:r w:rsidRPr="00A057AC">
        <w:rPr>
          <w:rFonts w:ascii="Tahoma" w:eastAsia="Calibri" w:hAnsi="Tahoma" w:cs="Tahoma"/>
          <w:sz w:val="24"/>
          <w:lang w:eastAsia="zh-CN"/>
        </w:rPr>
        <w:t xml:space="preserve"> stabilirea priorităților multianuale de dezvoltare IT necesare susținerii activității de conformare, punerea la dispoziția contribuabililor de noi servicii electronice/noi funcționalități pentru serviciile electronice/telefonice existente, etc.;</w:t>
      </w:r>
    </w:p>
    <w:p w:rsidR="00E80EAC" w:rsidRPr="00A057AC" w:rsidRDefault="00E80EAC" w:rsidP="00E80EAC">
      <w:pPr>
        <w:numPr>
          <w:ilvl w:val="0"/>
          <w:numId w:val="26"/>
        </w:numPr>
        <w:suppressAutoHyphens/>
        <w:spacing w:before="120" w:after="120" w:line="276" w:lineRule="auto"/>
        <w:ind w:left="720"/>
        <w:rPr>
          <w:rFonts w:ascii="Tahoma" w:eastAsia="Times New Roman" w:hAnsi="Tahoma" w:cs="Tahoma"/>
          <w:sz w:val="24"/>
          <w:szCs w:val="24"/>
          <w:lang w:eastAsia="zh-CN"/>
        </w:rPr>
      </w:pPr>
      <w:r w:rsidRPr="00A057AC">
        <w:rPr>
          <w:rFonts w:ascii="Tahoma" w:eastAsia="Calibri" w:hAnsi="Tahoma" w:cs="Tahoma"/>
          <w:b/>
          <w:bCs/>
          <w:sz w:val="24"/>
          <w:lang w:eastAsia="zh-CN"/>
        </w:rPr>
        <w:t>Management integrat al riscului,</w:t>
      </w:r>
      <w:r w:rsidRPr="00A057AC">
        <w:rPr>
          <w:rFonts w:ascii="Tahoma" w:eastAsia="Calibri" w:hAnsi="Tahoma" w:cs="Tahoma"/>
          <w:sz w:val="24"/>
          <w:lang w:eastAsia="zh-CN"/>
        </w:rPr>
        <w:t xml:space="preserve"> conform noului design al agenției, ca urmare a procesului de operaționalizare a Direcției Generale de Management a Riscului. Va fi accelerată dezvoltarea unor proiecte de conformare fiscală, pentru a înțelege mai bine resorturile și mecanismele unor comportamente fiscale și pentru a dezvolta planuri țintite de măsuri pentru stimularea conformării fiscale pe diferite paliere.  </w:t>
      </w:r>
    </w:p>
    <w:p w:rsidR="00E80EAC" w:rsidRPr="00A057AC" w:rsidRDefault="00E80EAC" w:rsidP="00E80EAC">
      <w:pPr>
        <w:numPr>
          <w:ilvl w:val="0"/>
          <w:numId w:val="26"/>
        </w:numPr>
        <w:suppressAutoHyphens/>
        <w:spacing w:before="120" w:after="120" w:line="276" w:lineRule="auto"/>
        <w:ind w:left="720"/>
        <w:rPr>
          <w:rFonts w:ascii="Tahoma" w:eastAsia="Times New Roman" w:hAnsi="Tahoma" w:cs="Tahoma"/>
          <w:sz w:val="24"/>
          <w:szCs w:val="24"/>
          <w:lang w:eastAsia="zh-CN"/>
        </w:rPr>
      </w:pPr>
      <w:r w:rsidRPr="00A057AC">
        <w:rPr>
          <w:rFonts w:ascii="Tahoma" w:eastAsia="Calibri" w:hAnsi="Tahoma" w:cs="Tahoma"/>
          <w:b/>
          <w:bCs/>
          <w:sz w:val="24"/>
          <w:lang w:eastAsia="zh-CN"/>
        </w:rPr>
        <w:t>Campanii intense de informare și conștientizare a cetățenilor,</w:t>
      </w:r>
      <w:r w:rsidRPr="00A057AC">
        <w:rPr>
          <w:rFonts w:ascii="Tahoma" w:eastAsia="Calibri" w:hAnsi="Tahoma" w:cs="Tahoma"/>
          <w:sz w:val="24"/>
          <w:lang w:eastAsia="zh-CN"/>
        </w:rPr>
        <w:t xml:space="preserve"> crearea unor servicii de chat și a unui sistem </w:t>
      </w:r>
      <w:r w:rsidRPr="00A057AC">
        <w:rPr>
          <w:rFonts w:ascii="Tahoma" w:eastAsia="Calibri" w:hAnsi="Tahoma" w:cs="Tahoma"/>
          <w:sz w:val="24"/>
          <w:lang w:val="en-US" w:eastAsia="zh-CN"/>
        </w:rPr>
        <w:t>webinar</w:t>
      </w:r>
      <w:r w:rsidRPr="00A057AC">
        <w:rPr>
          <w:rFonts w:ascii="Tahoma" w:eastAsia="Calibri" w:hAnsi="Tahoma" w:cs="Tahoma"/>
          <w:sz w:val="24"/>
          <w:lang w:eastAsia="zh-CN"/>
        </w:rPr>
        <w:t xml:space="preserve"> prin care se vor derula întâlniri virtuale cu contribuabilii, etc.</w:t>
      </w:r>
    </w:p>
    <w:p w:rsidR="00E80EAC" w:rsidRPr="00A057AC" w:rsidRDefault="00E80EAC" w:rsidP="00E80EAC">
      <w:pPr>
        <w:suppressAutoHyphens/>
        <w:spacing w:before="120" w:after="0"/>
        <w:ind w:firstLine="0"/>
        <w:contextualSpacing/>
        <w:rPr>
          <w:rFonts w:ascii="Tahoma" w:eastAsia="Times New Roman" w:hAnsi="Tahoma" w:cs="Tahoma"/>
          <w:sz w:val="12"/>
          <w:szCs w:val="12"/>
          <w:lang w:eastAsia="zh-CN"/>
        </w:rPr>
      </w:pPr>
    </w:p>
    <w:p w:rsidR="00E80EAC" w:rsidRPr="00A057AC" w:rsidRDefault="00E80EAC" w:rsidP="00E80EAC">
      <w:pPr>
        <w:suppressAutoHyphens/>
        <w:spacing w:before="120" w:after="0" w:line="276" w:lineRule="auto"/>
        <w:ind w:firstLine="420"/>
        <w:rPr>
          <w:rFonts w:ascii="Tahoma" w:eastAsia="Times New Roman" w:hAnsi="Tahoma" w:cs="Tahoma"/>
          <w:sz w:val="24"/>
          <w:szCs w:val="24"/>
          <w:lang w:eastAsia="zh-CN"/>
        </w:rPr>
      </w:pPr>
      <w:r w:rsidRPr="00A057AC">
        <w:rPr>
          <w:rFonts w:ascii="Tahoma" w:eastAsia="Calibri" w:hAnsi="Tahoma" w:cs="Tahoma"/>
          <w:sz w:val="24"/>
          <w:szCs w:val="24"/>
          <w:lang w:eastAsia="zh-CN"/>
        </w:rPr>
        <w:t xml:space="preserve">Totodată, se va continua implementarea obiectivelor care vor duce la îndeplinirea viziunii ANAF pe termen mediu, astfel: </w:t>
      </w:r>
    </w:p>
    <w:p w:rsidR="00E80EAC" w:rsidRPr="00A057AC" w:rsidRDefault="00E80EAC" w:rsidP="00E80EAC">
      <w:pPr>
        <w:suppressAutoHyphens/>
        <w:spacing w:before="120" w:after="0" w:line="276" w:lineRule="auto"/>
        <w:ind w:firstLine="420"/>
        <w:rPr>
          <w:rFonts w:ascii="Tahoma" w:eastAsia="Calibri" w:hAnsi="Tahoma" w:cs="Tahoma"/>
          <w:sz w:val="24"/>
          <w:szCs w:val="24"/>
          <w:lang w:eastAsia="zh-CN"/>
        </w:rPr>
      </w:pPr>
    </w:p>
    <w:p w:rsidR="00E80EAC" w:rsidRPr="00A057AC" w:rsidRDefault="00E80EAC" w:rsidP="00E80EAC">
      <w:pPr>
        <w:numPr>
          <w:ilvl w:val="0"/>
          <w:numId w:val="24"/>
        </w:numPr>
        <w:shd w:val="clear" w:color="auto" w:fill="D8D8D8"/>
        <w:suppressAutoHyphens/>
        <w:spacing w:before="120" w:after="0" w:line="276" w:lineRule="auto"/>
        <w:ind w:left="426" w:hanging="426"/>
        <w:jc w:val="left"/>
        <w:rPr>
          <w:rFonts w:ascii="Tahoma" w:eastAsia="Times New Roman" w:hAnsi="Tahoma" w:cs="Tahoma"/>
          <w:sz w:val="24"/>
          <w:szCs w:val="24"/>
          <w:lang w:eastAsia="zh-CN"/>
        </w:rPr>
      </w:pPr>
      <w:r w:rsidRPr="00A057AC">
        <w:rPr>
          <w:rFonts w:ascii="Tahoma" w:eastAsia="Calibri" w:hAnsi="Tahoma" w:cs="Tahoma"/>
          <w:b/>
          <w:bCs/>
          <w:sz w:val="24"/>
          <w:szCs w:val="24"/>
          <w:lang w:eastAsia="zh-CN"/>
        </w:rPr>
        <w:t>SERVICII - dezvoltarea unei relații de parteneriat cu contribuabilii pentru serviciile prestate, prin:</w:t>
      </w:r>
    </w:p>
    <w:p w:rsidR="00E80EAC" w:rsidRPr="00A057AC" w:rsidRDefault="00E80EAC" w:rsidP="00E80EAC">
      <w:pPr>
        <w:numPr>
          <w:ilvl w:val="0"/>
          <w:numId w:val="23"/>
        </w:numPr>
        <w:suppressAutoHyphens/>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Design nou și inovator de procese de activitate și servicii în interacțiunea cu contribuabilii, centrat pe contribuabili și în colaborare cu aceștia ;</w:t>
      </w:r>
    </w:p>
    <w:p w:rsidR="00E80EAC" w:rsidRPr="00A057AC" w:rsidRDefault="00E80EAC" w:rsidP="00E80EAC">
      <w:pPr>
        <w:numPr>
          <w:ilvl w:val="0"/>
          <w:numId w:val="23"/>
        </w:numPr>
        <w:suppressAutoHyphens/>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Dezvoltarea/extinderea de servicii simple și accesibile pentru contribuabili;</w:t>
      </w:r>
    </w:p>
    <w:p w:rsidR="00E80EAC" w:rsidRPr="00A057AC" w:rsidRDefault="00E80EAC" w:rsidP="00E80EAC">
      <w:pPr>
        <w:numPr>
          <w:ilvl w:val="0"/>
          <w:numId w:val="23"/>
        </w:numPr>
        <w:suppressAutoHyphens/>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Consolidarea mecanismului consultativ de colaborare cu mediul de afaceri și contribuabilii și colaborarea cu parteneri externi pentru identificarea de soluții inovatoare.</w:t>
      </w:r>
    </w:p>
    <w:p w:rsidR="00E80EAC" w:rsidRPr="00A057AC" w:rsidRDefault="00E80EAC" w:rsidP="00E80EAC">
      <w:pPr>
        <w:suppressAutoHyphens/>
        <w:spacing w:before="120" w:after="0" w:line="276" w:lineRule="auto"/>
        <w:ind w:left="360" w:firstLine="0"/>
        <w:contextualSpacing/>
        <w:rPr>
          <w:rFonts w:ascii="Tahoma" w:eastAsia="Calibri" w:hAnsi="Tahoma" w:cs="Tahoma"/>
          <w:i/>
          <w:iCs/>
          <w:sz w:val="24"/>
          <w:szCs w:val="24"/>
          <w:lang w:eastAsia="zh-CN"/>
        </w:rPr>
      </w:pPr>
    </w:p>
    <w:p w:rsidR="00E80EAC" w:rsidRPr="00A057AC" w:rsidRDefault="00E80EAC" w:rsidP="00E80EAC">
      <w:pPr>
        <w:shd w:val="clear" w:color="auto" w:fill="D8D8D8"/>
        <w:suppressAutoHyphens/>
        <w:spacing w:before="120" w:after="0" w:line="276" w:lineRule="auto"/>
        <w:ind w:firstLine="0"/>
        <w:rPr>
          <w:rFonts w:ascii="Tahoma" w:eastAsia="Times New Roman" w:hAnsi="Tahoma" w:cs="Tahoma"/>
          <w:sz w:val="24"/>
          <w:szCs w:val="24"/>
          <w:lang w:eastAsia="zh-CN"/>
        </w:rPr>
      </w:pPr>
      <w:r w:rsidRPr="00A057AC">
        <w:rPr>
          <w:rFonts w:ascii="Tahoma" w:eastAsia="Calibri" w:hAnsi="Tahoma" w:cs="Tahoma"/>
          <w:b/>
          <w:sz w:val="24"/>
          <w:szCs w:val="24"/>
          <w:lang w:eastAsia="zh-CN"/>
        </w:rPr>
        <w:t>II. SOLUȚII DIGITALE INTEGRATE - transformarea ANAF într-o organizație performantă și inteligentă cu soluții digitale integrate, care utilizează la maximum datele și informațiile disponibile, cu următoarele obiective specifice:</w:t>
      </w:r>
    </w:p>
    <w:p w:rsidR="00E80EAC" w:rsidRPr="00A057AC" w:rsidRDefault="00E80EAC" w:rsidP="00E80EAC">
      <w:pPr>
        <w:numPr>
          <w:ilvl w:val="0"/>
          <w:numId w:val="21"/>
        </w:numPr>
        <w:tabs>
          <w:tab w:val="left" w:pos="-426"/>
        </w:tabs>
        <w:suppressAutoHyphens/>
        <w:overflowPunct w:val="0"/>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Utilizarea digitalizării ca abordare inteligentă pentru domeniile funcționale ale administrației fiscale;</w:t>
      </w:r>
    </w:p>
    <w:p w:rsidR="00E80EAC" w:rsidRPr="00A057AC" w:rsidRDefault="00E80EAC" w:rsidP="00E80EAC">
      <w:pPr>
        <w:numPr>
          <w:ilvl w:val="0"/>
          <w:numId w:val="21"/>
        </w:numPr>
        <w:tabs>
          <w:tab w:val="left" w:pos="-426"/>
        </w:tabs>
        <w:suppressAutoHyphens/>
        <w:overflowPunct w:val="0"/>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bCs/>
          <w:iCs/>
          <w:sz w:val="24"/>
          <w:szCs w:val="24"/>
          <w:lang w:eastAsia="zh-CN"/>
        </w:rPr>
        <w:t>Consolidarea capacității administrative necesare procesului de transformare digitală;</w:t>
      </w:r>
    </w:p>
    <w:p w:rsidR="00E80EAC" w:rsidRPr="00A057AC" w:rsidRDefault="00E80EAC" w:rsidP="00E80EAC">
      <w:pPr>
        <w:numPr>
          <w:ilvl w:val="0"/>
          <w:numId w:val="21"/>
        </w:numPr>
        <w:tabs>
          <w:tab w:val="left" w:pos="-426"/>
        </w:tabs>
        <w:suppressAutoHyphens/>
        <w:overflowPunct w:val="0"/>
        <w:spacing w:before="120" w:after="0" w:line="276" w:lineRule="auto"/>
        <w:contextualSpacing/>
        <w:jc w:val="left"/>
        <w:rPr>
          <w:rFonts w:ascii="Tahoma" w:eastAsia="Times New Roman" w:hAnsi="Tahoma" w:cs="Tahoma"/>
          <w:sz w:val="24"/>
          <w:szCs w:val="24"/>
          <w:lang w:eastAsia="zh-CN"/>
        </w:rPr>
      </w:pPr>
      <w:r w:rsidRPr="00A057AC">
        <w:rPr>
          <w:rFonts w:ascii="Tahoma" w:eastAsia="Calibri" w:hAnsi="Tahoma" w:cs="Tahoma"/>
          <w:bCs/>
          <w:iCs/>
          <w:sz w:val="24"/>
          <w:szCs w:val="24"/>
          <w:lang w:eastAsia="zh-CN"/>
        </w:rPr>
        <w:t>Asigurarea cadrului tehnologic necesar tranziției către o administrație fiscală digitală.</w:t>
      </w:r>
    </w:p>
    <w:p w:rsidR="00E80EAC" w:rsidRPr="00A057AC" w:rsidRDefault="00E80EAC" w:rsidP="00E80EAC">
      <w:pPr>
        <w:shd w:val="clear" w:color="auto" w:fill="D8D8D8"/>
        <w:tabs>
          <w:tab w:val="left" w:pos="-426"/>
        </w:tabs>
        <w:suppressAutoHyphens/>
        <w:overflowPunct w:val="0"/>
        <w:spacing w:before="120" w:after="0" w:line="276" w:lineRule="auto"/>
        <w:ind w:firstLine="0"/>
        <w:rPr>
          <w:rFonts w:ascii="Tahoma" w:eastAsia="Times New Roman" w:hAnsi="Tahoma" w:cs="Tahoma"/>
          <w:sz w:val="24"/>
          <w:szCs w:val="24"/>
          <w:lang w:eastAsia="zh-CN"/>
        </w:rPr>
      </w:pPr>
      <w:r w:rsidRPr="00A057AC">
        <w:rPr>
          <w:rFonts w:ascii="Tahoma" w:eastAsia="Calibri" w:hAnsi="Tahoma" w:cs="Tahoma"/>
          <w:b/>
          <w:bCs/>
          <w:sz w:val="24"/>
          <w:szCs w:val="24"/>
          <w:lang w:eastAsia="zh-CN"/>
        </w:rPr>
        <w:lastRenderedPageBreak/>
        <w:t xml:space="preserve">III. PREVENIREA ȘI COMBATEREA EVAZIUNII FISCALE - </w:t>
      </w:r>
      <w:r w:rsidRPr="00A057AC">
        <w:rPr>
          <w:rFonts w:ascii="Tahoma" w:eastAsia="Calibri" w:hAnsi="Tahoma" w:cs="Tahoma"/>
          <w:b/>
          <w:sz w:val="24"/>
          <w:szCs w:val="24"/>
          <w:lang w:eastAsia="zh-CN"/>
        </w:rPr>
        <w:t>o instituție ce vine în sprijinul conformării contribuabililor și al menținerii unui mediu economic echitabil, prin:</w:t>
      </w:r>
    </w:p>
    <w:p w:rsidR="00E80EAC" w:rsidRPr="00A057AC" w:rsidRDefault="00E80EAC" w:rsidP="00E80EAC">
      <w:pPr>
        <w:numPr>
          <w:ilvl w:val="0"/>
          <w:numId w:val="22"/>
        </w:numPr>
        <w:tabs>
          <w:tab w:val="left" w:pos="-426"/>
        </w:tabs>
        <w:suppressAutoHyphens/>
        <w:overflowPunct w:val="0"/>
        <w:snapToGrid w:val="0"/>
        <w:spacing w:before="120" w:after="0" w:line="276" w:lineRule="auto"/>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Actualizarea permanentă a registrului riscurilor în urma analizării schimbărilor intervenite în cadrul economico social;</w:t>
      </w:r>
    </w:p>
    <w:p w:rsidR="00E80EAC" w:rsidRPr="00A057AC" w:rsidRDefault="00E80EAC" w:rsidP="00E80EAC">
      <w:pPr>
        <w:numPr>
          <w:ilvl w:val="0"/>
          <w:numId w:val="22"/>
        </w:numPr>
        <w:tabs>
          <w:tab w:val="left" w:pos="-426"/>
        </w:tabs>
        <w:suppressAutoHyphens/>
        <w:overflowPunct w:val="0"/>
        <w:snapToGrid w:val="0"/>
        <w:spacing w:before="120" w:after="0" w:line="276" w:lineRule="auto"/>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 xml:space="preserve">Identificarea și abordarea timpurie a riscurilor de neconformare cu implementarea de </w:t>
      </w:r>
      <w:r w:rsidRPr="00A057AC">
        <w:rPr>
          <w:rFonts w:ascii="Tahoma" w:eastAsia="Calibri" w:hAnsi="Tahoma" w:cs="Tahoma"/>
          <w:b/>
          <w:iCs/>
          <w:sz w:val="24"/>
          <w:szCs w:val="24"/>
          <w:u w:val="single"/>
          <w:lang w:eastAsia="zh-CN"/>
        </w:rPr>
        <w:t>instrumente noi</w:t>
      </w:r>
      <w:r w:rsidRPr="00A057AC">
        <w:rPr>
          <w:rFonts w:ascii="Tahoma" w:eastAsia="Calibri" w:hAnsi="Tahoma" w:cs="Tahoma"/>
          <w:iCs/>
          <w:sz w:val="24"/>
          <w:szCs w:val="24"/>
          <w:u w:val="single"/>
          <w:lang w:eastAsia="zh-CN"/>
        </w:rPr>
        <w:t xml:space="preserve"> pentru organele fiscale</w:t>
      </w:r>
      <w:r w:rsidRPr="00A057AC">
        <w:rPr>
          <w:rFonts w:ascii="Tahoma" w:eastAsia="Calibri" w:hAnsi="Tahoma" w:cs="Tahoma"/>
          <w:iCs/>
          <w:sz w:val="24"/>
          <w:szCs w:val="24"/>
          <w:lang w:eastAsia="zh-CN"/>
        </w:rPr>
        <w:t>:</w:t>
      </w:r>
    </w:p>
    <w:p w:rsidR="00E80EAC" w:rsidRPr="00A057AC" w:rsidRDefault="00E80EAC" w:rsidP="00FF292C">
      <w:pPr>
        <w:numPr>
          <w:ilvl w:val="1"/>
          <w:numId w:val="22"/>
        </w:numPr>
        <w:tabs>
          <w:tab w:val="left" w:pos="-426"/>
        </w:tabs>
        <w:suppressAutoHyphens/>
        <w:overflowPunct w:val="0"/>
        <w:snapToGrid w:val="0"/>
        <w:spacing w:before="120" w:after="0" w:line="276" w:lineRule="auto"/>
        <w:rPr>
          <w:rFonts w:ascii="Tahoma" w:eastAsia="Times New Roman" w:hAnsi="Tahoma" w:cs="Tahoma"/>
          <w:sz w:val="24"/>
          <w:szCs w:val="24"/>
          <w:lang w:eastAsia="zh-CN"/>
        </w:rPr>
      </w:pPr>
      <w:r w:rsidRPr="00A057AC">
        <w:rPr>
          <w:rFonts w:ascii="Tahoma" w:eastAsia="Calibri" w:hAnsi="Tahoma" w:cs="Tahoma"/>
          <w:b/>
          <w:bCs/>
          <w:iCs/>
          <w:sz w:val="24"/>
          <w:szCs w:val="24"/>
          <w:lang w:eastAsia="zh-CN"/>
        </w:rPr>
        <w:t>Desk-audit</w:t>
      </w:r>
      <w:r w:rsidRPr="00A057AC">
        <w:rPr>
          <w:rFonts w:ascii="Tahoma" w:eastAsia="Calibri" w:hAnsi="Tahoma" w:cs="Tahoma"/>
          <w:iCs/>
          <w:sz w:val="24"/>
          <w:szCs w:val="24"/>
          <w:lang w:eastAsia="zh-CN"/>
        </w:rPr>
        <w:t xml:space="preserve"> - dezvoltarea componentei de control fiscal ce vizează verificarea documentară precum și intensificarea acțiunilor de prevenire în scopul creșterii conformării voluntare</w:t>
      </w:r>
      <w:r w:rsidRPr="00A057AC">
        <w:rPr>
          <w:rFonts w:ascii="Tahoma" w:eastAsia="Calibri" w:hAnsi="Tahoma" w:cs="Tahoma"/>
          <w:bCs/>
          <w:iCs/>
          <w:sz w:val="24"/>
          <w:szCs w:val="24"/>
          <w:lang w:eastAsia="zh-CN"/>
        </w:rPr>
        <w:t>;</w:t>
      </w:r>
    </w:p>
    <w:p w:rsidR="00E80EAC" w:rsidRPr="00A057AC" w:rsidRDefault="00E80EAC" w:rsidP="00FF292C">
      <w:pPr>
        <w:numPr>
          <w:ilvl w:val="1"/>
          <w:numId w:val="22"/>
        </w:numPr>
        <w:tabs>
          <w:tab w:val="left" w:pos="-426"/>
        </w:tabs>
        <w:suppressAutoHyphens/>
        <w:overflowPunct w:val="0"/>
        <w:snapToGrid w:val="0"/>
        <w:spacing w:before="120" w:after="0" w:line="276" w:lineRule="auto"/>
        <w:rPr>
          <w:rFonts w:ascii="Tahoma" w:eastAsia="Times New Roman" w:hAnsi="Tahoma" w:cs="Tahoma"/>
          <w:sz w:val="24"/>
          <w:szCs w:val="24"/>
          <w:lang w:eastAsia="zh-CN"/>
        </w:rPr>
      </w:pPr>
      <w:r w:rsidRPr="00A057AC">
        <w:rPr>
          <w:rFonts w:ascii="Tahoma" w:eastAsia="Calibri" w:hAnsi="Tahoma" w:cs="Tahoma"/>
          <w:b/>
          <w:bCs/>
          <w:iCs/>
          <w:sz w:val="24"/>
          <w:szCs w:val="24"/>
          <w:lang w:eastAsia="zh-CN"/>
        </w:rPr>
        <w:t xml:space="preserve">Controlul comerțului electronic - </w:t>
      </w:r>
      <w:r w:rsidRPr="00A057AC">
        <w:rPr>
          <w:rFonts w:ascii="Tahoma" w:eastAsia="Calibri" w:hAnsi="Tahoma" w:cs="Tahoma"/>
          <w:iCs/>
          <w:sz w:val="24"/>
          <w:szCs w:val="24"/>
          <w:lang w:eastAsia="zh-CN"/>
        </w:rPr>
        <w:t>o</w:t>
      </w:r>
      <w:r w:rsidRPr="00A057AC">
        <w:rPr>
          <w:rFonts w:ascii="Tahoma" w:eastAsia="Calibri" w:hAnsi="Tahoma" w:cs="Tahoma"/>
          <w:sz w:val="24"/>
          <w:szCs w:val="24"/>
          <w:lang w:eastAsia="zh-CN"/>
        </w:rPr>
        <w:t>perațiunea</w:t>
      </w:r>
      <w:r w:rsidRPr="00A057AC">
        <w:rPr>
          <w:rFonts w:ascii="Tahoma" w:eastAsia="Calibri" w:hAnsi="Tahoma" w:cs="Tahoma"/>
          <w:i/>
          <w:sz w:val="24"/>
          <w:szCs w:val="24"/>
          <w:lang w:eastAsia="zh-CN"/>
        </w:rPr>
        <w:t xml:space="preserve"> “Mercur” </w:t>
      </w:r>
      <w:r w:rsidRPr="00A057AC">
        <w:rPr>
          <w:rFonts w:ascii="Tahoma" w:eastAsia="Calibri" w:hAnsi="Tahoma" w:cs="Tahoma"/>
          <w:iCs/>
          <w:sz w:val="24"/>
          <w:szCs w:val="24"/>
          <w:lang w:eastAsia="zh-CN"/>
        </w:rPr>
        <w:t>va continua în ritm accelerat și va fi extinsă pentru asigurarea fiscalizării încasărilor provenite din vânzările on-line de bunuri și servicii, fiind cea mai amplă acțiune în domeniul comerțului electronic nefiscalizat;</w:t>
      </w:r>
    </w:p>
    <w:p w:rsidR="00E80EAC" w:rsidRPr="00A057AC" w:rsidRDefault="00E80EAC" w:rsidP="00FF292C">
      <w:pPr>
        <w:numPr>
          <w:ilvl w:val="1"/>
          <w:numId w:val="22"/>
        </w:numPr>
        <w:tabs>
          <w:tab w:val="left" w:pos="-426"/>
        </w:tabs>
        <w:suppressAutoHyphens/>
        <w:overflowPunct w:val="0"/>
        <w:snapToGrid w:val="0"/>
        <w:spacing w:before="120" w:after="0" w:line="276" w:lineRule="auto"/>
        <w:rPr>
          <w:rFonts w:ascii="Tahoma" w:eastAsia="Times New Roman" w:hAnsi="Tahoma" w:cs="Tahoma"/>
          <w:sz w:val="24"/>
          <w:szCs w:val="24"/>
          <w:lang w:eastAsia="zh-CN"/>
        </w:rPr>
      </w:pPr>
      <w:r w:rsidRPr="00A057AC">
        <w:rPr>
          <w:rFonts w:ascii="Tahoma" w:eastAsia="Calibri" w:hAnsi="Tahoma" w:cs="Tahoma"/>
          <w:b/>
          <w:bCs/>
          <w:iCs/>
          <w:sz w:val="24"/>
          <w:szCs w:val="24"/>
          <w:lang w:eastAsia="zh-CN"/>
        </w:rPr>
        <w:t>Implementarea SAF-T</w:t>
      </w:r>
      <w:r w:rsidRPr="00A057AC">
        <w:rPr>
          <w:rFonts w:ascii="Tahoma" w:eastAsia="Calibri" w:hAnsi="Tahoma" w:cs="Tahoma"/>
          <w:iCs/>
          <w:sz w:val="24"/>
          <w:szCs w:val="24"/>
          <w:lang w:eastAsia="zh-CN"/>
        </w:rPr>
        <w:t xml:space="preserve"> (fișierul standard internațional de control), rolul acestuia fiind de raportare standardizată a unor informații financiare, de a simplifica astfel, interacțiunea contribuabililor cu autoritățile fiscale, principalul avantaj fiind facilitarea identificării corecte și a sancționării ferme a comportamentelor neconforme;</w:t>
      </w:r>
    </w:p>
    <w:p w:rsidR="00E80EAC" w:rsidRPr="00A057AC" w:rsidRDefault="00E80EAC" w:rsidP="00FF292C">
      <w:pPr>
        <w:numPr>
          <w:ilvl w:val="1"/>
          <w:numId w:val="22"/>
        </w:numPr>
        <w:tabs>
          <w:tab w:val="left" w:pos="-426"/>
        </w:tabs>
        <w:suppressAutoHyphens/>
        <w:overflowPunct w:val="0"/>
        <w:snapToGrid w:val="0"/>
        <w:spacing w:before="120" w:after="0" w:line="276" w:lineRule="auto"/>
        <w:rPr>
          <w:rFonts w:ascii="Tahoma" w:eastAsia="Times New Roman" w:hAnsi="Tahoma" w:cs="Tahoma"/>
          <w:sz w:val="24"/>
          <w:szCs w:val="24"/>
          <w:lang w:eastAsia="zh-CN"/>
        </w:rPr>
      </w:pPr>
      <w:r w:rsidRPr="00A057AC">
        <w:rPr>
          <w:rFonts w:ascii="Tahoma" w:eastAsia="Calibri" w:hAnsi="Tahoma" w:cs="Tahoma"/>
          <w:b/>
          <w:bCs/>
          <w:iCs/>
          <w:sz w:val="24"/>
          <w:szCs w:val="24"/>
          <w:lang w:eastAsia="zh-CN"/>
        </w:rPr>
        <w:t xml:space="preserve">Interconectarea caselor de marcat </w:t>
      </w:r>
      <w:r w:rsidRPr="00A057AC">
        <w:rPr>
          <w:rFonts w:ascii="Tahoma" w:eastAsia="Calibri" w:hAnsi="Tahoma" w:cs="Tahoma"/>
          <w:iCs/>
          <w:sz w:val="24"/>
          <w:szCs w:val="24"/>
          <w:lang w:eastAsia="zh-CN"/>
        </w:rPr>
        <w:t xml:space="preserve">- proiectul vine în sprijinul efectuării unor analize de risc complexe cu date furnizate în timp real ce conduc la </w:t>
      </w:r>
      <w:r w:rsidR="008A6C73" w:rsidRPr="00A057AC">
        <w:rPr>
          <w:rFonts w:ascii="Tahoma" w:eastAsia="Calibri" w:hAnsi="Tahoma" w:cs="Tahoma"/>
          <w:iCs/>
          <w:sz w:val="24"/>
          <w:szCs w:val="24"/>
          <w:lang w:eastAsia="zh-CN"/>
        </w:rPr>
        <w:t>construirea</w:t>
      </w:r>
      <w:r w:rsidRPr="00A057AC">
        <w:rPr>
          <w:rFonts w:ascii="Tahoma" w:eastAsia="Calibri" w:hAnsi="Tahoma" w:cs="Tahoma"/>
          <w:iCs/>
          <w:sz w:val="24"/>
          <w:szCs w:val="24"/>
          <w:lang w:eastAsia="zh-CN"/>
        </w:rPr>
        <w:t xml:space="preserve"> unei imagini fidele a comportamentului fiscal și comercial a contribuabililor, termenul de finalizare fiind 30 noiembrie a.c.;</w:t>
      </w:r>
    </w:p>
    <w:p w:rsidR="00E80EAC" w:rsidRPr="00A057AC" w:rsidRDefault="00E80EAC" w:rsidP="00FF292C">
      <w:pPr>
        <w:numPr>
          <w:ilvl w:val="1"/>
          <w:numId w:val="22"/>
        </w:numPr>
        <w:tabs>
          <w:tab w:val="left" w:pos="-426"/>
        </w:tabs>
        <w:suppressAutoHyphens/>
        <w:overflowPunct w:val="0"/>
        <w:snapToGrid w:val="0"/>
        <w:spacing w:before="120" w:after="0" w:line="276" w:lineRule="auto"/>
        <w:rPr>
          <w:rFonts w:ascii="Tahoma" w:eastAsia="Times New Roman" w:hAnsi="Tahoma" w:cs="Tahoma"/>
          <w:sz w:val="24"/>
          <w:szCs w:val="24"/>
          <w:lang w:eastAsia="zh-CN"/>
        </w:rPr>
      </w:pPr>
      <w:r w:rsidRPr="00A057AC">
        <w:rPr>
          <w:rFonts w:ascii="Tahoma" w:eastAsia="Calibri" w:hAnsi="Tahoma" w:cs="Tahoma"/>
          <w:b/>
          <w:bCs/>
          <w:iCs/>
          <w:sz w:val="24"/>
          <w:szCs w:val="24"/>
          <w:lang w:eastAsia="zh-CN"/>
        </w:rPr>
        <w:t xml:space="preserve">E-factura </w:t>
      </w:r>
      <w:r w:rsidRPr="00A057AC">
        <w:rPr>
          <w:rFonts w:ascii="Tahoma" w:eastAsia="Calibri" w:hAnsi="Tahoma" w:cs="Tahoma"/>
          <w:iCs/>
          <w:sz w:val="24"/>
          <w:szCs w:val="24"/>
          <w:lang w:eastAsia="zh-CN"/>
        </w:rPr>
        <w:t xml:space="preserve">- sistemul va furniza date fiscale consistente către sistemul de analiză de risc, ceea ce va conduce la creșterea nivelului veniturilor colectate. </w:t>
      </w:r>
    </w:p>
    <w:p w:rsidR="00E80EAC" w:rsidRPr="00A057AC" w:rsidRDefault="00E80EAC" w:rsidP="00E80EAC">
      <w:pPr>
        <w:numPr>
          <w:ilvl w:val="0"/>
          <w:numId w:val="25"/>
        </w:numPr>
        <w:tabs>
          <w:tab w:val="left" w:pos="-426"/>
        </w:tabs>
        <w:suppressAutoHyphens/>
        <w:overflowPunct w:val="0"/>
        <w:snapToGrid w:val="0"/>
        <w:spacing w:before="120" w:after="0" w:line="276" w:lineRule="auto"/>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Dezvoltarea de proiecte pilot de conformare voluntară pe sectoarele și categoriile de risc fiscal, informarea și comunicarea către contribuabili a modalităților de conformare voluntară;</w:t>
      </w:r>
    </w:p>
    <w:p w:rsidR="00E80EAC" w:rsidRPr="00A057AC" w:rsidRDefault="00E80EAC" w:rsidP="00E80EAC">
      <w:pPr>
        <w:numPr>
          <w:ilvl w:val="0"/>
          <w:numId w:val="25"/>
        </w:numPr>
        <w:tabs>
          <w:tab w:val="left" w:pos="-426"/>
        </w:tabs>
        <w:suppressAutoHyphens/>
        <w:overflowPunct w:val="0"/>
        <w:snapToGrid w:val="0"/>
        <w:spacing w:before="120" w:after="0" w:line="276" w:lineRule="auto"/>
        <w:jc w:val="left"/>
        <w:rPr>
          <w:rFonts w:ascii="Tahoma" w:eastAsia="Times New Roman" w:hAnsi="Tahoma" w:cs="Tahoma"/>
          <w:sz w:val="24"/>
          <w:szCs w:val="24"/>
          <w:lang w:eastAsia="zh-CN"/>
        </w:rPr>
      </w:pPr>
      <w:r w:rsidRPr="00A057AC">
        <w:rPr>
          <w:rFonts w:ascii="Tahoma" w:eastAsia="Calibri" w:hAnsi="Tahoma" w:cs="Tahoma"/>
          <w:iCs/>
          <w:sz w:val="24"/>
          <w:szCs w:val="24"/>
          <w:lang w:eastAsia="zh-CN"/>
        </w:rPr>
        <w:t>Combaterea fermă a comportamentelor neconforme și a evaziunii fiscale în vederea asigurării unui mediu fiscal echitabil pentru toți contribuabilii și descurajarea concurenței neloiale.</w:t>
      </w:r>
    </w:p>
    <w:p w:rsidR="00E80EAC" w:rsidRPr="00A057AC" w:rsidRDefault="00E80EAC" w:rsidP="00E80EAC">
      <w:pPr>
        <w:tabs>
          <w:tab w:val="left" w:pos="-426"/>
        </w:tabs>
        <w:suppressAutoHyphens/>
        <w:overflowPunct w:val="0"/>
        <w:snapToGrid w:val="0"/>
        <w:spacing w:before="120" w:after="0"/>
        <w:ind w:firstLine="0"/>
        <w:rPr>
          <w:rFonts w:ascii="Tahoma" w:eastAsia="Calibri" w:hAnsi="Tahoma" w:cs="Tahoma"/>
          <w:i/>
          <w:iCs/>
          <w:sz w:val="12"/>
          <w:szCs w:val="12"/>
          <w:lang w:eastAsia="zh-CN"/>
        </w:rPr>
      </w:pPr>
    </w:p>
    <w:p w:rsidR="00E80EAC" w:rsidRPr="00A057AC" w:rsidRDefault="00E80EAC" w:rsidP="00E80EAC">
      <w:pPr>
        <w:suppressAutoHyphens/>
        <w:spacing w:after="120" w:line="276" w:lineRule="auto"/>
        <w:ind w:right="22" w:firstLine="0"/>
        <w:rPr>
          <w:rFonts w:ascii="Tahoma" w:eastAsia="Times New Roman" w:hAnsi="Tahoma" w:cs="Tahoma"/>
          <w:iCs/>
          <w:sz w:val="24"/>
          <w:szCs w:val="24"/>
          <w:lang w:eastAsia="zh-CN"/>
        </w:rPr>
      </w:pPr>
      <w:r w:rsidRPr="00A057AC">
        <w:rPr>
          <w:rFonts w:ascii="Tahoma" w:eastAsia="Times New Roman" w:hAnsi="Tahoma" w:cs="Tahoma"/>
          <w:kern w:val="2"/>
          <w:sz w:val="24"/>
          <w:szCs w:val="24"/>
          <w:lang w:eastAsia="zh-CN"/>
        </w:rPr>
        <w:tab/>
      </w:r>
      <w:r w:rsidRPr="00A057AC">
        <w:rPr>
          <w:rFonts w:ascii="Tahoma" w:eastAsia="Times New Roman" w:hAnsi="Tahoma" w:cs="Tahoma"/>
          <w:iCs/>
          <w:kern w:val="2"/>
          <w:sz w:val="24"/>
          <w:szCs w:val="24"/>
          <w:lang w:eastAsia="zh-CN"/>
        </w:rPr>
        <w:t>De asemenea,</w:t>
      </w:r>
      <w:r w:rsidR="00FF292C" w:rsidRPr="00A057AC">
        <w:rPr>
          <w:rFonts w:ascii="Tahoma" w:eastAsia="Times New Roman" w:hAnsi="Tahoma" w:cs="Tahoma"/>
          <w:iCs/>
          <w:kern w:val="2"/>
          <w:sz w:val="24"/>
          <w:szCs w:val="24"/>
          <w:lang w:eastAsia="zh-CN"/>
        </w:rPr>
        <w:t xml:space="preserve"> </w:t>
      </w:r>
      <w:r w:rsidRPr="00A057AC">
        <w:rPr>
          <w:rFonts w:ascii="Tahoma" w:eastAsia="Times New Roman" w:hAnsi="Tahoma" w:cs="Tahoma"/>
          <w:iCs/>
          <w:kern w:val="2"/>
          <w:sz w:val="24"/>
          <w:szCs w:val="24"/>
          <w:lang w:eastAsia="zh-CN"/>
        </w:rPr>
        <w:t>distinct la nivelul activității</w:t>
      </w:r>
      <w:r w:rsidR="00FF292C" w:rsidRPr="00A057AC">
        <w:rPr>
          <w:rFonts w:ascii="Tahoma" w:eastAsia="Times New Roman" w:hAnsi="Tahoma" w:cs="Tahoma"/>
          <w:iCs/>
          <w:kern w:val="2"/>
          <w:sz w:val="24"/>
          <w:szCs w:val="24"/>
          <w:lang w:eastAsia="zh-CN"/>
        </w:rPr>
        <w:t xml:space="preserve"> </w:t>
      </w:r>
      <w:r w:rsidRPr="00A057AC">
        <w:rPr>
          <w:rFonts w:ascii="Tahoma" w:eastAsia="Times New Roman" w:hAnsi="Tahoma" w:cs="Tahoma"/>
          <w:iCs/>
          <w:kern w:val="2"/>
          <w:sz w:val="24"/>
          <w:szCs w:val="24"/>
          <w:lang w:eastAsia="zh-CN"/>
        </w:rPr>
        <w:t>vamale se au în vedere o serie de măsuri specifice profilului de activitate, spre exemplu</w:t>
      </w:r>
      <w:r w:rsidRPr="00A057AC">
        <w:rPr>
          <w:rFonts w:ascii="Tahoma" w:eastAsia="SimSun" w:hAnsi="Tahoma" w:cs="Tahoma"/>
          <w:iCs/>
          <w:kern w:val="2"/>
          <w:sz w:val="24"/>
          <w:szCs w:val="24"/>
        </w:rPr>
        <w:t>:</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Times New Roman" w:hAnsi="Tahoma" w:cs="Tahoma"/>
          <w:iCs/>
          <w:sz w:val="24"/>
          <w:szCs w:val="24"/>
          <w:lang w:eastAsia="zh-CN"/>
        </w:rPr>
        <w:t>eficientizarea controalelor operative efectuate de către birourile vamale în baza</w:t>
      </w:r>
      <w:r w:rsidR="00FF292C" w:rsidRPr="00A057AC">
        <w:rPr>
          <w:rFonts w:ascii="Tahoma" w:eastAsia="Times New Roman" w:hAnsi="Tahoma" w:cs="Tahoma"/>
          <w:iCs/>
          <w:sz w:val="24"/>
          <w:szCs w:val="24"/>
          <w:lang w:eastAsia="zh-CN"/>
        </w:rPr>
        <w:t xml:space="preserve"> </w:t>
      </w:r>
      <w:r w:rsidRPr="00A057AC">
        <w:rPr>
          <w:rFonts w:ascii="Tahoma" w:eastAsia="Calibri" w:hAnsi="Tahoma" w:cs="Tahoma"/>
          <w:iCs/>
          <w:sz w:val="24"/>
          <w:szCs w:val="24"/>
          <w:lang w:eastAsia="zh-CN"/>
        </w:rPr>
        <w:t xml:space="preserve">analizei de risc, având ca tematică verificarea felului, </w:t>
      </w:r>
      <w:r w:rsidR="00FF292C" w:rsidRPr="00A057AC">
        <w:rPr>
          <w:rFonts w:ascii="Tahoma" w:eastAsia="Calibri" w:hAnsi="Tahoma" w:cs="Tahoma"/>
          <w:iCs/>
          <w:sz w:val="24"/>
          <w:szCs w:val="24"/>
          <w:lang w:eastAsia="zh-CN"/>
        </w:rPr>
        <w:t>cantității</w:t>
      </w:r>
      <w:r w:rsidRPr="00A057AC">
        <w:rPr>
          <w:rFonts w:ascii="Tahoma" w:eastAsia="Calibri" w:hAnsi="Tahoma" w:cs="Tahoma"/>
          <w:iCs/>
          <w:sz w:val="24"/>
          <w:szCs w:val="24"/>
          <w:lang w:eastAsia="zh-CN"/>
        </w:rPr>
        <w:t xml:space="preserve">, încadrării </w:t>
      </w:r>
      <w:r w:rsidRPr="00A057AC">
        <w:rPr>
          <w:rFonts w:ascii="Tahoma" w:eastAsia="Calibri" w:hAnsi="Tahoma" w:cs="Tahoma"/>
          <w:iCs/>
          <w:sz w:val="24"/>
          <w:szCs w:val="24"/>
          <w:lang w:eastAsia="zh-CN"/>
        </w:rPr>
        <w:lastRenderedPageBreak/>
        <w:t>tarifare, verificarea dreptului de proprietate intelectuală, verificarea ulterioară a dovezilor de origine a mărfurilor, etc;</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bCs/>
          <w:iCs/>
          <w:sz w:val="24"/>
          <w:szCs w:val="24"/>
          <w:lang w:eastAsia="zh-CN"/>
        </w:rPr>
        <w:t xml:space="preserve">orientarea controalelor ulterioare către operatorii economici cu grad ridicat de risc, pe baza analizei de risc efectuată prin utilizarea sistemelor electronice dedicate managementului riscurilor în domeniul vamal, </w:t>
      </w:r>
      <w:r w:rsidRPr="00A057AC">
        <w:rPr>
          <w:rFonts w:ascii="Tahoma" w:eastAsia="Calibri" w:hAnsi="Tahoma" w:cs="Tahoma"/>
          <w:iCs/>
          <w:sz w:val="24"/>
          <w:szCs w:val="24"/>
          <w:lang w:eastAsia="zh-CN"/>
        </w:rPr>
        <w:t xml:space="preserve">în vederea depistării eventualelor încălcări a </w:t>
      </w:r>
      <w:r w:rsidR="00FF292C" w:rsidRPr="00A057AC">
        <w:rPr>
          <w:rFonts w:ascii="Tahoma" w:eastAsia="Calibri" w:hAnsi="Tahoma" w:cs="Tahoma"/>
          <w:iCs/>
          <w:sz w:val="24"/>
          <w:szCs w:val="24"/>
          <w:lang w:eastAsia="zh-CN"/>
        </w:rPr>
        <w:t>legislației</w:t>
      </w:r>
      <w:r w:rsidRPr="00A057AC">
        <w:rPr>
          <w:rFonts w:ascii="Tahoma" w:eastAsia="Calibri" w:hAnsi="Tahoma" w:cs="Tahoma"/>
          <w:iCs/>
          <w:sz w:val="24"/>
          <w:szCs w:val="24"/>
          <w:lang w:eastAsia="zh-CN"/>
        </w:rPr>
        <w:t xml:space="preserve"> vamale</w:t>
      </w:r>
      <w:r w:rsidRPr="00A057AC">
        <w:rPr>
          <w:rFonts w:ascii="Tahoma" w:eastAsia="Calibri" w:hAnsi="Tahoma" w:cs="Tahoma"/>
          <w:b/>
          <w:iCs/>
          <w:sz w:val="24"/>
          <w:szCs w:val="24"/>
          <w:lang w:eastAsia="zh-CN"/>
        </w:rPr>
        <w:t>;</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iCs/>
          <w:sz w:val="24"/>
          <w:szCs w:val="24"/>
          <w:lang w:eastAsia="zh-CN"/>
        </w:rPr>
        <w:t xml:space="preserve">identificarea de noi fraude/ </w:t>
      </w:r>
      <w:r w:rsidR="00FF292C" w:rsidRPr="00A057AC">
        <w:rPr>
          <w:rFonts w:ascii="Tahoma" w:eastAsia="Calibri" w:hAnsi="Tahoma" w:cs="Tahoma"/>
          <w:iCs/>
          <w:sz w:val="24"/>
          <w:szCs w:val="24"/>
          <w:lang w:eastAsia="zh-CN"/>
        </w:rPr>
        <w:t>iregularități</w:t>
      </w:r>
      <w:r w:rsidRPr="00A057AC">
        <w:rPr>
          <w:rFonts w:ascii="Tahoma" w:eastAsia="Calibri" w:hAnsi="Tahoma" w:cs="Tahoma"/>
          <w:iCs/>
          <w:sz w:val="24"/>
          <w:szCs w:val="24"/>
          <w:lang w:eastAsia="zh-CN"/>
        </w:rPr>
        <w:t xml:space="preserve"> privind încadrarea tarifară a mărfurilor importate în ultimii 3 ani, având în vedere noile </w:t>
      </w:r>
      <w:r w:rsidR="00FF292C" w:rsidRPr="00A057AC">
        <w:rPr>
          <w:rFonts w:ascii="Tahoma" w:eastAsia="Calibri" w:hAnsi="Tahoma" w:cs="Tahoma"/>
          <w:iCs/>
          <w:sz w:val="24"/>
          <w:szCs w:val="24"/>
          <w:lang w:eastAsia="zh-CN"/>
        </w:rPr>
        <w:t>informații</w:t>
      </w:r>
      <w:r w:rsidRPr="00A057AC">
        <w:rPr>
          <w:rFonts w:ascii="Tahoma" w:eastAsia="Calibri" w:hAnsi="Tahoma" w:cs="Tahoma"/>
          <w:iCs/>
          <w:sz w:val="24"/>
          <w:szCs w:val="24"/>
          <w:lang w:eastAsia="zh-CN"/>
        </w:rPr>
        <w:t xml:space="preserve"> din Notele explicative relative la Sistemul Armonizat - </w:t>
      </w:r>
      <w:r w:rsidR="00FF292C" w:rsidRPr="00A057AC">
        <w:rPr>
          <w:rFonts w:ascii="Tahoma" w:eastAsia="Calibri" w:hAnsi="Tahoma" w:cs="Tahoma"/>
          <w:iCs/>
          <w:sz w:val="24"/>
          <w:szCs w:val="24"/>
          <w:lang w:eastAsia="zh-CN"/>
        </w:rPr>
        <w:t>ediția</w:t>
      </w:r>
      <w:r w:rsidRPr="00A057AC">
        <w:rPr>
          <w:rFonts w:ascii="Tahoma" w:eastAsia="Calibri" w:hAnsi="Tahoma" w:cs="Tahoma"/>
          <w:iCs/>
          <w:sz w:val="24"/>
          <w:szCs w:val="24"/>
          <w:lang w:eastAsia="zh-CN"/>
        </w:rPr>
        <w:t xml:space="preserve"> 6 (2017) și stabilirea de </w:t>
      </w:r>
      <w:r w:rsidR="00FF292C" w:rsidRPr="00A057AC">
        <w:rPr>
          <w:rFonts w:ascii="Tahoma" w:eastAsia="Calibri" w:hAnsi="Tahoma" w:cs="Tahoma"/>
          <w:iCs/>
          <w:sz w:val="24"/>
          <w:szCs w:val="24"/>
          <w:lang w:eastAsia="zh-CN"/>
        </w:rPr>
        <w:t>obligații</w:t>
      </w:r>
      <w:r w:rsidRPr="00A057AC">
        <w:rPr>
          <w:rFonts w:ascii="Tahoma" w:eastAsia="Calibri" w:hAnsi="Tahoma" w:cs="Tahoma"/>
          <w:iCs/>
          <w:sz w:val="24"/>
          <w:szCs w:val="24"/>
          <w:lang w:eastAsia="zh-CN"/>
        </w:rPr>
        <w:t xml:space="preserve"> bugetare de plată concretizate în acte de control; </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iCs/>
          <w:sz w:val="24"/>
          <w:szCs w:val="24"/>
          <w:lang w:eastAsia="zh-CN"/>
        </w:rPr>
        <w:t xml:space="preserve">identificarea cazurilor de nerespectare a </w:t>
      </w:r>
      <w:r w:rsidR="00FF292C" w:rsidRPr="00A057AC">
        <w:rPr>
          <w:rFonts w:ascii="Tahoma" w:eastAsia="Calibri" w:hAnsi="Tahoma" w:cs="Tahoma"/>
          <w:iCs/>
          <w:sz w:val="24"/>
          <w:szCs w:val="24"/>
          <w:lang w:eastAsia="zh-CN"/>
        </w:rPr>
        <w:t>legislației</w:t>
      </w:r>
      <w:r w:rsidRPr="00A057AC">
        <w:rPr>
          <w:rFonts w:ascii="Tahoma" w:eastAsia="Calibri" w:hAnsi="Tahoma" w:cs="Tahoma"/>
          <w:iCs/>
          <w:sz w:val="24"/>
          <w:szCs w:val="24"/>
          <w:lang w:eastAsia="zh-CN"/>
        </w:rPr>
        <w:t xml:space="preserve"> vamale specifice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recuperarea eventualelor </w:t>
      </w:r>
      <w:r w:rsidR="00FF292C" w:rsidRPr="00A057AC">
        <w:rPr>
          <w:rFonts w:ascii="Tahoma" w:eastAsia="Calibri" w:hAnsi="Tahoma" w:cs="Tahoma"/>
          <w:iCs/>
          <w:sz w:val="24"/>
          <w:szCs w:val="24"/>
          <w:lang w:eastAsia="zh-CN"/>
        </w:rPr>
        <w:t>obligații</w:t>
      </w:r>
      <w:r w:rsidRPr="00A057AC">
        <w:rPr>
          <w:rFonts w:ascii="Tahoma" w:eastAsia="Calibri" w:hAnsi="Tahoma" w:cs="Tahoma"/>
          <w:iCs/>
          <w:sz w:val="24"/>
          <w:szCs w:val="24"/>
          <w:lang w:eastAsia="zh-CN"/>
        </w:rPr>
        <w:t xml:space="preserve"> bugetare datorate prin efectuarea de </w:t>
      </w:r>
      <w:r w:rsidR="00FF292C" w:rsidRPr="00A057AC">
        <w:rPr>
          <w:rFonts w:ascii="Tahoma" w:eastAsia="Calibri" w:hAnsi="Tahoma" w:cs="Tahoma"/>
          <w:iCs/>
          <w:sz w:val="24"/>
          <w:szCs w:val="24"/>
          <w:lang w:eastAsia="zh-CN"/>
        </w:rPr>
        <w:t>acțiuni</w:t>
      </w:r>
      <w:r w:rsidRPr="00A057AC">
        <w:rPr>
          <w:rFonts w:ascii="Tahoma" w:eastAsia="Calibri" w:hAnsi="Tahoma" w:cs="Tahoma"/>
          <w:iCs/>
          <w:sz w:val="24"/>
          <w:szCs w:val="24"/>
          <w:lang w:eastAsia="zh-CN"/>
        </w:rPr>
        <w:t xml:space="preserve"> de control la operatorii economici care derulează </w:t>
      </w:r>
      <w:r w:rsidR="00FF292C" w:rsidRPr="00A057AC">
        <w:rPr>
          <w:rFonts w:ascii="Tahoma" w:eastAsia="Calibri" w:hAnsi="Tahoma" w:cs="Tahoma"/>
          <w:iCs/>
          <w:sz w:val="24"/>
          <w:szCs w:val="24"/>
          <w:lang w:eastAsia="zh-CN"/>
        </w:rPr>
        <w:t>operațiuni</w:t>
      </w:r>
      <w:r w:rsidRPr="00A057AC">
        <w:rPr>
          <w:rFonts w:ascii="Tahoma" w:eastAsia="Calibri" w:hAnsi="Tahoma" w:cs="Tahoma"/>
          <w:iCs/>
          <w:sz w:val="24"/>
          <w:szCs w:val="24"/>
          <w:lang w:eastAsia="zh-CN"/>
        </w:rPr>
        <w:t xml:space="preserve"> vamale în regim special de </w:t>
      </w:r>
      <w:r w:rsidR="00FF292C" w:rsidRPr="00A057AC">
        <w:rPr>
          <w:rFonts w:ascii="Tahoma" w:eastAsia="Calibri" w:hAnsi="Tahoma" w:cs="Tahoma"/>
          <w:iCs/>
          <w:sz w:val="24"/>
          <w:szCs w:val="24"/>
          <w:lang w:eastAsia="zh-CN"/>
        </w:rPr>
        <w:t>perfecționare</w:t>
      </w:r>
      <w:r w:rsidRPr="00A057AC">
        <w:rPr>
          <w:rFonts w:ascii="Tahoma" w:eastAsia="Calibri" w:hAnsi="Tahoma" w:cs="Tahoma"/>
          <w:iCs/>
          <w:sz w:val="24"/>
          <w:szCs w:val="24"/>
          <w:lang w:eastAsia="zh-CN"/>
        </w:rPr>
        <w:t xml:space="preserve"> activă, </w:t>
      </w:r>
      <w:r w:rsidR="00FF292C" w:rsidRPr="00A057AC">
        <w:rPr>
          <w:rFonts w:ascii="Tahoma" w:eastAsia="Calibri" w:hAnsi="Tahoma" w:cs="Tahoma"/>
          <w:iCs/>
          <w:sz w:val="24"/>
          <w:szCs w:val="24"/>
          <w:lang w:eastAsia="zh-CN"/>
        </w:rPr>
        <w:t>perfecționare</w:t>
      </w:r>
      <w:r w:rsidRPr="00A057AC">
        <w:rPr>
          <w:rFonts w:ascii="Tahoma" w:eastAsia="Calibri" w:hAnsi="Tahoma" w:cs="Tahoma"/>
          <w:iCs/>
          <w:sz w:val="24"/>
          <w:szCs w:val="24"/>
          <w:lang w:eastAsia="zh-CN"/>
        </w:rPr>
        <w:t xml:space="preserve"> pasivă, admitere temporară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antrepozit vamal, în vederea verificării respectării </w:t>
      </w:r>
      <w:r w:rsidR="00FF292C" w:rsidRPr="00A057AC">
        <w:rPr>
          <w:rFonts w:ascii="Tahoma" w:eastAsia="Calibri" w:hAnsi="Tahoma" w:cs="Tahoma"/>
          <w:iCs/>
          <w:sz w:val="24"/>
          <w:szCs w:val="24"/>
          <w:lang w:eastAsia="zh-CN"/>
        </w:rPr>
        <w:t>condițiilor</w:t>
      </w:r>
      <w:r w:rsidRPr="00A057AC">
        <w:rPr>
          <w:rFonts w:ascii="Tahoma" w:eastAsia="Calibri" w:hAnsi="Tahoma" w:cs="Tahoma"/>
          <w:iCs/>
          <w:sz w:val="24"/>
          <w:szCs w:val="24"/>
          <w:lang w:eastAsia="zh-CN"/>
        </w:rPr>
        <w:t xml:space="preserve"> de autorizare aprobate de autoritatea vamală, verificarea stocurilor, amplasarea acestor mărfuri, prelucrarea, transformarea, precum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verificarea </w:t>
      </w:r>
      <w:r w:rsidR="00FF292C" w:rsidRPr="00A057AC">
        <w:rPr>
          <w:rFonts w:ascii="Tahoma" w:eastAsia="Calibri" w:hAnsi="Tahoma" w:cs="Tahoma"/>
          <w:iCs/>
          <w:sz w:val="24"/>
          <w:szCs w:val="24"/>
          <w:lang w:eastAsia="zh-CN"/>
        </w:rPr>
        <w:t>evidențelor</w:t>
      </w:r>
      <w:r w:rsidRPr="00A057AC">
        <w:rPr>
          <w:rFonts w:ascii="Tahoma" w:eastAsia="Calibri" w:hAnsi="Tahoma" w:cs="Tahoma"/>
          <w:iCs/>
          <w:sz w:val="24"/>
          <w:szCs w:val="24"/>
          <w:lang w:eastAsia="zh-CN"/>
        </w:rPr>
        <w:t xml:space="preserve"> la zi;</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iCs/>
          <w:sz w:val="24"/>
          <w:szCs w:val="24"/>
          <w:lang w:eastAsia="zh-CN"/>
        </w:rPr>
        <w:t>sporirea numărului de controale</w:t>
      </w:r>
      <w:r w:rsidR="00FF292C" w:rsidRPr="00A057AC">
        <w:rPr>
          <w:rFonts w:ascii="Tahoma" w:eastAsia="Calibri" w:hAnsi="Tahoma" w:cs="Tahoma"/>
          <w:iCs/>
          <w:sz w:val="24"/>
          <w:szCs w:val="24"/>
          <w:lang w:eastAsia="zh-CN"/>
        </w:rPr>
        <w:t xml:space="preserve"> </w:t>
      </w:r>
      <w:r w:rsidRPr="00A057AC">
        <w:rPr>
          <w:rFonts w:ascii="Tahoma" w:eastAsia="Calibri" w:hAnsi="Tahoma" w:cs="Tahoma"/>
          <w:iCs/>
          <w:sz w:val="24"/>
          <w:szCs w:val="24"/>
          <w:lang w:eastAsia="zh-CN"/>
        </w:rPr>
        <w:t>(</w:t>
      </w:r>
      <w:r w:rsidR="00FF292C" w:rsidRPr="00A057AC">
        <w:rPr>
          <w:rFonts w:ascii="Tahoma" w:eastAsia="Calibri" w:hAnsi="Tahoma" w:cs="Tahoma"/>
          <w:iCs/>
          <w:sz w:val="24"/>
          <w:szCs w:val="24"/>
          <w:lang w:eastAsia="zh-CN"/>
        </w:rPr>
        <w:t>după</w:t>
      </w:r>
      <w:r w:rsidRPr="00A057AC">
        <w:rPr>
          <w:rFonts w:ascii="Tahoma" w:eastAsia="Calibri" w:hAnsi="Tahoma" w:cs="Tahoma"/>
          <w:iCs/>
          <w:sz w:val="24"/>
          <w:szCs w:val="24"/>
          <w:lang w:eastAsia="zh-CN"/>
        </w:rPr>
        <w:t xml:space="preserve"> caz tip filtru, în trafic, parcări, locuri obligatorii de trecere, etc.), cu precădere pentru depistarea mărfurilor introduse în țara fără documente de proveniență sau mărfuri contrafăcute, supravegherea </w:t>
      </w:r>
      <w:r w:rsidR="00FF292C" w:rsidRPr="00A057AC">
        <w:rPr>
          <w:rFonts w:ascii="Tahoma" w:eastAsia="Calibri" w:hAnsi="Tahoma" w:cs="Tahoma"/>
          <w:iCs/>
          <w:sz w:val="24"/>
          <w:szCs w:val="24"/>
          <w:lang w:eastAsia="zh-CN"/>
        </w:rPr>
        <w:t>circulației</w:t>
      </w:r>
      <w:r w:rsidRPr="00A057AC">
        <w:rPr>
          <w:rFonts w:ascii="Tahoma" w:eastAsia="Calibri" w:hAnsi="Tahoma" w:cs="Tahoma"/>
          <w:iCs/>
          <w:sz w:val="24"/>
          <w:szCs w:val="24"/>
          <w:lang w:eastAsia="zh-CN"/>
        </w:rPr>
        <w:t xml:space="preserve"> produselor energetice, precum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în scopul combaterii contrabandei cu </w:t>
      </w:r>
      <w:r w:rsidR="00FF292C" w:rsidRPr="00A057AC">
        <w:rPr>
          <w:rFonts w:ascii="Tahoma" w:eastAsia="Calibri" w:hAnsi="Tahoma" w:cs="Tahoma"/>
          <w:iCs/>
          <w:sz w:val="24"/>
          <w:szCs w:val="24"/>
          <w:lang w:eastAsia="zh-CN"/>
        </w:rPr>
        <w:t>țigarete</w:t>
      </w:r>
      <w:r w:rsidRPr="00A057AC">
        <w:rPr>
          <w:rFonts w:ascii="Tahoma" w:eastAsia="Calibri" w:hAnsi="Tahoma" w:cs="Tahoma"/>
          <w:iCs/>
          <w:sz w:val="24"/>
          <w:szCs w:val="24"/>
          <w:lang w:eastAsia="zh-CN"/>
        </w:rPr>
        <w:t xml:space="preserve">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băuturi alcoolice; </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iCs/>
          <w:sz w:val="24"/>
          <w:szCs w:val="24"/>
          <w:lang w:eastAsia="zh-CN"/>
        </w:rPr>
        <w:t xml:space="preserve">intensificarea controalelor la distribuitorii angro de produse accizabile (în special produse energetice, </w:t>
      </w:r>
      <w:r w:rsidR="00FF292C" w:rsidRPr="00A057AC">
        <w:rPr>
          <w:rFonts w:ascii="Tahoma" w:eastAsia="Calibri" w:hAnsi="Tahoma" w:cs="Tahoma"/>
          <w:iCs/>
          <w:sz w:val="24"/>
          <w:szCs w:val="24"/>
          <w:lang w:eastAsia="zh-CN"/>
        </w:rPr>
        <w:t>țigarete</w:t>
      </w:r>
      <w:r w:rsidRPr="00A057AC">
        <w:rPr>
          <w:rFonts w:ascii="Tahoma" w:eastAsia="Calibri" w:hAnsi="Tahoma" w:cs="Tahoma"/>
          <w:iCs/>
          <w:sz w:val="24"/>
          <w:szCs w:val="24"/>
          <w:lang w:eastAsia="zh-CN"/>
        </w:rPr>
        <w:t xml:space="preserve"> </w:t>
      </w:r>
      <w:r w:rsidR="00FF292C" w:rsidRPr="00A057AC">
        <w:rPr>
          <w:rFonts w:ascii="Tahoma" w:eastAsia="Calibri" w:hAnsi="Tahoma" w:cs="Tahoma"/>
          <w:iCs/>
          <w:sz w:val="24"/>
          <w:szCs w:val="24"/>
          <w:lang w:eastAsia="zh-CN"/>
        </w:rPr>
        <w:t>și</w:t>
      </w:r>
      <w:r w:rsidRPr="00A057AC">
        <w:rPr>
          <w:rFonts w:ascii="Tahoma" w:eastAsia="Calibri" w:hAnsi="Tahoma" w:cs="Tahoma"/>
          <w:iCs/>
          <w:sz w:val="24"/>
          <w:szCs w:val="24"/>
          <w:lang w:eastAsia="zh-CN"/>
        </w:rPr>
        <w:t xml:space="preserve"> băuturi alcoolice);</w:t>
      </w:r>
    </w:p>
    <w:p w:rsidR="00E80EAC" w:rsidRPr="00A057AC" w:rsidRDefault="00E80EAC" w:rsidP="00E80EAC">
      <w:pPr>
        <w:numPr>
          <w:ilvl w:val="0"/>
          <w:numId w:val="20"/>
        </w:numPr>
        <w:suppressAutoHyphens/>
        <w:spacing w:after="120" w:line="276" w:lineRule="auto"/>
        <w:rPr>
          <w:rFonts w:ascii="Tahoma" w:eastAsia="Times New Roman" w:hAnsi="Tahoma" w:cs="Tahoma"/>
          <w:sz w:val="24"/>
          <w:szCs w:val="24"/>
          <w:lang w:eastAsia="zh-CN"/>
        </w:rPr>
      </w:pPr>
      <w:r w:rsidRPr="00A057AC">
        <w:rPr>
          <w:rFonts w:ascii="Tahoma" w:eastAsia="Calibri" w:hAnsi="Tahoma" w:cs="Tahoma"/>
          <w:iCs/>
          <w:sz w:val="24"/>
          <w:szCs w:val="24"/>
          <w:lang w:eastAsia="zh-CN"/>
        </w:rPr>
        <w:t>îmbunătățirea cooperării intra și interinstituțională în vederea diseminării mai rapide a informațiilor referitoare la riscurile identificate.</w:t>
      </w:r>
    </w:p>
    <w:p w:rsidR="00E80EAC" w:rsidRPr="00A057AC" w:rsidRDefault="00E80EAC" w:rsidP="00E80EAC">
      <w:pPr>
        <w:suppressAutoHyphens/>
        <w:spacing w:after="0" w:line="276" w:lineRule="auto"/>
        <w:ind w:firstLine="0"/>
        <w:rPr>
          <w:rFonts w:ascii="Tahoma" w:eastAsia="Times New Roman" w:hAnsi="Tahoma" w:cs="Tahoma"/>
          <w:sz w:val="24"/>
          <w:szCs w:val="24"/>
          <w:lang w:eastAsia="zh-CN"/>
        </w:rPr>
      </w:pPr>
    </w:p>
    <w:p w:rsidR="00E80EAC" w:rsidRPr="00A057AC" w:rsidRDefault="00E80EAC" w:rsidP="00E80EAC">
      <w:pPr>
        <w:suppressAutoHyphens/>
        <w:spacing w:after="0" w:line="276" w:lineRule="auto"/>
        <w:ind w:firstLine="0"/>
        <w:rPr>
          <w:rFonts w:ascii="Tahoma" w:eastAsia="Calibri" w:hAnsi="Tahoma" w:cs="Tahoma"/>
          <w:bCs/>
          <w:i/>
          <w:iCs/>
          <w:sz w:val="12"/>
          <w:szCs w:val="12"/>
          <w:lang w:eastAsia="zh-CN"/>
        </w:rPr>
      </w:pPr>
      <w:r w:rsidRPr="00A057AC">
        <w:rPr>
          <w:rFonts w:ascii="Tahoma" w:eastAsia="Calibri" w:hAnsi="Tahoma" w:cs="Tahoma"/>
          <w:bCs/>
          <w:i/>
          <w:iCs/>
          <w:sz w:val="24"/>
          <w:szCs w:val="24"/>
          <w:lang w:eastAsia="zh-CN"/>
        </w:rPr>
        <w:tab/>
      </w:r>
    </w:p>
    <w:p w:rsidR="00AA6F58" w:rsidRPr="00A057AC" w:rsidRDefault="00AA6F58" w:rsidP="002A6579">
      <w:pPr>
        <w:pStyle w:val="ListParagraph"/>
        <w:keepNext/>
        <w:spacing w:after="240" w:line="276" w:lineRule="auto"/>
        <w:ind w:left="0" w:firstLine="720"/>
        <w:contextualSpacing w:val="0"/>
        <w:outlineLvl w:val="0"/>
        <w:rPr>
          <w:rFonts w:ascii="Tahoma" w:hAnsi="Tahoma" w:cs="Tahoma"/>
          <w:sz w:val="24"/>
          <w:szCs w:val="24"/>
        </w:rPr>
      </w:pPr>
    </w:p>
    <w:p w:rsidR="009D0987" w:rsidRPr="00A057AC" w:rsidRDefault="00FF292C"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bookmarkStart w:id="26" w:name="_Toc78799189"/>
      <w:r w:rsidRPr="00A057AC">
        <w:rPr>
          <w:rFonts w:ascii="Tahoma" w:hAnsi="Tahoma" w:cs="Tahoma"/>
          <w:b/>
          <w:sz w:val="24"/>
          <w:szCs w:val="24"/>
        </w:rPr>
        <w:lastRenderedPageBreak/>
        <w:t xml:space="preserve"> </w:t>
      </w:r>
      <w:r w:rsidR="00E3087D" w:rsidRPr="00A057AC">
        <w:rPr>
          <w:rFonts w:ascii="Tahoma" w:hAnsi="Tahoma" w:cs="Tahoma"/>
          <w:b/>
          <w:sz w:val="24"/>
          <w:szCs w:val="24"/>
        </w:rPr>
        <w:t xml:space="preserve">Execuția bugetară pe </w:t>
      </w:r>
      <w:r w:rsidR="00BD4E32" w:rsidRPr="00A057AC">
        <w:rPr>
          <w:rFonts w:ascii="Tahoma" w:hAnsi="Tahoma" w:cs="Tahoma"/>
          <w:b/>
          <w:sz w:val="24"/>
          <w:szCs w:val="24"/>
        </w:rPr>
        <w:t xml:space="preserve">primul semestru al </w:t>
      </w:r>
      <w:r w:rsidR="00E3087D" w:rsidRPr="00A057AC">
        <w:rPr>
          <w:rFonts w:ascii="Tahoma" w:hAnsi="Tahoma" w:cs="Tahoma"/>
          <w:b/>
          <w:sz w:val="24"/>
          <w:szCs w:val="24"/>
        </w:rPr>
        <w:t>anului</w:t>
      </w:r>
      <w:bookmarkEnd w:id="18"/>
      <w:bookmarkEnd w:id="19"/>
      <w:bookmarkEnd w:id="20"/>
      <w:bookmarkEnd w:id="21"/>
      <w:bookmarkEnd w:id="22"/>
      <w:bookmarkEnd w:id="23"/>
      <w:bookmarkEnd w:id="24"/>
      <w:bookmarkEnd w:id="25"/>
      <w:r w:rsidR="00DD17E0" w:rsidRPr="00A057AC">
        <w:rPr>
          <w:rFonts w:ascii="Tahoma" w:hAnsi="Tahoma" w:cs="Tahoma"/>
          <w:b/>
          <w:sz w:val="24"/>
          <w:szCs w:val="24"/>
        </w:rPr>
        <w:t>20</w:t>
      </w:r>
      <w:r w:rsidR="00E10878" w:rsidRPr="00A057AC">
        <w:rPr>
          <w:rFonts w:ascii="Tahoma" w:hAnsi="Tahoma" w:cs="Tahoma"/>
          <w:b/>
          <w:sz w:val="24"/>
          <w:szCs w:val="24"/>
        </w:rPr>
        <w:t>2</w:t>
      </w:r>
      <w:r w:rsidR="00967266" w:rsidRPr="00A057AC">
        <w:rPr>
          <w:rFonts w:ascii="Tahoma" w:hAnsi="Tahoma" w:cs="Tahoma"/>
          <w:b/>
          <w:sz w:val="24"/>
          <w:szCs w:val="24"/>
        </w:rPr>
        <w:t>1</w:t>
      </w:r>
      <w:bookmarkEnd w:id="26"/>
    </w:p>
    <w:p w:rsidR="002F1D42" w:rsidRPr="00A057AC" w:rsidRDefault="004D6D76" w:rsidP="00B55097">
      <w:pPr>
        <w:shd w:val="clear" w:color="auto" w:fill="E2EFD9" w:themeFill="accent6" w:themeFillTint="33"/>
        <w:spacing w:before="120" w:line="276" w:lineRule="auto"/>
        <w:ind w:firstLine="677"/>
        <w:rPr>
          <w:rFonts w:ascii="Tahoma" w:hAnsi="Tahoma" w:cs="Tahoma"/>
          <w:b/>
          <w:sz w:val="24"/>
          <w:szCs w:val="24"/>
        </w:rPr>
      </w:pPr>
      <w:r w:rsidRPr="00A057AC">
        <w:rPr>
          <w:rFonts w:ascii="Tahoma" w:hAnsi="Tahoma" w:cs="Tahoma"/>
          <w:sz w:val="24"/>
          <w:szCs w:val="24"/>
        </w:rPr>
        <w:t>Conform datelor operative, execuția bugetului general consolidat pe primul semestru al anului 20</w:t>
      </w:r>
      <w:r w:rsidR="007E210A">
        <w:rPr>
          <w:rFonts w:ascii="Tahoma" w:hAnsi="Tahoma" w:cs="Tahoma"/>
          <w:sz w:val="24"/>
          <w:szCs w:val="24"/>
        </w:rPr>
        <w:t>21</w:t>
      </w:r>
      <w:r w:rsidRPr="00A057AC">
        <w:rPr>
          <w:rFonts w:ascii="Tahoma" w:hAnsi="Tahoma" w:cs="Tahoma"/>
          <w:sz w:val="24"/>
          <w:szCs w:val="24"/>
        </w:rPr>
        <w:t xml:space="preserve"> (Anexa nr. 1 </w:t>
      </w:r>
      <w:r w:rsidR="00C27F72" w:rsidRPr="00A057AC">
        <w:rPr>
          <w:rFonts w:ascii="Tahoma" w:hAnsi="Tahoma" w:cs="Tahoma"/>
          <w:sz w:val="24"/>
          <w:szCs w:val="24"/>
        </w:rPr>
        <w:t>și</w:t>
      </w:r>
      <w:r w:rsidRPr="00A057AC">
        <w:rPr>
          <w:rFonts w:ascii="Tahoma" w:hAnsi="Tahoma" w:cs="Tahoma"/>
          <w:sz w:val="24"/>
          <w:szCs w:val="24"/>
        </w:rPr>
        <w:t xml:space="preserve"> Anexa nr. 2) s-a încheiat cu un </w:t>
      </w:r>
      <w:r w:rsidRPr="00A057AC">
        <w:rPr>
          <w:rFonts w:ascii="Tahoma" w:hAnsi="Tahoma" w:cs="Tahoma"/>
          <w:b/>
          <w:sz w:val="24"/>
          <w:szCs w:val="24"/>
        </w:rPr>
        <w:t xml:space="preserve">deficit de </w:t>
      </w:r>
      <w:r w:rsidR="00967266" w:rsidRPr="00A057AC">
        <w:rPr>
          <w:rFonts w:ascii="Tahoma" w:hAnsi="Tahoma" w:cs="Tahoma"/>
          <w:b/>
          <w:sz w:val="24"/>
          <w:szCs w:val="24"/>
        </w:rPr>
        <w:t>33,81</w:t>
      </w:r>
      <w:r w:rsidRPr="00A057AC">
        <w:rPr>
          <w:rFonts w:ascii="Tahoma" w:hAnsi="Tahoma" w:cs="Tahoma"/>
          <w:b/>
          <w:sz w:val="24"/>
          <w:szCs w:val="24"/>
        </w:rPr>
        <w:t xml:space="preserve"> mili</w:t>
      </w:r>
      <w:r w:rsidR="00967266" w:rsidRPr="00A057AC">
        <w:rPr>
          <w:rFonts w:ascii="Tahoma" w:hAnsi="Tahoma" w:cs="Tahoma"/>
          <w:b/>
          <w:sz w:val="24"/>
          <w:szCs w:val="24"/>
        </w:rPr>
        <w:t>arde</w:t>
      </w:r>
      <w:r w:rsidRPr="00A057AC">
        <w:rPr>
          <w:rFonts w:ascii="Tahoma" w:hAnsi="Tahoma" w:cs="Tahoma"/>
          <w:b/>
          <w:sz w:val="24"/>
          <w:szCs w:val="24"/>
        </w:rPr>
        <w:t xml:space="preserve"> lei (</w:t>
      </w:r>
      <w:r w:rsidR="00967266" w:rsidRPr="00A057AC">
        <w:rPr>
          <w:rFonts w:ascii="Tahoma" w:hAnsi="Tahoma" w:cs="Tahoma"/>
          <w:b/>
          <w:sz w:val="24"/>
          <w:szCs w:val="24"/>
        </w:rPr>
        <w:t>2,96</w:t>
      </w:r>
      <w:r w:rsidRPr="00A057AC">
        <w:rPr>
          <w:rFonts w:ascii="Tahoma" w:hAnsi="Tahoma" w:cs="Tahoma"/>
          <w:b/>
          <w:sz w:val="24"/>
          <w:szCs w:val="24"/>
        </w:rPr>
        <w:t>% din PIB)</w:t>
      </w:r>
      <w:r w:rsidR="00FF292C" w:rsidRPr="00A057AC">
        <w:rPr>
          <w:rFonts w:ascii="Tahoma" w:hAnsi="Tahoma" w:cs="Tahoma"/>
          <w:b/>
          <w:sz w:val="24"/>
          <w:szCs w:val="24"/>
        </w:rPr>
        <w:t xml:space="preserve"> </w:t>
      </w:r>
      <w:r w:rsidR="002E0C30" w:rsidRPr="00A057AC">
        <w:rPr>
          <w:rFonts w:ascii="Tahoma" w:hAnsi="Tahoma" w:cs="Tahoma"/>
          <w:sz w:val="24"/>
          <w:szCs w:val="24"/>
        </w:rPr>
        <w:t>sub ținta stabilit</w:t>
      </w:r>
      <w:r w:rsidR="00395E39" w:rsidRPr="00A057AC">
        <w:rPr>
          <w:rFonts w:ascii="Tahoma" w:hAnsi="Tahoma" w:cs="Tahoma"/>
          <w:sz w:val="24"/>
          <w:szCs w:val="24"/>
        </w:rPr>
        <w:t>ă</w:t>
      </w:r>
      <w:r w:rsidR="002E0C30" w:rsidRPr="00A057AC">
        <w:rPr>
          <w:rFonts w:ascii="Tahoma" w:hAnsi="Tahoma" w:cs="Tahoma"/>
          <w:sz w:val="24"/>
          <w:szCs w:val="24"/>
        </w:rPr>
        <w:t xml:space="preserve"> pe semestrul I</w:t>
      </w:r>
      <w:r w:rsidR="002F1D42" w:rsidRPr="00A057AC">
        <w:rPr>
          <w:rFonts w:ascii="Tahoma" w:hAnsi="Tahoma" w:cs="Tahoma"/>
          <w:sz w:val="24"/>
          <w:szCs w:val="24"/>
        </w:rPr>
        <w:t>.</w:t>
      </w:r>
    </w:p>
    <w:p w:rsidR="002E0C30" w:rsidRPr="00A057AC" w:rsidRDefault="00B55097" w:rsidP="002A6579">
      <w:pPr>
        <w:spacing w:before="120" w:line="276" w:lineRule="auto"/>
        <w:ind w:firstLine="677"/>
        <w:rPr>
          <w:rFonts w:ascii="Tahoma" w:hAnsi="Tahoma" w:cs="Tahoma"/>
          <w:sz w:val="24"/>
          <w:szCs w:val="24"/>
        </w:rPr>
      </w:pPr>
      <w:r w:rsidRPr="00A057AC">
        <w:rPr>
          <w:rFonts w:ascii="Tahoma" w:hAnsi="Tahoma" w:cs="Tahoma"/>
          <w:sz w:val="24"/>
          <w:szCs w:val="24"/>
        </w:rPr>
        <w:t xml:space="preserve">O mare parte </w:t>
      </w:r>
      <w:r w:rsidR="002E0C30" w:rsidRPr="00A057AC">
        <w:rPr>
          <w:rFonts w:ascii="Tahoma" w:hAnsi="Tahoma" w:cs="Tahoma"/>
          <w:sz w:val="24"/>
          <w:szCs w:val="24"/>
        </w:rPr>
        <w:t>din deficit</w:t>
      </w:r>
      <w:r w:rsidRPr="00A057AC">
        <w:rPr>
          <w:rFonts w:ascii="Tahoma" w:hAnsi="Tahoma" w:cs="Tahoma"/>
          <w:sz w:val="24"/>
          <w:szCs w:val="24"/>
        </w:rPr>
        <w:t>ul bugetar înregistrat în primul semestru</w:t>
      </w:r>
      <w:r w:rsidR="002E0C30" w:rsidRPr="00A057AC">
        <w:rPr>
          <w:rFonts w:ascii="Tahoma" w:hAnsi="Tahoma" w:cs="Tahoma"/>
          <w:sz w:val="24"/>
          <w:szCs w:val="24"/>
        </w:rPr>
        <w:t xml:space="preserve">, </w:t>
      </w:r>
      <w:r w:rsidR="002E0C30" w:rsidRPr="00A057AC">
        <w:rPr>
          <w:rFonts w:ascii="Tahoma" w:hAnsi="Tahoma" w:cs="Tahoma"/>
          <w:b/>
          <w:sz w:val="24"/>
          <w:szCs w:val="24"/>
        </w:rPr>
        <w:t xml:space="preserve">respectiv </w:t>
      </w:r>
      <w:r w:rsidRPr="00A057AC">
        <w:rPr>
          <w:rFonts w:ascii="Tahoma" w:hAnsi="Tahoma" w:cs="Tahoma"/>
          <w:b/>
          <w:sz w:val="24"/>
          <w:szCs w:val="24"/>
        </w:rPr>
        <w:t>13,34</w:t>
      </w:r>
      <w:r w:rsidR="00FF292C" w:rsidRPr="00A057AC">
        <w:rPr>
          <w:rFonts w:ascii="Tahoma" w:hAnsi="Tahoma" w:cs="Tahoma"/>
          <w:b/>
          <w:sz w:val="24"/>
          <w:szCs w:val="24"/>
        </w:rPr>
        <w:t xml:space="preserve"> </w:t>
      </w:r>
      <w:r w:rsidR="000C2870" w:rsidRPr="00A057AC">
        <w:rPr>
          <w:rFonts w:ascii="Tahoma" w:hAnsi="Tahoma" w:cs="Tahoma"/>
          <w:b/>
          <w:sz w:val="24"/>
          <w:szCs w:val="24"/>
        </w:rPr>
        <w:t>miliarde</w:t>
      </w:r>
      <w:r w:rsidR="002E0C30" w:rsidRPr="00A057AC">
        <w:rPr>
          <w:rFonts w:ascii="Tahoma" w:hAnsi="Tahoma" w:cs="Tahoma"/>
          <w:b/>
          <w:sz w:val="24"/>
          <w:szCs w:val="24"/>
        </w:rPr>
        <w:t xml:space="preserve"> lei (</w:t>
      </w:r>
      <w:r w:rsidRPr="00A057AC">
        <w:rPr>
          <w:rFonts w:ascii="Tahoma" w:hAnsi="Tahoma" w:cs="Tahoma"/>
          <w:b/>
          <w:sz w:val="24"/>
          <w:szCs w:val="24"/>
        </w:rPr>
        <w:t>1,17</w:t>
      </w:r>
      <w:r w:rsidR="002E0C30" w:rsidRPr="00A057AC">
        <w:rPr>
          <w:rFonts w:ascii="Tahoma" w:hAnsi="Tahoma" w:cs="Tahoma"/>
          <w:b/>
          <w:sz w:val="24"/>
          <w:szCs w:val="24"/>
        </w:rPr>
        <w:t>% din PIB)</w:t>
      </w:r>
      <w:r w:rsidR="002E0C30" w:rsidRPr="00A057AC">
        <w:rPr>
          <w:rFonts w:ascii="Tahoma" w:hAnsi="Tahoma" w:cs="Tahoma"/>
          <w:sz w:val="24"/>
          <w:szCs w:val="24"/>
        </w:rPr>
        <w:t xml:space="preserve">, este generat de cheltuieli excepționale adoptate pentru combaterea efectelor </w:t>
      </w:r>
      <w:bookmarkStart w:id="27" w:name="_GoBack"/>
      <w:bookmarkEnd w:id="27"/>
      <w:r w:rsidR="002E0C30" w:rsidRPr="00A057AC">
        <w:rPr>
          <w:rFonts w:ascii="Tahoma" w:hAnsi="Tahoma" w:cs="Tahoma"/>
          <w:sz w:val="24"/>
          <w:szCs w:val="24"/>
        </w:rPr>
        <w:t>epidemiei de COVID-19</w:t>
      </w:r>
      <w:r w:rsidR="00FF292C" w:rsidRPr="00A057AC">
        <w:rPr>
          <w:rFonts w:ascii="Tahoma" w:hAnsi="Tahoma" w:cs="Tahoma"/>
          <w:sz w:val="24"/>
          <w:szCs w:val="24"/>
        </w:rPr>
        <w:t xml:space="preserve"> </w:t>
      </w:r>
      <w:r w:rsidRPr="00A057AC">
        <w:rPr>
          <w:rFonts w:ascii="Tahoma" w:hAnsi="Tahoma" w:cs="Tahoma"/>
          <w:sz w:val="24"/>
          <w:szCs w:val="24"/>
        </w:rPr>
        <w:t xml:space="preserve">(8,11 </w:t>
      </w:r>
      <w:r w:rsidR="000C2870" w:rsidRPr="00A057AC">
        <w:rPr>
          <w:rFonts w:ascii="Tahoma" w:hAnsi="Tahoma" w:cs="Tahoma"/>
          <w:sz w:val="24"/>
          <w:szCs w:val="24"/>
        </w:rPr>
        <w:t>miliarde</w:t>
      </w:r>
      <w:r w:rsidRPr="00A057AC">
        <w:rPr>
          <w:rFonts w:ascii="Tahoma" w:hAnsi="Tahoma" w:cs="Tahoma"/>
          <w:sz w:val="24"/>
          <w:szCs w:val="24"/>
        </w:rPr>
        <w:t xml:space="preserve"> lei) și de creșterea cheltuielilor de investiții comparativ aceeași perioadă a anului 2020</w:t>
      </w:r>
      <w:r w:rsidR="00FF292C" w:rsidRPr="00A057AC">
        <w:rPr>
          <w:rFonts w:ascii="Tahoma" w:hAnsi="Tahoma" w:cs="Tahoma"/>
          <w:sz w:val="24"/>
          <w:szCs w:val="24"/>
        </w:rPr>
        <w:t xml:space="preserve"> </w:t>
      </w:r>
      <w:r w:rsidRPr="00A057AC">
        <w:rPr>
          <w:rFonts w:ascii="Tahoma" w:hAnsi="Tahoma" w:cs="Tahoma"/>
          <w:sz w:val="24"/>
          <w:szCs w:val="24"/>
        </w:rPr>
        <w:t xml:space="preserve">(+5,23 </w:t>
      </w:r>
      <w:r w:rsidR="000C2870" w:rsidRPr="00A057AC">
        <w:rPr>
          <w:rFonts w:ascii="Tahoma" w:hAnsi="Tahoma" w:cs="Tahoma"/>
          <w:sz w:val="24"/>
          <w:szCs w:val="24"/>
        </w:rPr>
        <w:t>miliarde</w:t>
      </w:r>
      <w:r w:rsidRPr="00A057AC">
        <w:rPr>
          <w:rFonts w:ascii="Tahoma" w:hAnsi="Tahoma" w:cs="Tahoma"/>
          <w:sz w:val="24"/>
          <w:szCs w:val="24"/>
        </w:rPr>
        <w:t xml:space="preserve"> lei)</w:t>
      </w:r>
      <w:r w:rsidR="002E0C30" w:rsidRPr="00A057AC">
        <w:rPr>
          <w:rFonts w:ascii="Tahoma" w:hAnsi="Tahoma" w:cs="Tahoma"/>
          <w:sz w:val="24"/>
          <w:szCs w:val="24"/>
        </w:rPr>
        <w:t xml:space="preserve">. </w:t>
      </w:r>
    </w:p>
    <w:p w:rsidR="004D6D76" w:rsidRPr="00A057AC" w:rsidRDefault="004D6D76" w:rsidP="00B55097">
      <w:pPr>
        <w:shd w:val="clear" w:color="auto" w:fill="E2EFD9" w:themeFill="accent6" w:themeFillTint="33"/>
        <w:spacing w:line="276" w:lineRule="auto"/>
        <w:ind w:firstLine="680"/>
        <w:rPr>
          <w:rFonts w:ascii="Tahoma" w:hAnsi="Tahoma" w:cs="Tahoma"/>
          <w:sz w:val="24"/>
          <w:szCs w:val="24"/>
        </w:rPr>
      </w:pPr>
      <w:r w:rsidRPr="00A057AC">
        <w:rPr>
          <w:rFonts w:ascii="Tahoma" w:hAnsi="Tahoma" w:cs="Tahoma"/>
          <w:b/>
          <w:sz w:val="24"/>
          <w:szCs w:val="24"/>
          <w:u w:val="single"/>
        </w:rPr>
        <w:t>Veniturile bugetului general consolidat</w:t>
      </w:r>
      <w:r w:rsidRPr="00A057AC">
        <w:rPr>
          <w:rFonts w:ascii="Tahoma" w:hAnsi="Tahoma" w:cs="Tahoma"/>
          <w:sz w:val="24"/>
          <w:szCs w:val="24"/>
        </w:rPr>
        <w:t xml:space="preserve"> au fost în sumă de </w:t>
      </w:r>
      <w:r w:rsidR="00967266" w:rsidRPr="00A057AC">
        <w:rPr>
          <w:rFonts w:ascii="Tahoma" w:hAnsi="Tahoma" w:cs="Tahoma"/>
          <w:b/>
          <w:sz w:val="24"/>
          <w:szCs w:val="24"/>
        </w:rPr>
        <w:t>176,38 miliarde</w:t>
      </w:r>
      <w:r w:rsidRPr="00A057AC">
        <w:rPr>
          <w:rFonts w:ascii="Tahoma" w:hAnsi="Tahoma" w:cs="Tahoma"/>
          <w:b/>
          <w:sz w:val="24"/>
          <w:szCs w:val="24"/>
        </w:rPr>
        <w:t xml:space="preserve"> lei</w:t>
      </w:r>
      <w:r w:rsidR="00967266" w:rsidRPr="00A057AC">
        <w:rPr>
          <w:rFonts w:ascii="Tahoma" w:hAnsi="Tahoma" w:cs="Tahoma"/>
          <w:sz w:val="24"/>
          <w:szCs w:val="24"/>
        </w:rPr>
        <w:t>, cu 20</w:t>
      </w:r>
      <w:r w:rsidRPr="00A057AC">
        <w:rPr>
          <w:rFonts w:ascii="Tahoma" w:hAnsi="Tahoma" w:cs="Tahoma"/>
          <w:sz w:val="24"/>
          <w:szCs w:val="24"/>
        </w:rPr>
        <w:t xml:space="preserve">,6% mai </w:t>
      </w:r>
      <w:r w:rsidR="00967266" w:rsidRPr="00A057AC">
        <w:rPr>
          <w:rFonts w:ascii="Tahoma" w:hAnsi="Tahoma" w:cs="Tahoma"/>
          <w:sz w:val="24"/>
          <w:szCs w:val="24"/>
        </w:rPr>
        <w:t>mari</w:t>
      </w:r>
      <w:r w:rsidRPr="00A057AC">
        <w:rPr>
          <w:rFonts w:ascii="Tahoma" w:hAnsi="Tahoma" w:cs="Tahoma"/>
          <w:sz w:val="24"/>
          <w:szCs w:val="24"/>
        </w:rPr>
        <w:t xml:space="preserve"> comparativ cu aceeași perioadă a anului precedent </w:t>
      </w:r>
      <w:r w:rsidR="00A40CBD" w:rsidRPr="00A057AC">
        <w:rPr>
          <w:rFonts w:ascii="Tahoma" w:hAnsi="Tahoma" w:cs="Tahoma"/>
          <w:sz w:val="24"/>
          <w:szCs w:val="24"/>
        </w:rPr>
        <w:t>și</w:t>
      </w:r>
      <w:r w:rsidRPr="00A057AC">
        <w:rPr>
          <w:rFonts w:ascii="Tahoma" w:hAnsi="Tahoma" w:cs="Tahoma"/>
          <w:sz w:val="24"/>
          <w:szCs w:val="24"/>
        </w:rPr>
        <w:t xml:space="preserve"> cu un grad de realizare al programului de încasări pe primul semestru de </w:t>
      </w:r>
      <w:r w:rsidR="00967266" w:rsidRPr="00A057AC">
        <w:rPr>
          <w:rFonts w:ascii="Tahoma" w:hAnsi="Tahoma" w:cs="Tahoma"/>
          <w:b/>
          <w:sz w:val="24"/>
          <w:szCs w:val="24"/>
        </w:rPr>
        <w:t>101,0</w:t>
      </w:r>
      <w:r w:rsidR="00461A21" w:rsidRPr="00A057AC">
        <w:rPr>
          <w:rFonts w:ascii="Tahoma" w:hAnsi="Tahoma" w:cs="Tahoma"/>
          <w:b/>
          <w:sz w:val="24"/>
          <w:szCs w:val="24"/>
        </w:rPr>
        <w:t>%</w:t>
      </w:r>
      <w:r w:rsidRPr="00A057AC">
        <w:rPr>
          <w:rFonts w:ascii="Tahoma" w:hAnsi="Tahoma" w:cs="Tahoma"/>
          <w:sz w:val="24"/>
          <w:szCs w:val="24"/>
        </w:rPr>
        <w:t xml:space="preserve">. </w:t>
      </w:r>
    </w:p>
    <w:p w:rsidR="00B55097" w:rsidRPr="00A057AC" w:rsidRDefault="00B55097" w:rsidP="00B55097">
      <w:pPr>
        <w:spacing w:line="276" w:lineRule="auto"/>
        <w:ind w:firstLine="680"/>
        <w:rPr>
          <w:rFonts w:ascii="Tahoma" w:hAnsi="Tahoma" w:cs="Tahoma"/>
          <w:sz w:val="24"/>
          <w:szCs w:val="24"/>
        </w:rPr>
      </w:pPr>
      <w:r w:rsidRPr="00A057AC">
        <w:rPr>
          <w:rFonts w:ascii="Tahoma" w:hAnsi="Tahoma" w:cs="Tahoma"/>
          <w:sz w:val="24"/>
          <w:szCs w:val="24"/>
        </w:rPr>
        <w:t xml:space="preserve">Acest avans a fost influențat de baza redusă aferentă 2020 (în principal perioada mar-mai - caracterizată preponderent de lockdown), redresarea indicatorilor economici, dar și de recuperarea parțială a unor categorii de venituri (contribuții de asigurări și TVA). Cele mai însemnate creșteri nominale s-au înregistrat în cazul TVA, contribuțiilor de asigurări, fondurilor europene, accize, respectiv impozit pe salarii și venit.  </w:t>
      </w:r>
    </w:p>
    <w:p w:rsidR="004D6D76" w:rsidRPr="00A057AC" w:rsidRDefault="004D6D76" w:rsidP="004438F1">
      <w:pPr>
        <w:spacing w:after="240" w:line="276" w:lineRule="auto"/>
        <w:ind w:firstLine="677"/>
        <w:rPr>
          <w:rFonts w:ascii="Tahoma" w:hAnsi="Tahoma" w:cs="Tahoma"/>
          <w:sz w:val="24"/>
          <w:szCs w:val="24"/>
        </w:rPr>
      </w:pPr>
      <w:r w:rsidRPr="00A057AC">
        <w:rPr>
          <w:rFonts w:ascii="Tahoma" w:hAnsi="Tahoma" w:cs="Tahoma"/>
          <w:sz w:val="24"/>
          <w:szCs w:val="24"/>
        </w:rPr>
        <w:t xml:space="preserve">Veniturile bugetului general consolidat, ca procent în PIB, </w:t>
      </w:r>
      <w:r w:rsidR="00967266" w:rsidRPr="00A057AC">
        <w:rPr>
          <w:rFonts w:ascii="Tahoma" w:hAnsi="Tahoma" w:cs="Tahoma"/>
          <w:sz w:val="24"/>
          <w:szCs w:val="24"/>
        </w:rPr>
        <w:t xml:space="preserve">au crescut </w:t>
      </w:r>
      <w:r w:rsidRPr="00A057AC">
        <w:rPr>
          <w:rFonts w:ascii="Tahoma" w:hAnsi="Tahoma" w:cs="Tahoma"/>
          <w:sz w:val="24"/>
          <w:szCs w:val="24"/>
        </w:rPr>
        <w:t xml:space="preserve"> în perioada analizată cu </w:t>
      </w:r>
      <w:r w:rsidR="00E82DC4" w:rsidRPr="00A057AC">
        <w:rPr>
          <w:rFonts w:ascii="Tahoma" w:hAnsi="Tahoma" w:cs="Tahoma"/>
          <w:sz w:val="24"/>
          <w:szCs w:val="24"/>
        </w:rPr>
        <w:t>1</w:t>
      </w:r>
      <w:r w:rsidRPr="00A057AC">
        <w:rPr>
          <w:rFonts w:ascii="Tahoma" w:hAnsi="Tahoma" w:cs="Tahoma"/>
          <w:sz w:val="24"/>
          <w:szCs w:val="24"/>
        </w:rPr>
        <w:t>,</w:t>
      </w:r>
      <w:r w:rsidR="00461A21" w:rsidRPr="00A057AC">
        <w:rPr>
          <w:rFonts w:ascii="Tahoma" w:hAnsi="Tahoma" w:cs="Tahoma"/>
          <w:sz w:val="24"/>
          <w:szCs w:val="24"/>
        </w:rPr>
        <w:t>5</w:t>
      </w:r>
      <w:r w:rsidRPr="00A057AC">
        <w:rPr>
          <w:rFonts w:ascii="Tahoma" w:hAnsi="Tahoma" w:cs="Tahoma"/>
          <w:sz w:val="24"/>
          <w:szCs w:val="24"/>
        </w:rPr>
        <w:t xml:space="preserve"> puncte procentuale comparativ cu aceeași perioadă a anului anterior de la </w:t>
      </w:r>
      <w:r w:rsidR="00E82DC4" w:rsidRPr="00A057AC">
        <w:rPr>
          <w:rFonts w:ascii="Tahoma" w:hAnsi="Tahoma" w:cs="Tahoma"/>
          <w:sz w:val="24"/>
          <w:szCs w:val="24"/>
        </w:rPr>
        <w:t>13,9</w:t>
      </w:r>
      <w:r w:rsidRPr="00A057AC">
        <w:rPr>
          <w:rFonts w:ascii="Tahoma" w:hAnsi="Tahoma" w:cs="Tahoma"/>
          <w:sz w:val="24"/>
          <w:szCs w:val="24"/>
        </w:rPr>
        <w:t>% în PIB în semestru I 20</w:t>
      </w:r>
      <w:r w:rsidR="00E82DC4" w:rsidRPr="00A057AC">
        <w:rPr>
          <w:rFonts w:ascii="Tahoma" w:hAnsi="Tahoma" w:cs="Tahoma"/>
          <w:sz w:val="24"/>
          <w:szCs w:val="24"/>
        </w:rPr>
        <w:t>20</w:t>
      </w:r>
      <w:r w:rsidRPr="00A057AC">
        <w:rPr>
          <w:rFonts w:ascii="Tahoma" w:hAnsi="Tahoma" w:cs="Tahoma"/>
          <w:sz w:val="24"/>
          <w:szCs w:val="24"/>
        </w:rPr>
        <w:t xml:space="preserve"> la </w:t>
      </w:r>
      <w:r w:rsidR="00E82DC4" w:rsidRPr="00A057AC">
        <w:rPr>
          <w:rFonts w:ascii="Tahoma" w:hAnsi="Tahoma" w:cs="Tahoma"/>
          <w:sz w:val="24"/>
          <w:szCs w:val="24"/>
        </w:rPr>
        <w:t>15,4</w:t>
      </w:r>
      <w:r w:rsidRPr="00A057AC">
        <w:rPr>
          <w:rFonts w:ascii="Tahoma" w:hAnsi="Tahoma" w:cs="Tahoma"/>
          <w:sz w:val="24"/>
          <w:szCs w:val="24"/>
        </w:rPr>
        <w:t>% din PIB în semestrul I 20</w:t>
      </w:r>
      <w:r w:rsidR="00461A21" w:rsidRPr="00A057AC">
        <w:rPr>
          <w:rFonts w:ascii="Tahoma" w:hAnsi="Tahoma" w:cs="Tahoma"/>
          <w:sz w:val="24"/>
          <w:szCs w:val="24"/>
        </w:rPr>
        <w:t>2</w:t>
      </w:r>
      <w:r w:rsidR="00E82DC4" w:rsidRPr="00A057AC">
        <w:rPr>
          <w:rFonts w:ascii="Tahoma" w:hAnsi="Tahoma" w:cs="Tahoma"/>
          <w:sz w:val="24"/>
          <w:szCs w:val="24"/>
        </w:rPr>
        <w:t>1</w:t>
      </w:r>
      <w:r w:rsidRPr="00A057AC">
        <w:rPr>
          <w:rFonts w:ascii="Tahoma" w:hAnsi="Tahoma" w:cs="Tahoma"/>
          <w:sz w:val="24"/>
          <w:szCs w:val="24"/>
        </w:rPr>
        <w:t>.</w:t>
      </w:r>
    </w:p>
    <w:p w:rsidR="001B5B69" w:rsidRPr="00A057AC" w:rsidRDefault="00B57278" w:rsidP="002A6579">
      <w:pPr>
        <w:spacing w:line="276" w:lineRule="auto"/>
        <w:ind w:firstLine="0"/>
        <w:rPr>
          <w:rFonts w:ascii="Tahoma" w:hAnsi="Tahoma" w:cs="Tahoma"/>
          <w:b/>
          <w:sz w:val="24"/>
          <w:szCs w:val="24"/>
        </w:rPr>
      </w:pPr>
      <w:r w:rsidRPr="00A057AC">
        <w:rPr>
          <w:rFonts w:ascii="Tahoma" w:hAnsi="Tahoma" w:cs="Tahoma"/>
          <w:b/>
          <w:noProof/>
          <w:sz w:val="24"/>
          <w:szCs w:val="24"/>
          <w:lang w:val="en-US"/>
        </w:rPr>
        <w:drawing>
          <wp:inline distT="0" distB="0" distL="0" distR="0" wp14:anchorId="6D27EFB9" wp14:editId="3024709D">
            <wp:extent cx="5857875" cy="3105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3105150"/>
                    </a:xfrm>
                    <a:prstGeom prst="rect">
                      <a:avLst/>
                    </a:prstGeom>
                    <a:noFill/>
                  </pic:spPr>
                </pic:pic>
              </a:graphicData>
            </a:graphic>
          </wp:inline>
        </w:drawing>
      </w:r>
    </w:p>
    <w:p w:rsidR="004D6D76" w:rsidRPr="00A057AC" w:rsidRDefault="004D6D76" w:rsidP="002A6579">
      <w:pPr>
        <w:spacing w:line="276" w:lineRule="auto"/>
        <w:ind w:firstLine="680"/>
        <w:rPr>
          <w:rFonts w:ascii="Tahoma" w:hAnsi="Tahoma" w:cs="Tahoma"/>
          <w:sz w:val="24"/>
          <w:szCs w:val="24"/>
        </w:rPr>
      </w:pPr>
      <w:r w:rsidRPr="00A057AC">
        <w:rPr>
          <w:rFonts w:ascii="Tahoma" w:hAnsi="Tahoma" w:cs="Tahoma"/>
          <w:b/>
          <w:sz w:val="24"/>
          <w:szCs w:val="24"/>
        </w:rPr>
        <w:t>Veniturile încasate din economia internă</w:t>
      </w:r>
      <w:r w:rsidRPr="00A057AC">
        <w:rPr>
          <w:rFonts w:ascii="Tahoma" w:hAnsi="Tahoma" w:cs="Tahoma"/>
          <w:sz w:val="24"/>
          <w:szCs w:val="24"/>
        </w:rPr>
        <w:t xml:space="preserve"> (fără fonduri de la Uniunea Europeană pre și post-aderare) au fost în sumă de </w:t>
      </w:r>
      <w:r w:rsidR="00E82DC4" w:rsidRPr="00A057AC">
        <w:rPr>
          <w:rFonts w:ascii="Tahoma" w:hAnsi="Tahoma" w:cs="Tahoma"/>
          <w:sz w:val="24"/>
          <w:szCs w:val="24"/>
        </w:rPr>
        <w:t>163,90</w:t>
      </w:r>
      <w:r w:rsidR="00FF292C" w:rsidRPr="00A057AC">
        <w:rPr>
          <w:rFonts w:ascii="Tahoma" w:hAnsi="Tahoma" w:cs="Tahoma"/>
          <w:sz w:val="24"/>
          <w:szCs w:val="24"/>
        </w:rPr>
        <w:t xml:space="preserve"> </w:t>
      </w:r>
      <w:r w:rsidR="00E82DC4" w:rsidRPr="00A057AC">
        <w:rPr>
          <w:rFonts w:ascii="Tahoma" w:hAnsi="Tahoma" w:cs="Tahoma"/>
          <w:sz w:val="24"/>
          <w:szCs w:val="24"/>
        </w:rPr>
        <w:t>miliarde</w:t>
      </w:r>
      <w:r w:rsidRPr="00A057AC">
        <w:rPr>
          <w:rFonts w:ascii="Tahoma" w:hAnsi="Tahoma" w:cs="Tahoma"/>
          <w:sz w:val="24"/>
          <w:szCs w:val="24"/>
        </w:rPr>
        <w:t xml:space="preserve"> lei (</w:t>
      </w:r>
      <w:r w:rsidR="00E82DC4" w:rsidRPr="00A057AC">
        <w:rPr>
          <w:rFonts w:ascii="Tahoma" w:hAnsi="Tahoma" w:cs="Tahoma"/>
          <w:sz w:val="24"/>
          <w:szCs w:val="24"/>
        </w:rPr>
        <w:t>14,3</w:t>
      </w:r>
      <w:r w:rsidRPr="00A057AC">
        <w:rPr>
          <w:rFonts w:ascii="Tahoma" w:hAnsi="Tahoma" w:cs="Tahoma"/>
          <w:sz w:val="24"/>
          <w:szCs w:val="24"/>
        </w:rPr>
        <w:t xml:space="preserve">% din PIB), </w:t>
      </w:r>
      <w:r w:rsidRPr="00A057AC">
        <w:rPr>
          <w:rFonts w:ascii="Tahoma" w:hAnsi="Tahoma" w:cs="Tahoma"/>
          <w:sz w:val="24"/>
          <w:szCs w:val="24"/>
        </w:rPr>
        <w:lastRenderedPageBreak/>
        <w:t xml:space="preserve">cu </w:t>
      </w:r>
      <w:r w:rsidR="00E82DC4" w:rsidRPr="00A057AC">
        <w:rPr>
          <w:rFonts w:ascii="Tahoma" w:hAnsi="Tahoma" w:cs="Tahoma"/>
          <w:b/>
          <w:sz w:val="24"/>
          <w:szCs w:val="24"/>
        </w:rPr>
        <w:t>19,4</w:t>
      </w:r>
      <w:r w:rsidRPr="00A057AC">
        <w:rPr>
          <w:rFonts w:ascii="Tahoma" w:hAnsi="Tahoma" w:cs="Tahoma"/>
          <w:b/>
          <w:sz w:val="24"/>
          <w:szCs w:val="24"/>
        </w:rPr>
        <w:t xml:space="preserve">% mai </w:t>
      </w:r>
      <w:r w:rsidR="00E82DC4" w:rsidRPr="00A057AC">
        <w:rPr>
          <w:rFonts w:ascii="Tahoma" w:hAnsi="Tahoma" w:cs="Tahoma"/>
          <w:b/>
          <w:sz w:val="24"/>
          <w:szCs w:val="24"/>
        </w:rPr>
        <w:t>mari</w:t>
      </w:r>
      <w:r w:rsidRPr="00A057AC">
        <w:rPr>
          <w:rFonts w:ascii="Tahoma" w:hAnsi="Tahoma" w:cs="Tahoma"/>
          <w:sz w:val="24"/>
          <w:szCs w:val="24"/>
        </w:rPr>
        <w:t xml:space="preserve"> comparativ cu încasările semestrului I 20</w:t>
      </w:r>
      <w:r w:rsidR="00EC4B9E" w:rsidRPr="00A057AC">
        <w:rPr>
          <w:rFonts w:ascii="Tahoma" w:hAnsi="Tahoma" w:cs="Tahoma"/>
          <w:sz w:val="24"/>
          <w:szCs w:val="24"/>
        </w:rPr>
        <w:t>20</w:t>
      </w:r>
      <w:r w:rsidR="00FF292C" w:rsidRPr="00A057AC">
        <w:rPr>
          <w:rFonts w:ascii="Tahoma" w:hAnsi="Tahoma" w:cs="Tahoma"/>
          <w:sz w:val="24"/>
          <w:szCs w:val="24"/>
        </w:rPr>
        <w:t xml:space="preserve"> </w:t>
      </w:r>
      <w:r w:rsidR="00A40CBD" w:rsidRPr="00A057AC">
        <w:rPr>
          <w:rFonts w:ascii="Tahoma" w:hAnsi="Tahoma" w:cs="Tahoma"/>
          <w:sz w:val="24"/>
          <w:szCs w:val="24"/>
        </w:rPr>
        <w:t>și</w:t>
      </w:r>
      <w:r w:rsidRPr="00A057AC">
        <w:rPr>
          <w:rFonts w:ascii="Tahoma" w:hAnsi="Tahoma" w:cs="Tahoma"/>
          <w:sz w:val="24"/>
          <w:szCs w:val="24"/>
        </w:rPr>
        <w:t xml:space="preserve"> un grad de realizare a programul</w:t>
      </w:r>
      <w:r w:rsidR="00C426B5" w:rsidRPr="00A057AC">
        <w:rPr>
          <w:rFonts w:ascii="Tahoma" w:hAnsi="Tahoma" w:cs="Tahoma"/>
          <w:sz w:val="24"/>
          <w:szCs w:val="24"/>
        </w:rPr>
        <w:t>ui</w:t>
      </w:r>
      <w:r w:rsidRPr="00A057AC">
        <w:rPr>
          <w:rFonts w:ascii="Tahoma" w:hAnsi="Tahoma" w:cs="Tahoma"/>
          <w:sz w:val="24"/>
          <w:szCs w:val="24"/>
        </w:rPr>
        <w:t xml:space="preserve"> semestrial de </w:t>
      </w:r>
      <w:r w:rsidR="00EC4B9E" w:rsidRPr="00A057AC">
        <w:rPr>
          <w:rFonts w:ascii="Tahoma" w:hAnsi="Tahoma" w:cs="Tahoma"/>
          <w:b/>
          <w:sz w:val="24"/>
          <w:szCs w:val="24"/>
        </w:rPr>
        <w:t>105,4</w:t>
      </w:r>
      <w:r w:rsidRPr="00A057AC">
        <w:rPr>
          <w:rFonts w:ascii="Tahoma" w:hAnsi="Tahoma" w:cs="Tahoma"/>
          <w:b/>
          <w:sz w:val="24"/>
          <w:szCs w:val="24"/>
        </w:rPr>
        <w:t>%</w:t>
      </w:r>
      <w:r w:rsidRPr="00A057AC">
        <w:rPr>
          <w:rFonts w:ascii="Tahoma" w:hAnsi="Tahoma" w:cs="Tahoma"/>
          <w:sz w:val="24"/>
          <w:szCs w:val="24"/>
        </w:rPr>
        <w:t xml:space="preserve">.  </w:t>
      </w:r>
    </w:p>
    <w:p w:rsidR="002E7CD9" w:rsidRPr="00A057AC" w:rsidRDefault="004D6D76" w:rsidP="002A6579">
      <w:pPr>
        <w:spacing w:after="240" w:line="276" w:lineRule="auto"/>
        <w:ind w:firstLine="677"/>
        <w:rPr>
          <w:rFonts w:ascii="Tahoma" w:hAnsi="Tahoma" w:cs="Tahoma"/>
          <w:sz w:val="24"/>
          <w:szCs w:val="24"/>
        </w:rPr>
      </w:pPr>
      <w:r w:rsidRPr="00A057AC">
        <w:rPr>
          <w:rFonts w:ascii="Tahoma" w:hAnsi="Tahoma" w:cs="Tahoma"/>
          <w:sz w:val="24"/>
          <w:szCs w:val="24"/>
        </w:rPr>
        <w:t>Veniturile încasate din economia</w:t>
      </w:r>
      <w:r w:rsidR="00563406" w:rsidRPr="00A057AC">
        <w:rPr>
          <w:rFonts w:ascii="Tahoma" w:hAnsi="Tahoma" w:cs="Tahoma"/>
          <w:sz w:val="24"/>
          <w:szCs w:val="24"/>
        </w:rPr>
        <w:t xml:space="preserve"> internă, ca procent în PIB, </w:t>
      </w:r>
      <w:r w:rsidR="00EC4B9E" w:rsidRPr="00A057AC">
        <w:rPr>
          <w:rFonts w:ascii="Tahoma" w:hAnsi="Tahoma" w:cs="Tahoma"/>
          <w:sz w:val="24"/>
          <w:szCs w:val="24"/>
        </w:rPr>
        <w:t>au crescut cu 1,3</w:t>
      </w:r>
      <w:r w:rsidRPr="00A057AC">
        <w:rPr>
          <w:rFonts w:ascii="Tahoma" w:hAnsi="Tahoma" w:cs="Tahoma"/>
          <w:sz w:val="24"/>
          <w:szCs w:val="24"/>
        </w:rPr>
        <w:t>puncte procentuale de la 13,</w:t>
      </w:r>
      <w:r w:rsidR="00EC4B9E" w:rsidRPr="00A057AC">
        <w:rPr>
          <w:rFonts w:ascii="Tahoma" w:hAnsi="Tahoma" w:cs="Tahoma"/>
          <w:sz w:val="24"/>
          <w:szCs w:val="24"/>
        </w:rPr>
        <w:t>0</w:t>
      </w:r>
      <w:r w:rsidRPr="00A057AC">
        <w:rPr>
          <w:rFonts w:ascii="Tahoma" w:hAnsi="Tahoma" w:cs="Tahoma"/>
          <w:sz w:val="24"/>
          <w:szCs w:val="24"/>
        </w:rPr>
        <w:t>% din PIB, cât au reprezentat în semestrul I 20</w:t>
      </w:r>
      <w:r w:rsidR="00EC4B9E" w:rsidRPr="00A057AC">
        <w:rPr>
          <w:rFonts w:ascii="Tahoma" w:hAnsi="Tahoma" w:cs="Tahoma"/>
          <w:sz w:val="24"/>
          <w:szCs w:val="24"/>
        </w:rPr>
        <w:t>20</w:t>
      </w:r>
      <w:r w:rsidRPr="00A057AC">
        <w:rPr>
          <w:rFonts w:ascii="Tahoma" w:hAnsi="Tahoma" w:cs="Tahoma"/>
          <w:sz w:val="24"/>
          <w:szCs w:val="24"/>
        </w:rPr>
        <w:t xml:space="preserve"> la </w:t>
      </w:r>
      <w:r w:rsidR="00EC4B9E" w:rsidRPr="00A057AC">
        <w:rPr>
          <w:rFonts w:ascii="Tahoma" w:hAnsi="Tahoma" w:cs="Tahoma"/>
          <w:sz w:val="24"/>
          <w:szCs w:val="24"/>
        </w:rPr>
        <w:t>14,3</w:t>
      </w:r>
      <w:r w:rsidRPr="00A057AC">
        <w:rPr>
          <w:rFonts w:ascii="Tahoma" w:hAnsi="Tahoma" w:cs="Tahoma"/>
          <w:sz w:val="24"/>
          <w:szCs w:val="24"/>
        </w:rPr>
        <w:t>% din PIB în semestrul I 20</w:t>
      </w:r>
      <w:r w:rsidR="00563406" w:rsidRPr="00A057AC">
        <w:rPr>
          <w:rFonts w:ascii="Tahoma" w:hAnsi="Tahoma" w:cs="Tahoma"/>
          <w:sz w:val="24"/>
          <w:szCs w:val="24"/>
        </w:rPr>
        <w:t>2</w:t>
      </w:r>
      <w:r w:rsidR="00EC4B9E" w:rsidRPr="00A057AC">
        <w:rPr>
          <w:rFonts w:ascii="Tahoma" w:hAnsi="Tahoma" w:cs="Tahoma"/>
          <w:sz w:val="24"/>
          <w:szCs w:val="24"/>
        </w:rPr>
        <w:t>1</w:t>
      </w:r>
      <w:r w:rsidRPr="00A057AC">
        <w:rPr>
          <w:rFonts w:ascii="Tahoma" w:hAnsi="Tahoma" w:cs="Tahoma"/>
          <w:sz w:val="24"/>
          <w:szCs w:val="24"/>
        </w:rPr>
        <w:t>.</w:t>
      </w:r>
    </w:p>
    <w:p w:rsidR="002F1D42" w:rsidRPr="00A057AC" w:rsidRDefault="00EC4B9E" w:rsidP="002A6579">
      <w:pPr>
        <w:spacing w:line="276" w:lineRule="auto"/>
        <w:ind w:firstLine="0"/>
        <w:rPr>
          <w:rFonts w:ascii="Tahoma" w:hAnsi="Tahoma" w:cs="Tahoma"/>
          <w:sz w:val="24"/>
          <w:szCs w:val="24"/>
        </w:rPr>
      </w:pPr>
      <w:r w:rsidRPr="00A057AC">
        <w:rPr>
          <w:rFonts w:ascii="Tahoma" w:hAnsi="Tahoma" w:cs="Tahoma"/>
          <w:noProof/>
          <w:sz w:val="24"/>
          <w:szCs w:val="24"/>
          <w:lang w:val="en-US"/>
        </w:rPr>
        <w:drawing>
          <wp:inline distT="0" distB="0" distL="0" distR="0" wp14:anchorId="0100F9CD" wp14:editId="1D7BDAE2">
            <wp:extent cx="5950273" cy="288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9304" cy="2900156"/>
                    </a:xfrm>
                    <a:prstGeom prst="rect">
                      <a:avLst/>
                    </a:prstGeom>
                    <a:noFill/>
                  </pic:spPr>
                </pic:pic>
              </a:graphicData>
            </a:graphic>
          </wp:inline>
        </w:drawing>
      </w:r>
    </w:p>
    <w:p w:rsidR="004D6D76" w:rsidRPr="00A057AC" w:rsidRDefault="005275F7" w:rsidP="002A6579">
      <w:pPr>
        <w:spacing w:before="240" w:line="276" w:lineRule="auto"/>
        <w:rPr>
          <w:rFonts w:ascii="Tahoma" w:hAnsi="Tahoma" w:cs="Tahoma"/>
          <w:sz w:val="24"/>
          <w:szCs w:val="24"/>
        </w:rPr>
      </w:pPr>
      <w:r w:rsidRPr="00A057AC">
        <w:rPr>
          <w:rFonts w:ascii="Tahoma" w:hAnsi="Tahoma" w:cs="Tahoma"/>
          <w:b/>
          <w:bCs/>
          <w:sz w:val="24"/>
          <w:szCs w:val="24"/>
        </w:rPr>
        <w:tab/>
      </w:r>
      <w:r w:rsidR="00243CA2" w:rsidRPr="00A057AC">
        <w:rPr>
          <w:rFonts w:ascii="Tahoma" w:hAnsi="Tahoma" w:cs="Tahoma"/>
          <w:b/>
          <w:bCs/>
          <w:sz w:val="24"/>
          <w:szCs w:val="24"/>
        </w:rPr>
        <w:tab/>
      </w:r>
      <w:r w:rsidR="004D6D76" w:rsidRPr="00A057AC">
        <w:rPr>
          <w:rFonts w:ascii="Tahoma" w:hAnsi="Tahoma" w:cs="Tahoma"/>
          <w:b/>
          <w:bCs/>
          <w:sz w:val="24"/>
          <w:szCs w:val="24"/>
        </w:rPr>
        <w:t>Veniturile fiscale</w:t>
      </w:r>
      <w:r w:rsidR="004D6D76" w:rsidRPr="00A057AC">
        <w:rPr>
          <w:rFonts w:ascii="Tahoma" w:hAnsi="Tahoma" w:cs="Tahoma"/>
          <w:sz w:val="24"/>
          <w:szCs w:val="24"/>
        </w:rPr>
        <w:t xml:space="preserve"> au fost în sumă de </w:t>
      </w:r>
      <w:r w:rsidR="00EC4B9E" w:rsidRPr="00A057AC">
        <w:rPr>
          <w:rFonts w:ascii="Tahoma" w:hAnsi="Tahoma" w:cs="Tahoma"/>
          <w:b/>
          <w:sz w:val="24"/>
          <w:szCs w:val="24"/>
        </w:rPr>
        <w:t>88,09 miliarde</w:t>
      </w:r>
      <w:r w:rsidR="004D6D76" w:rsidRPr="00A057AC">
        <w:rPr>
          <w:rFonts w:ascii="Tahoma" w:hAnsi="Tahoma" w:cs="Tahoma"/>
          <w:b/>
          <w:sz w:val="24"/>
          <w:szCs w:val="24"/>
        </w:rPr>
        <w:t xml:space="preserve"> lei</w:t>
      </w:r>
      <w:r w:rsidR="004D6D76" w:rsidRPr="00A057AC">
        <w:rPr>
          <w:rFonts w:ascii="Tahoma" w:hAnsi="Tahoma" w:cs="Tahoma"/>
          <w:sz w:val="24"/>
          <w:szCs w:val="24"/>
        </w:rPr>
        <w:t xml:space="preserve">, cu </w:t>
      </w:r>
      <w:r w:rsidR="00D22C24" w:rsidRPr="00A057AC">
        <w:rPr>
          <w:rFonts w:ascii="Tahoma" w:hAnsi="Tahoma" w:cs="Tahoma"/>
          <w:sz w:val="24"/>
          <w:szCs w:val="24"/>
        </w:rPr>
        <w:t>25,3</w:t>
      </w:r>
      <w:r w:rsidR="00563406" w:rsidRPr="00A057AC">
        <w:rPr>
          <w:rFonts w:ascii="Tahoma" w:hAnsi="Tahoma" w:cs="Tahoma"/>
          <w:sz w:val="24"/>
          <w:szCs w:val="24"/>
        </w:rPr>
        <w:t>%</w:t>
      </w:r>
      <w:r w:rsidR="009B308F" w:rsidRPr="00A057AC">
        <w:rPr>
          <w:rFonts w:ascii="Tahoma" w:hAnsi="Tahoma" w:cs="Tahoma"/>
          <w:sz w:val="24"/>
          <w:szCs w:val="24"/>
        </w:rPr>
        <w:t xml:space="preserve"> </w:t>
      </w:r>
      <w:r w:rsidR="004D6D76" w:rsidRPr="00A057AC">
        <w:rPr>
          <w:rFonts w:ascii="Tahoma" w:hAnsi="Tahoma" w:cs="Tahoma"/>
          <w:sz w:val="24"/>
          <w:szCs w:val="24"/>
        </w:rPr>
        <w:t xml:space="preserve">mai </w:t>
      </w:r>
      <w:r w:rsidR="00D22C24" w:rsidRPr="00A057AC">
        <w:rPr>
          <w:rFonts w:ascii="Tahoma" w:hAnsi="Tahoma" w:cs="Tahoma"/>
          <w:sz w:val="24"/>
          <w:szCs w:val="24"/>
        </w:rPr>
        <w:t>mari</w:t>
      </w:r>
      <w:r w:rsidR="004D6D76" w:rsidRPr="00A057AC">
        <w:rPr>
          <w:rFonts w:ascii="Tahoma" w:hAnsi="Tahoma" w:cs="Tahoma"/>
          <w:sz w:val="24"/>
          <w:szCs w:val="24"/>
        </w:rPr>
        <w:t xml:space="preserve"> comparativ cu perioada similară din anul precedent și s-au realizat în proporție de </w:t>
      </w:r>
      <w:r w:rsidR="00D22C24" w:rsidRPr="00A057AC">
        <w:rPr>
          <w:rFonts w:ascii="Tahoma" w:hAnsi="Tahoma" w:cs="Tahoma"/>
          <w:sz w:val="24"/>
          <w:szCs w:val="24"/>
        </w:rPr>
        <w:t>109,5</w:t>
      </w:r>
      <w:r w:rsidR="004D6D76" w:rsidRPr="00A057AC">
        <w:rPr>
          <w:rFonts w:ascii="Tahoma" w:hAnsi="Tahoma" w:cs="Tahoma"/>
          <w:sz w:val="24"/>
          <w:szCs w:val="24"/>
        </w:rPr>
        <w:t>%.</w:t>
      </w:r>
    </w:p>
    <w:p w:rsidR="004D6D76" w:rsidRPr="00A057AC" w:rsidRDefault="004D6D76" w:rsidP="002A6579">
      <w:pPr>
        <w:spacing w:line="276" w:lineRule="auto"/>
        <w:ind w:firstLine="720"/>
        <w:rPr>
          <w:rFonts w:ascii="Tahoma" w:hAnsi="Tahoma" w:cs="Tahoma"/>
          <w:sz w:val="24"/>
          <w:szCs w:val="24"/>
        </w:rPr>
      </w:pPr>
      <w:r w:rsidRPr="00A057AC">
        <w:rPr>
          <w:rFonts w:ascii="Tahoma" w:hAnsi="Tahoma" w:cs="Tahoma"/>
          <w:sz w:val="24"/>
          <w:szCs w:val="24"/>
        </w:rPr>
        <w:t>În structură</w:t>
      </w:r>
      <w:r w:rsidR="009904E3" w:rsidRPr="00A057AC">
        <w:rPr>
          <w:rFonts w:ascii="Tahoma" w:hAnsi="Tahoma" w:cs="Tahoma"/>
          <w:sz w:val="24"/>
          <w:szCs w:val="24"/>
        </w:rPr>
        <w:t>,</w:t>
      </w:r>
      <w:r w:rsidRPr="00A057AC">
        <w:rPr>
          <w:rFonts w:ascii="Tahoma" w:hAnsi="Tahoma" w:cs="Tahoma"/>
          <w:sz w:val="24"/>
          <w:szCs w:val="24"/>
        </w:rPr>
        <w:t xml:space="preserve"> veniturile fiscale au avut următoarea evoluție:</w:t>
      </w:r>
    </w:p>
    <w:p w:rsidR="00D22C24" w:rsidRPr="00A057AC" w:rsidRDefault="00575968" w:rsidP="00D22C24">
      <w:pPr>
        <w:spacing w:after="120" w:line="276" w:lineRule="auto"/>
        <w:ind w:firstLine="720"/>
        <w:rPr>
          <w:rFonts w:ascii="Tahoma" w:hAnsi="Tahoma" w:cs="Tahoma"/>
          <w:sz w:val="24"/>
          <w:szCs w:val="24"/>
        </w:rPr>
      </w:pPr>
      <w:r w:rsidRPr="00A057AC">
        <w:rPr>
          <w:rFonts w:ascii="Tahoma" w:hAnsi="Tahoma" w:cs="Tahoma"/>
          <w:b/>
          <w:sz w:val="24"/>
          <w:szCs w:val="24"/>
        </w:rPr>
        <w:t>Încasările din impozitul pe profit</w:t>
      </w:r>
      <w:r w:rsidR="00FF292C" w:rsidRPr="00A057AC">
        <w:rPr>
          <w:rFonts w:ascii="Tahoma" w:hAnsi="Tahoma" w:cs="Tahoma"/>
          <w:b/>
          <w:sz w:val="24"/>
          <w:szCs w:val="24"/>
        </w:rPr>
        <w:t xml:space="preserve"> </w:t>
      </w:r>
      <w:r w:rsidR="00D22C24" w:rsidRPr="00A057AC">
        <w:rPr>
          <w:rFonts w:ascii="Tahoma" w:hAnsi="Tahoma" w:cs="Tahoma"/>
          <w:sz w:val="24"/>
          <w:szCs w:val="24"/>
        </w:rPr>
        <w:t>pentru semestrul I 2021 au totalizat 8,43 miliarde lei, în creștere cu 12,1% și cu o depășire a țintei de program stabilit pentru această perioadă de 9,7% (+0,74 miliarde lei)</w:t>
      </w:r>
      <w:r w:rsidR="00B625AC" w:rsidRPr="00A057AC">
        <w:rPr>
          <w:rFonts w:ascii="Tahoma" w:hAnsi="Tahoma" w:cs="Tahoma"/>
          <w:sz w:val="24"/>
          <w:szCs w:val="24"/>
        </w:rPr>
        <w:t>.</w:t>
      </w:r>
    </w:p>
    <w:p w:rsidR="00D22C24" w:rsidRPr="00A057AC" w:rsidRDefault="00D22C24" w:rsidP="00D22C24">
      <w:pPr>
        <w:spacing w:after="120" w:line="276" w:lineRule="auto"/>
        <w:ind w:firstLine="720"/>
        <w:rPr>
          <w:rFonts w:ascii="Tahoma" w:hAnsi="Tahoma" w:cs="Tahoma"/>
          <w:sz w:val="24"/>
          <w:szCs w:val="24"/>
        </w:rPr>
      </w:pPr>
      <w:r w:rsidRPr="00A057AC">
        <w:rPr>
          <w:rFonts w:ascii="Tahoma" w:hAnsi="Tahoma" w:cs="Tahoma"/>
          <w:sz w:val="24"/>
          <w:szCs w:val="24"/>
        </w:rPr>
        <w:t>Evoluția impozitului pe profit virat de operatorii economici pentru semestrul I 2021 prezintă o dinamică pozitivă de 16%, cu o depășire a țintei de program stabilit pentru această perioadă de 14% (+1 miliard lei). Acest avans se datorează efectului de bază aferent trimestrului II al anului trecut, când s-au adoptat măsuri fiscale menite să sprijine contribuabilii în contextul pandemiei precum acordarea de bonificații de 5% pentru marii contribuabili, respectiv 10% pentru contribuabilii mici și mijlocii, acordate pentru plata la scadență a impozitului pe profit (OUG 33/2020).</w:t>
      </w:r>
    </w:p>
    <w:p w:rsidR="00D22C24" w:rsidRPr="00A057AC" w:rsidRDefault="00D22C24" w:rsidP="00D22C24">
      <w:pPr>
        <w:spacing w:after="120" w:line="276" w:lineRule="auto"/>
        <w:ind w:firstLine="720"/>
        <w:rPr>
          <w:rFonts w:ascii="Tahoma" w:hAnsi="Tahoma" w:cs="Tahoma"/>
          <w:sz w:val="24"/>
          <w:szCs w:val="24"/>
        </w:rPr>
      </w:pPr>
      <w:r w:rsidRPr="00A057AC">
        <w:rPr>
          <w:rFonts w:ascii="Tahoma" w:hAnsi="Tahoma" w:cs="Tahoma"/>
          <w:sz w:val="24"/>
          <w:szCs w:val="24"/>
        </w:rPr>
        <w:t>Dinamica pozitivă a impozitului pe profit virat de operatorii economici este atenuată însă de scăderea impozitul pe profit virat de băncile comerciale cu 56,4% față de nivelul viramentelor din aceeași perioadă a anului precedent.</w:t>
      </w:r>
    </w:p>
    <w:p w:rsidR="00D22C24" w:rsidRPr="00A057AC" w:rsidRDefault="00746146" w:rsidP="00D22C24">
      <w:pPr>
        <w:spacing w:after="120" w:line="276" w:lineRule="auto"/>
        <w:ind w:firstLine="720"/>
        <w:rPr>
          <w:rFonts w:ascii="Tahoma" w:hAnsi="Tahoma" w:cs="Tahoma"/>
          <w:sz w:val="24"/>
          <w:szCs w:val="24"/>
        </w:rPr>
      </w:pPr>
      <w:r w:rsidRPr="00A057AC">
        <w:rPr>
          <w:rFonts w:ascii="Tahoma" w:hAnsi="Tahoma" w:cs="Tahoma"/>
          <w:b/>
          <w:sz w:val="24"/>
          <w:szCs w:val="24"/>
        </w:rPr>
        <w:t>Încasările din impozitul pe venit</w:t>
      </w:r>
      <w:r w:rsidR="009B308F" w:rsidRPr="00A057AC">
        <w:rPr>
          <w:rFonts w:ascii="Tahoma" w:hAnsi="Tahoma" w:cs="Tahoma"/>
          <w:b/>
          <w:sz w:val="24"/>
          <w:szCs w:val="24"/>
        </w:rPr>
        <w:t xml:space="preserve"> </w:t>
      </w:r>
      <w:r w:rsidR="00D22C24" w:rsidRPr="00A057AC">
        <w:rPr>
          <w:rFonts w:ascii="Tahoma" w:hAnsi="Tahoma" w:cs="Tahoma"/>
          <w:sz w:val="24"/>
          <w:szCs w:val="24"/>
        </w:rPr>
        <w:t xml:space="preserve">în primul semestru al anului 2021 au totalizat 14,29 miliarde lei, în creștere cu 16,9% comparativ cu aceeași perioadă a anului precedent. </w:t>
      </w:r>
    </w:p>
    <w:p w:rsidR="00D22C24" w:rsidRPr="00A057AC" w:rsidRDefault="00D22C24" w:rsidP="00D22C24">
      <w:pPr>
        <w:spacing w:after="120" w:line="276" w:lineRule="auto"/>
        <w:ind w:firstLine="720"/>
        <w:rPr>
          <w:rFonts w:ascii="Tahoma" w:hAnsi="Tahoma" w:cs="Tahoma"/>
          <w:sz w:val="24"/>
          <w:szCs w:val="24"/>
        </w:rPr>
      </w:pPr>
      <w:r w:rsidRPr="00A057AC">
        <w:rPr>
          <w:rFonts w:ascii="Tahoma" w:hAnsi="Tahoma" w:cs="Tahoma"/>
          <w:sz w:val="24"/>
          <w:szCs w:val="24"/>
        </w:rPr>
        <w:lastRenderedPageBreak/>
        <w:t xml:space="preserve">Gradul de realizare al impozitului pe venit față de programul stabilit pentru această perioadă este 106,6% (+0,89 miliarde lei). </w:t>
      </w:r>
    </w:p>
    <w:p w:rsidR="00D22C24" w:rsidRPr="00A057AC" w:rsidRDefault="00D22C24" w:rsidP="00D22C24">
      <w:pPr>
        <w:spacing w:after="120" w:line="276" w:lineRule="auto"/>
        <w:ind w:firstLine="720"/>
        <w:rPr>
          <w:rFonts w:ascii="Tahoma" w:hAnsi="Tahoma" w:cs="Tahoma"/>
          <w:sz w:val="24"/>
          <w:szCs w:val="24"/>
        </w:rPr>
      </w:pPr>
      <w:r w:rsidRPr="00A057AC">
        <w:rPr>
          <w:rFonts w:ascii="Tahoma" w:hAnsi="Tahoma" w:cs="Tahoma"/>
          <w:sz w:val="24"/>
          <w:szCs w:val="24"/>
        </w:rPr>
        <w:t>În structură, comparativ cu aceeași perioadă a anului 2020, încasările din impozitul pe venitul din salarii, cresc cu 11,9%, dinamică superioară celei înregistra</w:t>
      </w:r>
      <w:r w:rsidR="004438F1" w:rsidRPr="00A057AC">
        <w:rPr>
          <w:rFonts w:ascii="Tahoma" w:hAnsi="Tahoma" w:cs="Tahoma"/>
          <w:sz w:val="24"/>
          <w:szCs w:val="24"/>
        </w:rPr>
        <w:t>te de fondul de salarii de 7,6%</w:t>
      </w:r>
      <w:r w:rsidRPr="00A057AC">
        <w:rPr>
          <w:rFonts w:ascii="Tahoma" w:hAnsi="Tahoma" w:cs="Tahoma"/>
          <w:sz w:val="24"/>
          <w:szCs w:val="24"/>
        </w:rPr>
        <w:t xml:space="preserve">. </w:t>
      </w:r>
    </w:p>
    <w:p w:rsidR="00D22C24" w:rsidRPr="00A057AC" w:rsidRDefault="00D22C24" w:rsidP="00D22C24">
      <w:pPr>
        <w:spacing w:after="120" w:line="276" w:lineRule="auto"/>
        <w:ind w:firstLine="720"/>
        <w:rPr>
          <w:rFonts w:ascii="Tahoma" w:hAnsi="Tahoma" w:cs="Tahoma"/>
          <w:sz w:val="24"/>
          <w:szCs w:val="24"/>
        </w:rPr>
      </w:pPr>
      <w:r w:rsidRPr="00A057AC">
        <w:rPr>
          <w:rFonts w:ascii="Tahoma" w:hAnsi="Tahoma" w:cs="Tahoma"/>
          <w:sz w:val="24"/>
          <w:szCs w:val="24"/>
        </w:rPr>
        <w:t>O evoluție pozitivă a veniturilor din această sursă a fost susținută și de sporul încasărilor din impozitul pe veniturile din pensii și dividende, de 46,4%, respectiv 28%.</w:t>
      </w:r>
    </w:p>
    <w:p w:rsidR="00746146" w:rsidRPr="00A057AC" w:rsidRDefault="004D6D76" w:rsidP="00D22C24">
      <w:pPr>
        <w:spacing w:after="120" w:line="276" w:lineRule="auto"/>
        <w:ind w:firstLine="720"/>
        <w:rPr>
          <w:rFonts w:ascii="Tahoma" w:hAnsi="Tahoma" w:cs="Tahoma"/>
          <w:sz w:val="24"/>
          <w:szCs w:val="24"/>
        </w:rPr>
      </w:pPr>
      <w:r w:rsidRPr="00A057AC">
        <w:rPr>
          <w:rFonts w:ascii="Tahoma" w:hAnsi="Tahoma" w:cs="Tahoma"/>
          <w:sz w:val="24"/>
          <w:szCs w:val="24"/>
        </w:rPr>
        <w:t xml:space="preserve">Încasările din </w:t>
      </w:r>
      <w:r w:rsidRPr="00A057AC">
        <w:rPr>
          <w:rFonts w:ascii="Tahoma" w:hAnsi="Tahoma" w:cs="Tahoma"/>
          <w:b/>
          <w:sz w:val="24"/>
          <w:szCs w:val="24"/>
        </w:rPr>
        <w:t>impozitele</w:t>
      </w:r>
      <w:r w:rsidR="009B308F" w:rsidRPr="00A057AC">
        <w:rPr>
          <w:rFonts w:ascii="Tahoma" w:hAnsi="Tahoma" w:cs="Tahoma"/>
          <w:b/>
          <w:sz w:val="24"/>
          <w:szCs w:val="24"/>
        </w:rPr>
        <w:t xml:space="preserve"> </w:t>
      </w:r>
      <w:r w:rsidRPr="00A057AC">
        <w:rPr>
          <w:rFonts w:ascii="Tahoma" w:hAnsi="Tahoma" w:cs="Tahoma"/>
          <w:b/>
          <w:bCs/>
          <w:sz w:val="24"/>
          <w:szCs w:val="24"/>
        </w:rPr>
        <w:t xml:space="preserve">și taxele pe proprietate </w:t>
      </w:r>
      <w:r w:rsidRPr="00A057AC">
        <w:rPr>
          <w:rFonts w:ascii="Tahoma" w:hAnsi="Tahoma" w:cs="Tahoma"/>
          <w:bCs/>
          <w:sz w:val="24"/>
          <w:szCs w:val="24"/>
        </w:rPr>
        <w:t xml:space="preserve">au totalizat </w:t>
      </w:r>
      <w:r w:rsidR="00D22C24" w:rsidRPr="00A057AC">
        <w:rPr>
          <w:rFonts w:ascii="Tahoma" w:hAnsi="Tahoma" w:cs="Tahoma"/>
          <w:bCs/>
          <w:sz w:val="24"/>
          <w:szCs w:val="24"/>
        </w:rPr>
        <w:t>4,89</w:t>
      </w:r>
      <w:r w:rsidRPr="00A057AC">
        <w:rPr>
          <w:rFonts w:ascii="Tahoma" w:hAnsi="Tahoma" w:cs="Tahoma"/>
          <w:bCs/>
          <w:sz w:val="24"/>
          <w:szCs w:val="24"/>
        </w:rPr>
        <w:t xml:space="preserve"> mili</w:t>
      </w:r>
      <w:r w:rsidR="00D22C24" w:rsidRPr="00A057AC">
        <w:rPr>
          <w:rFonts w:ascii="Tahoma" w:hAnsi="Tahoma" w:cs="Tahoma"/>
          <w:bCs/>
          <w:sz w:val="24"/>
          <w:szCs w:val="24"/>
        </w:rPr>
        <w:t>arde</w:t>
      </w:r>
      <w:r w:rsidRPr="00A057AC">
        <w:rPr>
          <w:rFonts w:ascii="Tahoma" w:hAnsi="Tahoma" w:cs="Tahoma"/>
          <w:bCs/>
          <w:sz w:val="24"/>
          <w:szCs w:val="24"/>
        </w:rPr>
        <w:t xml:space="preserve"> lei (0,4% din PIB) cu </w:t>
      </w:r>
      <w:r w:rsidR="00D22C24" w:rsidRPr="00A057AC">
        <w:rPr>
          <w:rFonts w:ascii="Tahoma" w:hAnsi="Tahoma" w:cs="Tahoma"/>
          <w:bCs/>
          <w:sz w:val="24"/>
          <w:szCs w:val="24"/>
        </w:rPr>
        <w:t>22</w:t>
      </w:r>
      <w:r w:rsidR="00746146" w:rsidRPr="00A057AC">
        <w:rPr>
          <w:rFonts w:ascii="Tahoma" w:hAnsi="Tahoma" w:cs="Tahoma"/>
          <w:bCs/>
          <w:sz w:val="24"/>
          <w:szCs w:val="24"/>
        </w:rPr>
        <w:t>,</w:t>
      </w:r>
      <w:r w:rsidR="00D22C24" w:rsidRPr="00A057AC">
        <w:rPr>
          <w:rFonts w:ascii="Tahoma" w:hAnsi="Tahoma" w:cs="Tahoma"/>
          <w:bCs/>
          <w:sz w:val="24"/>
          <w:szCs w:val="24"/>
        </w:rPr>
        <w:t>5</w:t>
      </w:r>
      <w:r w:rsidRPr="00A057AC">
        <w:rPr>
          <w:rFonts w:ascii="Tahoma" w:hAnsi="Tahoma" w:cs="Tahoma"/>
          <w:bCs/>
          <w:sz w:val="24"/>
          <w:szCs w:val="24"/>
        </w:rPr>
        <w:t xml:space="preserve">% </w:t>
      </w:r>
      <w:r w:rsidR="00D22C24" w:rsidRPr="00A057AC">
        <w:rPr>
          <w:rFonts w:ascii="Tahoma" w:hAnsi="Tahoma" w:cs="Tahoma"/>
          <w:bCs/>
          <w:sz w:val="24"/>
          <w:szCs w:val="24"/>
        </w:rPr>
        <w:t>peste</w:t>
      </w:r>
      <w:r w:rsidR="00746146" w:rsidRPr="00A057AC">
        <w:rPr>
          <w:rFonts w:ascii="Tahoma" w:hAnsi="Tahoma" w:cs="Tahoma"/>
          <w:bCs/>
          <w:sz w:val="24"/>
          <w:szCs w:val="24"/>
        </w:rPr>
        <w:t xml:space="preserve"> încasările </w:t>
      </w:r>
      <w:r w:rsidRPr="00A057AC">
        <w:rPr>
          <w:rFonts w:ascii="Tahoma" w:hAnsi="Tahoma" w:cs="Tahoma"/>
          <w:sz w:val="24"/>
          <w:szCs w:val="24"/>
        </w:rPr>
        <w:t>semestrul</w:t>
      </w:r>
      <w:r w:rsidR="00746146" w:rsidRPr="00A057AC">
        <w:rPr>
          <w:rFonts w:ascii="Tahoma" w:hAnsi="Tahoma" w:cs="Tahoma"/>
          <w:sz w:val="24"/>
          <w:szCs w:val="24"/>
        </w:rPr>
        <w:t>ui</w:t>
      </w:r>
      <w:r w:rsidRPr="00A057AC">
        <w:rPr>
          <w:rFonts w:ascii="Tahoma" w:hAnsi="Tahoma" w:cs="Tahoma"/>
          <w:sz w:val="24"/>
          <w:szCs w:val="24"/>
        </w:rPr>
        <w:t xml:space="preserve"> I </w:t>
      </w:r>
      <w:r w:rsidR="00746146" w:rsidRPr="00A057AC">
        <w:rPr>
          <w:rFonts w:ascii="Tahoma" w:hAnsi="Tahoma" w:cs="Tahoma"/>
          <w:sz w:val="24"/>
          <w:szCs w:val="24"/>
        </w:rPr>
        <w:t>20</w:t>
      </w:r>
      <w:r w:rsidR="00D22C24" w:rsidRPr="00A057AC">
        <w:rPr>
          <w:rFonts w:ascii="Tahoma" w:hAnsi="Tahoma" w:cs="Tahoma"/>
          <w:sz w:val="24"/>
          <w:szCs w:val="24"/>
        </w:rPr>
        <w:t>20</w:t>
      </w:r>
      <w:r w:rsidRPr="00A057AC">
        <w:rPr>
          <w:rFonts w:ascii="Tahoma" w:hAnsi="Tahoma" w:cs="Tahoma"/>
          <w:sz w:val="24"/>
          <w:szCs w:val="24"/>
        </w:rPr>
        <w:t xml:space="preserve">, gradul de realizare al programului de încasări fiind de </w:t>
      </w:r>
      <w:r w:rsidR="00D22C24" w:rsidRPr="00A057AC">
        <w:rPr>
          <w:rFonts w:ascii="Tahoma" w:hAnsi="Tahoma" w:cs="Tahoma"/>
          <w:sz w:val="24"/>
          <w:szCs w:val="24"/>
        </w:rPr>
        <w:t>113,3</w:t>
      </w:r>
      <w:r w:rsidRPr="00A057AC">
        <w:rPr>
          <w:rFonts w:ascii="Tahoma" w:hAnsi="Tahoma" w:cs="Tahoma"/>
          <w:sz w:val="24"/>
          <w:szCs w:val="24"/>
        </w:rPr>
        <w:t xml:space="preserve">%. </w:t>
      </w:r>
    </w:p>
    <w:p w:rsidR="004438F1" w:rsidRPr="00A057AC" w:rsidRDefault="008A3D57" w:rsidP="002A6579">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Creșterea încasărilor din impozite pe proprietate față de semestrul I al anului anterior este influențată de anumite prevederi legislative</w:t>
      </w:r>
      <w:r w:rsidR="004438F1" w:rsidRPr="00A057AC">
        <w:rPr>
          <w:rFonts w:ascii="Tahoma" w:hAnsi="Tahoma" w:cs="Tahoma"/>
          <w:sz w:val="24"/>
          <w:szCs w:val="24"/>
        </w:rPr>
        <w:t xml:space="preserve"> cum ar fi</w:t>
      </w:r>
      <w:r w:rsidRPr="00A057AC">
        <w:rPr>
          <w:rFonts w:ascii="Tahoma" w:hAnsi="Tahoma" w:cs="Tahoma"/>
          <w:sz w:val="24"/>
          <w:szCs w:val="24"/>
        </w:rPr>
        <w:t xml:space="preserve">: </w:t>
      </w:r>
    </w:p>
    <w:p w:rsidR="004438F1" w:rsidRPr="00A057AC" w:rsidRDefault="008A3D57" w:rsidP="002A6579">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a)</w:t>
      </w:r>
      <w:r w:rsidR="009B308F" w:rsidRPr="00A057AC">
        <w:rPr>
          <w:rFonts w:ascii="Tahoma" w:hAnsi="Tahoma" w:cs="Tahoma"/>
          <w:sz w:val="24"/>
          <w:szCs w:val="24"/>
        </w:rPr>
        <w:t xml:space="preserve"> </w:t>
      </w:r>
      <w:r w:rsidRPr="00A057AC">
        <w:rPr>
          <w:rFonts w:ascii="Tahoma" w:hAnsi="Tahoma" w:cs="Tahoma"/>
          <w:sz w:val="24"/>
          <w:szCs w:val="24"/>
        </w:rPr>
        <w:t>pentru anul 2020, consiliile locale, respectiv Consiliul General al Municipiului București, au putut adopta hotărâri de reducere a impozitului anual pe clădiri cu o cotă de până la 50%, pentru clădirile nerezidențiale, aflate în proprietatea persoanelor fizice sau juridice, respectiv de scutire de la plata taxei lunare pe clădiri datorate de către concesionari, locatari, titularii dreptului de administrare sau de folosință a unei clădiri proprietatea publică sau privată a statului ori a unităț</w:t>
      </w:r>
      <w:r w:rsidR="004438F1" w:rsidRPr="00A057AC">
        <w:rPr>
          <w:rFonts w:ascii="Tahoma" w:hAnsi="Tahoma" w:cs="Tahoma"/>
          <w:sz w:val="24"/>
          <w:szCs w:val="24"/>
        </w:rPr>
        <w:t>ilor administrativ-teritoriale;</w:t>
      </w:r>
    </w:p>
    <w:p w:rsidR="008A3D57" w:rsidRPr="00A057AC" w:rsidRDefault="008A3D57" w:rsidP="002A6579">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b) începând cu anul 2021 sunt prevăzute măsuri de creștere a impozitelor pe proprietate în situația neactualizării valorilor impozabile a clădirilor pentru persoane juridice, la un interval de 5 ani în comparație cu 3 ani (cum era până anul trecut).</w:t>
      </w:r>
    </w:p>
    <w:p w:rsidR="008A3D57" w:rsidRPr="00A057AC" w:rsidRDefault="00BB23A6" w:rsidP="008A3D57">
      <w:pPr>
        <w:autoSpaceDE w:val="0"/>
        <w:autoSpaceDN w:val="0"/>
        <w:adjustRightInd w:val="0"/>
        <w:spacing w:line="276" w:lineRule="auto"/>
        <w:ind w:firstLine="720"/>
        <w:rPr>
          <w:rFonts w:ascii="Tahoma" w:hAnsi="Tahoma" w:cs="Tahoma"/>
          <w:sz w:val="24"/>
          <w:szCs w:val="24"/>
        </w:rPr>
      </w:pPr>
      <w:r w:rsidRPr="00A057AC">
        <w:rPr>
          <w:rFonts w:ascii="Tahoma" w:hAnsi="Tahoma" w:cs="Tahoma"/>
          <w:b/>
          <w:sz w:val="24"/>
          <w:szCs w:val="24"/>
        </w:rPr>
        <w:t>Încasările din taxa pe valoarea adăugată</w:t>
      </w:r>
      <w:r w:rsidR="009B308F" w:rsidRPr="00A057AC">
        <w:rPr>
          <w:rFonts w:ascii="Tahoma" w:hAnsi="Tahoma" w:cs="Tahoma"/>
          <w:b/>
          <w:sz w:val="24"/>
          <w:szCs w:val="24"/>
        </w:rPr>
        <w:t xml:space="preserve"> </w:t>
      </w:r>
      <w:r w:rsidR="008A3D57" w:rsidRPr="00A057AC">
        <w:rPr>
          <w:rFonts w:ascii="Tahoma" w:hAnsi="Tahoma" w:cs="Tahoma"/>
          <w:sz w:val="24"/>
          <w:szCs w:val="24"/>
        </w:rPr>
        <w:t xml:space="preserve">au totalizat 35,93 miliarde lei, cu 41,5% peste încasările înregistrate în aceeași perioadă a anului precedent, iar gradul de realizare al programului de încasări a fost de 108,9%. </w:t>
      </w:r>
    </w:p>
    <w:p w:rsidR="008A3D57" w:rsidRPr="00A057AC" w:rsidRDefault="008A3D57" w:rsidP="008A3D57">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Evoluția pozitivă a încasărilor nete de TVA în primul semestru al anului se datorează efectului de bază aferent perioadei similare din anul precedent, când începând cu instituirea stării de urgență s-au adoptat măsuri fiscale cu scopul de a asigura companiilor un nivel de lichiditate suplimentar pe perioada crizei, prin amânarea termenului de plată a TVA și rambursarea TVA cu control ulterior.</w:t>
      </w:r>
    </w:p>
    <w:p w:rsidR="008A3D57" w:rsidRPr="00A057AC" w:rsidRDefault="008A3D57" w:rsidP="008A3D57">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Referitor la nivelul rambursărilor din TVA la 6 luni, acestea au însumat 12,2 miliarde lei cu o medie lunară de 2,0 miliarde lei, medie similara celei înregistrate în ianuarie-iunie 2020.</w:t>
      </w:r>
    </w:p>
    <w:p w:rsidR="008A3D57" w:rsidRPr="00A057AC" w:rsidRDefault="008A3D57" w:rsidP="008A3D57">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t>În ceea ce privește volumul cifrei de afaceri din comerțul cu amănuntul (cu excepția comerțului cu autovehicule și motociclete), serie brută, în perioada 1.I-31.V.2021, comparativ cu perioada 1.I-31.V.2020, acesta a înregistrat o creștere pe ansamblu, cu 13,7%, datorită creșterii vânzărilor de produse nealimentare (+23,2%), comerțului cu amănuntul al carburanților pentru autovehicule în magazine specializate (+13,8%) și vânzărilor de produse alimentare, băuturi și tutun (+4,6%).</w:t>
      </w:r>
    </w:p>
    <w:p w:rsidR="00BB23A6" w:rsidRPr="00A057AC" w:rsidRDefault="008A3D57" w:rsidP="008A3D57">
      <w:pPr>
        <w:autoSpaceDE w:val="0"/>
        <w:autoSpaceDN w:val="0"/>
        <w:adjustRightInd w:val="0"/>
        <w:spacing w:line="276" w:lineRule="auto"/>
        <w:ind w:firstLine="720"/>
        <w:rPr>
          <w:rFonts w:ascii="Tahoma" w:hAnsi="Tahoma" w:cs="Tahoma"/>
          <w:sz w:val="24"/>
          <w:szCs w:val="24"/>
        </w:rPr>
      </w:pPr>
      <w:r w:rsidRPr="00A057AC">
        <w:rPr>
          <w:rFonts w:ascii="Tahoma" w:hAnsi="Tahoma" w:cs="Tahoma"/>
          <w:sz w:val="24"/>
          <w:szCs w:val="24"/>
        </w:rPr>
        <w:lastRenderedPageBreak/>
        <w:t>Referitor la valoarea schimburilor extracomunitare de bunuri (</w:t>
      </w:r>
      <w:r w:rsidR="004438F1" w:rsidRPr="00A057AC">
        <w:rPr>
          <w:rFonts w:ascii="Tahoma" w:hAnsi="Tahoma" w:cs="Tahoma"/>
          <w:sz w:val="24"/>
          <w:szCs w:val="24"/>
        </w:rPr>
        <w:t>Extra-UE27)  aceasta au crescut</w:t>
      </w:r>
      <w:r w:rsidRPr="00A057AC">
        <w:rPr>
          <w:rFonts w:ascii="Tahoma" w:hAnsi="Tahoma" w:cs="Tahoma"/>
          <w:sz w:val="24"/>
          <w:szCs w:val="24"/>
        </w:rPr>
        <w:t xml:space="preserve"> cu </w:t>
      </w:r>
      <w:r w:rsidR="00D14119" w:rsidRPr="00A057AC">
        <w:rPr>
          <w:rFonts w:ascii="Tahoma" w:hAnsi="Tahoma" w:cs="Tahoma"/>
          <w:sz w:val="24"/>
          <w:szCs w:val="24"/>
        </w:rPr>
        <w:t>24,4</w:t>
      </w:r>
      <w:r w:rsidR="004438F1" w:rsidRPr="00A057AC">
        <w:rPr>
          <w:rFonts w:ascii="Tahoma" w:hAnsi="Tahoma" w:cs="Tahoma"/>
          <w:sz w:val="24"/>
          <w:szCs w:val="24"/>
        </w:rPr>
        <w:t>% la importuri</w:t>
      </w:r>
      <w:r w:rsidRPr="00A057AC">
        <w:rPr>
          <w:rFonts w:ascii="Tahoma" w:hAnsi="Tahoma" w:cs="Tahoma"/>
          <w:sz w:val="24"/>
          <w:szCs w:val="24"/>
        </w:rPr>
        <w:t xml:space="preserve"> și cu </w:t>
      </w:r>
      <w:r w:rsidR="00D14119" w:rsidRPr="00A057AC">
        <w:rPr>
          <w:rFonts w:ascii="Tahoma" w:hAnsi="Tahoma" w:cs="Tahoma"/>
          <w:sz w:val="24"/>
          <w:szCs w:val="24"/>
        </w:rPr>
        <w:t>19</w:t>
      </w:r>
      <w:r w:rsidRPr="00A057AC">
        <w:rPr>
          <w:rFonts w:ascii="Tahoma" w:hAnsi="Tahoma" w:cs="Tahoma"/>
          <w:sz w:val="24"/>
          <w:szCs w:val="24"/>
        </w:rPr>
        <w:t>,7% la exporturi (la valori exprimate în lei) în primele cinci luni ale anului 2021 comparativ cu perioada similară a anului precedent.</w:t>
      </w:r>
    </w:p>
    <w:p w:rsidR="008A3D57" w:rsidRPr="00A057AC" w:rsidRDefault="00BB23A6" w:rsidP="008A3D57">
      <w:pPr>
        <w:tabs>
          <w:tab w:val="left" w:pos="284"/>
        </w:tabs>
        <w:autoSpaceDE w:val="0"/>
        <w:autoSpaceDN w:val="0"/>
        <w:adjustRightInd w:val="0"/>
        <w:spacing w:after="120" w:line="276" w:lineRule="auto"/>
        <w:ind w:firstLine="720"/>
        <w:rPr>
          <w:rFonts w:ascii="Tahoma" w:eastAsia="Calibri" w:hAnsi="Tahoma" w:cs="Tahoma"/>
          <w:sz w:val="24"/>
          <w:szCs w:val="24"/>
        </w:rPr>
      </w:pPr>
      <w:r w:rsidRPr="00A057AC">
        <w:rPr>
          <w:rFonts w:ascii="Tahoma" w:hAnsi="Tahoma" w:cs="Tahoma"/>
          <w:b/>
          <w:sz w:val="24"/>
          <w:szCs w:val="24"/>
        </w:rPr>
        <w:t xml:space="preserve">Încasările din </w:t>
      </w:r>
      <w:r w:rsidRPr="00A057AC">
        <w:rPr>
          <w:rFonts w:ascii="Tahoma" w:eastAsia="Calibri" w:hAnsi="Tahoma" w:cs="Tahoma"/>
          <w:b/>
          <w:sz w:val="24"/>
          <w:szCs w:val="24"/>
        </w:rPr>
        <w:t>accize</w:t>
      </w:r>
      <w:r w:rsidR="000B4B07" w:rsidRPr="00A057AC">
        <w:rPr>
          <w:rFonts w:ascii="Tahoma" w:eastAsia="Calibri" w:hAnsi="Tahoma" w:cs="Tahoma"/>
          <w:b/>
          <w:sz w:val="24"/>
          <w:szCs w:val="24"/>
        </w:rPr>
        <w:t xml:space="preserve"> </w:t>
      </w:r>
      <w:r w:rsidR="008A3D57" w:rsidRPr="00A057AC">
        <w:rPr>
          <w:rFonts w:ascii="Tahoma" w:eastAsia="Calibri" w:hAnsi="Tahoma" w:cs="Tahoma"/>
          <w:sz w:val="24"/>
          <w:szCs w:val="24"/>
        </w:rPr>
        <w:t>au însumat 16,5</w:t>
      </w:r>
      <w:r w:rsidR="004438F1" w:rsidRPr="00A057AC">
        <w:rPr>
          <w:rFonts w:ascii="Tahoma" w:eastAsia="Calibri" w:hAnsi="Tahoma" w:cs="Tahoma"/>
          <w:sz w:val="24"/>
          <w:szCs w:val="24"/>
        </w:rPr>
        <w:t>3</w:t>
      </w:r>
      <w:r w:rsidR="008A3D57" w:rsidRPr="00A057AC">
        <w:rPr>
          <w:rFonts w:ascii="Tahoma" w:eastAsia="Calibri" w:hAnsi="Tahoma" w:cs="Tahoma"/>
          <w:sz w:val="24"/>
          <w:szCs w:val="24"/>
        </w:rPr>
        <w:t xml:space="preserve"> miliarde lei pe primul semestru al anului 2021, în creștere cu 21,2 % comparativ cu aceeași perioadă a anului precedent (+2,9 miliarde lei). Gradul de realizare </w:t>
      </w:r>
      <w:r w:rsidR="004438F1" w:rsidRPr="00A057AC">
        <w:rPr>
          <w:rFonts w:ascii="Tahoma" w:eastAsia="Calibri" w:hAnsi="Tahoma" w:cs="Tahoma"/>
          <w:sz w:val="24"/>
          <w:szCs w:val="24"/>
        </w:rPr>
        <w:t>al</w:t>
      </w:r>
      <w:r w:rsidR="008A3D57" w:rsidRPr="00A057AC">
        <w:rPr>
          <w:rFonts w:ascii="Tahoma" w:eastAsia="Calibri" w:hAnsi="Tahoma" w:cs="Tahoma"/>
          <w:sz w:val="24"/>
          <w:szCs w:val="24"/>
        </w:rPr>
        <w:t xml:space="preserve"> programul stabilit pentru această perioadă a fost de 108,4% (+1,3 miliarde lei).</w:t>
      </w:r>
    </w:p>
    <w:p w:rsidR="008A3D57" w:rsidRPr="00A057AC" w:rsidRDefault="008A3D57" w:rsidP="008A3D57">
      <w:pPr>
        <w:tabs>
          <w:tab w:val="left" w:pos="284"/>
        </w:tabs>
        <w:autoSpaceDE w:val="0"/>
        <w:autoSpaceDN w:val="0"/>
        <w:adjustRightInd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În structură evoluția accizelor se prezintă astfel:</w:t>
      </w:r>
    </w:p>
    <w:p w:rsidR="008A3D57" w:rsidRPr="00A057AC" w:rsidRDefault="004438F1" w:rsidP="008A3D57">
      <w:pPr>
        <w:tabs>
          <w:tab w:val="left" w:pos="284"/>
        </w:tabs>
        <w:autoSpaceDE w:val="0"/>
        <w:autoSpaceDN w:val="0"/>
        <w:adjustRightInd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 xml:space="preserve">- </w:t>
      </w:r>
      <w:r w:rsidR="008A3D57" w:rsidRPr="00A057AC">
        <w:rPr>
          <w:rFonts w:ascii="Tahoma" w:eastAsia="Calibri" w:hAnsi="Tahoma" w:cs="Tahoma"/>
          <w:sz w:val="24"/>
          <w:szCs w:val="24"/>
        </w:rPr>
        <w:t>în semestrul I al anului 2021 veniturile din accize pentru produse energetice au înregistrat o evoluție pozitivă de 22,0% comparativ cu aceeași perioadă a anului precedent (+0,1 miliarde lei) în condițiile unui nivel majorat al accizei pentru carburanți cu 3,0% de la începutul acestui an. Încasările din trimestrul II al anului 2020 au fost puternic influențate negativ de efectele instituirii stării de urgență asupra consumului de carburanți.</w:t>
      </w:r>
    </w:p>
    <w:p w:rsidR="008A3D57" w:rsidRPr="00A057AC" w:rsidRDefault="008A3D57" w:rsidP="008A3D57">
      <w:pPr>
        <w:tabs>
          <w:tab w:val="left" w:pos="284"/>
        </w:tabs>
        <w:autoSpaceDE w:val="0"/>
        <w:autoSpaceDN w:val="0"/>
        <w:adjustRightInd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 veniturile din accizele pentru produsele din tutun au înregistrat un avans de 18,7% an/an, (+0,1 miliarde lei) și pe fondul majorării nivelului accizei la țigarete cu 5,6%.</w:t>
      </w:r>
    </w:p>
    <w:p w:rsidR="004C2007" w:rsidRPr="00A057AC" w:rsidRDefault="004D6D76" w:rsidP="00B83B89">
      <w:pPr>
        <w:tabs>
          <w:tab w:val="left" w:pos="284"/>
        </w:tabs>
        <w:autoSpaceDE w:val="0"/>
        <w:autoSpaceDN w:val="0"/>
        <w:adjustRightInd w:val="0"/>
        <w:spacing w:after="120" w:line="276" w:lineRule="auto"/>
        <w:ind w:firstLine="720"/>
        <w:rPr>
          <w:rFonts w:ascii="Tahoma" w:hAnsi="Tahoma" w:cs="Tahoma"/>
          <w:sz w:val="24"/>
          <w:szCs w:val="24"/>
        </w:rPr>
      </w:pPr>
      <w:r w:rsidRPr="00A057AC">
        <w:rPr>
          <w:rFonts w:ascii="Tahoma" w:hAnsi="Tahoma" w:cs="Tahoma"/>
          <w:b/>
          <w:sz w:val="24"/>
          <w:szCs w:val="24"/>
        </w:rPr>
        <w:t xml:space="preserve">Încasările din alte impozite și taxe pe bunuri și servicii </w:t>
      </w:r>
      <w:r w:rsidR="00B83B89" w:rsidRPr="00A057AC">
        <w:rPr>
          <w:rFonts w:ascii="Tahoma" w:hAnsi="Tahoma" w:cs="Tahoma"/>
          <w:sz w:val="24"/>
          <w:szCs w:val="24"/>
        </w:rPr>
        <w:t>în valoare de 2,25 miliarde lei, au scăzut în semestrul I al anului 2021 față de aceeași perioadă a anului 2020 cu 20,9%, gradul de realizare al programului semestrial fiind de 120,4%.</w:t>
      </w:r>
    </w:p>
    <w:p w:rsidR="00B83B89" w:rsidRPr="00A057AC" w:rsidRDefault="00B83B89" w:rsidP="00B83B89">
      <w:pPr>
        <w:tabs>
          <w:tab w:val="left" w:pos="284"/>
        </w:tabs>
        <w:autoSpaceDE w:val="0"/>
        <w:autoSpaceDN w:val="0"/>
        <w:adjustRightInd w:val="0"/>
        <w:spacing w:after="120" w:line="276" w:lineRule="auto"/>
        <w:ind w:firstLine="720"/>
        <w:rPr>
          <w:rFonts w:ascii="Tahoma" w:hAnsi="Tahoma" w:cs="Tahoma"/>
          <w:sz w:val="24"/>
          <w:szCs w:val="24"/>
        </w:rPr>
      </w:pPr>
      <w:r w:rsidRPr="00A057AC">
        <w:rPr>
          <w:rFonts w:ascii="Tahoma" w:hAnsi="Tahoma" w:cs="Tahoma"/>
          <w:sz w:val="24"/>
          <w:szCs w:val="24"/>
        </w:rPr>
        <w:t>Diminuarea încasărilor comparativ cu anul anterior a fost determinată de evoluția acestei categorii de impozite la bugetul de stat unde reducerea a fost de 28,4% în condițiile în care, în semestrul I al anului 2021, încasările privind impozitul pe veniturile suplimentare obținute ca urmare a dereglementării prețurilor din sectorul gazelor naturale au scăzut cu 37,14% față de aceeași perioadă a anului precedent, ca urmare a modificărilor legislative de eliminare a prețurilor reglementate pentru categoria clienților casnici precum și de reducere a cotei procentuale de vânzare a cantității de gaze naturale pe piața centralizată, de la 50% la 40% din producția anuală, cu efect asupra încasărilor din impozitul pe veniturile suplimentare obținute ca urmare a dereglementării prețurilor din sectorul gazelor naturale.</w:t>
      </w:r>
    </w:p>
    <w:p w:rsidR="00A86FB2" w:rsidRPr="00A057AC" w:rsidRDefault="00B83B89" w:rsidP="00B83B89">
      <w:pPr>
        <w:tabs>
          <w:tab w:val="left" w:pos="284"/>
        </w:tabs>
        <w:autoSpaceDE w:val="0"/>
        <w:autoSpaceDN w:val="0"/>
        <w:adjustRightInd w:val="0"/>
        <w:spacing w:after="120" w:line="276" w:lineRule="auto"/>
        <w:ind w:firstLine="720"/>
        <w:rPr>
          <w:rFonts w:ascii="Tahoma" w:eastAsia="Times New Roman" w:hAnsi="Tahoma" w:cs="Tahoma"/>
          <w:bCs/>
          <w:color w:val="000000"/>
          <w:sz w:val="24"/>
          <w:szCs w:val="24"/>
        </w:rPr>
      </w:pPr>
      <w:r w:rsidRPr="00A057AC">
        <w:rPr>
          <w:rFonts w:ascii="Tahoma" w:hAnsi="Tahoma" w:cs="Tahoma"/>
          <w:sz w:val="24"/>
          <w:szCs w:val="24"/>
        </w:rPr>
        <w:t>De asemenea e</w:t>
      </w:r>
      <w:r w:rsidR="00C0259A" w:rsidRPr="00A057AC">
        <w:rPr>
          <w:rFonts w:ascii="Tahoma" w:hAnsi="Tahoma" w:cs="Tahoma"/>
          <w:sz w:val="24"/>
          <w:szCs w:val="24"/>
        </w:rPr>
        <w:t xml:space="preserve">voluția încasărilor din alte impozite și taxe pe bunuri și servicii a fost determinată </w:t>
      </w:r>
      <w:r w:rsidRPr="00A057AC">
        <w:rPr>
          <w:rFonts w:ascii="Tahoma" w:hAnsi="Tahoma" w:cs="Tahoma"/>
          <w:sz w:val="24"/>
          <w:szCs w:val="24"/>
        </w:rPr>
        <w:t>și de diminuarea</w:t>
      </w:r>
      <w:r w:rsidR="00C0259A" w:rsidRPr="00A057AC">
        <w:rPr>
          <w:rFonts w:ascii="Tahoma" w:hAnsi="Tahoma" w:cs="Tahoma"/>
          <w:sz w:val="24"/>
          <w:szCs w:val="24"/>
        </w:rPr>
        <w:t xml:space="preserve"> încasărilor la bugetul </w:t>
      </w:r>
      <w:r w:rsidR="00A86FB2" w:rsidRPr="00A057AC">
        <w:rPr>
          <w:rFonts w:ascii="Tahoma" w:hAnsi="Tahoma" w:cs="Tahoma"/>
          <w:sz w:val="24"/>
          <w:szCs w:val="24"/>
        </w:rPr>
        <w:t>F</w:t>
      </w:r>
      <w:r w:rsidR="00C0259A" w:rsidRPr="00A057AC">
        <w:rPr>
          <w:rFonts w:ascii="Tahoma" w:hAnsi="Tahoma" w:cs="Tahoma"/>
          <w:sz w:val="24"/>
          <w:szCs w:val="24"/>
        </w:rPr>
        <w:t xml:space="preserve">ondului național unic de asigurări sociale de sănătate </w:t>
      </w:r>
      <w:r w:rsidR="00A86FB2" w:rsidRPr="00A057AC">
        <w:rPr>
          <w:rFonts w:ascii="Tahoma" w:hAnsi="Tahoma" w:cs="Tahoma"/>
          <w:sz w:val="24"/>
          <w:szCs w:val="24"/>
        </w:rPr>
        <w:t>în primul semestru al anului 202</w:t>
      </w:r>
      <w:r w:rsidRPr="00A057AC">
        <w:rPr>
          <w:rFonts w:ascii="Tahoma" w:hAnsi="Tahoma" w:cs="Tahoma"/>
          <w:sz w:val="24"/>
          <w:szCs w:val="24"/>
        </w:rPr>
        <w:t>1</w:t>
      </w:r>
      <w:r w:rsidR="00A86FB2" w:rsidRPr="00A057AC">
        <w:rPr>
          <w:rFonts w:ascii="Tahoma" w:hAnsi="Tahoma" w:cs="Tahoma"/>
          <w:sz w:val="24"/>
          <w:szCs w:val="24"/>
        </w:rPr>
        <w:t xml:space="preserve"> comparativ cu primul semestru al anului 20</w:t>
      </w:r>
      <w:r w:rsidRPr="00A057AC">
        <w:rPr>
          <w:rFonts w:ascii="Tahoma" w:hAnsi="Tahoma" w:cs="Tahoma"/>
          <w:sz w:val="24"/>
          <w:szCs w:val="24"/>
        </w:rPr>
        <w:t>20</w:t>
      </w:r>
      <w:r w:rsidR="00A86FB2" w:rsidRPr="00A057AC">
        <w:rPr>
          <w:rFonts w:ascii="Tahoma" w:hAnsi="Tahoma" w:cs="Tahoma"/>
          <w:sz w:val="24"/>
          <w:szCs w:val="24"/>
        </w:rPr>
        <w:t xml:space="preserve"> cu </w:t>
      </w:r>
      <w:r w:rsidRPr="00A057AC">
        <w:rPr>
          <w:rFonts w:ascii="Tahoma" w:hAnsi="Tahoma" w:cs="Tahoma"/>
          <w:sz w:val="24"/>
          <w:szCs w:val="24"/>
        </w:rPr>
        <w:t>19,0</w:t>
      </w:r>
      <w:r w:rsidR="00C0259A" w:rsidRPr="00A057AC">
        <w:rPr>
          <w:rFonts w:ascii="Tahoma" w:hAnsi="Tahoma" w:cs="Tahoma"/>
          <w:sz w:val="24"/>
          <w:szCs w:val="24"/>
        </w:rPr>
        <w:t xml:space="preserve">% ca urmare a </w:t>
      </w:r>
      <w:r w:rsidR="00692CF5" w:rsidRPr="00A057AC">
        <w:rPr>
          <w:rFonts w:ascii="Tahoma" w:hAnsi="Tahoma" w:cs="Tahoma"/>
          <w:sz w:val="24"/>
          <w:szCs w:val="24"/>
        </w:rPr>
        <w:t xml:space="preserve">scăderii </w:t>
      </w:r>
      <w:r w:rsidR="004E4C99" w:rsidRPr="00A057AC">
        <w:rPr>
          <w:rFonts w:ascii="Tahoma" w:hAnsi="Tahoma" w:cs="Tahoma"/>
          <w:bCs/>
          <w:sz w:val="24"/>
          <w:szCs w:val="24"/>
        </w:rPr>
        <w:t>veniturilor din contribuț</w:t>
      </w:r>
      <w:r w:rsidR="00C0259A" w:rsidRPr="00A057AC">
        <w:rPr>
          <w:rFonts w:ascii="Tahoma" w:hAnsi="Tahoma" w:cs="Tahoma"/>
          <w:bCs/>
          <w:sz w:val="24"/>
          <w:szCs w:val="24"/>
        </w:rPr>
        <w:t>ia da</w:t>
      </w:r>
      <w:r w:rsidR="004E4C99" w:rsidRPr="00A057AC">
        <w:rPr>
          <w:rFonts w:ascii="Tahoma" w:hAnsi="Tahoma" w:cs="Tahoma"/>
          <w:bCs/>
          <w:sz w:val="24"/>
          <w:szCs w:val="24"/>
        </w:rPr>
        <w:t>torata pentru medicamente finanț</w:t>
      </w:r>
      <w:r w:rsidR="00EC46DD" w:rsidRPr="00A057AC">
        <w:rPr>
          <w:rFonts w:ascii="Tahoma" w:hAnsi="Tahoma" w:cs="Tahoma"/>
          <w:bCs/>
          <w:sz w:val="24"/>
          <w:szCs w:val="24"/>
        </w:rPr>
        <w:t xml:space="preserve">ate din Fondul </w:t>
      </w:r>
      <w:r w:rsidR="00CE2273" w:rsidRPr="00A057AC">
        <w:rPr>
          <w:rFonts w:ascii="Tahoma" w:hAnsi="Tahoma" w:cs="Tahoma"/>
          <w:bCs/>
          <w:sz w:val="24"/>
          <w:szCs w:val="24"/>
        </w:rPr>
        <w:t>național</w:t>
      </w:r>
      <w:r w:rsidR="00C0259A" w:rsidRPr="00A057AC">
        <w:rPr>
          <w:rFonts w:ascii="Tahoma" w:hAnsi="Tahoma" w:cs="Tahoma"/>
          <w:bCs/>
          <w:sz w:val="24"/>
          <w:szCs w:val="24"/>
        </w:rPr>
        <w:t xml:space="preserve"> unic de </w:t>
      </w:r>
      <w:r w:rsidR="00247A3D" w:rsidRPr="00A057AC">
        <w:rPr>
          <w:rFonts w:ascii="Tahoma" w:hAnsi="Tahoma" w:cs="Tahoma"/>
          <w:bCs/>
          <w:sz w:val="24"/>
          <w:szCs w:val="24"/>
        </w:rPr>
        <w:t>asigurări</w:t>
      </w:r>
      <w:r w:rsidR="00C0259A" w:rsidRPr="00A057AC">
        <w:rPr>
          <w:rFonts w:ascii="Tahoma" w:hAnsi="Tahoma" w:cs="Tahoma"/>
          <w:bCs/>
          <w:sz w:val="24"/>
          <w:szCs w:val="24"/>
        </w:rPr>
        <w:t xml:space="preserve"> sociale de </w:t>
      </w:r>
      <w:r w:rsidR="00247A3D" w:rsidRPr="00A057AC">
        <w:rPr>
          <w:rFonts w:ascii="Tahoma" w:hAnsi="Tahoma" w:cs="Tahoma"/>
          <w:bCs/>
          <w:sz w:val="24"/>
          <w:szCs w:val="24"/>
        </w:rPr>
        <w:t>sănătate</w:t>
      </w:r>
      <w:r w:rsidR="00182ADA" w:rsidRPr="00A057AC">
        <w:rPr>
          <w:rFonts w:ascii="Tahoma" w:hAnsi="Tahoma" w:cs="Tahoma"/>
          <w:bCs/>
          <w:sz w:val="24"/>
          <w:szCs w:val="24"/>
        </w:rPr>
        <w:t xml:space="preserve"> </w:t>
      </w:r>
      <w:r w:rsidR="00EC46DD" w:rsidRPr="00A057AC">
        <w:rPr>
          <w:rFonts w:ascii="Tahoma" w:hAnsi="Tahoma" w:cs="Tahoma"/>
          <w:bCs/>
          <w:sz w:val="24"/>
          <w:szCs w:val="24"/>
        </w:rPr>
        <w:t>ș</w:t>
      </w:r>
      <w:r w:rsidR="00C0259A" w:rsidRPr="00A057AC">
        <w:rPr>
          <w:rFonts w:ascii="Tahoma" w:hAnsi="Tahoma" w:cs="Tahoma"/>
          <w:bCs/>
          <w:sz w:val="24"/>
          <w:szCs w:val="24"/>
        </w:rPr>
        <w:t xml:space="preserve">i </w:t>
      </w:r>
      <w:r w:rsidR="004E4C99" w:rsidRPr="00A057AC">
        <w:rPr>
          <w:rFonts w:ascii="Tahoma" w:hAnsi="Tahoma" w:cs="Tahoma"/>
          <w:bCs/>
          <w:sz w:val="24"/>
          <w:szCs w:val="24"/>
        </w:rPr>
        <w:t xml:space="preserve">din bugetul Ministerului </w:t>
      </w:r>
      <w:r w:rsidR="00247A3D" w:rsidRPr="00A057AC">
        <w:rPr>
          <w:rFonts w:ascii="Tahoma" w:hAnsi="Tahoma" w:cs="Tahoma"/>
          <w:bCs/>
          <w:sz w:val="24"/>
          <w:szCs w:val="24"/>
        </w:rPr>
        <w:t>Sănătății</w:t>
      </w:r>
      <w:r w:rsidR="00182ADA" w:rsidRPr="00A057AC">
        <w:rPr>
          <w:rFonts w:ascii="Tahoma" w:hAnsi="Tahoma" w:cs="Tahoma"/>
          <w:bCs/>
          <w:sz w:val="24"/>
          <w:szCs w:val="24"/>
        </w:rPr>
        <w:t xml:space="preserve"> </w:t>
      </w:r>
      <w:r w:rsidR="00692CF5" w:rsidRPr="00A057AC">
        <w:rPr>
          <w:rFonts w:ascii="Tahoma" w:hAnsi="Tahoma" w:cs="Tahoma"/>
          <w:bCs/>
          <w:sz w:val="24"/>
          <w:szCs w:val="24"/>
        </w:rPr>
        <w:t>(-21,8</w:t>
      </w:r>
      <w:r w:rsidR="00C0259A" w:rsidRPr="00A057AC">
        <w:rPr>
          <w:rFonts w:ascii="Tahoma" w:hAnsi="Tahoma" w:cs="Tahoma"/>
          <w:bCs/>
          <w:sz w:val="24"/>
          <w:szCs w:val="24"/>
        </w:rPr>
        <w:t>%)</w:t>
      </w:r>
      <w:r w:rsidR="00182ADA" w:rsidRPr="00A057AC">
        <w:rPr>
          <w:rFonts w:ascii="Tahoma" w:hAnsi="Tahoma" w:cs="Tahoma"/>
          <w:bCs/>
          <w:sz w:val="24"/>
          <w:szCs w:val="24"/>
        </w:rPr>
        <w:t xml:space="preserve"> </w:t>
      </w:r>
      <w:r w:rsidR="00692CF5" w:rsidRPr="00A057AC">
        <w:rPr>
          <w:rFonts w:ascii="Tahoma" w:hAnsi="Tahoma" w:cs="Tahoma"/>
          <w:bCs/>
          <w:sz w:val="24"/>
          <w:szCs w:val="24"/>
        </w:rPr>
        <w:t xml:space="preserve">și </w:t>
      </w:r>
      <w:r w:rsidR="00A86FB2" w:rsidRPr="00A057AC">
        <w:rPr>
          <w:rFonts w:ascii="Tahoma" w:hAnsi="Tahoma" w:cs="Tahoma"/>
          <w:bCs/>
          <w:sz w:val="24"/>
          <w:szCs w:val="24"/>
        </w:rPr>
        <w:t xml:space="preserve">a </w:t>
      </w:r>
      <w:r w:rsidR="004E4C99" w:rsidRPr="00A057AC">
        <w:rPr>
          <w:rFonts w:ascii="Tahoma" w:eastAsia="Times New Roman" w:hAnsi="Tahoma" w:cs="Tahoma"/>
          <w:color w:val="000000"/>
          <w:sz w:val="24"/>
          <w:szCs w:val="24"/>
        </w:rPr>
        <w:t>veniturilor din contribuția datorată</w:t>
      </w:r>
      <w:r w:rsidR="00A86FB2" w:rsidRPr="00A057AC">
        <w:rPr>
          <w:rFonts w:ascii="Tahoma" w:eastAsia="Times New Roman" w:hAnsi="Tahoma" w:cs="Tahoma"/>
          <w:color w:val="000000"/>
          <w:sz w:val="24"/>
          <w:szCs w:val="24"/>
        </w:rPr>
        <w:t xml:space="preserve"> pentru contractele cost-vo</w:t>
      </w:r>
      <w:r w:rsidR="00692CF5" w:rsidRPr="00A057AC">
        <w:rPr>
          <w:rFonts w:ascii="Tahoma" w:eastAsia="Times New Roman" w:hAnsi="Tahoma" w:cs="Tahoma"/>
          <w:color w:val="000000"/>
          <w:sz w:val="24"/>
          <w:szCs w:val="24"/>
        </w:rPr>
        <w:t>lum/cost-volum-rezultat</w:t>
      </w:r>
      <w:r w:rsidR="00182ADA" w:rsidRPr="00A057AC">
        <w:rPr>
          <w:rFonts w:ascii="Tahoma" w:eastAsia="Times New Roman" w:hAnsi="Tahoma" w:cs="Tahoma"/>
          <w:color w:val="000000"/>
          <w:sz w:val="24"/>
          <w:szCs w:val="24"/>
        </w:rPr>
        <w:t xml:space="preserve"> </w:t>
      </w:r>
      <w:r w:rsidR="00692CF5" w:rsidRPr="00A057AC">
        <w:rPr>
          <w:rFonts w:ascii="Tahoma" w:eastAsia="Times New Roman" w:hAnsi="Tahoma" w:cs="Tahoma"/>
          <w:color w:val="000000"/>
          <w:sz w:val="24"/>
          <w:szCs w:val="24"/>
        </w:rPr>
        <w:t>(-33,1%).</w:t>
      </w:r>
    </w:p>
    <w:p w:rsidR="004D6D76" w:rsidRPr="00A057AC" w:rsidRDefault="004D6D76" w:rsidP="002A6579">
      <w:pPr>
        <w:autoSpaceDE w:val="0"/>
        <w:autoSpaceDN w:val="0"/>
        <w:adjustRightInd w:val="0"/>
        <w:spacing w:after="240" w:line="276" w:lineRule="auto"/>
        <w:ind w:firstLine="720"/>
        <w:rPr>
          <w:rFonts w:ascii="Tahoma" w:hAnsi="Tahoma" w:cs="Tahoma"/>
          <w:sz w:val="24"/>
          <w:szCs w:val="24"/>
        </w:rPr>
      </w:pPr>
      <w:r w:rsidRPr="00A057AC">
        <w:rPr>
          <w:rFonts w:ascii="Tahoma" w:hAnsi="Tahoma" w:cs="Tahoma"/>
          <w:b/>
          <w:sz w:val="24"/>
          <w:szCs w:val="24"/>
        </w:rPr>
        <w:lastRenderedPageBreak/>
        <w:t>Încasările din</w:t>
      </w:r>
      <w:r w:rsidR="00182ADA" w:rsidRPr="00A057AC">
        <w:rPr>
          <w:rFonts w:ascii="Tahoma" w:hAnsi="Tahoma" w:cs="Tahoma"/>
          <w:b/>
          <w:sz w:val="24"/>
          <w:szCs w:val="24"/>
        </w:rPr>
        <w:t xml:space="preserve"> </w:t>
      </w:r>
      <w:r w:rsidRPr="00A057AC">
        <w:rPr>
          <w:rFonts w:ascii="Tahoma" w:hAnsi="Tahoma" w:cs="Tahoma"/>
          <w:b/>
          <w:sz w:val="24"/>
          <w:szCs w:val="24"/>
        </w:rPr>
        <w:t xml:space="preserve">impozitul pe comerțul exterior </w:t>
      </w:r>
      <w:r w:rsidR="006E1E76" w:rsidRPr="00A057AC">
        <w:rPr>
          <w:rFonts w:ascii="Tahoma" w:hAnsi="Tahoma" w:cs="Tahoma"/>
          <w:b/>
          <w:sz w:val="24"/>
          <w:szCs w:val="24"/>
        </w:rPr>
        <w:t>și</w:t>
      </w:r>
      <w:r w:rsidRPr="00A057AC">
        <w:rPr>
          <w:rFonts w:ascii="Tahoma" w:hAnsi="Tahoma" w:cs="Tahoma"/>
          <w:b/>
          <w:sz w:val="24"/>
          <w:szCs w:val="24"/>
        </w:rPr>
        <w:t xml:space="preserve"> tranzacțiile internaționale</w:t>
      </w:r>
      <w:r w:rsidR="00182ADA" w:rsidRPr="00A057AC">
        <w:rPr>
          <w:rFonts w:ascii="Tahoma" w:hAnsi="Tahoma" w:cs="Tahoma"/>
          <w:b/>
          <w:sz w:val="24"/>
          <w:szCs w:val="24"/>
        </w:rPr>
        <w:t xml:space="preserve"> </w:t>
      </w:r>
      <w:r w:rsidR="00692CF5" w:rsidRPr="00A057AC">
        <w:rPr>
          <w:rFonts w:ascii="Tahoma" w:hAnsi="Tahoma" w:cs="Tahoma"/>
          <w:sz w:val="24"/>
          <w:szCs w:val="24"/>
        </w:rPr>
        <w:t>au fost cu 13,0% peste cele aferente semestrului I 2020</w:t>
      </w:r>
      <w:r w:rsidRPr="00A057AC">
        <w:rPr>
          <w:rFonts w:ascii="Tahoma" w:hAnsi="Tahoma" w:cs="Tahoma"/>
          <w:sz w:val="24"/>
          <w:szCs w:val="24"/>
        </w:rPr>
        <w:t>, în condițiile în care importurile de bunuri din zona extra-comunitară</w:t>
      </w:r>
      <w:r w:rsidR="008A6C73" w:rsidRPr="00A057AC">
        <w:rPr>
          <w:rFonts w:ascii="Tahoma" w:hAnsi="Tahoma" w:cs="Tahoma"/>
          <w:sz w:val="24"/>
          <w:szCs w:val="24"/>
        </w:rPr>
        <w:t xml:space="preserve"> </w:t>
      </w:r>
      <w:r w:rsidR="00130B57" w:rsidRPr="00A057AC">
        <w:rPr>
          <w:rFonts w:ascii="Tahoma" w:hAnsi="Tahoma" w:cs="Tahoma"/>
          <w:sz w:val="24"/>
          <w:szCs w:val="24"/>
        </w:rPr>
        <w:t>(în moneda națională)</w:t>
      </w:r>
      <w:r w:rsidR="00692CF5" w:rsidRPr="00A057AC">
        <w:rPr>
          <w:rFonts w:ascii="Tahoma" w:hAnsi="Tahoma" w:cs="Tahoma"/>
          <w:sz w:val="24"/>
          <w:szCs w:val="24"/>
        </w:rPr>
        <w:t xml:space="preserve">au crescut cu </w:t>
      </w:r>
      <w:r w:rsidR="00D14119" w:rsidRPr="00A057AC">
        <w:rPr>
          <w:rFonts w:ascii="Tahoma" w:hAnsi="Tahoma" w:cs="Tahoma"/>
          <w:sz w:val="24"/>
          <w:szCs w:val="24"/>
        </w:rPr>
        <w:t>24,4</w:t>
      </w:r>
      <w:r w:rsidR="00692CF5" w:rsidRPr="00A057AC">
        <w:rPr>
          <w:rFonts w:ascii="Tahoma" w:hAnsi="Tahoma" w:cs="Tahoma"/>
          <w:sz w:val="24"/>
          <w:szCs w:val="24"/>
        </w:rPr>
        <w:t>%</w:t>
      </w:r>
      <w:r w:rsidR="00EC3259" w:rsidRPr="00A057AC">
        <w:rPr>
          <w:rFonts w:ascii="Tahoma" w:hAnsi="Tahoma" w:cs="Tahoma"/>
          <w:sz w:val="24"/>
          <w:szCs w:val="24"/>
        </w:rPr>
        <w:t xml:space="preserve"> în primele 5 luni ale anului</w:t>
      </w:r>
      <w:r w:rsidRPr="00A057AC">
        <w:rPr>
          <w:rFonts w:ascii="Tahoma" w:hAnsi="Tahoma" w:cs="Tahoma"/>
          <w:sz w:val="24"/>
          <w:szCs w:val="24"/>
        </w:rPr>
        <w:t xml:space="preserve">, în timp ce gradul de realizare al programului de încasări a fost de </w:t>
      </w:r>
      <w:r w:rsidR="00E93F8A" w:rsidRPr="00A057AC">
        <w:rPr>
          <w:rFonts w:ascii="Tahoma" w:hAnsi="Tahoma" w:cs="Tahoma"/>
          <w:sz w:val="24"/>
          <w:szCs w:val="24"/>
        </w:rPr>
        <w:t>110,8</w:t>
      </w:r>
      <w:r w:rsidRPr="00A057AC">
        <w:rPr>
          <w:rFonts w:ascii="Tahoma" w:hAnsi="Tahoma" w:cs="Tahoma"/>
          <w:sz w:val="24"/>
          <w:szCs w:val="24"/>
        </w:rPr>
        <w:t>%.</w:t>
      </w:r>
    </w:p>
    <w:p w:rsidR="00EA36E7" w:rsidRPr="00A057AC" w:rsidRDefault="004D6D76" w:rsidP="00EA36E7">
      <w:pPr>
        <w:keepNext/>
        <w:keepLines/>
        <w:spacing w:after="120" w:line="276" w:lineRule="auto"/>
        <w:ind w:firstLine="677"/>
        <w:rPr>
          <w:rFonts w:ascii="Tahoma" w:hAnsi="Tahoma" w:cs="Tahoma"/>
          <w:sz w:val="24"/>
          <w:szCs w:val="24"/>
        </w:rPr>
      </w:pPr>
      <w:r w:rsidRPr="00A057AC">
        <w:rPr>
          <w:rFonts w:ascii="Tahoma" w:hAnsi="Tahoma" w:cs="Tahoma"/>
          <w:b/>
          <w:sz w:val="24"/>
          <w:szCs w:val="24"/>
        </w:rPr>
        <w:t xml:space="preserve">Încasările din taxa pe utilizarea bunurilor, autorizarea utilizării bunurilor sau pe desfășurarea de activități </w:t>
      </w:r>
      <w:r w:rsidRPr="00A057AC">
        <w:rPr>
          <w:rFonts w:ascii="Tahoma" w:hAnsi="Tahoma" w:cs="Tahoma"/>
          <w:sz w:val="24"/>
          <w:szCs w:val="24"/>
        </w:rPr>
        <w:t xml:space="preserve">au </w:t>
      </w:r>
      <w:r w:rsidR="00CD629E" w:rsidRPr="00A057AC">
        <w:rPr>
          <w:rFonts w:ascii="Tahoma" w:hAnsi="Tahoma" w:cs="Tahoma"/>
          <w:sz w:val="24"/>
          <w:szCs w:val="24"/>
        </w:rPr>
        <w:t>crescut comparativ cu încasările semestrul I 20</w:t>
      </w:r>
      <w:r w:rsidR="00A7299C" w:rsidRPr="00A057AC">
        <w:rPr>
          <w:rFonts w:ascii="Tahoma" w:hAnsi="Tahoma" w:cs="Tahoma"/>
          <w:sz w:val="24"/>
          <w:szCs w:val="24"/>
        </w:rPr>
        <w:t>20</w:t>
      </w:r>
      <w:r w:rsidR="00CD629E" w:rsidRPr="00A057AC">
        <w:rPr>
          <w:rFonts w:ascii="Tahoma" w:hAnsi="Tahoma" w:cs="Tahoma"/>
          <w:sz w:val="24"/>
          <w:szCs w:val="24"/>
        </w:rPr>
        <w:t xml:space="preserve"> cu </w:t>
      </w:r>
      <w:r w:rsidR="00A7299C" w:rsidRPr="00A057AC">
        <w:rPr>
          <w:rFonts w:ascii="Tahoma" w:hAnsi="Tahoma" w:cs="Tahoma"/>
          <w:sz w:val="24"/>
          <w:szCs w:val="24"/>
        </w:rPr>
        <w:t>0,65 miliarde lei(+31,2%), gradul de realizare al programului trimestrial fiind de 118,2%.</w:t>
      </w:r>
    </w:p>
    <w:p w:rsidR="00A7299C" w:rsidRPr="00A057AC" w:rsidRDefault="00A7299C" w:rsidP="00EA36E7">
      <w:pPr>
        <w:keepNext/>
        <w:keepLines/>
        <w:spacing w:after="240" w:line="276" w:lineRule="auto"/>
        <w:ind w:firstLine="677"/>
        <w:rPr>
          <w:rFonts w:ascii="Tahoma" w:eastAsia="Calibri" w:hAnsi="Tahoma" w:cs="Tahoma"/>
          <w:kern w:val="1"/>
          <w:sz w:val="24"/>
          <w:szCs w:val="24"/>
        </w:rPr>
      </w:pPr>
      <w:r w:rsidRPr="00A057AC">
        <w:rPr>
          <w:rFonts w:ascii="Tahoma" w:hAnsi="Tahoma" w:cs="Tahoma"/>
          <w:sz w:val="24"/>
          <w:szCs w:val="24"/>
        </w:rPr>
        <w:t xml:space="preserve">Evoluția încasărilor din </w:t>
      </w:r>
      <w:r w:rsidRPr="00A057AC">
        <w:rPr>
          <w:rFonts w:ascii="Tahoma" w:eastAsia="Calibri" w:hAnsi="Tahoma" w:cs="Tahoma"/>
          <w:b/>
          <w:sz w:val="24"/>
          <w:szCs w:val="24"/>
        </w:rPr>
        <w:t>taxele pe utilizarea bunurilor, autorizarea utilizării bunurilor sau pe desfășurarea de activități</w:t>
      </w:r>
      <w:r w:rsidRPr="00A057AC">
        <w:rPr>
          <w:rFonts w:ascii="Tahoma" w:hAnsi="Tahoma" w:cs="Tahoma"/>
          <w:sz w:val="24"/>
          <w:szCs w:val="24"/>
        </w:rPr>
        <w:t xml:space="preserve"> s-a datorat în principal creșterii înregistrate la bugetul de stat (+24,9%) unde î</w:t>
      </w:r>
      <w:r w:rsidRPr="00A057AC">
        <w:rPr>
          <w:rFonts w:ascii="Tahoma" w:eastAsia="Calibri" w:hAnsi="Tahoma" w:cs="Tahoma"/>
          <w:kern w:val="1"/>
          <w:sz w:val="24"/>
          <w:szCs w:val="24"/>
        </w:rPr>
        <w:t>ncasările din taxele pentru jocurile de noroc au înregistrat o creștere cu 86,51% față de aceeași perioadă aferentă anului 2020, un grad de realizare a programului de 130%. Acest avans însemnat se datorează efectului de bază aferent trimestrului II al anului trecut, când s-au adoptat măsuri fiscale menite să sprijine contribuabilii în contextul pandemiei, și anume suspendarea plății</w:t>
      </w:r>
      <w:r w:rsidR="00C77CAD" w:rsidRPr="00A057AC">
        <w:rPr>
          <w:rFonts w:ascii="Tahoma" w:eastAsia="Calibri" w:hAnsi="Tahoma" w:cs="Tahoma"/>
          <w:kern w:val="1"/>
          <w:sz w:val="24"/>
          <w:szCs w:val="24"/>
        </w:rPr>
        <w:t xml:space="preserve"> </w:t>
      </w:r>
      <w:r w:rsidRPr="00A057AC">
        <w:rPr>
          <w:rFonts w:ascii="Tahoma" w:eastAsia="Calibri" w:hAnsi="Tahoma" w:cs="Tahoma"/>
          <w:kern w:val="1"/>
          <w:sz w:val="24"/>
          <w:szCs w:val="24"/>
        </w:rPr>
        <w:t>taxele pe jocurile de noroc pe durata stării de urgență</w:t>
      </w:r>
      <w:r w:rsidRPr="00A057AC">
        <w:rPr>
          <w:rFonts w:ascii="Tahoma" w:eastAsia="Calibri" w:hAnsi="Tahoma" w:cs="Tahoma"/>
          <w:kern w:val="1"/>
          <w:sz w:val="24"/>
          <w:szCs w:val="24"/>
          <w:vertAlign w:val="superscript"/>
        </w:rPr>
        <w:footnoteReference w:id="1"/>
      </w:r>
      <w:r w:rsidR="00A35B54" w:rsidRPr="00A057AC">
        <w:rPr>
          <w:rFonts w:ascii="Tahoma" w:eastAsia="Calibri" w:hAnsi="Tahoma" w:cs="Tahoma"/>
          <w:kern w:val="1"/>
          <w:sz w:val="24"/>
          <w:szCs w:val="24"/>
        </w:rPr>
        <w:t xml:space="preserve">. De asemenea creșteri </w:t>
      </w:r>
      <w:r w:rsidR="00C77CAD" w:rsidRPr="00A057AC">
        <w:rPr>
          <w:rFonts w:ascii="Tahoma" w:eastAsia="Calibri" w:hAnsi="Tahoma" w:cs="Tahoma"/>
          <w:kern w:val="1"/>
          <w:sz w:val="24"/>
          <w:szCs w:val="24"/>
        </w:rPr>
        <w:t>semnificative</w:t>
      </w:r>
      <w:r w:rsidRPr="00A057AC">
        <w:rPr>
          <w:rFonts w:ascii="Tahoma" w:eastAsia="Calibri" w:hAnsi="Tahoma" w:cs="Tahoma"/>
          <w:kern w:val="1"/>
          <w:sz w:val="24"/>
          <w:szCs w:val="24"/>
        </w:rPr>
        <w:t xml:space="preserve"> s-au înregistrat și la bugetele locale (+34,6%) ca urmare a</w:t>
      </w:r>
      <w:r w:rsidR="00C77CAD" w:rsidRPr="00A057AC">
        <w:rPr>
          <w:rFonts w:ascii="Tahoma" w:eastAsia="Calibri" w:hAnsi="Tahoma" w:cs="Tahoma"/>
          <w:kern w:val="1"/>
          <w:sz w:val="24"/>
          <w:szCs w:val="24"/>
        </w:rPr>
        <w:t xml:space="preserve"> </w:t>
      </w:r>
      <w:r w:rsidRPr="00A057AC">
        <w:rPr>
          <w:rFonts w:ascii="Tahoma" w:eastAsia="Calibri" w:hAnsi="Tahoma" w:cs="Tahoma"/>
          <w:kern w:val="1"/>
          <w:sz w:val="24"/>
          <w:szCs w:val="24"/>
        </w:rPr>
        <w:t xml:space="preserve">prevederii legislative referitoare la indexarea anuală a impozitelor pentru autovehiculele de transport de marfă cu masa totală autorizată egală sau mai mare de 12 tone, precum si pentru combinații de autovehicule, autovehicul articulat sau tren rutier, de transport de marfă cu masa totală maximă autorizată egală sau mai mare de 12 tone,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în comparație cu rata inflației, așa cum era prevăzut înainte de intrarea în vigoare a Legii nr.296/2020. </w:t>
      </w:r>
    </w:p>
    <w:p w:rsidR="00B541BA" w:rsidRPr="00A057AC" w:rsidRDefault="00B541BA" w:rsidP="002A6579">
      <w:pPr>
        <w:tabs>
          <w:tab w:val="left" w:pos="284"/>
        </w:tabs>
        <w:autoSpaceDE w:val="0"/>
        <w:autoSpaceDN w:val="0"/>
        <w:adjustRightInd w:val="0"/>
        <w:spacing w:after="120" w:line="276" w:lineRule="auto"/>
        <w:ind w:firstLine="720"/>
        <w:rPr>
          <w:rFonts w:ascii="Tahoma" w:eastAsia="Calibri" w:hAnsi="Tahoma" w:cs="Tahoma"/>
          <w:sz w:val="24"/>
          <w:szCs w:val="24"/>
        </w:rPr>
      </w:pPr>
      <w:r w:rsidRPr="00A057AC">
        <w:rPr>
          <w:rFonts w:ascii="Tahoma" w:eastAsia="Calibri" w:hAnsi="Tahoma" w:cs="Tahoma"/>
          <w:b/>
          <w:sz w:val="24"/>
          <w:szCs w:val="24"/>
        </w:rPr>
        <w:t>Contribuțiile sociale</w:t>
      </w:r>
      <w:r w:rsidRPr="00A057AC">
        <w:rPr>
          <w:rFonts w:ascii="Tahoma" w:eastAsia="Calibri" w:hAnsi="Tahoma" w:cs="Tahoma"/>
          <w:sz w:val="24"/>
          <w:szCs w:val="24"/>
        </w:rPr>
        <w:t xml:space="preserve"> realizate în semestrul I al anului 202</w:t>
      </w:r>
      <w:r w:rsidR="00A7299C" w:rsidRPr="00A057AC">
        <w:rPr>
          <w:rFonts w:ascii="Tahoma" w:eastAsia="Calibri" w:hAnsi="Tahoma" w:cs="Tahoma"/>
          <w:sz w:val="24"/>
          <w:szCs w:val="24"/>
        </w:rPr>
        <w:t>1</w:t>
      </w:r>
      <w:r w:rsidRPr="00A057AC">
        <w:rPr>
          <w:rFonts w:ascii="Tahoma" w:eastAsia="Calibri" w:hAnsi="Tahoma" w:cs="Tahoma"/>
          <w:sz w:val="24"/>
          <w:szCs w:val="24"/>
        </w:rPr>
        <w:t xml:space="preserve"> în sumă de </w:t>
      </w:r>
      <w:r w:rsidR="00A7299C" w:rsidRPr="00A057AC">
        <w:rPr>
          <w:rFonts w:ascii="Tahoma" w:eastAsia="Calibri" w:hAnsi="Tahoma" w:cs="Tahoma"/>
          <w:sz w:val="24"/>
          <w:szCs w:val="24"/>
        </w:rPr>
        <w:t>62,38 miliarde lei</w:t>
      </w:r>
      <w:r w:rsidR="00C77CAD" w:rsidRPr="00A057AC">
        <w:rPr>
          <w:rFonts w:ascii="Tahoma" w:eastAsia="Calibri" w:hAnsi="Tahoma" w:cs="Tahoma"/>
          <w:sz w:val="24"/>
          <w:szCs w:val="24"/>
        </w:rPr>
        <w:t xml:space="preserve"> </w:t>
      </w:r>
      <w:r w:rsidR="00A7299C" w:rsidRPr="00A057AC">
        <w:rPr>
          <w:rFonts w:ascii="Tahoma" w:eastAsia="Calibri" w:hAnsi="Tahoma" w:cs="Tahoma"/>
          <w:sz w:val="24"/>
          <w:szCs w:val="24"/>
        </w:rPr>
        <w:t>au fost cu 13,8%</w:t>
      </w:r>
      <w:r w:rsidR="008A6C73" w:rsidRPr="00A057AC">
        <w:rPr>
          <w:rFonts w:ascii="Tahoma" w:eastAsia="Calibri" w:hAnsi="Tahoma" w:cs="Tahoma"/>
          <w:sz w:val="24"/>
          <w:szCs w:val="24"/>
        </w:rPr>
        <w:t xml:space="preserve"> </w:t>
      </w:r>
      <w:r w:rsidR="00F645D4" w:rsidRPr="00A057AC">
        <w:rPr>
          <w:rFonts w:ascii="Tahoma" w:eastAsia="Calibri" w:hAnsi="Tahoma" w:cs="Tahoma"/>
          <w:sz w:val="24"/>
          <w:szCs w:val="24"/>
        </w:rPr>
        <w:t>(+7,6 miliarde lei)</w:t>
      </w:r>
      <w:r w:rsidR="00A7299C" w:rsidRPr="00A057AC">
        <w:rPr>
          <w:rFonts w:ascii="Tahoma" w:eastAsia="Calibri" w:hAnsi="Tahoma" w:cs="Tahoma"/>
          <w:sz w:val="24"/>
          <w:szCs w:val="24"/>
        </w:rPr>
        <w:t xml:space="preserve"> mai mari </w:t>
      </w:r>
      <w:r w:rsidRPr="00A057AC">
        <w:rPr>
          <w:rFonts w:ascii="Tahoma" w:eastAsia="Calibri" w:hAnsi="Tahoma" w:cs="Tahoma"/>
          <w:sz w:val="24"/>
          <w:szCs w:val="24"/>
        </w:rPr>
        <w:t xml:space="preserve">comparativ cu aceeași perioadă a anului precedent, iar gradul de realizare al acestora este de </w:t>
      </w:r>
      <w:r w:rsidR="00A7299C" w:rsidRPr="00A057AC">
        <w:rPr>
          <w:rFonts w:ascii="Tahoma" w:eastAsia="Calibri" w:hAnsi="Tahoma" w:cs="Tahoma"/>
          <w:sz w:val="24"/>
          <w:szCs w:val="24"/>
        </w:rPr>
        <w:t>103,6</w:t>
      </w:r>
      <w:r w:rsidRPr="00A057AC">
        <w:rPr>
          <w:rFonts w:ascii="Tahoma" w:eastAsia="Calibri" w:hAnsi="Tahoma" w:cs="Tahoma"/>
          <w:sz w:val="24"/>
          <w:szCs w:val="24"/>
        </w:rPr>
        <w:t>%</w:t>
      </w:r>
      <w:r w:rsidR="00F645D4" w:rsidRPr="00A057AC">
        <w:rPr>
          <w:rFonts w:ascii="Tahoma" w:eastAsia="Calibri" w:hAnsi="Tahoma" w:cs="Tahoma"/>
          <w:sz w:val="24"/>
          <w:szCs w:val="24"/>
        </w:rPr>
        <w:t>.</w:t>
      </w:r>
    </w:p>
    <w:p w:rsidR="00F645D4" w:rsidRPr="00A057AC" w:rsidRDefault="00F645D4" w:rsidP="00F645D4">
      <w:pPr>
        <w:suppressAutoHyphens/>
        <w:autoSpaceDE w:val="0"/>
        <w:autoSpaceDN w:val="0"/>
        <w:adjustRightInd w:val="0"/>
        <w:spacing w:after="0" w:line="276" w:lineRule="auto"/>
        <w:ind w:firstLine="680"/>
        <w:rPr>
          <w:rFonts w:ascii="Tahoma" w:eastAsia="Calibri" w:hAnsi="Tahoma" w:cs="Tahoma"/>
          <w:sz w:val="24"/>
          <w:szCs w:val="24"/>
        </w:rPr>
      </w:pPr>
      <w:r w:rsidRPr="00A057AC">
        <w:rPr>
          <w:rFonts w:ascii="Tahoma" w:eastAsia="Calibri" w:hAnsi="Tahoma" w:cs="Tahoma"/>
          <w:sz w:val="24"/>
          <w:szCs w:val="24"/>
        </w:rPr>
        <w:t>Pe bugete, gradul de realizare al programului de încasări stabilit pentru primul semestru al anului 2021, se prezintă astfel: bugetul asigurărilor pentru șomaj (110,2%), bugetul asigurărilor sociale de stat (104,5%), bugetul fondului național unic de asigurări sociale de sănătate (101,9%) și bugetul de stat (101,2%).</w:t>
      </w:r>
    </w:p>
    <w:p w:rsidR="00F645D4" w:rsidRPr="00A057AC" w:rsidRDefault="00F645D4" w:rsidP="00F645D4">
      <w:pPr>
        <w:suppressAutoHyphens/>
        <w:autoSpaceDE w:val="0"/>
        <w:autoSpaceDN w:val="0"/>
        <w:adjustRightInd w:val="0"/>
        <w:spacing w:after="0" w:line="276" w:lineRule="auto"/>
        <w:ind w:firstLine="680"/>
        <w:rPr>
          <w:rFonts w:ascii="Tahoma" w:eastAsia="Calibri" w:hAnsi="Tahoma" w:cs="Tahoma"/>
          <w:sz w:val="24"/>
          <w:szCs w:val="24"/>
        </w:rPr>
      </w:pPr>
      <w:r w:rsidRPr="00A057AC">
        <w:rPr>
          <w:rFonts w:ascii="Tahoma" w:eastAsia="Calibri" w:hAnsi="Tahoma" w:cs="Tahoma"/>
          <w:sz w:val="24"/>
          <w:szCs w:val="24"/>
        </w:rPr>
        <w:t xml:space="preserve">Comparativ cu aceeași perioadă a anului 2020 s-au înregistrat creșteri ale contribuțiilor sociale încasate, pe bugete componente, astfel: bugetul asigurărilor sociale de stat (+15,2%), bugetul asigurărilor pentru șomaj (+15,3%), bugetul </w:t>
      </w:r>
      <w:r w:rsidRPr="00A057AC">
        <w:rPr>
          <w:rFonts w:ascii="Tahoma" w:eastAsia="Calibri" w:hAnsi="Tahoma" w:cs="Tahoma"/>
          <w:sz w:val="24"/>
          <w:szCs w:val="24"/>
        </w:rPr>
        <w:lastRenderedPageBreak/>
        <w:t>Fondului național unic de asigurări sociale de sănătate (+13,0%) și bugetul de stat (+6,1%).</w:t>
      </w:r>
    </w:p>
    <w:p w:rsidR="00F645D4" w:rsidRPr="00A057AC" w:rsidRDefault="00F645D4" w:rsidP="00F645D4">
      <w:pPr>
        <w:suppressAutoHyphens/>
        <w:autoSpaceDE w:val="0"/>
        <w:autoSpaceDN w:val="0"/>
        <w:adjustRightInd w:val="0"/>
        <w:spacing w:after="0" w:line="276" w:lineRule="auto"/>
        <w:ind w:firstLine="680"/>
        <w:rPr>
          <w:rFonts w:ascii="Tahoma" w:eastAsia="Calibri" w:hAnsi="Tahoma" w:cs="Tahoma"/>
          <w:sz w:val="24"/>
          <w:szCs w:val="24"/>
        </w:rPr>
      </w:pPr>
      <w:r w:rsidRPr="00A057AC">
        <w:rPr>
          <w:rFonts w:ascii="Tahoma" w:eastAsia="Calibri" w:hAnsi="Tahoma" w:cs="Tahoma"/>
          <w:sz w:val="24"/>
          <w:szCs w:val="24"/>
        </w:rPr>
        <w:t>Dinamica pozitivă a veniturilor din contribuții sociale realizate în această perioadă este superioară celei înregistrate de fondul de salarii de 7,6% și se datorează  încasărilor reduse din perioada martie-iunie 2020 (ca efect al măsurii de amânare a termenului de plată a obligațiilor bugetare).</w:t>
      </w:r>
    </w:p>
    <w:p w:rsidR="003D45EA" w:rsidRPr="00A057AC" w:rsidRDefault="004D6D76" w:rsidP="00F645D4">
      <w:pPr>
        <w:suppressAutoHyphens/>
        <w:autoSpaceDE w:val="0"/>
        <w:autoSpaceDN w:val="0"/>
        <w:adjustRightInd w:val="0"/>
        <w:spacing w:after="0" w:line="276" w:lineRule="auto"/>
        <w:ind w:firstLine="680"/>
        <w:rPr>
          <w:rFonts w:ascii="Tahoma" w:hAnsi="Tahoma" w:cs="Tahoma"/>
          <w:sz w:val="24"/>
          <w:szCs w:val="24"/>
        </w:rPr>
      </w:pPr>
      <w:r w:rsidRPr="00A057AC">
        <w:rPr>
          <w:rFonts w:ascii="Tahoma" w:hAnsi="Tahoma" w:cs="Tahoma"/>
          <w:b/>
          <w:bCs/>
          <w:sz w:val="24"/>
          <w:szCs w:val="24"/>
        </w:rPr>
        <w:t xml:space="preserve">Veniturile nefiscale </w:t>
      </w:r>
      <w:r w:rsidRPr="00A057AC">
        <w:rPr>
          <w:rFonts w:ascii="Tahoma" w:hAnsi="Tahoma" w:cs="Tahoma"/>
          <w:sz w:val="24"/>
          <w:szCs w:val="24"/>
        </w:rPr>
        <w:t>încasate în primul semestru al anului 20</w:t>
      </w:r>
      <w:r w:rsidR="00B623BF" w:rsidRPr="00A057AC">
        <w:rPr>
          <w:rFonts w:ascii="Tahoma" w:hAnsi="Tahoma" w:cs="Tahoma"/>
          <w:sz w:val="24"/>
          <w:szCs w:val="24"/>
        </w:rPr>
        <w:t>2</w:t>
      </w:r>
      <w:r w:rsidR="00A35B54" w:rsidRPr="00A057AC">
        <w:rPr>
          <w:rFonts w:ascii="Tahoma" w:hAnsi="Tahoma" w:cs="Tahoma"/>
          <w:sz w:val="24"/>
          <w:szCs w:val="24"/>
        </w:rPr>
        <w:t>1</w:t>
      </w:r>
      <w:r w:rsidRPr="00A057AC">
        <w:rPr>
          <w:rFonts w:ascii="Tahoma" w:hAnsi="Tahoma" w:cs="Tahoma"/>
          <w:sz w:val="24"/>
          <w:szCs w:val="24"/>
        </w:rPr>
        <w:t xml:space="preserve"> au totalizat </w:t>
      </w:r>
      <w:r w:rsidR="00A35B54" w:rsidRPr="00A057AC">
        <w:rPr>
          <w:rFonts w:ascii="Tahoma" w:hAnsi="Tahoma" w:cs="Tahoma"/>
          <w:sz w:val="24"/>
          <w:szCs w:val="24"/>
        </w:rPr>
        <w:t>13,</w:t>
      </w:r>
      <w:r w:rsidR="004C2007" w:rsidRPr="00A057AC">
        <w:rPr>
          <w:rFonts w:ascii="Tahoma" w:hAnsi="Tahoma" w:cs="Tahoma"/>
          <w:sz w:val="24"/>
          <w:szCs w:val="24"/>
        </w:rPr>
        <w:t>0</w:t>
      </w:r>
      <w:r w:rsidR="00A35B54" w:rsidRPr="00A057AC">
        <w:rPr>
          <w:rFonts w:ascii="Tahoma" w:hAnsi="Tahoma" w:cs="Tahoma"/>
          <w:sz w:val="24"/>
          <w:szCs w:val="24"/>
        </w:rPr>
        <w:t>6 miliarde</w:t>
      </w:r>
      <w:r w:rsidRPr="00A057AC">
        <w:rPr>
          <w:rFonts w:ascii="Tahoma" w:hAnsi="Tahoma" w:cs="Tahoma"/>
          <w:sz w:val="24"/>
          <w:szCs w:val="24"/>
        </w:rPr>
        <w:t xml:space="preserve"> lei (1,</w:t>
      </w:r>
      <w:r w:rsidR="00B623BF" w:rsidRPr="00A057AC">
        <w:rPr>
          <w:rFonts w:ascii="Tahoma" w:hAnsi="Tahoma" w:cs="Tahoma"/>
          <w:sz w:val="24"/>
          <w:szCs w:val="24"/>
        </w:rPr>
        <w:t>1</w:t>
      </w:r>
      <w:r w:rsidRPr="00A057AC">
        <w:rPr>
          <w:rFonts w:ascii="Tahoma" w:hAnsi="Tahoma" w:cs="Tahoma"/>
          <w:sz w:val="24"/>
          <w:szCs w:val="24"/>
        </w:rPr>
        <w:t xml:space="preserve">% din PIB), cu </w:t>
      </w:r>
      <w:r w:rsidR="00A35B54" w:rsidRPr="00A057AC">
        <w:rPr>
          <w:rFonts w:ascii="Tahoma" w:hAnsi="Tahoma" w:cs="Tahoma"/>
          <w:sz w:val="24"/>
          <w:szCs w:val="24"/>
        </w:rPr>
        <w:t>9,6</w:t>
      </w:r>
      <w:r w:rsidRPr="00A057AC">
        <w:rPr>
          <w:rFonts w:ascii="Tahoma" w:hAnsi="Tahoma" w:cs="Tahoma"/>
          <w:sz w:val="24"/>
          <w:szCs w:val="24"/>
        </w:rPr>
        <w:t xml:space="preserve">% </w:t>
      </w:r>
      <w:r w:rsidR="00B623BF" w:rsidRPr="00A057AC">
        <w:rPr>
          <w:rFonts w:ascii="Tahoma" w:hAnsi="Tahoma" w:cs="Tahoma"/>
          <w:sz w:val="24"/>
          <w:szCs w:val="24"/>
        </w:rPr>
        <w:t>sub</w:t>
      </w:r>
      <w:r w:rsidRPr="00A057AC">
        <w:rPr>
          <w:rFonts w:ascii="Tahoma" w:hAnsi="Tahoma" w:cs="Tahoma"/>
          <w:sz w:val="24"/>
          <w:szCs w:val="24"/>
        </w:rPr>
        <w:t xml:space="preserve"> programul de încasări aferent semestrului I și cu </w:t>
      </w:r>
      <w:r w:rsidR="00A35B54" w:rsidRPr="00A057AC">
        <w:rPr>
          <w:rFonts w:ascii="Tahoma" w:hAnsi="Tahoma" w:cs="Tahoma"/>
          <w:sz w:val="24"/>
          <w:szCs w:val="24"/>
        </w:rPr>
        <w:t>11,4</w:t>
      </w:r>
      <w:r w:rsidRPr="00A057AC">
        <w:rPr>
          <w:rFonts w:ascii="Tahoma" w:hAnsi="Tahoma" w:cs="Tahoma"/>
          <w:sz w:val="24"/>
          <w:szCs w:val="24"/>
        </w:rPr>
        <w:t xml:space="preserve">% mai </w:t>
      </w:r>
      <w:r w:rsidR="00A35B54" w:rsidRPr="00A057AC">
        <w:rPr>
          <w:rFonts w:ascii="Tahoma" w:hAnsi="Tahoma" w:cs="Tahoma"/>
          <w:sz w:val="24"/>
          <w:szCs w:val="24"/>
        </w:rPr>
        <w:t>mari</w:t>
      </w:r>
      <w:r w:rsidR="00CF2AF0" w:rsidRPr="00A057AC">
        <w:rPr>
          <w:rFonts w:ascii="Tahoma" w:hAnsi="Tahoma" w:cs="Tahoma"/>
          <w:sz w:val="24"/>
          <w:szCs w:val="24"/>
        </w:rPr>
        <w:t xml:space="preserve"> </w:t>
      </w:r>
      <w:r w:rsidRPr="00A057AC">
        <w:rPr>
          <w:rFonts w:ascii="Tahoma" w:hAnsi="Tahoma" w:cs="Tahoma"/>
          <w:sz w:val="24"/>
          <w:szCs w:val="24"/>
        </w:rPr>
        <w:t>comparativ cu încasările semestrul I 20</w:t>
      </w:r>
      <w:r w:rsidR="00A35B54" w:rsidRPr="00A057AC">
        <w:rPr>
          <w:rFonts w:ascii="Tahoma" w:hAnsi="Tahoma" w:cs="Tahoma"/>
          <w:sz w:val="24"/>
          <w:szCs w:val="24"/>
        </w:rPr>
        <w:t>20</w:t>
      </w:r>
      <w:r w:rsidRPr="00A057AC">
        <w:rPr>
          <w:rFonts w:ascii="Tahoma" w:hAnsi="Tahoma" w:cs="Tahoma"/>
          <w:sz w:val="24"/>
          <w:szCs w:val="24"/>
        </w:rPr>
        <w:t xml:space="preserve">. </w:t>
      </w:r>
    </w:p>
    <w:p w:rsidR="00203544" w:rsidRPr="00A057AC" w:rsidRDefault="00203544" w:rsidP="00203544">
      <w:pPr>
        <w:autoSpaceDE w:val="0"/>
        <w:autoSpaceDN w:val="0"/>
        <w:adjustRightInd w:val="0"/>
        <w:spacing w:line="276" w:lineRule="auto"/>
        <w:ind w:firstLine="708"/>
        <w:rPr>
          <w:rFonts w:ascii="Tahoma" w:eastAsia="Calibri" w:hAnsi="Tahoma" w:cs="Tahoma"/>
          <w:kern w:val="1"/>
          <w:sz w:val="24"/>
          <w:szCs w:val="24"/>
        </w:rPr>
      </w:pPr>
      <w:r w:rsidRPr="00A057AC">
        <w:rPr>
          <w:rFonts w:ascii="Tahoma" w:hAnsi="Tahoma" w:cs="Tahoma"/>
          <w:sz w:val="24"/>
          <w:szCs w:val="24"/>
        </w:rPr>
        <w:t xml:space="preserve">La bugetul de stat încasările din veniturile nefiscale au crescut cu </w:t>
      </w:r>
      <w:r w:rsidRPr="00A057AC">
        <w:rPr>
          <w:rFonts w:ascii="Tahoma" w:eastAsia="Calibri" w:hAnsi="Tahoma" w:cs="Tahoma"/>
          <w:kern w:val="1"/>
          <w:sz w:val="24"/>
          <w:szCs w:val="24"/>
        </w:rPr>
        <w:t>5,7% comparativ cu aceeași perioadă a anului precedent, iar gradul de realizare al programului este de 76,3% (-1,9 miliarde lei). Nerealizarea programului se înregistrează la toate categoriile de venituri nefiscale, cu excepția sumele din vânzarea certificatelor de emisii de gaze cu efect de seră și a veniturilor din amenzi, penalități și confiscări.</w:t>
      </w:r>
    </w:p>
    <w:p w:rsidR="00203544" w:rsidRPr="00A057AC" w:rsidRDefault="00203544" w:rsidP="00203544">
      <w:pPr>
        <w:suppressAutoHyphens/>
        <w:autoSpaceDE w:val="0"/>
        <w:autoSpaceDN w:val="0"/>
        <w:adjustRightInd w:val="0"/>
        <w:spacing w:after="0" w:line="276" w:lineRule="auto"/>
        <w:ind w:firstLine="720"/>
        <w:rPr>
          <w:rFonts w:ascii="Tahoma" w:eastAsia="Calibri" w:hAnsi="Tahoma" w:cs="Tahoma"/>
          <w:kern w:val="1"/>
          <w:sz w:val="24"/>
          <w:szCs w:val="24"/>
        </w:rPr>
      </w:pPr>
      <w:r w:rsidRPr="00A057AC">
        <w:rPr>
          <w:rFonts w:ascii="Tahoma" w:eastAsia="Calibri" w:hAnsi="Tahoma" w:cs="Tahoma"/>
          <w:kern w:val="1"/>
          <w:sz w:val="24"/>
          <w:szCs w:val="24"/>
        </w:rPr>
        <w:t xml:space="preserve">În structură, comparativ cu aceeași perioadă a anului precedent evoluția veniturilor nefiscale este influențată pozitiv de creșterea veniturilor din proprietate cu 8,0% față de aceeași perioadă a anului precedent, ca urmare a majorării încasărilor din sumele din vânzarea certificatelor de emisii de gaze cu efect de seră cu +1,5 miliarde lei și a veniturilor din dividende cu +0,3 miliarde lei. </w:t>
      </w:r>
    </w:p>
    <w:p w:rsidR="00203544" w:rsidRPr="00A057AC" w:rsidRDefault="00203544" w:rsidP="008A6C73">
      <w:pPr>
        <w:suppressAutoHyphens/>
        <w:autoSpaceDE w:val="0"/>
        <w:autoSpaceDN w:val="0"/>
        <w:adjustRightInd w:val="0"/>
        <w:spacing w:after="120" w:line="276" w:lineRule="auto"/>
        <w:ind w:firstLine="680"/>
        <w:rPr>
          <w:rFonts w:ascii="Tahoma" w:eastAsia="Calibri" w:hAnsi="Tahoma" w:cs="Tahoma"/>
          <w:kern w:val="1"/>
          <w:sz w:val="24"/>
          <w:szCs w:val="24"/>
        </w:rPr>
      </w:pPr>
      <w:r w:rsidRPr="00A057AC">
        <w:rPr>
          <w:rFonts w:ascii="Tahoma" w:eastAsia="Calibri" w:hAnsi="Tahoma" w:cs="Tahoma"/>
          <w:kern w:val="1"/>
          <w:sz w:val="24"/>
          <w:szCs w:val="24"/>
        </w:rPr>
        <w:t>Scăderi ale veniturilor din proprietate s-au înregistrat la vărsăminte din veniturile nete ale B.N.R. cu 64,1% (-0,8 miliarde lei), la venituri din concesiuni și închirieri cu 17,2% (-0,2 miliarde lei) și la venituri din vânzarea certificatelor de emisii de gaze cu efect de seră cu 31,1% (-0,2 miliarde lei).</w:t>
      </w:r>
    </w:p>
    <w:p w:rsidR="004D6D76" w:rsidRPr="00A057AC" w:rsidRDefault="004D6D76" w:rsidP="002A6579">
      <w:pPr>
        <w:suppressAutoHyphens/>
        <w:autoSpaceDE w:val="0"/>
        <w:autoSpaceDN w:val="0"/>
        <w:adjustRightInd w:val="0"/>
        <w:spacing w:after="0" w:line="276" w:lineRule="auto"/>
        <w:ind w:firstLine="680"/>
        <w:rPr>
          <w:rFonts w:ascii="Tahoma" w:hAnsi="Tahoma" w:cs="Tahoma"/>
          <w:sz w:val="24"/>
          <w:szCs w:val="24"/>
        </w:rPr>
      </w:pPr>
      <w:r w:rsidRPr="00A057AC">
        <w:rPr>
          <w:rFonts w:ascii="Tahoma" w:hAnsi="Tahoma" w:cs="Tahoma"/>
          <w:b/>
          <w:sz w:val="24"/>
          <w:szCs w:val="24"/>
        </w:rPr>
        <w:t>Sumele rambursate de Uniunea Europeană în contul plăților efectuate și donații</w:t>
      </w:r>
      <w:r w:rsidRPr="00A057AC">
        <w:rPr>
          <w:rFonts w:ascii="Tahoma" w:hAnsi="Tahoma" w:cs="Tahoma"/>
          <w:sz w:val="24"/>
          <w:szCs w:val="24"/>
        </w:rPr>
        <w:t xml:space="preserve"> au totalizat </w:t>
      </w:r>
      <w:r w:rsidR="00364FD9" w:rsidRPr="00A057AC">
        <w:rPr>
          <w:rFonts w:ascii="Tahoma" w:hAnsi="Tahoma" w:cs="Tahoma"/>
          <w:b/>
          <w:bCs/>
          <w:sz w:val="24"/>
          <w:szCs w:val="24"/>
        </w:rPr>
        <w:t>12,</w:t>
      </w:r>
      <w:r w:rsidR="00B5327A" w:rsidRPr="00A057AC">
        <w:rPr>
          <w:rFonts w:ascii="Tahoma" w:hAnsi="Tahoma" w:cs="Tahoma"/>
          <w:b/>
          <w:bCs/>
          <w:sz w:val="24"/>
          <w:szCs w:val="24"/>
        </w:rPr>
        <w:t>48</w:t>
      </w:r>
      <w:r w:rsidR="00364FD9" w:rsidRPr="00A057AC">
        <w:rPr>
          <w:rFonts w:ascii="Tahoma" w:hAnsi="Tahoma" w:cs="Tahoma"/>
          <w:b/>
          <w:bCs/>
          <w:sz w:val="24"/>
          <w:szCs w:val="24"/>
        </w:rPr>
        <w:t xml:space="preserve"> miliarde</w:t>
      </w:r>
      <w:r w:rsidRPr="00A057AC">
        <w:rPr>
          <w:rFonts w:ascii="Tahoma" w:hAnsi="Tahoma" w:cs="Tahoma"/>
          <w:sz w:val="24"/>
          <w:szCs w:val="24"/>
        </w:rPr>
        <w:t xml:space="preserve"> lei (</w:t>
      </w:r>
      <w:r w:rsidR="00364FD9" w:rsidRPr="00A057AC">
        <w:rPr>
          <w:rFonts w:ascii="Tahoma" w:hAnsi="Tahoma" w:cs="Tahoma"/>
          <w:sz w:val="24"/>
          <w:szCs w:val="24"/>
        </w:rPr>
        <w:t>1,</w:t>
      </w:r>
      <w:r w:rsidR="00B5327A" w:rsidRPr="00A057AC">
        <w:rPr>
          <w:rFonts w:ascii="Tahoma" w:hAnsi="Tahoma" w:cs="Tahoma"/>
          <w:sz w:val="24"/>
          <w:szCs w:val="24"/>
        </w:rPr>
        <w:t>1</w:t>
      </w:r>
      <w:r w:rsidRPr="00A057AC">
        <w:rPr>
          <w:rFonts w:ascii="Tahoma" w:hAnsi="Tahoma" w:cs="Tahoma"/>
          <w:sz w:val="24"/>
          <w:szCs w:val="24"/>
        </w:rPr>
        <w:t xml:space="preserve">% din PIB), cu </w:t>
      </w:r>
      <w:r w:rsidR="00364FD9" w:rsidRPr="00A057AC">
        <w:rPr>
          <w:rFonts w:ascii="Tahoma" w:hAnsi="Tahoma" w:cs="Tahoma"/>
          <w:sz w:val="24"/>
          <w:szCs w:val="24"/>
        </w:rPr>
        <w:t>38,9</w:t>
      </w:r>
      <w:r w:rsidRPr="00A057AC">
        <w:rPr>
          <w:rFonts w:ascii="Tahoma" w:hAnsi="Tahoma" w:cs="Tahoma"/>
          <w:sz w:val="24"/>
          <w:szCs w:val="24"/>
        </w:rPr>
        <w:t>% mai mari comparativ cu semestrul I 20</w:t>
      </w:r>
      <w:r w:rsidR="00364FD9" w:rsidRPr="00A057AC">
        <w:rPr>
          <w:rFonts w:ascii="Tahoma" w:hAnsi="Tahoma" w:cs="Tahoma"/>
          <w:sz w:val="24"/>
          <w:szCs w:val="24"/>
        </w:rPr>
        <w:t>20</w:t>
      </w:r>
      <w:r w:rsidRPr="00A057AC">
        <w:rPr>
          <w:rFonts w:ascii="Tahoma" w:hAnsi="Tahoma" w:cs="Tahoma"/>
          <w:sz w:val="24"/>
          <w:szCs w:val="24"/>
        </w:rPr>
        <w:t xml:space="preserve">. </w:t>
      </w:r>
      <w:r w:rsidR="006F7F65" w:rsidRPr="00A057AC">
        <w:rPr>
          <w:rFonts w:ascii="Tahoma" w:hAnsi="Tahoma" w:cs="Tahoma"/>
          <w:sz w:val="24"/>
          <w:szCs w:val="24"/>
        </w:rPr>
        <w:t>Gradul de realizare al programului semestrial a fost d</w:t>
      </w:r>
      <w:r w:rsidR="00220441" w:rsidRPr="00A057AC">
        <w:rPr>
          <w:rFonts w:ascii="Tahoma" w:hAnsi="Tahoma" w:cs="Tahoma"/>
          <w:sz w:val="24"/>
          <w:szCs w:val="24"/>
        </w:rPr>
        <w:t xml:space="preserve">e </w:t>
      </w:r>
      <w:r w:rsidR="00364FD9" w:rsidRPr="00A057AC">
        <w:rPr>
          <w:rFonts w:ascii="Tahoma" w:hAnsi="Tahoma" w:cs="Tahoma"/>
          <w:sz w:val="24"/>
          <w:szCs w:val="24"/>
        </w:rPr>
        <w:t>65,0</w:t>
      </w:r>
      <w:r w:rsidR="00220441" w:rsidRPr="00A057AC">
        <w:rPr>
          <w:rFonts w:ascii="Tahoma" w:hAnsi="Tahoma" w:cs="Tahoma"/>
          <w:sz w:val="24"/>
          <w:szCs w:val="24"/>
        </w:rPr>
        <w:t xml:space="preserve">%. </w:t>
      </w:r>
    </w:p>
    <w:p w:rsidR="006F7F65" w:rsidRPr="00A057AC" w:rsidRDefault="006F7F65" w:rsidP="002A6579">
      <w:pPr>
        <w:spacing w:line="276" w:lineRule="auto"/>
        <w:ind w:right="-57" w:firstLine="720"/>
        <w:rPr>
          <w:rFonts w:ascii="Tahoma" w:hAnsi="Tahoma" w:cs="Tahoma"/>
          <w:bCs/>
          <w:sz w:val="24"/>
          <w:szCs w:val="24"/>
        </w:rPr>
      </w:pPr>
      <w:r w:rsidRPr="00A057AC">
        <w:rPr>
          <w:rFonts w:ascii="Tahoma" w:hAnsi="Tahoma" w:cs="Tahoma"/>
          <w:bCs/>
          <w:sz w:val="24"/>
          <w:szCs w:val="24"/>
        </w:rPr>
        <w:t>Ca procent în PIB</w:t>
      </w:r>
      <w:r w:rsidR="00EB1916" w:rsidRPr="00A057AC">
        <w:rPr>
          <w:rFonts w:ascii="Tahoma" w:hAnsi="Tahoma" w:cs="Tahoma"/>
          <w:bCs/>
          <w:sz w:val="24"/>
          <w:szCs w:val="24"/>
        </w:rPr>
        <w:t>,</w:t>
      </w:r>
      <w:r w:rsidRPr="00A057AC">
        <w:rPr>
          <w:rFonts w:ascii="Tahoma" w:hAnsi="Tahoma" w:cs="Tahoma"/>
          <w:bCs/>
          <w:sz w:val="24"/>
          <w:szCs w:val="24"/>
        </w:rPr>
        <w:t xml:space="preserve"> sumele </w:t>
      </w:r>
      <w:r w:rsidRPr="00A057AC">
        <w:rPr>
          <w:rFonts w:ascii="Tahoma" w:hAnsi="Tahoma" w:cs="Tahoma"/>
          <w:sz w:val="24"/>
          <w:szCs w:val="24"/>
        </w:rPr>
        <w:t>rambursate de Uniunea Europeană în contul plăților efectuate și donații au crescut cu 0,</w:t>
      </w:r>
      <w:r w:rsidR="00364FD9" w:rsidRPr="00A057AC">
        <w:rPr>
          <w:rFonts w:ascii="Tahoma" w:hAnsi="Tahoma" w:cs="Tahoma"/>
          <w:sz w:val="24"/>
          <w:szCs w:val="24"/>
        </w:rPr>
        <w:t>2</w:t>
      </w:r>
      <w:r w:rsidRPr="00A057AC">
        <w:rPr>
          <w:rFonts w:ascii="Tahoma" w:hAnsi="Tahoma" w:cs="Tahoma"/>
          <w:sz w:val="24"/>
          <w:szCs w:val="24"/>
        </w:rPr>
        <w:t xml:space="preserve"> puncte procentuale de la 0,</w:t>
      </w:r>
      <w:r w:rsidR="00364FD9" w:rsidRPr="00A057AC">
        <w:rPr>
          <w:rFonts w:ascii="Tahoma" w:hAnsi="Tahoma" w:cs="Tahoma"/>
          <w:sz w:val="24"/>
          <w:szCs w:val="24"/>
        </w:rPr>
        <w:t>9</w:t>
      </w:r>
      <w:r w:rsidR="00A86CA9" w:rsidRPr="00A057AC">
        <w:rPr>
          <w:rFonts w:ascii="Tahoma" w:hAnsi="Tahoma" w:cs="Tahoma"/>
          <w:sz w:val="24"/>
          <w:szCs w:val="24"/>
        </w:rPr>
        <w:t>%</w:t>
      </w:r>
      <w:r w:rsidRPr="00A057AC">
        <w:rPr>
          <w:rFonts w:ascii="Tahoma" w:hAnsi="Tahoma" w:cs="Tahoma"/>
          <w:sz w:val="24"/>
          <w:szCs w:val="24"/>
        </w:rPr>
        <w:t xml:space="preserve"> din PIB cât au fost în semestrul I 20</w:t>
      </w:r>
      <w:r w:rsidR="00364FD9" w:rsidRPr="00A057AC">
        <w:rPr>
          <w:rFonts w:ascii="Tahoma" w:hAnsi="Tahoma" w:cs="Tahoma"/>
          <w:sz w:val="24"/>
          <w:szCs w:val="24"/>
        </w:rPr>
        <w:t>20</w:t>
      </w:r>
      <w:r w:rsidRPr="00A057AC">
        <w:rPr>
          <w:rFonts w:ascii="Tahoma" w:hAnsi="Tahoma" w:cs="Tahoma"/>
          <w:sz w:val="24"/>
          <w:szCs w:val="24"/>
        </w:rPr>
        <w:t xml:space="preserve"> la </w:t>
      </w:r>
      <w:r w:rsidR="00364FD9" w:rsidRPr="00A057AC">
        <w:rPr>
          <w:rFonts w:ascii="Tahoma" w:hAnsi="Tahoma" w:cs="Tahoma"/>
          <w:sz w:val="24"/>
          <w:szCs w:val="24"/>
        </w:rPr>
        <w:t>1,1</w:t>
      </w:r>
      <w:r w:rsidRPr="00A057AC">
        <w:rPr>
          <w:rFonts w:ascii="Tahoma" w:hAnsi="Tahoma" w:cs="Tahoma"/>
          <w:sz w:val="24"/>
          <w:szCs w:val="24"/>
        </w:rPr>
        <w:t>% din PIB in semestrul I 202</w:t>
      </w:r>
      <w:r w:rsidR="00364FD9" w:rsidRPr="00A057AC">
        <w:rPr>
          <w:rFonts w:ascii="Tahoma" w:hAnsi="Tahoma" w:cs="Tahoma"/>
          <w:sz w:val="24"/>
          <w:szCs w:val="24"/>
        </w:rPr>
        <w:t>1</w:t>
      </w:r>
      <w:r w:rsidRPr="00A057AC">
        <w:rPr>
          <w:rFonts w:ascii="Tahoma" w:hAnsi="Tahoma" w:cs="Tahoma"/>
          <w:sz w:val="24"/>
          <w:szCs w:val="24"/>
        </w:rPr>
        <w:t>.</w:t>
      </w:r>
    </w:p>
    <w:p w:rsidR="004D6D76" w:rsidRPr="00A057AC" w:rsidRDefault="004D6D76" w:rsidP="00B55097">
      <w:pPr>
        <w:pageBreakBefore/>
        <w:shd w:val="clear" w:color="auto" w:fill="E2EFD9" w:themeFill="accent6" w:themeFillTint="33"/>
        <w:spacing w:line="276" w:lineRule="auto"/>
        <w:ind w:firstLine="720"/>
        <w:rPr>
          <w:rFonts w:ascii="Tahoma" w:hAnsi="Tahoma" w:cs="Tahoma"/>
          <w:sz w:val="24"/>
          <w:szCs w:val="24"/>
        </w:rPr>
      </w:pPr>
      <w:r w:rsidRPr="00A057AC">
        <w:rPr>
          <w:rFonts w:ascii="Tahoma" w:hAnsi="Tahoma" w:cs="Tahoma"/>
          <w:b/>
          <w:bCs/>
          <w:sz w:val="24"/>
          <w:szCs w:val="24"/>
          <w:u w:val="single"/>
        </w:rPr>
        <w:lastRenderedPageBreak/>
        <w:t>Cheltuielile bugetului general consolidat</w:t>
      </w:r>
      <w:r w:rsidR="00CF2AF0" w:rsidRPr="00A057AC">
        <w:rPr>
          <w:rFonts w:ascii="Tahoma" w:hAnsi="Tahoma" w:cs="Tahoma"/>
          <w:b/>
          <w:bCs/>
          <w:sz w:val="24"/>
          <w:szCs w:val="24"/>
          <w:u w:val="single"/>
        </w:rPr>
        <w:t xml:space="preserve"> </w:t>
      </w:r>
      <w:r w:rsidRPr="00A057AC">
        <w:rPr>
          <w:rFonts w:ascii="Tahoma" w:hAnsi="Tahoma" w:cs="Tahoma"/>
          <w:sz w:val="24"/>
          <w:szCs w:val="24"/>
        </w:rPr>
        <w:t xml:space="preserve">în sumă de </w:t>
      </w:r>
      <w:r w:rsidR="00364FD9" w:rsidRPr="00A057AC">
        <w:rPr>
          <w:rFonts w:ascii="Tahoma" w:hAnsi="Tahoma" w:cs="Tahoma"/>
          <w:b/>
          <w:sz w:val="24"/>
          <w:szCs w:val="24"/>
        </w:rPr>
        <w:t>210,19 miliarde</w:t>
      </w:r>
      <w:r w:rsidR="00CF2AF0" w:rsidRPr="00A057AC">
        <w:rPr>
          <w:rFonts w:ascii="Tahoma" w:hAnsi="Tahoma" w:cs="Tahoma"/>
          <w:b/>
          <w:sz w:val="24"/>
          <w:szCs w:val="24"/>
        </w:rPr>
        <w:t xml:space="preserve"> </w:t>
      </w:r>
      <w:r w:rsidRPr="00A057AC">
        <w:rPr>
          <w:rFonts w:ascii="Tahoma" w:hAnsi="Tahoma" w:cs="Tahoma"/>
          <w:b/>
          <w:sz w:val="24"/>
          <w:szCs w:val="24"/>
        </w:rPr>
        <w:t>lei (</w:t>
      </w:r>
      <w:r w:rsidR="00364FD9" w:rsidRPr="00A057AC">
        <w:rPr>
          <w:rFonts w:ascii="Tahoma" w:hAnsi="Tahoma" w:cs="Tahoma"/>
          <w:b/>
          <w:sz w:val="24"/>
          <w:szCs w:val="24"/>
        </w:rPr>
        <w:t>18,4</w:t>
      </w:r>
      <w:r w:rsidRPr="00A057AC">
        <w:rPr>
          <w:rFonts w:ascii="Tahoma" w:hAnsi="Tahoma" w:cs="Tahoma"/>
          <w:b/>
          <w:sz w:val="24"/>
          <w:szCs w:val="24"/>
        </w:rPr>
        <w:t>% din PIB)</w:t>
      </w:r>
      <w:r w:rsidRPr="00A057AC">
        <w:rPr>
          <w:rFonts w:ascii="Tahoma" w:hAnsi="Tahoma" w:cs="Tahoma"/>
          <w:sz w:val="24"/>
          <w:szCs w:val="24"/>
        </w:rPr>
        <w:t xml:space="preserve">, au crescut în termeni nominali cu </w:t>
      </w:r>
      <w:r w:rsidR="00364FD9" w:rsidRPr="00A057AC">
        <w:rPr>
          <w:rFonts w:ascii="Tahoma" w:hAnsi="Tahoma" w:cs="Tahoma"/>
          <w:sz w:val="24"/>
          <w:szCs w:val="24"/>
        </w:rPr>
        <w:t>9,8</w:t>
      </w:r>
      <w:r w:rsidRPr="00A057AC">
        <w:rPr>
          <w:rFonts w:ascii="Tahoma" w:hAnsi="Tahoma" w:cs="Tahoma"/>
          <w:sz w:val="24"/>
          <w:szCs w:val="24"/>
        </w:rPr>
        <w:t xml:space="preserve">% față de aceeași perioadă a anului precedent, gradul de realizare al acestora fiind de </w:t>
      </w:r>
      <w:r w:rsidR="00364FD9" w:rsidRPr="00A057AC">
        <w:rPr>
          <w:rFonts w:ascii="Tahoma" w:hAnsi="Tahoma" w:cs="Tahoma"/>
          <w:sz w:val="24"/>
          <w:szCs w:val="24"/>
        </w:rPr>
        <w:t>92</w:t>
      </w:r>
      <w:r w:rsidRPr="00A057AC">
        <w:rPr>
          <w:rFonts w:ascii="Tahoma" w:hAnsi="Tahoma" w:cs="Tahoma"/>
          <w:sz w:val="24"/>
          <w:szCs w:val="24"/>
        </w:rPr>
        <w:t>,6%.</w:t>
      </w:r>
    </w:p>
    <w:p w:rsidR="004D6D76" w:rsidRPr="00A057AC" w:rsidRDefault="004D6D76" w:rsidP="002A6579">
      <w:pPr>
        <w:spacing w:after="360" w:line="276" w:lineRule="auto"/>
        <w:ind w:firstLine="720"/>
        <w:rPr>
          <w:rFonts w:ascii="Tahoma" w:hAnsi="Tahoma" w:cs="Tahoma"/>
          <w:bCs/>
          <w:sz w:val="24"/>
          <w:szCs w:val="24"/>
        </w:rPr>
      </w:pPr>
      <w:r w:rsidRPr="00A057AC">
        <w:rPr>
          <w:rFonts w:ascii="Tahoma" w:hAnsi="Tahoma" w:cs="Tahoma"/>
          <w:bCs/>
          <w:sz w:val="24"/>
          <w:szCs w:val="24"/>
        </w:rPr>
        <w:t xml:space="preserve">Acestea, ca pondere în PIB, au înregistrat o creștere cu </w:t>
      </w:r>
      <w:r w:rsidR="00EA3890" w:rsidRPr="00A057AC">
        <w:rPr>
          <w:rFonts w:ascii="Tahoma" w:hAnsi="Tahoma" w:cs="Tahoma"/>
          <w:bCs/>
          <w:sz w:val="24"/>
          <w:szCs w:val="24"/>
        </w:rPr>
        <w:t>0,3</w:t>
      </w:r>
      <w:r w:rsidRPr="00A057AC">
        <w:rPr>
          <w:rFonts w:ascii="Tahoma" w:hAnsi="Tahoma" w:cs="Tahoma"/>
          <w:bCs/>
          <w:sz w:val="24"/>
          <w:szCs w:val="24"/>
        </w:rPr>
        <w:t xml:space="preserve"> puncte procentuale de la </w:t>
      </w:r>
      <w:r w:rsidR="00EA3890" w:rsidRPr="00A057AC">
        <w:rPr>
          <w:rFonts w:ascii="Tahoma" w:hAnsi="Tahoma" w:cs="Tahoma"/>
          <w:bCs/>
          <w:sz w:val="24"/>
          <w:szCs w:val="24"/>
        </w:rPr>
        <w:t>18,1</w:t>
      </w:r>
      <w:r w:rsidRPr="00A057AC">
        <w:rPr>
          <w:rFonts w:ascii="Tahoma" w:hAnsi="Tahoma" w:cs="Tahoma"/>
          <w:bCs/>
          <w:sz w:val="24"/>
          <w:szCs w:val="24"/>
        </w:rPr>
        <w:t>% din PIB în semestrul I 20</w:t>
      </w:r>
      <w:r w:rsidR="00EA3890" w:rsidRPr="00A057AC">
        <w:rPr>
          <w:rFonts w:ascii="Tahoma" w:hAnsi="Tahoma" w:cs="Tahoma"/>
          <w:bCs/>
          <w:sz w:val="24"/>
          <w:szCs w:val="24"/>
        </w:rPr>
        <w:t>20</w:t>
      </w:r>
      <w:r w:rsidRPr="00A057AC">
        <w:rPr>
          <w:rFonts w:ascii="Tahoma" w:hAnsi="Tahoma" w:cs="Tahoma"/>
          <w:bCs/>
          <w:sz w:val="24"/>
          <w:szCs w:val="24"/>
        </w:rPr>
        <w:t xml:space="preserve"> la </w:t>
      </w:r>
      <w:r w:rsidR="00EA3890" w:rsidRPr="00A057AC">
        <w:rPr>
          <w:rFonts w:ascii="Tahoma" w:hAnsi="Tahoma" w:cs="Tahoma"/>
          <w:bCs/>
          <w:sz w:val="24"/>
          <w:szCs w:val="24"/>
        </w:rPr>
        <w:t>18,4</w:t>
      </w:r>
      <w:r w:rsidRPr="00A057AC">
        <w:rPr>
          <w:rFonts w:ascii="Tahoma" w:hAnsi="Tahoma" w:cs="Tahoma"/>
          <w:bCs/>
          <w:sz w:val="24"/>
          <w:szCs w:val="24"/>
        </w:rPr>
        <w:t>% din PIB în semestrul I 20</w:t>
      </w:r>
      <w:r w:rsidR="000C4F84" w:rsidRPr="00A057AC">
        <w:rPr>
          <w:rFonts w:ascii="Tahoma" w:hAnsi="Tahoma" w:cs="Tahoma"/>
          <w:bCs/>
          <w:sz w:val="24"/>
          <w:szCs w:val="24"/>
        </w:rPr>
        <w:t>2</w:t>
      </w:r>
      <w:r w:rsidR="00EA3890" w:rsidRPr="00A057AC">
        <w:rPr>
          <w:rFonts w:ascii="Tahoma" w:hAnsi="Tahoma" w:cs="Tahoma"/>
          <w:bCs/>
          <w:sz w:val="24"/>
          <w:szCs w:val="24"/>
        </w:rPr>
        <w:t>1</w:t>
      </w:r>
      <w:r w:rsidRPr="00A057AC">
        <w:rPr>
          <w:rFonts w:ascii="Tahoma" w:hAnsi="Tahoma" w:cs="Tahoma"/>
          <w:bCs/>
          <w:sz w:val="24"/>
          <w:szCs w:val="24"/>
        </w:rPr>
        <w:t>.</w:t>
      </w:r>
    </w:p>
    <w:p w:rsidR="001B5B69" w:rsidRPr="00A057AC" w:rsidRDefault="009470EB" w:rsidP="002A6579">
      <w:pPr>
        <w:spacing w:after="240" w:line="276" w:lineRule="auto"/>
        <w:ind w:firstLine="0"/>
        <w:rPr>
          <w:rFonts w:ascii="Tahoma" w:hAnsi="Tahoma" w:cs="Tahoma"/>
          <w:bCs/>
          <w:sz w:val="24"/>
          <w:szCs w:val="24"/>
        </w:rPr>
      </w:pPr>
      <w:r w:rsidRPr="00A057AC">
        <w:rPr>
          <w:rFonts w:ascii="Tahoma" w:hAnsi="Tahoma" w:cs="Tahoma"/>
          <w:bCs/>
          <w:noProof/>
          <w:sz w:val="24"/>
          <w:szCs w:val="24"/>
          <w:lang w:val="en-US"/>
        </w:rPr>
        <w:drawing>
          <wp:inline distT="0" distB="0" distL="0" distR="0" wp14:anchorId="3388C66D" wp14:editId="21311D07">
            <wp:extent cx="585724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240" cy="3448050"/>
                    </a:xfrm>
                    <a:prstGeom prst="rect">
                      <a:avLst/>
                    </a:prstGeom>
                    <a:noFill/>
                  </pic:spPr>
                </pic:pic>
              </a:graphicData>
            </a:graphic>
          </wp:inline>
        </w:drawing>
      </w:r>
    </w:p>
    <w:p w:rsidR="00EA36E7" w:rsidRPr="00A057AC" w:rsidRDefault="00EA36E7" w:rsidP="00107683">
      <w:pPr>
        <w:shd w:val="clear" w:color="auto" w:fill="FFFFFF" w:themeFill="background1"/>
        <w:spacing w:after="240" w:line="276" w:lineRule="auto"/>
        <w:ind w:firstLine="720"/>
        <w:rPr>
          <w:rFonts w:ascii="Tahoma" w:eastAsia="Calibri" w:hAnsi="Tahoma" w:cs="Tahoma"/>
          <w:sz w:val="24"/>
          <w:szCs w:val="24"/>
        </w:rPr>
      </w:pPr>
      <w:r w:rsidRPr="00A057AC">
        <w:rPr>
          <w:rFonts w:ascii="Tahoma" w:eastAsia="Calibri" w:hAnsi="Tahoma" w:cs="Tahoma"/>
          <w:sz w:val="24"/>
          <w:szCs w:val="24"/>
        </w:rPr>
        <w:t xml:space="preserve">Pe primele șase luni ale anului 2021 cheltuielile de investiții au fost cu 5,23 </w:t>
      </w:r>
      <w:r w:rsidR="000C2870" w:rsidRPr="00A057AC">
        <w:rPr>
          <w:rFonts w:ascii="Tahoma" w:eastAsia="Calibri" w:hAnsi="Tahoma" w:cs="Tahoma"/>
          <w:sz w:val="24"/>
          <w:szCs w:val="24"/>
        </w:rPr>
        <w:t>miliarde</w:t>
      </w:r>
      <w:r w:rsidRPr="00A057AC">
        <w:rPr>
          <w:rFonts w:ascii="Tahoma" w:eastAsia="Calibri" w:hAnsi="Tahoma" w:cs="Tahoma"/>
          <w:sz w:val="24"/>
          <w:szCs w:val="24"/>
        </w:rPr>
        <w:t xml:space="preserve"> lei mai mari față de aceeași perioadă a anului precedent, iar plățile cu caracter excepțional generate de epidemia COVID-19 au fost de 8,11 </w:t>
      </w:r>
      <w:r w:rsidR="000C2870" w:rsidRPr="00A057AC">
        <w:rPr>
          <w:rFonts w:ascii="Tahoma" w:eastAsia="Calibri" w:hAnsi="Tahoma" w:cs="Tahoma"/>
          <w:sz w:val="24"/>
          <w:szCs w:val="24"/>
        </w:rPr>
        <w:t>miliarde</w:t>
      </w:r>
      <w:r w:rsidRPr="00A057AC">
        <w:rPr>
          <w:rFonts w:ascii="Tahoma" w:eastAsia="Calibri" w:hAnsi="Tahoma" w:cs="Tahoma"/>
          <w:sz w:val="24"/>
          <w:szCs w:val="24"/>
        </w:rPr>
        <w:t xml:space="preserve"> lei.</w:t>
      </w:r>
    </w:p>
    <w:p w:rsidR="0044034D" w:rsidRPr="00A057AC" w:rsidRDefault="00583D0F" w:rsidP="002A6579">
      <w:pPr>
        <w:spacing w:line="276" w:lineRule="auto"/>
        <w:ind w:right="-57" w:firstLine="0"/>
        <w:rPr>
          <w:rFonts w:ascii="Tahoma" w:hAnsi="Tahoma" w:cs="Tahoma"/>
          <w:bCs/>
          <w:sz w:val="24"/>
          <w:szCs w:val="24"/>
        </w:rPr>
      </w:pPr>
      <w:r w:rsidRPr="00A057AC">
        <w:rPr>
          <w:rFonts w:ascii="Tahoma" w:hAnsi="Tahoma" w:cs="Tahoma"/>
          <w:bCs/>
          <w:noProof/>
          <w:sz w:val="24"/>
          <w:szCs w:val="24"/>
          <w:lang w:val="en-US"/>
        </w:rPr>
        <w:drawing>
          <wp:inline distT="0" distB="0" distL="0" distR="0" wp14:anchorId="74335411" wp14:editId="702D1369">
            <wp:extent cx="5766435" cy="2886323"/>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9914" cy="2898075"/>
                    </a:xfrm>
                    <a:prstGeom prst="rect">
                      <a:avLst/>
                    </a:prstGeom>
                    <a:noFill/>
                  </pic:spPr>
                </pic:pic>
              </a:graphicData>
            </a:graphic>
          </wp:inline>
        </w:drawing>
      </w:r>
    </w:p>
    <w:p w:rsidR="004D6D76" w:rsidRPr="00A057AC" w:rsidRDefault="004D6D76" w:rsidP="002A6579">
      <w:pPr>
        <w:spacing w:before="240" w:line="276" w:lineRule="auto"/>
        <w:ind w:firstLine="720"/>
        <w:rPr>
          <w:rFonts w:ascii="Tahoma" w:hAnsi="Tahoma" w:cs="Tahoma"/>
          <w:bCs/>
          <w:sz w:val="24"/>
          <w:szCs w:val="24"/>
        </w:rPr>
      </w:pPr>
      <w:r w:rsidRPr="00A057AC">
        <w:rPr>
          <w:rFonts w:ascii="Tahoma" w:hAnsi="Tahoma" w:cs="Tahoma"/>
          <w:b/>
          <w:sz w:val="24"/>
          <w:szCs w:val="24"/>
        </w:rPr>
        <w:lastRenderedPageBreak/>
        <w:t>Cheltuielile de personal</w:t>
      </w:r>
      <w:r w:rsidRPr="00A057AC">
        <w:rPr>
          <w:rFonts w:ascii="Tahoma" w:hAnsi="Tahoma" w:cs="Tahoma"/>
          <w:bCs/>
          <w:sz w:val="24"/>
          <w:szCs w:val="24"/>
        </w:rPr>
        <w:t xml:space="preserve"> au fost în sumă de </w:t>
      </w:r>
      <w:r w:rsidR="001C38E5" w:rsidRPr="00A057AC">
        <w:rPr>
          <w:rFonts w:ascii="Tahoma" w:hAnsi="Tahoma" w:cs="Tahoma"/>
          <w:bCs/>
          <w:sz w:val="24"/>
          <w:szCs w:val="24"/>
        </w:rPr>
        <w:t>55,71 miliarde lei</w:t>
      </w:r>
      <w:r w:rsidRPr="00A057AC">
        <w:rPr>
          <w:rFonts w:ascii="Tahoma" w:hAnsi="Tahoma" w:cs="Tahoma"/>
          <w:bCs/>
          <w:sz w:val="24"/>
          <w:szCs w:val="24"/>
        </w:rPr>
        <w:t xml:space="preserve"> în creștere cu </w:t>
      </w:r>
      <w:r w:rsidR="000C4F84" w:rsidRPr="00A057AC">
        <w:rPr>
          <w:rFonts w:ascii="Tahoma" w:hAnsi="Tahoma" w:cs="Tahoma"/>
          <w:bCs/>
          <w:sz w:val="24"/>
          <w:szCs w:val="24"/>
        </w:rPr>
        <w:t>4,5</w:t>
      </w:r>
      <w:r w:rsidRPr="00A057AC">
        <w:rPr>
          <w:rFonts w:ascii="Tahoma" w:hAnsi="Tahoma" w:cs="Tahoma"/>
          <w:bCs/>
          <w:sz w:val="24"/>
          <w:szCs w:val="24"/>
        </w:rPr>
        <w:t>% comparativ cu semestru I 20</w:t>
      </w:r>
      <w:r w:rsidR="001C38E5" w:rsidRPr="00A057AC">
        <w:rPr>
          <w:rFonts w:ascii="Tahoma" w:hAnsi="Tahoma" w:cs="Tahoma"/>
          <w:bCs/>
          <w:sz w:val="24"/>
          <w:szCs w:val="24"/>
        </w:rPr>
        <w:t>20</w:t>
      </w:r>
      <w:r w:rsidRPr="00A057AC">
        <w:rPr>
          <w:rFonts w:ascii="Tahoma" w:hAnsi="Tahoma" w:cs="Tahoma"/>
          <w:bCs/>
          <w:sz w:val="24"/>
          <w:szCs w:val="24"/>
        </w:rPr>
        <w:t xml:space="preserve">, fiind realizate în proporție de </w:t>
      </w:r>
      <w:r w:rsidR="001C38E5" w:rsidRPr="00A057AC">
        <w:rPr>
          <w:rFonts w:ascii="Tahoma" w:hAnsi="Tahoma" w:cs="Tahoma"/>
          <w:bCs/>
          <w:sz w:val="24"/>
          <w:szCs w:val="24"/>
        </w:rPr>
        <w:t>99,9</w:t>
      </w:r>
      <w:r w:rsidRPr="00A057AC">
        <w:rPr>
          <w:rFonts w:ascii="Tahoma" w:hAnsi="Tahoma" w:cs="Tahoma"/>
          <w:bCs/>
          <w:sz w:val="24"/>
          <w:szCs w:val="24"/>
        </w:rPr>
        <w:t xml:space="preserve">%. </w:t>
      </w:r>
    </w:p>
    <w:p w:rsidR="004D6D76" w:rsidRPr="00A057AC" w:rsidRDefault="004D6D76" w:rsidP="002A6579">
      <w:pPr>
        <w:spacing w:line="276" w:lineRule="auto"/>
        <w:ind w:firstLine="720"/>
        <w:rPr>
          <w:rFonts w:ascii="Tahoma" w:hAnsi="Tahoma" w:cs="Tahoma"/>
          <w:bCs/>
          <w:sz w:val="24"/>
          <w:szCs w:val="24"/>
        </w:rPr>
      </w:pPr>
      <w:r w:rsidRPr="00A057AC">
        <w:rPr>
          <w:rFonts w:ascii="Tahoma" w:hAnsi="Tahoma" w:cs="Tahoma"/>
          <w:bCs/>
          <w:sz w:val="24"/>
          <w:szCs w:val="24"/>
        </w:rPr>
        <w:t xml:space="preserve">Cheltuielile de personal, ca procent în PIB, au </w:t>
      </w:r>
      <w:r w:rsidR="00E401A6" w:rsidRPr="00A057AC">
        <w:rPr>
          <w:rFonts w:ascii="Tahoma" w:hAnsi="Tahoma" w:cs="Tahoma"/>
          <w:bCs/>
          <w:sz w:val="24"/>
          <w:szCs w:val="24"/>
        </w:rPr>
        <w:t>scăzut</w:t>
      </w:r>
      <w:r w:rsidRPr="00A057AC">
        <w:rPr>
          <w:rFonts w:ascii="Tahoma" w:hAnsi="Tahoma" w:cs="Tahoma"/>
          <w:bCs/>
          <w:sz w:val="24"/>
          <w:szCs w:val="24"/>
        </w:rPr>
        <w:t xml:space="preserve"> cu 0,</w:t>
      </w:r>
      <w:r w:rsidR="000C4F84" w:rsidRPr="00A057AC">
        <w:rPr>
          <w:rFonts w:ascii="Tahoma" w:hAnsi="Tahoma" w:cs="Tahoma"/>
          <w:bCs/>
          <w:sz w:val="24"/>
          <w:szCs w:val="24"/>
        </w:rPr>
        <w:t>1</w:t>
      </w:r>
      <w:r w:rsidR="00B07E4B" w:rsidRPr="00A057AC">
        <w:rPr>
          <w:rFonts w:ascii="Tahoma" w:hAnsi="Tahoma" w:cs="Tahoma"/>
          <w:bCs/>
          <w:sz w:val="24"/>
          <w:szCs w:val="24"/>
        </w:rPr>
        <w:t xml:space="preserve"> </w:t>
      </w:r>
      <w:r w:rsidRPr="00A057AC">
        <w:rPr>
          <w:rFonts w:ascii="Tahoma" w:hAnsi="Tahoma" w:cs="Tahoma"/>
          <w:bCs/>
          <w:sz w:val="24"/>
          <w:szCs w:val="24"/>
        </w:rPr>
        <w:t xml:space="preserve">puncte procentuale de la </w:t>
      </w:r>
      <w:r w:rsidR="00E401A6" w:rsidRPr="00A057AC">
        <w:rPr>
          <w:rFonts w:ascii="Tahoma" w:hAnsi="Tahoma" w:cs="Tahoma"/>
          <w:bCs/>
          <w:sz w:val="24"/>
          <w:szCs w:val="24"/>
        </w:rPr>
        <w:t>5,0</w:t>
      </w:r>
      <w:r w:rsidRPr="00A057AC">
        <w:rPr>
          <w:rFonts w:ascii="Tahoma" w:hAnsi="Tahoma" w:cs="Tahoma"/>
          <w:bCs/>
          <w:sz w:val="24"/>
          <w:szCs w:val="24"/>
        </w:rPr>
        <w:t>% din PIB cât au fost în semestrul I 20</w:t>
      </w:r>
      <w:r w:rsidR="00E401A6" w:rsidRPr="00A057AC">
        <w:rPr>
          <w:rFonts w:ascii="Tahoma" w:hAnsi="Tahoma" w:cs="Tahoma"/>
          <w:bCs/>
          <w:sz w:val="24"/>
          <w:szCs w:val="24"/>
        </w:rPr>
        <w:t>20</w:t>
      </w:r>
      <w:r w:rsidRPr="00A057AC">
        <w:rPr>
          <w:rFonts w:ascii="Tahoma" w:hAnsi="Tahoma" w:cs="Tahoma"/>
          <w:bCs/>
          <w:sz w:val="24"/>
          <w:szCs w:val="24"/>
        </w:rPr>
        <w:t xml:space="preserve"> la 4,9 % din PIB în semestrul I 20</w:t>
      </w:r>
      <w:r w:rsidR="000C4F84" w:rsidRPr="00A057AC">
        <w:rPr>
          <w:rFonts w:ascii="Tahoma" w:hAnsi="Tahoma" w:cs="Tahoma"/>
          <w:bCs/>
          <w:sz w:val="24"/>
          <w:szCs w:val="24"/>
        </w:rPr>
        <w:t>2</w:t>
      </w:r>
      <w:r w:rsidR="00E401A6" w:rsidRPr="00A057AC">
        <w:rPr>
          <w:rFonts w:ascii="Tahoma" w:hAnsi="Tahoma" w:cs="Tahoma"/>
          <w:bCs/>
          <w:sz w:val="24"/>
          <w:szCs w:val="24"/>
        </w:rPr>
        <w:t>1</w:t>
      </w:r>
      <w:r w:rsidRPr="00A057AC">
        <w:rPr>
          <w:rFonts w:ascii="Tahoma" w:hAnsi="Tahoma" w:cs="Tahoma"/>
          <w:bCs/>
          <w:sz w:val="24"/>
          <w:szCs w:val="24"/>
        </w:rPr>
        <w:t>.</w:t>
      </w:r>
    </w:p>
    <w:p w:rsidR="00EA36E7" w:rsidRPr="00A057AC" w:rsidRDefault="00EA36E7" w:rsidP="004C2007">
      <w:pPr>
        <w:spacing w:after="160" w:line="276" w:lineRule="auto"/>
        <w:ind w:right="-58" w:firstLine="720"/>
        <w:rPr>
          <w:rFonts w:ascii="Tahoma" w:eastAsia="Calibri" w:hAnsi="Tahoma" w:cs="Tahoma"/>
          <w:color w:val="000000"/>
          <w:sz w:val="24"/>
          <w:szCs w:val="24"/>
        </w:rPr>
      </w:pPr>
      <w:r w:rsidRPr="00A057AC">
        <w:rPr>
          <w:rFonts w:ascii="Tahoma" w:eastAsia="Calibri" w:hAnsi="Tahoma" w:cs="Tahoma"/>
          <w:bCs/>
          <w:color w:val="000000"/>
          <w:sz w:val="24"/>
          <w:szCs w:val="24"/>
        </w:rPr>
        <w:t>Creșterea în termen</w:t>
      </w:r>
      <w:r w:rsidR="004C2007" w:rsidRPr="00A057AC">
        <w:rPr>
          <w:rFonts w:ascii="Tahoma" w:eastAsia="Calibri" w:hAnsi="Tahoma" w:cs="Tahoma"/>
          <w:bCs/>
          <w:color w:val="000000"/>
          <w:sz w:val="24"/>
          <w:szCs w:val="24"/>
        </w:rPr>
        <w:t>i</w:t>
      </w:r>
      <w:r w:rsidRPr="00A057AC">
        <w:rPr>
          <w:rFonts w:ascii="Tahoma" w:eastAsia="Calibri" w:hAnsi="Tahoma" w:cs="Tahoma"/>
          <w:bCs/>
          <w:color w:val="000000"/>
          <w:sz w:val="24"/>
          <w:szCs w:val="24"/>
        </w:rPr>
        <w:t xml:space="preserve"> nominal</w:t>
      </w:r>
      <w:r w:rsidR="004C2007" w:rsidRPr="00A057AC">
        <w:rPr>
          <w:rFonts w:ascii="Tahoma" w:eastAsia="Calibri" w:hAnsi="Tahoma" w:cs="Tahoma"/>
          <w:bCs/>
          <w:color w:val="000000"/>
          <w:sz w:val="24"/>
          <w:szCs w:val="24"/>
        </w:rPr>
        <w:t>i</w:t>
      </w:r>
      <w:r w:rsidRPr="00A057AC">
        <w:rPr>
          <w:rFonts w:ascii="Tahoma" w:eastAsia="Calibri" w:hAnsi="Tahoma" w:cs="Tahoma"/>
          <w:bCs/>
          <w:color w:val="000000"/>
          <w:sz w:val="24"/>
          <w:szCs w:val="24"/>
        </w:rPr>
        <w:t xml:space="preserve"> a cheltuielilor de personal comparativ cu semestrul I 2020 a fost determinată,</w:t>
      </w:r>
      <w:r w:rsidR="00CF2AF0" w:rsidRPr="00A057AC">
        <w:rPr>
          <w:rFonts w:ascii="Tahoma" w:eastAsia="Calibri" w:hAnsi="Tahoma" w:cs="Tahoma"/>
          <w:bCs/>
          <w:color w:val="000000"/>
          <w:sz w:val="24"/>
          <w:szCs w:val="24"/>
        </w:rPr>
        <w:t xml:space="preserve"> </w:t>
      </w:r>
      <w:r w:rsidRPr="00A057AC">
        <w:rPr>
          <w:rFonts w:ascii="Tahoma" w:eastAsia="Calibri" w:hAnsi="Tahoma" w:cs="Tahoma"/>
          <w:bCs/>
          <w:color w:val="000000"/>
          <w:sz w:val="24"/>
          <w:szCs w:val="24"/>
        </w:rPr>
        <w:t xml:space="preserve">în principal, </w:t>
      </w:r>
      <w:r w:rsidRPr="00A057AC">
        <w:rPr>
          <w:rFonts w:ascii="Tahoma" w:eastAsia="Calibri" w:hAnsi="Tahoma" w:cs="Tahoma"/>
          <w:color w:val="000000"/>
          <w:sz w:val="24"/>
          <w:szCs w:val="24"/>
        </w:rPr>
        <w:t>de plățile reprezentând stimulentul de risc acordat pentru COVID 19 (</w:t>
      </w:r>
      <w:r w:rsidR="00344701" w:rsidRPr="00A057AC">
        <w:rPr>
          <w:rFonts w:ascii="Tahoma" w:eastAsia="Calibri" w:hAnsi="Tahoma" w:cs="Tahoma"/>
          <w:color w:val="000000"/>
          <w:sz w:val="24"/>
          <w:szCs w:val="24"/>
        </w:rPr>
        <w:t xml:space="preserve">0,07 miliarde </w:t>
      </w:r>
      <w:r w:rsidRPr="00A057AC">
        <w:rPr>
          <w:rFonts w:ascii="Tahoma" w:eastAsia="Calibri" w:hAnsi="Tahoma" w:cs="Tahoma"/>
          <w:color w:val="000000"/>
          <w:sz w:val="24"/>
          <w:szCs w:val="24"/>
        </w:rPr>
        <w:t xml:space="preserve">lei), precum și alte cheltuieli de personal, inclusiv sporuri acordate personalului medical </w:t>
      </w:r>
      <w:r w:rsidR="00B07E4B" w:rsidRPr="00A057AC">
        <w:rPr>
          <w:rFonts w:ascii="Tahoma" w:eastAsia="Calibri" w:hAnsi="Tahoma" w:cs="Tahoma"/>
          <w:color w:val="000000"/>
          <w:sz w:val="24"/>
          <w:szCs w:val="24"/>
        </w:rPr>
        <w:t>și</w:t>
      </w:r>
      <w:r w:rsidRPr="00A057AC">
        <w:rPr>
          <w:rFonts w:ascii="Tahoma" w:eastAsia="Calibri" w:hAnsi="Tahoma" w:cs="Tahoma"/>
          <w:color w:val="000000"/>
          <w:sz w:val="24"/>
          <w:szCs w:val="24"/>
        </w:rPr>
        <w:t xml:space="preserve"> auxiliar implicați în </w:t>
      </w:r>
      <w:r w:rsidR="00B07E4B" w:rsidRPr="00A057AC">
        <w:rPr>
          <w:rFonts w:ascii="Tahoma" w:eastAsia="Calibri" w:hAnsi="Tahoma" w:cs="Tahoma"/>
          <w:color w:val="000000"/>
          <w:sz w:val="24"/>
          <w:szCs w:val="24"/>
        </w:rPr>
        <w:t>activitățile</w:t>
      </w:r>
      <w:r w:rsidRPr="00A057AC">
        <w:rPr>
          <w:rFonts w:ascii="Tahoma" w:eastAsia="Calibri" w:hAnsi="Tahoma" w:cs="Tahoma"/>
          <w:color w:val="000000"/>
          <w:sz w:val="24"/>
          <w:szCs w:val="24"/>
        </w:rPr>
        <w:t xml:space="preserve"> cu </w:t>
      </w:r>
      <w:r w:rsidR="00B07E4B" w:rsidRPr="00A057AC">
        <w:rPr>
          <w:rFonts w:ascii="Tahoma" w:eastAsia="Calibri" w:hAnsi="Tahoma" w:cs="Tahoma"/>
          <w:color w:val="000000"/>
          <w:sz w:val="24"/>
          <w:szCs w:val="24"/>
        </w:rPr>
        <w:t>pacienții</w:t>
      </w:r>
      <w:r w:rsidRPr="00A057AC">
        <w:rPr>
          <w:rFonts w:ascii="Tahoma" w:eastAsia="Calibri" w:hAnsi="Tahoma" w:cs="Tahoma"/>
          <w:color w:val="000000"/>
          <w:sz w:val="24"/>
          <w:szCs w:val="24"/>
        </w:rPr>
        <w:t xml:space="preserve"> </w:t>
      </w:r>
      <w:r w:rsidR="00B07E4B" w:rsidRPr="00A057AC">
        <w:rPr>
          <w:rFonts w:ascii="Tahoma" w:eastAsia="Calibri" w:hAnsi="Tahoma" w:cs="Tahoma"/>
          <w:color w:val="000000"/>
          <w:sz w:val="24"/>
          <w:szCs w:val="24"/>
        </w:rPr>
        <w:t>diagnosticați</w:t>
      </w:r>
      <w:r w:rsidRPr="00A057AC">
        <w:rPr>
          <w:rFonts w:ascii="Tahoma" w:eastAsia="Calibri" w:hAnsi="Tahoma" w:cs="Tahoma"/>
          <w:color w:val="000000"/>
          <w:sz w:val="24"/>
          <w:szCs w:val="24"/>
        </w:rPr>
        <w:t xml:space="preserve"> cu COVID-19 </w:t>
      </w:r>
      <w:r w:rsidR="00A35247" w:rsidRPr="00A057AC">
        <w:rPr>
          <w:rFonts w:ascii="Tahoma" w:eastAsia="Calibri" w:hAnsi="Tahoma" w:cs="Tahoma"/>
          <w:color w:val="000000"/>
          <w:sz w:val="24"/>
          <w:szCs w:val="24"/>
        </w:rPr>
        <w:t>(</w:t>
      </w:r>
      <w:r w:rsidRPr="00A057AC">
        <w:rPr>
          <w:rFonts w:ascii="Tahoma" w:eastAsia="Calibri" w:hAnsi="Tahoma" w:cs="Tahoma"/>
          <w:color w:val="000000"/>
          <w:sz w:val="24"/>
          <w:szCs w:val="24"/>
        </w:rPr>
        <w:t>1</w:t>
      </w:r>
      <w:r w:rsidR="00344701" w:rsidRPr="00A057AC">
        <w:rPr>
          <w:rFonts w:ascii="Tahoma" w:eastAsia="Calibri" w:hAnsi="Tahoma" w:cs="Tahoma"/>
          <w:color w:val="000000"/>
          <w:sz w:val="24"/>
          <w:szCs w:val="24"/>
        </w:rPr>
        <w:t>,</w:t>
      </w:r>
      <w:r w:rsidRPr="00A057AC">
        <w:rPr>
          <w:rFonts w:ascii="Tahoma" w:eastAsia="Calibri" w:hAnsi="Tahoma" w:cs="Tahoma"/>
          <w:color w:val="000000"/>
          <w:sz w:val="24"/>
          <w:szCs w:val="24"/>
        </w:rPr>
        <w:t>52</w:t>
      </w:r>
      <w:r w:rsidR="00B07E4B" w:rsidRPr="00A057AC">
        <w:rPr>
          <w:rFonts w:ascii="Tahoma" w:eastAsia="Calibri" w:hAnsi="Tahoma" w:cs="Tahoma"/>
          <w:color w:val="000000"/>
          <w:sz w:val="24"/>
          <w:szCs w:val="24"/>
        </w:rPr>
        <w:t xml:space="preserve"> </w:t>
      </w:r>
      <w:r w:rsidRPr="00A057AC">
        <w:rPr>
          <w:rFonts w:ascii="Tahoma" w:eastAsia="Calibri" w:hAnsi="Tahoma" w:cs="Tahoma"/>
          <w:color w:val="000000"/>
          <w:sz w:val="24"/>
          <w:szCs w:val="24"/>
        </w:rPr>
        <w:t>mili</w:t>
      </w:r>
      <w:r w:rsidR="00344701" w:rsidRPr="00A057AC">
        <w:rPr>
          <w:rFonts w:ascii="Tahoma" w:eastAsia="Calibri" w:hAnsi="Tahoma" w:cs="Tahoma"/>
          <w:color w:val="000000"/>
          <w:sz w:val="24"/>
          <w:szCs w:val="24"/>
        </w:rPr>
        <w:t>arde</w:t>
      </w:r>
      <w:r w:rsidRPr="00A057AC">
        <w:rPr>
          <w:rFonts w:ascii="Tahoma" w:eastAsia="Calibri" w:hAnsi="Tahoma" w:cs="Tahoma"/>
          <w:color w:val="000000"/>
          <w:sz w:val="24"/>
          <w:szCs w:val="24"/>
        </w:rPr>
        <w:t xml:space="preserve"> lei</w:t>
      </w:r>
      <w:r w:rsidR="00A35247" w:rsidRPr="00A057AC">
        <w:rPr>
          <w:rFonts w:ascii="Tahoma" w:eastAsia="Calibri" w:hAnsi="Tahoma" w:cs="Tahoma"/>
          <w:color w:val="000000"/>
          <w:sz w:val="24"/>
          <w:szCs w:val="24"/>
        </w:rPr>
        <w:t>)</w:t>
      </w:r>
      <w:r w:rsidRPr="00A057AC">
        <w:rPr>
          <w:rFonts w:ascii="Tahoma" w:eastAsia="Calibri" w:hAnsi="Tahoma" w:cs="Tahoma"/>
          <w:color w:val="000000"/>
          <w:sz w:val="24"/>
          <w:szCs w:val="24"/>
        </w:rPr>
        <w:t>.</w:t>
      </w:r>
    </w:p>
    <w:p w:rsidR="004D5C98" w:rsidRPr="00A057AC" w:rsidRDefault="004D6D76" w:rsidP="002A6579">
      <w:pPr>
        <w:spacing w:line="276" w:lineRule="auto"/>
        <w:ind w:right="-57" w:firstLine="720"/>
        <w:rPr>
          <w:rFonts w:ascii="Tahoma" w:hAnsi="Tahoma" w:cs="Tahoma"/>
          <w:bCs/>
          <w:sz w:val="24"/>
          <w:szCs w:val="24"/>
        </w:rPr>
      </w:pPr>
      <w:r w:rsidRPr="00A057AC">
        <w:rPr>
          <w:rFonts w:ascii="Tahoma" w:hAnsi="Tahoma" w:cs="Tahoma"/>
          <w:b/>
          <w:bCs/>
          <w:sz w:val="24"/>
          <w:szCs w:val="24"/>
        </w:rPr>
        <w:t xml:space="preserve">Cheltuielile cu bunuri </w:t>
      </w:r>
      <w:r w:rsidR="00247A3D" w:rsidRPr="00A057AC">
        <w:rPr>
          <w:rFonts w:ascii="Tahoma" w:hAnsi="Tahoma" w:cs="Tahoma"/>
          <w:b/>
          <w:bCs/>
          <w:sz w:val="24"/>
          <w:szCs w:val="24"/>
        </w:rPr>
        <w:t>și</w:t>
      </w:r>
      <w:r w:rsidRPr="00A057AC">
        <w:rPr>
          <w:rFonts w:ascii="Tahoma" w:hAnsi="Tahoma" w:cs="Tahoma"/>
          <w:b/>
          <w:bCs/>
          <w:sz w:val="24"/>
          <w:szCs w:val="24"/>
        </w:rPr>
        <w:t xml:space="preserve"> servicii </w:t>
      </w:r>
      <w:r w:rsidRPr="00A057AC">
        <w:rPr>
          <w:rFonts w:ascii="Tahoma" w:hAnsi="Tahoma" w:cs="Tahoma"/>
          <w:bCs/>
          <w:sz w:val="24"/>
          <w:szCs w:val="24"/>
        </w:rPr>
        <w:t xml:space="preserve">au totalizat </w:t>
      </w:r>
      <w:r w:rsidR="00E401A6" w:rsidRPr="00A057AC">
        <w:rPr>
          <w:rFonts w:ascii="Tahoma" w:hAnsi="Tahoma" w:cs="Tahoma"/>
          <w:bCs/>
          <w:sz w:val="24"/>
          <w:szCs w:val="24"/>
        </w:rPr>
        <w:t>27,47 miliarde lei</w:t>
      </w:r>
      <w:r w:rsidRPr="00A057AC">
        <w:rPr>
          <w:rFonts w:ascii="Tahoma" w:hAnsi="Tahoma" w:cs="Tahoma"/>
          <w:bCs/>
          <w:sz w:val="24"/>
          <w:szCs w:val="24"/>
        </w:rPr>
        <w:t xml:space="preserve"> în creștere cu </w:t>
      </w:r>
      <w:r w:rsidR="00D26FEC" w:rsidRPr="00A057AC">
        <w:rPr>
          <w:rFonts w:ascii="Tahoma" w:hAnsi="Tahoma" w:cs="Tahoma"/>
          <w:bCs/>
          <w:sz w:val="24"/>
          <w:szCs w:val="24"/>
        </w:rPr>
        <w:t>8,3</w:t>
      </w:r>
      <w:r w:rsidRPr="00A057AC">
        <w:rPr>
          <w:rFonts w:ascii="Tahoma" w:hAnsi="Tahoma" w:cs="Tahoma"/>
          <w:bCs/>
          <w:sz w:val="24"/>
          <w:szCs w:val="24"/>
        </w:rPr>
        <w:t xml:space="preserve">% față de aceeași perioadă a anului precedent </w:t>
      </w:r>
      <w:r w:rsidR="00247A3D" w:rsidRPr="00A057AC">
        <w:rPr>
          <w:rFonts w:ascii="Tahoma" w:hAnsi="Tahoma" w:cs="Tahoma"/>
          <w:bCs/>
          <w:sz w:val="24"/>
          <w:szCs w:val="24"/>
        </w:rPr>
        <w:t>și</w:t>
      </w:r>
      <w:r w:rsidRPr="00A057AC">
        <w:rPr>
          <w:rFonts w:ascii="Tahoma" w:hAnsi="Tahoma" w:cs="Tahoma"/>
          <w:bCs/>
          <w:sz w:val="24"/>
          <w:szCs w:val="24"/>
        </w:rPr>
        <w:t xml:space="preserve"> s-au realizat în proporție de </w:t>
      </w:r>
      <w:r w:rsidR="00D26FEC" w:rsidRPr="00A057AC">
        <w:rPr>
          <w:rFonts w:ascii="Tahoma" w:hAnsi="Tahoma" w:cs="Tahoma"/>
          <w:bCs/>
          <w:sz w:val="24"/>
          <w:szCs w:val="24"/>
        </w:rPr>
        <w:t>98,2</w:t>
      </w:r>
      <w:r w:rsidRPr="00A057AC">
        <w:rPr>
          <w:rFonts w:ascii="Tahoma" w:hAnsi="Tahoma" w:cs="Tahoma"/>
          <w:bCs/>
          <w:sz w:val="24"/>
          <w:szCs w:val="24"/>
        </w:rPr>
        <w:t>%.</w:t>
      </w:r>
    </w:p>
    <w:p w:rsidR="00A35247" w:rsidRPr="00A057AC" w:rsidRDefault="004D5C98" w:rsidP="00A35247">
      <w:pPr>
        <w:spacing w:line="276" w:lineRule="auto"/>
        <w:ind w:right="-57" w:firstLine="720"/>
        <w:rPr>
          <w:rFonts w:ascii="Tahoma" w:hAnsi="Tahoma" w:cs="Tahoma"/>
          <w:bCs/>
          <w:sz w:val="24"/>
          <w:szCs w:val="24"/>
        </w:rPr>
      </w:pPr>
      <w:r w:rsidRPr="00A057AC">
        <w:rPr>
          <w:rFonts w:ascii="Tahoma" w:hAnsi="Tahoma" w:cs="Tahoma"/>
          <w:bCs/>
          <w:sz w:val="24"/>
          <w:szCs w:val="24"/>
        </w:rPr>
        <w:t xml:space="preserve">Evoluția cheltuielilor cu bunuri și servicii s-a datorat în principal creșterii înregistrate la </w:t>
      </w:r>
      <w:r w:rsidR="00A35247" w:rsidRPr="00A057AC">
        <w:rPr>
          <w:rFonts w:ascii="Tahoma" w:hAnsi="Tahoma" w:cs="Tahoma"/>
          <w:bCs/>
          <w:sz w:val="24"/>
          <w:szCs w:val="24"/>
        </w:rPr>
        <w:t>bugetul de stat</w:t>
      </w:r>
      <w:r w:rsidRPr="00A057AC">
        <w:rPr>
          <w:rFonts w:ascii="Tahoma" w:hAnsi="Tahoma" w:cs="Tahoma"/>
          <w:bCs/>
          <w:sz w:val="24"/>
          <w:szCs w:val="24"/>
        </w:rPr>
        <w:t xml:space="preserve"> (+</w:t>
      </w:r>
      <w:r w:rsidR="00D26FEC" w:rsidRPr="00A057AC">
        <w:rPr>
          <w:rFonts w:ascii="Tahoma" w:hAnsi="Tahoma" w:cs="Tahoma"/>
          <w:bCs/>
          <w:sz w:val="24"/>
          <w:szCs w:val="24"/>
        </w:rPr>
        <w:t>33,7</w:t>
      </w:r>
      <w:r w:rsidRPr="00A057AC">
        <w:rPr>
          <w:rFonts w:ascii="Tahoma" w:hAnsi="Tahoma" w:cs="Tahoma"/>
          <w:bCs/>
          <w:sz w:val="24"/>
          <w:szCs w:val="24"/>
        </w:rPr>
        <w:t>%)</w:t>
      </w:r>
      <w:r w:rsidR="00A35247" w:rsidRPr="00A057AC">
        <w:rPr>
          <w:rFonts w:ascii="Tahoma" w:hAnsi="Tahoma" w:cs="Tahoma"/>
          <w:bCs/>
          <w:sz w:val="24"/>
          <w:szCs w:val="24"/>
        </w:rPr>
        <w:t xml:space="preserve">, </w:t>
      </w:r>
      <w:r w:rsidRPr="00A057AC">
        <w:rPr>
          <w:rFonts w:ascii="Tahoma" w:hAnsi="Tahoma" w:cs="Tahoma"/>
          <w:bCs/>
          <w:sz w:val="24"/>
          <w:szCs w:val="24"/>
        </w:rPr>
        <w:t xml:space="preserve">la </w:t>
      </w:r>
      <w:r w:rsidR="00A35247" w:rsidRPr="00A057AC">
        <w:rPr>
          <w:rFonts w:ascii="Tahoma" w:hAnsi="Tahoma" w:cs="Tahoma"/>
          <w:bCs/>
          <w:sz w:val="24"/>
          <w:szCs w:val="24"/>
        </w:rPr>
        <w:t xml:space="preserve">bugetul </w:t>
      </w:r>
      <w:r w:rsidRPr="00A057AC">
        <w:rPr>
          <w:rFonts w:ascii="Tahoma" w:hAnsi="Tahoma" w:cs="Tahoma"/>
          <w:bCs/>
          <w:sz w:val="24"/>
          <w:szCs w:val="24"/>
        </w:rPr>
        <w:t>instituțiil</w:t>
      </w:r>
      <w:r w:rsidR="00A35247" w:rsidRPr="00A057AC">
        <w:rPr>
          <w:rFonts w:ascii="Tahoma" w:hAnsi="Tahoma" w:cs="Tahoma"/>
          <w:bCs/>
          <w:sz w:val="24"/>
          <w:szCs w:val="24"/>
        </w:rPr>
        <w:t>or</w:t>
      </w:r>
      <w:r w:rsidRPr="00A057AC">
        <w:rPr>
          <w:rFonts w:ascii="Tahoma" w:hAnsi="Tahoma" w:cs="Tahoma"/>
          <w:bCs/>
          <w:sz w:val="24"/>
          <w:szCs w:val="24"/>
        </w:rPr>
        <w:t xml:space="preserve"> publice finanțate integral sau parțial din venituri proprii (+12,6%)</w:t>
      </w:r>
      <w:r w:rsidR="00A35247" w:rsidRPr="00A057AC">
        <w:rPr>
          <w:rFonts w:ascii="Tahoma" w:hAnsi="Tahoma" w:cs="Tahoma"/>
          <w:bCs/>
          <w:sz w:val="24"/>
          <w:szCs w:val="24"/>
        </w:rPr>
        <w:t xml:space="preserve"> precum și la bugetul Fondului național unic de asigurări sociale de sănătate (+7,9%) determinate în special de plăți suplimentare pentru medicamente, materiale sanitare, reactivi și alte produse necesare diagnosticării și tratării pacienților infectați cu coronavirusul SARS-CoV-2</w:t>
      </w:r>
      <w:r w:rsidR="00A35247" w:rsidRPr="00A057AC">
        <w:rPr>
          <w:rFonts w:ascii="Tahoma" w:hAnsi="Tahoma" w:cs="Tahoma"/>
          <w:sz w:val="24"/>
          <w:szCs w:val="24"/>
        </w:rPr>
        <w:t xml:space="preserve"> și plata pentru vaccinuri împotriva C</w:t>
      </w:r>
      <w:r w:rsidR="00B07E4B" w:rsidRPr="00A057AC">
        <w:rPr>
          <w:rFonts w:ascii="Tahoma" w:hAnsi="Tahoma" w:cs="Tahoma"/>
          <w:sz w:val="24"/>
          <w:szCs w:val="24"/>
        </w:rPr>
        <w:t>OVID</w:t>
      </w:r>
      <w:r w:rsidR="00A35247" w:rsidRPr="00A057AC">
        <w:rPr>
          <w:rFonts w:ascii="Tahoma" w:hAnsi="Tahoma" w:cs="Tahoma"/>
          <w:sz w:val="24"/>
          <w:szCs w:val="24"/>
        </w:rPr>
        <w:t xml:space="preserve"> -19.</w:t>
      </w:r>
    </w:p>
    <w:p w:rsidR="004D6D76" w:rsidRPr="00A057AC" w:rsidRDefault="004D6D76" w:rsidP="002A6579">
      <w:pPr>
        <w:spacing w:line="276" w:lineRule="auto"/>
        <w:ind w:right="-57" w:firstLine="720"/>
        <w:rPr>
          <w:rFonts w:ascii="Tahoma" w:hAnsi="Tahoma" w:cs="Tahoma"/>
          <w:bCs/>
          <w:sz w:val="24"/>
          <w:szCs w:val="24"/>
        </w:rPr>
      </w:pPr>
      <w:r w:rsidRPr="00A057AC">
        <w:rPr>
          <w:rFonts w:ascii="Tahoma" w:hAnsi="Tahoma" w:cs="Tahoma"/>
          <w:b/>
          <w:sz w:val="24"/>
          <w:szCs w:val="24"/>
        </w:rPr>
        <w:t>Cheltui</w:t>
      </w:r>
      <w:r w:rsidRPr="00A057AC">
        <w:rPr>
          <w:rFonts w:ascii="Tahoma" w:hAnsi="Tahoma" w:cs="Tahoma"/>
          <w:b/>
          <w:bCs/>
          <w:sz w:val="24"/>
          <w:szCs w:val="24"/>
        </w:rPr>
        <w:t xml:space="preserve">elile cu dobânzile </w:t>
      </w:r>
      <w:r w:rsidRPr="00A057AC">
        <w:rPr>
          <w:rFonts w:ascii="Tahoma" w:hAnsi="Tahoma" w:cs="Tahoma"/>
          <w:sz w:val="24"/>
          <w:szCs w:val="24"/>
        </w:rPr>
        <w:t xml:space="preserve">au </w:t>
      </w:r>
      <w:r w:rsidR="00D26FEC" w:rsidRPr="00A057AC">
        <w:rPr>
          <w:rFonts w:ascii="Tahoma" w:hAnsi="Tahoma" w:cs="Tahoma"/>
          <w:sz w:val="24"/>
          <w:szCs w:val="24"/>
        </w:rPr>
        <w:t>fost în sumă de 8,87 miliarde lei</w:t>
      </w:r>
      <w:r w:rsidR="00B07E4B" w:rsidRPr="00A057AC">
        <w:rPr>
          <w:rFonts w:ascii="Tahoma" w:hAnsi="Tahoma" w:cs="Tahoma"/>
          <w:sz w:val="24"/>
          <w:szCs w:val="24"/>
        </w:rPr>
        <w:t xml:space="preserve"> </w:t>
      </w:r>
      <w:r w:rsidR="00D26FEC" w:rsidRPr="00A057AC">
        <w:rPr>
          <w:rFonts w:ascii="Tahoma" w:hAnsi="Tahoma" w:cs="Tahoma"/>
          <w:sz w:val="24"/>
          <w:szCs w:val="24"/>
        </w:rPr>
        <w:t xml:space="preserve">(0,8% din PIB) </w:t>
      </w:r>
      <w:r w:rsidRPr="00A057AC">
        <w:rPr>
          <w:rFonts w:ascii="Tahoma" w:hAnsi="Tahoma" w:cs="Tahoma"/>
          <w:bCs/>
          <w:sz w:val="24"/>
          <w:szCs w:val="24"/>
        </w:rPr>
        <w:t xml:space="preserve">cu </w:t>
      </w:r>
      <w:r w:rsidR="00AF6727" w:rsidRPr="00A057AC">
        <w:rPr>
          <w:rFonts w:ascii="Tahoma" w:hAnsi="Tahoma" w:cs="Tahoma"/>
          <w:bCs/>
          <w:sz w:val="24"/>
          <w:szCs w:val="24"/>
        </w:rPr>
        <w:t>2,5</w:t>
      </w:r>
      <w:r w:rsidRPr="00A057AC">
        <w:rPr>
          <w:rFonts w:ascii="Tahoma" w:hAnsi="Tahoma" w:cs="Tahoma"/>
          <w:bCs/>
          <w:sz w:val="24"/>
          <w:szCs w:val="24"/>
        </w:rPr>
        <w:t xml:space="preserve">% </w:t>
      </w:r>
      <w:r w:rsidR="00AF6727" w:rsidRPr="00A057AC">
        <w:rPr>
          <w:rFonts w:ascii="Tahoma" w:hAnsi="Tahoma" w:cs="Tahoma"/>
          <w:bCs/>
          <w:sz w:val="24"/>
          <w:szCs w:val="24"/>
        </w:rPr>
        <w:t xml:space="preserve">mai mari </w:t>
      </w:r>
      <w:r w:rsidRPr="00A057AC">
        <w:rPr>
          <w:rFonts w:ascii="Tahoma" w:hAnsi="Tahoma" w:cs="Tahoma"/>
          <w:bCs/>
          <w:sz w:val="24"/>
          <w:szCs w:val="24"/>
        </w:rPr>
        <w:t>comparativ cu primul semestru al anului 20</w:t>
      </w:r>
      <w:r w:rsidR="00AF6727" w:rsidRPr="00A057AC">
        <w:rPr>
          <w:rFonts w:ascii="Tahoma" w:hAnsi="Tahoma" w:cs="Tahoma"/>
          <w:bCs/>
          <w:sz w:val="24"/>
          <w:szCs w:val="24"/>
        </w:rPr>
        <w:t>20</w:t>
      </w:r>
      <w:r w:rsidRPr="00A057AC">
        <w:rPr>
          <w:rFonts w:ascii="Tahoma" w:hAnsi="Tahoma" w:cs="Tahoma"/>
          <w:bCs/>
          <w:sz w:val="24"/>
          <w:szCs w:val="24"/>
        </w:rPr>
        <w:t xml:space="preserve">, gradul de realizare </w:t>
      </w:r>
      <w:r w:rsidR="00AF6727" w:rsidRPr="00A057AC">
        <w:rPr>
          <w:rFonts w:ascii="Tahoma" w:hAnsi="Tahoma" w:cs="Tahoma"/>
          <w:bCs/>
          <w:sz w:val="24"/>
          <w:szCs w:val="24"/>
        </w:rPr>
        <w:t xml:space="preserve">al cheltuielilor programate </w:t>
      </w:r>
      <w:r w:rsidRPr="00A057AC">
        <w:rPr>
          <w:rFonts w:ascii="Tahoma" w:hAnsi="Tahoma" w:cs="Tahoma"/>
          <w:bCs/>
          <w:sz w:val="24"/>
          <w:szCs w:val="24"/>
        </w:rPr>
        <w:t>pe</w:t>
      </w:r>
      <w:r w:rsidR="00AF6727" w:rsidRPr="00A057AC">
        <w:rPr>
          <w:rFonts w:ascii="Tahoma" w:hAnsi="Tahoma" w:cs="Tahoma"/>
          <w:bCs/>
          <w:sz w:val="24"/>
          <w:szCs w:val="24"/>
        </w:rPr>
        <w:t xml:space="preserve">ntru </w:t>
      </w:r>
      <w:r w:rsidRPr="00A057AC">
        <w:rPr>
          <w:rFonts w:ascii="Tahoma" w:hAnsi="Tahoma" w:cs="Tahoma"/>
          <w:bCs/>
          <w:sz w:val="24"/>
          <w:szCs w:val="24"/>
        </w:rPr>
        <w:t>semestrul I 20</w:t>
      </w:r>
      <w:r w:rsidR="001B5DB9" w:rsidRPr="00A057AC">
        <w:rPr>
          <w:rFonts w:ascii="Tahoma" w:hAnsi="Tahoma" w:cs="Tahoma"/>
          <w:bCs/>
          <w:sz w:val="24"/>
          <w:szCs w:val="24"/>
        </w:rPr>
        <w:t>2</w:t>
      </w:r>
      <w:r w:rsidR="00AF6727" w:rsidRPr="00A057AC">
        <w:rPr>
          <w:rFonts w:ascii="Tahoma" w:hAnsi="Tahoma" w:cs="Tahoma"/>
          <w:bCs/>
          <w:sz w:val="24"/>
          <w:szCs w:val="24"/>
        </w:rPr>
        <w:t>1</w:t>
      </w:r>
      <w:r w:rsidRPr="00A057AC">
        <w:rPr>
          <w:rFonts w:ascii="Tahoma" w:hAnsi="Tahoma" w:cs="Tahoma"/>
          <w:bCs/>
          <w:sz w:val="24"/>
          <w:szCs w:val="24"/>
        </w:rPr>
        <w:t xml:space="preserve"> fiind de </w:t>
      </w:r>
      <w:r w:rsidR="00AF6727" w:rsidRPr="00A057AC">
        <w:rPr>
          <w:rFonts w:ascii="Tahoma" w:hAnsi="Tahoma" w:cs="Tahoma"/>
          <w:bCs/>
          <w:sz w:val="24"/>
          <w:szCs w:val="24"/>
        </w:rPr>
        <w:t>84,0</w:t>
      </w:r>
      <w:r w:rsidRPr="00A057AC">
        <w:rPr>
          <w:rFonts w:ascii="Tahoma" w:hAnsi="Tahoma" w:cs="Tahoma"/>
          <w:bCs/>
          <w:sz w:val="24"/>
          <w:szCs w:val="24"/>
        </w:rPr>
        <w:t>%.</w:t>
      </w:r>
    </w:p>
    <w:p w:rsidR="004A4210" w:rsidRPr="00A057AC" w:rsidRDefault="004D6D76" w:rsidP="004A4210">
      <w:pPr>
        <w:keepNext/>
        <w:keepLines/>
        <w:spacing w:after="240" w:line="276" w:lineRule="auto"/>
        <w:ind w:firstLine="677"/>
        <w:rPr>
          <w:rFonts w:ascii="Tahoma" w:hAnsi="Tahoma" w:cs="Tahoma"/>
          <w:bCs/>
          <w:sz w:val="24"/>
          <w:szCs w:val="24"/>
        </w:rPr>
      </w:pPr>
      <w:r w:rsidRPr="00A057AC">
        <w:rPr>
          <w:rFonts w:ascii="Tahoma" w:hAnsi="Tahoma" w:cs="Tahoma"/>
          <w:b/>
          <w:bCs/>
          <w:sz w:val="24"/>
          <w:szCs w:val="24"/>
        </w:rPr>
        <w:t xml:space="preserve">Cheltuielile cu subvențiile </w:t>
      </w:r>
      <w:r w:rsidRPr="00A057AC">
        <w:rPr>
          <w:rFonts w:ascii="Tahoma" w:hAnsi="Tahoma" w:cs="Tahoma"/>
          <w:bCs/>
          <w:sz w:val="24"/>
          <w:szCs w:val="24"/>
        </w:rPr>
        <w:t xml:space="preserve">au însumat </w:t>
      </w:r>
      <w:r w:rsidR="00AF6727" w:rsidRPr="00A057AC">
        <w:rPr>
          <w:rFonts w:ascii="Tahoma" w:hAnsi="Tahoma" w:cs="Tahoma"/>
          <w:bCs/>
          <w:sz w:val="24"/>
          <w:szCs w:val="24"/>
        </w:rPr>
        <w:t>3,26</w:t>
      </w:r>
      <w:r w:rsidRPr="00A057AC">
        <w:rPr>
          <w:rFonts w:ascii="Tahoma" w:hAnsi="Tahoma" w:cs="Tahoma"/>
          <w:bCs/>
          <w:sz w:val="24"/>
          <w:szCs w:val="24"/>
        </w:rPr>
        <w:t xml:space="preserve"> mili</w:t>
      </w:r>
      <w:r w:rsidR="00AF6727" w:rsidRPr="00A057AC">
        <w:rPr>
          <w:rFonts w:ascii="Tahoma" w:hAnsi="Tahoma" w:cs="Tahoma"/>
          <w:bCs/>
          <w:sz w:val="24"/>
          <w:szCs w:val="24"/>
        </w:rPr>
        <w:t>arde</w:t>
      </w:r>
      <w:r w:rsidRPr="00A057AC">
        <w:rPr>
          <w:rFonts w:ascii="Tahoma" w:hAnsi="Tahoma" w:cs="Tahoma"/>
          <w:bCs/>
          <w:sz w:val="24"/>
          <w:szCs w:val="24"/>
        </w:rPr>
        <w:t xml:space="preserve"> lei (0,</w:t>
      </w:r>
      <w:r w:rsidR="00AF6727" w:rsidRPr="00A057AC">
        <w:rPr>
          <w:rFonts w:ascii="Tahoma" w:hAnsi="Tahoma" w:cs="Tahoma"/>
          <w:bCs/>
          <w:sz w:val="24"/>
          <w:szCs w:val="24"/>
        </w:rPr>
        <w:t>3</w:t>
      </w:r>
      <w:r w:rsidRPr="00A057AC">
        <w:rPr>
          <w:rFonts w:ascii="Tahoma" w:hAnsi="Tahoma" w:cs="Tahoma"/>
          <w:bCs/>
          <w:sz w:val="24"/>
          <w:szCs w:val="24"/>
        </w:rPr>
        <w:t xml:space="preserve">% din PIB) cu </w:t>
      </w:r>
      <w:r w:rsidR="00AF6727" w:rsidRPr="00A057AC">
        <w:rPr>
          <w:rFonts w:ascii="Tahoma" w:hAnsi="Tahoma" w:cs="Tahoma"/>
          <w:bCs/>
          <w:sz w:val="24"/>
          <w:szCs w:val="24"/>
        </w:rPr>
        <w:t>15,8</w:t>
      </w:r>
      <w:r w:rsidRPr="00A057AC">
        <w:rPr>
          <w:rFonts w:ascii="Tahoma" w:hAnsi="Tahoma" w:cs="Tahoma"/>
          <w:bCs/>
          <w:sz w:val="24"/>
          <w:szCs w:val="24"/>
        </w:rPr>
        <w:t xml:space="preserve">% mai </w:t>
      </w:r>
      <w:r w:rsidR="00AF6727" w:rsidRPr="00A057AC">
        <w:rPr>
          <w:rFonts w:ascii="Tahoma" w:hAnsi="Tahoma" w:cs="Tahoma"/>
          <w:bCs/>
          <w:sz w:val="24"/>
          <w:szCs w:val="24"/>
        </w:rPr>
        <w:t>mici</w:t>
      </w:r>
      <w:r w:rsidRPr="00A057AC">
        <w:rPr>
          <w:rFonts w:ascii="Tahoma" w:hAnsi="Tahoma" w:cs="Tahoma"/>
          <w:bCs/>
          <w:sz w:val="24"/>
          <w:szCs w:val="24"/>
        </w:rPr>
        <w:t xml:space="preserve"> comparativ cu aceeași perioadă a anului anterior, </w:t>
      </w:r>
      <w:r w:rsidR="00583D0F" w:rsidRPr="00A057AC">
        <w:rPr>
          <w:rFonts w:ascii="Tahoma" w:hAnsi="Tahoma" w:cs="Tahoma"/>
          <w:bCs/>
          <w:sz w:val="24"/>
          <w:szCs w:val="24"/>
        </w:rPr>
        <w:t xml:space="preserve">gradul de realizare </w:t>
      </w:r>
      <w:r w:rsidR="00AF6727" w:rsidRPr="00A057AC">
        <w:rPr>
          <w:rFonts w:ascii="Tahoma" w:hAnsi="Tahoma" w:cs="Tahoma"/>
          <w:bCs/>
          <w:sz w:val="24"/>
          <w:szCs w:val="24"/>
        </w:rPr>
        <w:t>al cheltuielilor programate pentru semestrul I 2021 fiind de 88,7%</w:t>
      </w:r>
      <w:r w:rsidRPr="00A057AC">
        <w:rPr>
          <w:rFonts w:ascii="Tahoma" w:hAnsi="Tahoma" w:cs="Tahoma"/>
          <w:bCs/>
          <w:sz w:val="24"/>
          <w:szCs w:val="24"/>
        </w:rPr>
        <w:t>.</w:t>
      </w:r>
      <w:r w:rsidR="001B5DB9" w:rsidRPr="00A057AC">
        <w:rPr>
          <w:rFonts w:ascii="Tahoma" w:hAnsi="Tahoma" w:cs="Tahoma"/>
          <w:sz w:val="24"/>
          <w:szCs w:val="24"/>
        </w:rPr>
        <w:t xml:space="preserve"> C</w:t>
      </w:r>
      <w:r w:rsidR="001B5DB9" w:rsidRPr="00A057AC">
        <w:rPr>
          <w:rFonts w:ascii="Tahoma" w:hAnsi="Tahoma" w:cs="Tahoma"/>
          <w:bCs/>
          <w:sz w:val="24"/>
          <w:szCs w:val="24"/>
        </w:rPr>
        <w:t>ea mai mare parte dintre aceste cheltuieli au reprezentat alocări către sectorul agrico</w:t>
      </w:r>
      <w:r w:rsidR="00EB1916" w:rsidRPr="00A057AC">
        <w:rPr>
          <w:rFonts w:ascii="Tahoma" w:hAnsi="Tahoma" w:cs="Tahoma"/>
          <w:bCs/>
          <w:sz w:val="24"/>
          <w:szCs w:val="24"/>
        </w:rPr>
        <w:t>l și transporturi, respectiv subv</w:t>
      </w:r>
      <w:r w:rsidR="001B5DB9" w:rsidRPr="00A057AC">
        <w:rPr>
          <w:rFonts w:ascii="Tahoma" w:hAnsi="Tahoma" w:cs="Tahoma"/>
          <w:bCs/>
          <w:sz w:val="24"/>
          <w:szCs w:val="24"/>
        </w:rPr>
        <w:t>enții pentru sprijinirea pro</w:t>
      </w:r>
      <w:r w:rsidR="00A35247" w:rsidRPr="00A057AC">
        <w:rPr>
          <w:rFonts w:ascii="Tahoma" w:hAnsi="Tahoma" w:cs="Tahoma"/>
          <w:bCs/>
          <w:sz w:val="24"/>
          <w:szCs w:val="24"/>
        </w:rPr>
        <w:t>ducătorilor agricoli</w:t>
      </w:r>
      <w:r w:rsidR="00B07E4B" w:rsidRPr="00A057AC">
        <w:rPr>
          <w:rFonts w:ascii="Tahoma" w:hAnsi="Tahoma" w:cs="Tahoma"/>
          <w:bCs/>
          <w:sz w:val="24"/>
          <w:szCs w:val="24"/>
        </w:rPr>
        <w:t xml:space="preserve"> </w:t>
      </w:r>
      <w:r w:rsidR="00A35247" w:rsidRPr="00A057AC">
        <w:rPr>
          <w:rFonts w:ascii="Tahoma" w:hAnsi="Tahoma" w:cs="Tahoma"/>
          <w:bCs/>
          <w:sz w:val="24"/>
          <w:szCs w:val="24"/>
        </w:rPr>
        <w:t xml:space="preserve">precum și </w:t>
      </w:r>
      <w:r w:rsidR="001B5DB9" w:rsidRPr="00A057AC">
        <w:rPr>
          <w:rFonts w:ascii="Tahoma" w:hAnsi="Tahoma" w:cs="Tahoma"/>
          <w:bCs/>
          <w:sz w:val="24"/>
          <w:szCs w:val="24"/>
        </w:rPr>
        <w:t>pentru transportul călătorilor</w:t>
      </w:r>
      <w:r w:rsidR="00A35247" w:rsidRPr="00A057AC">
        <w:rPr>
          <w:rFonts w:ascii="Tahoma" w:hAnsi="Tahoma" w:cs="Tahoma"/>
          <w:bCs/>
          <w:sz w:val="24"/>
          <w:szCs w:val="24"/>
        </w:rPr>
        <w:t>.</w:t>
      </w:r>
    </w:p>
    <w:p w:rsidR="00EC61E9" w:rsidRPr="00A057AC" w:rsidRDefault="001B5DB9" w:rsidP="004A4210">
      <w:pPr>
        <w:keepNext/>
        <w:keepLines/>
        <w:spacing w:after="240" w:line="276" w:lineRule="auto"/>
        <w:ind w:firstLine="677"/>
        <w:rPr>
          <w:rFonts w:ascii="Tahoma" w:hAnsi="Tahoma" w:cs="Tahoma"/>
          <w:bCs/>
          <w:sz w:val="24"/>
          <w:szCs w:val="24"/>
        </w:rPr>
      </w:pPr>
      <w:r w:rsidRPr="00A057AC">
        <w:rPr>
          <w:rFonts w:ascii="Tahoma" w:hAnsi="Tahoma" w:cs="Tahoma"/>
          <w:b/>
          <w:bCs/>
          <w:sz w:val="24"/>
          <w:szCs w:val="24"/>
        </w:rPr>
        <w:t>Cheltuielile cu asistența socială</w:t>
      </w:r>
      <w:r w:rsidRPr="00A057AC">
        <w:rPr>
          <w:rFonts w:ascii="Tahoma" w:hAnsi="Tahoma" w:cs="Tahoma"/>
          <w:bCs/>
          <w:sz w:val="24"/>
          <w:szCs w:val="24"/>
        </w:rPr>
        <w:t xml:space="preserve"> au fost de </w:t>
      </w:r>
      <w:r w:rsidR="00AF6727" w:rsidRPr="00A057AC">
        <w:rPr>
          <w:rFonts w:ascii="Tahoma" w:hAnsi="Tahoma" w:cs="Tahoma"/>
          <w:bCs/>
          <w:sz w:val="24"/>
          <w:szCs w:val="24"/>
        </w:rPr>
        <w:t>75,25</w:t>
      </w:r>
      <w:r w:rsidR="004A4210" w:rsidRPr="00A057AC">
        <w:rPr>
          <w:rFonts w:ascii="Tahoma" w:hAnsi="Tahoma" w:cs="Tahoma"/>
          <w:bCs/>
          <w:sz w:val="24"/>
          <w:szCs w:val="24"/>
        </w:rPr>
        <w:t xml:space="preserve"> </w:t>
      </w:r>
      <w:r w:rsidR="00AF6727" w:rsidRPr="00A057AC">
        <w:rPr>
          <w:rFonts w:ascii="Tahoma" w:hAnsi="Tahoma" w:cs="Tahoma"/>
          <w:bCs/>
          <w:sz w:val="24"/>
          <w:szCs w:val="24"/>
        </w:rPr>
        <w:t>miliarde</w:t>
      </w:r>
      <w:r w:rsidR="004A4210" w:rsidRPr="00A057AC">
        <w:rPr>
          <w:rFonts w:ascii="Tahoma" w:hAnsi="Tahoma" w:cs="Tahoma"/>
          <w:bCs/>
          <w:sz w:val="24"/>
          <w:szCs w:val="24"/>
        </w:rPr>
        <w:t xml:space="preserve"> </w:t>
      </w:r>
      <w:r w:rsidRPr="00A057AC">
        <w:rPr>
          <w:rFonts w:ascii="Tahoma" w:hAnsi="Tahoma" w:cs="Tahoma"/>
          <w:bCs/>
          <w:sz w:val="24"/>
          <w:szCs w:val="24"/>
        </w:rPr>
        <w:t>lei</w:t>
      </w:r>
      <w:r w:rsidR="00AF6727" w:rsidRPr="00A057AC">
        <w:rPr>
          <w:rFonts w:ascii="Tahoma" w:hAnsi="Tahoma" w:cs="Tahoma"/>
          <w:bCs/>
          <w:sz w:val="24"/>
          <w:szCs w:val="24"/>
        </w:rPr>
        <w:t xml:space="preserve"> (6,6% din PIB)</w:t>
      </w:r>
      <w:r w:rsidRPr="00A057AC">
        <w:rPr>
          <w:rFonts w:ascii="Tahoma" w:hAnsi="Tahoma" w:cs="Tahoma"/>
          <w:bCs/>
          <w:sz w:val="24"/>
          <w:szCs w:val="24"/>
        </w:rPr>
        <w:t xml:space="preserve"> în creștere cu </w:t>
      </w:r>
      <w:r w:rsidR="00AF6727" w:rsidRPr="00A057AC">
        <w:rPr>
          <w:rFonts w:ascii="Tahoma" w:hAnsi="Tahoma" w:cs="Tahoma"/>
          <w:bCs/>
          <w:sz w:val="24"/>
          <w:szCs w:val="24"/>
        </w:rPr>
        <w:t>8</w:t>
      </w:r>
      <w:r w:rsidRPr="00A057AC">
        <w:rPr>
          <w:rFonts w:ascii="Tahoma" w:hAnsi="Tahoma" w:cs="Tahoma"/>
          <w:bCs/>
          <w:sz w:val="24"/>
          <w:szCs w:val="24"/>
        </w:rPr>
        <w:t>,7% comparativ cu aceeași perioadă a anului precedent</w:t>
      </w:r>
      <w:r w:rsidR="00EC61E9" w:rsidRPr="00A057AC">
        <w:rPr>
          <w:rFonts w:ascii="Tahoma" w:hAnsi="Tahoma" w:cs="Tahoma"/>
          <w:bCs/>
          <w:sz w:val="24"/>
          <w:szCs w:val="24"/>
        </w:rPr>
        <w:t xml:space="preserve"> și s-au efectuat în proporție de </w:t>
      </w:r>
      <w:r w:rsidR="00AF6727" w:rsidRPr="00A057AC">
        <w:rPr>
          <w:rFonts w:ascii="Tahoma" w:hAnsi="Tahoma" w:cs="Tahoma"/>
          <w:bCs/>
          <w:sz w:val="24"/>
          <w:szCs w:val="24"/>
        </w:rPr>
        <w:t>98,0</w:t>
      </w:r>
      <w:r w:rsidR="00EC61E9" w:rsidRPr="00A057AC">
        <w:rPr>
          <w:rFonts w:ascii="Tahoma" w:hAnsi="Tahoma" w:cs="Tahoma"/>
          <w:bCs/>
          <w:sz w:val="24"/>
          <w:szCs w:val="24"/>
        </w:rPr>
        <w:t>% comparativ cu programul semestrial.</w:t>
      </w:r>
    </w:p>
    <w:p w:rsidR="007B08BF" w:rsidRPr="00A057AC" w:rsidRDefault="001B5DB9" w:rsidP="009C7DAD">
      <w:pPr>
        <w:spacing w:before="240" w:after="120" w:line="276" w:lineRule="auto"/>
        <w:ind w:firstLine="720"/>
        <w:contextualSpacing/>
        <w:rPr>
          <w:rFonts w:ascii="Tahoma" w:eastAsia="Calibri" w:hAnsi="Tahoma" w:cs="Tahoma"/>
          <w:sz w:val="24"/>
          <w:szCs w:val="24"/>
        </w:rPr>
      </w:pPr>
      <w:r w:rsidRPr="00A057AC">
        <w:rPr>
          <w:rFonts w:ascii="Tahoma" w:hAnsi="Tahoma" w:cs="Tahoma"/>
          <w:bCs/>
          <w:sz w:val="24"/>
          <w:szCs w:val="24"/>
        </w:rPr>
        <w:t xml:space="preserve">Evoluția cheltuielilor cu asistența socială a fost influențată, în principal, de majorarea punctului de pensie, </w:t>
      </w:r>
      <w:r w:rsidR="00A35247" w:rsidRPr="00A057AC">
        <w:rPr>
          <w:rFonts w:ascii="Tahoma" w:hAnsi="Tahoma" w:cs="Tahoma"/>
          <w:sz w:val="24"/>
          <w:szCs w:val="24"/>
        </w:rPr>
        <w:t>de la 1 septembrie 2020 cu 177 lei, respectiv de la 1.265 lei la 1.442 lei</w:t>
      </w:r>
      <w:r w:rsidRPr="00A057AC">
        <w:rPr>
          <w:rFonts w:ascii="Tahoma" w:hAnsi="Tahoma" w:cs="Tahoma"/>
          <w:bCs/>
          <w:sz w:val="24"/>
          <w:szCs w:val="24"/>
        </w:rPr>
        <w:t xml:space="preserve">, a îndemnizației sociale pentru pensionari garantată </w:t>
      </w:r>
      <w:r w:rsidR="00A35247" w:rsidRPr="00A057AC">
        <w:rPr>
          <w:rFonts w:ascii="Tahoma" w:eastAsia="Calibri" w:hAnsi="Tahoma" w:cs="Tahoma"/>
          <w:sz w:val="24"/>
          <w:szCs w:val="24"/>
        </w:rPr>
        <w:t>de la 1 septembrie 2020 de la 704 lei la 800 lei</w:t>
      </w:r>
      <w:r w:rsidRPr="00A057AC">
        <w:rPr>
          <w:rFonts w:ascii="Tahoma" w:hAnsi="Tahoma" w:cs="Tahoma"/>
          <w:bCs/>
          <w:sz w:val="24"/>
          <w:szCs w:val="24"/>
        </w:rPr>
        <w:t>, majorarea alocațiilor de stat pentru copii</w:t>
      </w:r>
      <w:r w:rsidR="007B08BF" w:rsidRPr="00A057AC">
        <w:rPr>
          <w:rFonts w:ascii="Tahoma" w:hAnsi="Tahoma" w:cs="Tahoma"/>
          <w:bCs/>
          <w:sz w:val="24"/>
          <w:szCs w:val="24"/>
        </w:rPr>
        <w:t xml:space="preserve"> și de plățile </w:t>
      </w:r>
      <w:r w:rsidR="007B08BF" w:rsidRPr="00A057AC">
        <w:rPr>
          <w:rFonts w:ascii="Tahoma" w:eastAsia="Calibri" w:hAnsi="Tahoma" w:cs="Tahoma"/>
          <w:sz w:val="24"/>
          <w:szCs w:val="24"/>
        </w:rPr>
        <w:t>cu caracter excepțional, în domeniul social și economic, pentru diminuarea efectelor negativ</w:t>
      </w:r>
      <w:r w:rsidR="004A4210" w:rsidRPr="00A057AC">
        <w:rPr>
          <w:rFonts w:ascii="Tahoma" w:eastAsia="Calibri" w:hAnsi="Tahoma" w:cs="Tahoma"/>
          <w:sz w:val="24"/>
          <w:szCs w:val="24"/>
        </w:rPr>
        <w:t>e generate de pandemia de COVID-</w:t>
      </w:r>
      <w:r w:rsidR="007B08BF" w:rsidRPr="00A057AC">
        <w:rPr>
          <w:rFonts w:ascii="Tahoma" w:eastAsia="Calibri" w:hAnsi="Tahoma" w:cs="Tahoma"/>
          <w:sz w:val="24"/>
          <w:szCs w:val="24"/>
        </w:rPr>
        <w:t>19</w:t>
      </w:r>
      <w:r w:rsidRPr="00A057AC">
        <w:rPr>
          <w:rFonts w:ascii="Tahoma" w:hAnsi="Tahoma" w:cs="Tahoma"/>
          <w:bCs/>
          <w:sz w:val="24"/>
          <w:szCs w:val="24"/>
        </w:rPr>
        <w:t xml:space="preserve">. </w:t>
      </w:r>
      <w:r w:rsidR="007B08BF" w:rsidRPr="00A057AC">
        <w:rPr>
          <w:rFonts w:ascii="Tahoma" w:hAnsi="Tahoma" w:cs="Tahoma"/>
          <w:bCs/>
          <w:sz w:val="24"/>
          <w:szCs w:val="24"/>
        </w:rPr>
        <w:t>Astfel</w:t>
      </w:r>
      <w:r w:rsidRPr="00A057AC">
        <w:rPr>
          <w:rFonts w:ascii="Tahoma" w:hAnsi="Tahoma" w:cs="Tahoma"/>
          <w:bCs/>
          <w:sz w:val="24"/>
          <w:szCs w:val="24"/>
        </w:rPr>
        <w:t xml:space="preserve">, </w:t>
      </w:r>
      <w:r w:rsidR="007B08BF" w:rsidRPr="00A057AC">
        <w:rPr>
          <w:rFonts w:ascii="Tahoma" w:hAnsi="Tahoma" w:cs="Tahoma"/>
          <w:bCs/>
          <w:sz w:val="24"/>
          <w:szCs w:val="24"/>
        </w:rPr>
        <w:t xml:space="preserve">în semestrul I 2021 </w:t>
      </w:r>
      <w:r w:rsidRPr="00A057AC">
        <w:rPr>
          <w:rFonts w:ascii="Tahoma" w:hAnsi="Tahoma" w:cs="Tahoma"/>
          <w:bCs/>
          <w:sz w:val="24"/>
          <w:szCs w:val="24"/>
        </w:rPr>
        <w:t xml:space="preserve">s-au realizat plăți determinate de măsurile care au fost luate cu caracter excepțional, în domeniul social și economic, pentru diminuarea efectelor negative generate de </w:t>
      </w:r>
      <w:r w:rsidRPr="00A057AC">
        <w:rPr>
          <w:rFonts w:ascii="Tahoma" w:hAnsi="Tahoma" w:cs="Tahoma"/>
          <w:bCs/>
          <w:sz w:val="24"/>
          <w:szCs w:val="24"/>
        </w:rPr>
        <w:lastRenderedPageBreak/>
        <w:t xml:space="preserve">pandemia de COVID 19, </w:t>
      </w:r>
      <w:r w:rsidR="007B08BF" w:rsidRPr="00A057AC">
        <w:rPr>
          <w:rFonts w:ascii="Tahoma" w:hAnsi="Tahoma" w:cs="Tahoma"/>
          <w:bCs/>
          <w:sz w:val="24"/>
          <w:szCs w:val="24"/>
        </w:rPr>
        <w:t xml:space="preserve">în valoare de </w:t>
      </w:r>
      <w:r w:rsidR="007B08BF" w:rsidRPr="00A057AC">
        <w:rPr>
          <w:rFonts w:ascii="Tahoma" w:eastAsia="Calibri" w:hAnsi="Tahoma" w:cs="Tahoma"/>
          <w:sz w:val="24"/>
          <w:szCs w:val="24"/>
        </w:rPr>
        <w:t xml:space="preserve">1,38 miliarde lei, respectiv 0,57 </w:t>
      </w:r>
      <w:r w:rsidR="000C2870" w:rsidRPr="00A057AC">
        <w:rPr>
          <w:rFonts w:ascii="Tahoma" w:eastAsia="Calibri" w:hAnsi="Tahoma" w:cs="Tahoma"/>
          <w:sz w:val="24"/>
          <w:szCs w:val="24"/>
        </w:rPr>
        <w:t>miliarde</w:t>
      </w:r>
      <w:r w:rsidR="007B08BF" w:rsidRPr="00A057AC">
        <w:rPr>
          <w:rFonts w:ascii="Tahoma" w:eastAsia="Calibri" w:hAnsi="Tahoma" w:cs="Tahoma"/>
          <w:sz w:val="24"/>
          <w:szCs w:val="24"/>
        </w:rPr>
        <w:t xml:space="preserve"> lei pentru îndemnizații acordate pe perioada suspendării temporare a contractului individual de muncă din inițiativa angajatorului, 0,19 </w:t>
      </w:r>
      <w:r w:rsidR="000C2870" w:rsidRPr="00A057AC">
        <w:rPr>
          <w:rFonts w:ascii="Tahoma" w:eastAsia="Calibri" w:hAnsi="Tahoma" w:cs="Tahoma"/>
          <w:sz w:val="24"/>
          <w:szCs w:val="24"/>
        </w:rPr>
        <w:t>miliarde</w:t>
      </w:r>
      <w:r w:rsidR="007B08BF" w:rsidRPr="00A057AC">
        <w:rPr>
          <w:rFonts w:ascii="Tahoma" w:eastAsia="Calibri" w:hAnsi="Tahoma" w:cs="Tahoma"/>
          <w:sz w:val="24"/>
          <w:szCs w:val="24"/>
        </w:rPr>
        <w:t xml:space="preserve"> lei pentru îndemnizații acordate pentru alți profesioniști și pentru persoanele care au încheiate convenții individuale de muncă care întrerup activitatea ca urmare a efectelor SARS-CoV-2, 0,27 </w:t>
      </w:r>
      <w:r w:rsidR="000C2870" w:rsidRPr="00A057AC">
        <w:rPr>
          <w:rFonts w:ascii="Tahoma" w:eastAsia="Calibri" w:hAnsi="Tahoma" w:cs="Tahoma"/>
          <w:sz w:val="24"/>
          <w:szCs w:val="24"/>
        </w:rPr>
        <w:t>miliarde</w:t>
      </w:r>
      <w:r w:rsidR="007B08BF" w:rsidRPr="00A057AC">
        <w:rPr>
          <w:rFonts w:ascii="Tahoma" w:eastAsia="Calibri" w:hAnsi="Tahoma" w:cs="Tahoma"/>
          <w:sz w:val="24"/>
          <w:szCs w:val="24"/>
        </w:rPr>
        <w:t xml:space="preserve"> lei pentru sume acordate angajatorilor pentru decontarea unei părți a salariului brut al angajaților menținuți în muncă, 0,045 </w:t>
      </w:r>
      <w:r w:rsidR="000C2870" w:rsidRPr="00A057AC">
        <w:rPr>
          <w:rFonts w:ascii="Tahoma" w:eastAsia="Calibri" w:hAnsi="Tahoma" w:cs="Tahoma"/>
          <w:sz w:val="24"/>
          <w:szCs w:val="24"/>
        </w:rPr>
        <w:t>miliarde</w:t>
      </w:r>
      <w:r w:rsidR="00B07E4B" w:rsidRPr="00A057AC">
        <w:rPr>
          <w:rFonts w:ascii="Tahoma" w:eastAsia="Calibri" w:hAnsi="Tahoma" w:cs="Tahoma"/>
          <w:sz w:val="24"/>
          <w:szCs w:val="24"/>
        </w:rPr>
        <w:t xml:space="preserve"> </w:t>
      </w:r>
      <w:r w:rsidR="007B08BF" w:rsidRPr="00A057AC">
        <w:rPr>
          <w:rFonts w:ascii="Tahoma" w:eastAsia="Calibri" w:hAnsi="Tahoma" w:cs="Tahoma"/>
          <w:sz w:val="24"/>
          <w:szCs w:val="24"/>
        </w:rPr>
        <w:t xml:space="preserve">lei sume acordate angajatorilor pentru încadrarea în muncă a unor categorii de persoane, precum și 0,30 </w:t>
      </w:r>
      <w:r w:rsidR="000C2870" w:rsidRPr="00A057AC">
        <w:rPr>
          <w:rFonts w:ascii="Tahoma" w:eastAsia="Calibri" w:hAnsi="Tahoma" w:cs="Tahoma"/>
          <w:sz w:val="24"/>
          <w:szCs w:val="24"/>
        </w:rPr>
        <w:t>miliarde</w:t>
      </w:r>
      <w:r w:rsidR="007B08BF" w:rsidRPr="00A057AC">
        <w:rPr>
          <w:rFonts w:ascii="Tahoma" w:eastAsia="Calibri" w:hAnsi="Tahoma" w:cs="Tahoma"/>
          <w:sz w:val="24"/>
          <w:szCs w:val="24"/>
        </w:rPr>
        <w:t xml:space="preserve"> lei îndemnizații acordate pe perioada reducerii temporare a activității pentru profesioniști precum și pentru persoanele care au încheiate convenții individuale de muncă în baza Legii nr.1/2005.</w:t>
      </w:r>
    </w:p>
    <w:p w:rsidR="00EC61E9" w:rsidRPr="00A057AC" w:rsidRDefault="001B5DB9" w:rsidP="00583D0F">
      <w:pPr>
        <w:spacing w:before="240" w:after="240" w:line="276" w:lineRule="auto"/>
        <w:ind w:firstLine="720"/>
        <w:rPr>
          <w:rFonts w:ascii="Tahoma" w:hAnsi="Tahoma" w:cs="Tahoma"/>
          <w:bCs/>
          <w:sz w:val="24"/>
          <w:szCs w:val="24"/>
        </w:rPr>
      </w:pPr>
      <w:r w:rsidRPr="00A057AC">
        <w:rPr>
          <w:rFonts w:ascii="Tahoma" w:hAnsi="Tahoma" w:cs="Tahoma"/>
          <w:bCs/>
          <w:sz w:val="24"/>
          <w:szCs w:val="24"/>
        </w:rPr>
        <w:t>De asemenea, se continuă ritmul accelerat de decontări ale indemnizațiilor de asigurări sociale de sănătate pentru concedii medicale în scopul diminuării stocului de plăți restan</w:t>
      </w:r>
      <w:r w:rsidR="007B08BF" w:rsidRPr="00A057AC">
        <w:rPr>
          <w:rFonts w:ascii="Tahoma" w:hAnsi="Tahoma" w:cs="Tahoma"/>
          <w:bCs/>
          <w:sz w:val="24"/>
          <w:szCs w:val="24"/>
        </w:rPr>
        <w:t>te aferente acestora, astfel că în semestrul I 2021</w:t>
      </w:r>
      <w:r w:rsidRPr="00A057AC">
        <w:rPr>
          <w:rFonts w:ascii="Tahoma" w:hAnsi="Tahoma" w:cs="Tahoma"/>
          <w:bCs/>
          <w:sz w:val="24"/>
          <w:szCs w:val="24"/>
        </w:rPr>
        <w:t xml:space="preserve"> au fost </w:t>
      </w:r>
      <w:r w:rsidR="007B08BF" w:rsidRPr="00A057AC">
        <w:rPr>
          <w:rFonts w:ascii="Tahoma" w:hAnsi="Tahoma" w:cs="Tahoma"/>
          <w:bCs/>
          <w:sz w:val="24"/>
          <w:szCs w:val="24"/>
        </w:rPr>
        <w:t xml:space="preserve">efectuate plăți în valoare de </w:t>
      </w:r>
      <w:r w:rsidR="00781BE6" w:rsidRPr="00A057AC">
        <w:rPr>
          <w:rFonts w:ascii="Tahoma" w:hAnsi="Tahoma" w:cs="Tahoma"/>
          <w:bCs/>
          <w:sz w:val="24"/>
          <w:szCs w:val="24"/>
        </w:rPr>
        <w:t>2</w:t>
      </w:r>
      <w:r w:rsidR="007B08BF" w:rsidRPr="00A057AC">
        <w:rPr>
          <w:rFonts w:ascii="Tahoma" w:hAnsi="Tahoma" w:cs="Tahoma"/>
          <w:bCs/>
          <w:sz w:val="24"/>
          <w:szCs w:val="24"/>
        </w:rPr>
        <w:t>,17 miliarde lei.</w:t>
      </w:r>
    </w:p>
    <w:p w:rsidR="00781BE6" w:rsidRPr="00A057AC" w:rsidRDefault="004D6D76" w:rsidP="002A6579">
      <w:pPr>
        <w:spacing w:after="240" w:line="276" w:lineRule="auto"/>
        <w:ind w:firstLine="720"/>
        <w:rPr>
          <w:rFonts w:ascii="Tahoma" w:eastAsia="Times New Roman" w:hAnsi="Tahoma" w:cs="Tahoma"/>
          <w:bCs/>
          <w:color w:val="FF0000"/>
          <w:sz w:val="24"/>
          <w:szCs w:val="24"/>
        </w:rPr>
      </w:pPr>
      <w:r w:rsidRPr="00A057AC">
        <w:rPr>
          <w:rFonts w:ascii="Tahoma" w:eastAsia="Arial" w:hAnsi="Tahoma" w:cs="Tahoma"/>
          <w:b/>
          <w:sz w:val="24"/>
          <w:szCs w:val="24"/>
          <w:shd w:val="clear" w:color="auto" w:fill="FFFFFF"/>
        </w:rPr>
        <w:t>Cheltuielile cu alte transferuri</w:t>
      </w:r>
      <w:r w:rsidRPr="00A057AC">
        <w:rPr>
          <w:rFonts w:ascii="Tahoma" w:eastAsia="Arial" w:hAnsi="Tahoma" w:cs="Tahoma"/>
          <w:sz w:val="24"/>
          <w:szCs w:val="24"/>
          <w:shd w:val="clear" w:color="auto" w:fill="FFFFFF"/>
        </w:rPr>
        <w:t xml:space="preserve"> au fost în sumă de </w:t>
      </w:r>
      <w:r w:rsidR="00AF6727" w:rsidRPr="00A057AC">
        <w:rPr>
          <w:rFonts w:ascii="Tahoma" w:eastAsia="Arial" w:hAnsi="Tahoma" w:cs="Tahoma"/>
          <w:sz w:val="24"/>
          <w:szCs w:val="24"/>
          <w:shd w:val="clear" w:color="auto" w:fill="FFFFFF"/>
        </w:rPr>
        <w:t>11,35</w:t>
      </w:r>
      <w:r w:rsidR="00B07E4B" w:rsidRPr="00A057AC">
        <w:rPr>
          <w:rFonts w:ascii="Tahoma" w:eastAsia="Arial" w:hAnsi="Tahoma" w:cs="Tahoma"/>
          <w:sz w:val="24"/>
          <w:szCs w:val="24"/>
          <w:shd w:val="clear" w:color="auto" w:fill="FFFFFF"/>
        </w:rPr>
        <w:t xml:space="preserve"> </w:t>
      </w:r>
      <w:r w:rsidR="009C7DAD" w:rsidRPr="00A057AC">
        <w:rPr>
          <w:rFonts w:ascii="Tahoma" w:eastAsia="Arial" w:hAnsi="Tahoma" w:cs="Tahoma"/>
          <w:sz w:val="24"/>
          <w:szCs w:val="24"/>
          <w:shd w:val="clear" w:color="auto" w:fill="FFFFFF"/>
        </w:rPr>
        <w:t xml:space="preserve">miliarde </w:t>
      </w:r>
      <w:r w:rsidRPr="00A057AC">
        <w:rPr>
          <w:rFonts w:ascii="Tahoma" w:eastAsia="Arial" w:hAnsi="Tahoma" w:cs="Tahoma"/>
          <w:sz w:val="24"/>
          <w:szCs w:val="24"/>
          <w:shd w:val="clear" w:color="auto" w:fill="FFFFFF"/>
        </w:rPr>
        <w:t>lei (</w:t>
      </w:r>
      <w:r w:rsidR="00AF6727" w:rsidRPr="00A057AC">
        <w:rPr>
          <w:rFonts w:ascii="Tahoma" w:eastAsia="Arial" w:hAnsi="Tahoma" w:cs="Tahoma"/>
          <w:sz w:val="24"/>
          <w:szCs w:val="24"/>
          <w:shd w:val="clear" w:color="auto" w:fill="FFFFFF"/>
        </w:rPr>
        <w:t>1,0</w:t>
      </w:r>
      <w:r w:rsidRPr="00A057AC">
        <w:rPr>
          <w:rFonts w:ascii="Tahoma" w:eastAsia="Arial" w:hAnsi="Tahoma" w:cs="Tahoma"/>
          <w:sz w:val="24"/>
          <w:szCs w:val="24"/>
          <w:shd w:val="clear" w:color="auto" w:fill="FFFFFF"/>
        </w:rPr>
        <w:t>% din PIB</w:t>
      </w:r>
      <w:r w:rsidR="00781BE6" w:rsidRPr="00A057AC">
        <w:rPr>
          <w:rFonts w:ascii="Tahoma" w:eastAsia="Arial" w:hAnsi="Tahoma" w:cs="Tahoma"/>
          <w:sz w:val="24"/>
          <w:szCs w:val="24"/>
          <w:shd w:val="clear" w:color="auto" w:fill="FFFFFF"/>
        </w:rPr>
        <w:t xml:space="preserve">) au fost cu </w:t>
      </w:r>
      <w:r w:rsidR="00D148DD" w:rsidRPr="00A057AC">
        <w:rPr>
          <w:rFonts w:ascii="Tahoma" w:eastAsia="Arial" w:hAnsi="Tahoma" w:cs="Tahoma"/>
          <w:sz w:val="24"/>
          <w:szCs w:val="24"/>
          <w:shd w:val="clear" w:color="auto" w:fill="FFFFFF"/>
        </w:rPr>
        <w:t>28,3</w:t>
      </w:r>
      <w:r w:rsidRPr="00A057AC">
        <w:rPr>
          <w:rFonts w:ascii="Tahoma" w:eastAsia="Arial" w:hAnsi="Tahoma" w:cs="Tahoma"/>
          <w:sz w:val="24"/>
          <w:szCs w:val="24"/>
          <w:shd w:val="clear" w:color="auto" w:fill="FFFFFF"/>
        </w:rPr>
        <w:t>% mai mari decât plățile efectuate în semestrul I 20</w:t>
      </w:r>
      <w:r w:rsidR="00D148DD" w:rsidRPr="00A057AC">
        <w:rPr>
          <w:rFonts w:ascii="Tahoma" w:eastAsia="Arial" w:hAnsi="Tahoma" w:cs="Tahoma"/>
          <w:sz w:val="24"/>
          <w:szCs w:val="24"/>
          <w:shd w:val="clear" w:color="auto" w:fill="FFFFFF"/>
        </w:rPr>
        <w:t>20</w:t>
      </w:r>
      <w:r w:rsidRPr="00A057AC">
        <w:rPr>
          <w:rFonts w:ascii="Tahoma" w:eastAsia="Arial" w:hAnsi="Tahoma" w:cs="Tahoma"/>
          <w:sz w:val="24"/>
          <w:szCs w:val="24"/>
          <w:shd w:val="clear" w:color="auto" w:fill="FFFFFF"/>
        </w:rPr>
        <w:t>. Comparativ cu nivelul pr</w:t>
      </w:r>
      <w:r w:rsidR="00781BE6" w:rsidRPr="00A057AC">
        <w:rPr>
          <w:rFonts w:ascii="Tahoma" w:eastAsia="Arial" w:hAnsi="Tahoma" w:cs="Tahoma"/>
          <w:sz w:val="24"/>
          <w:szCs w:val="24"/>
          <w:shd w:val="clear" w:color="auto" w:fill="FFFFFF"/>
        </w:rPr>
        <w:t>ogramat a se efectua pe primul semestru</w:t>
      </w:r>
      <w:r w:rsidRPr="00A057AC">
        <w:rPr>
          <w:rFonts w:ascii="Tahoma" w:eastAsia="Arial" w:hAnsi="Tahoma" w:cs="Tahoma"/>
          <w:sz w:val="24"/>
          <w:szCs w:val="24"/>
          <w:shd w:val="clear" w:color="auto" w:fill="FFFFFF"/>
        </w:rPr>
        <w:t xml:space="preserve"> cheltuielile cu alte transferuri s-au efectuat în proporție de </w:t>
      </w:r>
      <w:r w:rsidR="00D148DD" w:rsidRPr="00A057AC">
        <w:rPr>
          <w:rFonts w:ascii="Tahoma" w:eastAsia="Arial" w:hAnsi="Tahoma" w:cs="Tahoma"/>
          <w:sz w:val="24"/>
          <w:szCs w:val="24"/>
          <w:shd w:val="clear" w:color="auto" w:fill="FFFFFF"/>
        </w:rPr>
        <w:t>84,4</w:t>
      </w:r>
      <w:r w:rsidRPr="00A057AC">
        <w:rPr>
          <w:rFonts w:ascii="Tahoma" w:eastAsia="Arial" w:hAnsi="Tahoma" w:cs="Tahoma"/>
          <w:sz w:val="24"/>
          <w:szCs w:val="24"/>
          <w:shd w:val="clear" w:color="auto" w:fill="FFFFFF"/>
        </w:rPr>
        <w:t>%.</w:t>
      </w:r>
    </w:p>
    <w:p w:rsidR="002F2E52" w:rsidRPr="00A057AC" w:rsidRDefault="000104AF" w:rsidP="002A6579">
      <w:pPr>
        <w:spacing w:before="240" w:after="240" w:line="276" w:lineRule="auto"/>
        <w:ind w:firstLine="720"/>
        <w:rPr>
          <w:rFonts w:ascii="Tahoma" w:eastAsia="Arial" w:hAnsi="Tahoma" w:cs="Tahoma"/>
          <w:sz w:val="24"/>
          <w:szCs w:val="24"/>
          <w:shd w:val="clear" w:color="auto" w:fill="FFFFFF"/>
        </w:rPr>
      </w:pPr>
      <w:r w:rsidRPr="00A057AC">
        <w:rPr>
          <w:rFonts w:ascii="Tahoma" w:eastAsia="Arial" w:hAnsi="Tahoma" w:cs="Tahoma"/>
          <w:b/>
          <w:sz w:val="24"/>
          <w:szCs w:val="24"/>
          <w:shd w:val="clear" w:color="auto" w:fill="FFFFFF"/>
        </w:rPr>
        <w:t>Cheltuielile privind proiectele finanțate din fonduri externe nerambursabile</w:t>
      </w:r>
      <w:r w:rsidRPr="00A057AC">
        <w:rPr>
          <w:rFonts w:ascii="Tahoma" w:eastAsia="Arial" w:hAnsi="Tahoma" w:cs="Tahoma"/>
          <w:sz w:val="24"/>
          <w:szCs w:val="24"/>
          <w:shd w:val="clear" w:color="auto" w:fill="FFFFFF"/>
        </w:rPr>
        <w:t xml:space="preserve"> (inclusiv subvențiile de la Uniunea Europeană aferente agriculturii) au fost de </w:t>
      </w:r>
      <w:r w:rsidR="00D148DD" w:rsidRPr="00A057AC">
        <w:rPr>
          <w:rFonts w:ascii="Tahoma" w:eastAsia="Arial" w:hAnsi="Tahoma" w:cs="Tahoma"/>
          <w:sz w:val="24"/>
          <w:szCs w:val="24"/>
          <w:shd w:val="clear" w:color="auto" w:fill="FFFFFF"/>
        </w:rPr>
        <w:t>13,76</w:t>
      </w:r>
      <w:r w:rsidR="004A4210" w:rsidRPr="00A057AC">
        <w:rPr>
          <w:rFonts w:ascii="Tahoma" w:eastAsia="Arial" w:hAnsi="Tahoma" w:cs="Tahoma"/>
          <w:sz w:val="24"/>
          <w:szCs w:val="24"/>
          <w:shd w:val="clear" w:color="auto" w:fill="FFFFFF"/>
        </w:rPr>
        <w:t xml:space="preserve"> </w:t>
      </w:r>
      <w:r w:rsidR="000C2870" w:rsidRPr="00A057AC">
        <w:rPr>
          <w:rFonts w:ascii="Tahoma" w:eastAsia="Arial" w:hAnsi="Tahoma" w:cs="Tahoma"/>
          <w:sz w:val="24"/>
          <w:szCs w:val="24"/>
          <w:shd w:val="clear" w:color="auto" w:fill="FFFFFF"/>
        </w:rPr>
        <w:t>miliarde</w:t>
      </w:r>
      <w:r w:rsidRPr="00A057AC">
        <w:rPr>
          <w:rFonts w:ascii="Tahoma" w:eastAsia="Arial" w:hAnsi="Tahoma" w:cs="Tahoma"/>
          <w:sz w:val="24"/>
          <w:szCs w:val="24"/>
          <w:shd w:val="clear" w:color="auto" w:fill="FFFFFF"/>
        </w:rPr>
        <w:t xml:space="preserve"> lei</w:t>
      </w:r>
      <w:r w:rsidR="004A4210" w:rsidRPr="00A057AC">
        <w:rPr>
          <w:rFonts w:ascii="Tahoma" w:eastAsia="Arial" w:hAnsi="Tahoma" w:cs="Tahoma"/>
          <w:sz w:val="24"/>
          <w:szCs w:val="24"/>
          <w:shd w:val="clear" w:color="auto" w:fill="FFFFFF"/>
        </w:rPr>
        <w:t xml:space="preserve"> </w:t>
      </w:r>
      <w:r w:rsidR="00D148DD" w:rsidRPr="00A057AC">
        <w:rPr>
          <w:rFonts w:ascii="Tahoma" w:eastAsia="Arial" w:hAnsi="Tahoma" w:cs="Tahoma"/>
          <w:sz w:val="24"/>
          <w:szCs w:val="24"/>
          <w:shd w:val="clear" w:color="auto" w:fill="FFFFFF"/>
        </w:rPr>
        <w:t>(1,2% din PIB)</w:t>
      </w:r>
      <w:r w:rsidRPr="00A057AC">
        <w:rPr>
          <w:rFonts w:ascii="Tahoma" w:eastAsia="Arial" w:hAnsi="Tahoma" w:cs="Tahoma"/>
          <w:sz w:val="24"/>
          <w:szCs w:val="24"/>
          <w:shd w:val="clear" w:color="auto" w:fill="FFFFFF"/>
        </w:rPr>
        <w:t xml:space="preserve">, cu </w:t>
      </w:r>
      <w:r w:rsidR="00D148DD" w:rsidRPr="00A057AC">
        <w:rPr>
          <w:rFonts w:ascii="Tahoma" w:eastAsia="Arial" w:hAnsi="Tahoma" w:cs="Tahoma"/>
          <w:sz w:val="24"/>
          <w:szCs w:val="24"/>
          <w:shd w:val="clear" w:color="auto" w:fill="FFFFFF"/>
        </w:rPr>
        <w:t>32,7</w:t>
      </w:r>
      <w:r w:rsidRPr="00A057AC">
        <w:rPr>
          <w:rFonts w:ascii="Tahoma" w:eastAsia="Arial" w:hAnsi="Tahoma" w:cs="Tahoma"/>
          <w:sz w:val="24"/>
          <w:szCs w:val="24"/>
          <w:shd w:val="clear" w:color="auto" w:fill="FFFFFF"/>
        </w:rPr>
        <w:t>% mai mari comparativ cu aceeași perioadă a anului precedent.</w:t>
      </w:r>
    </w:p>
    <w:p w:rsidR="007B08BF" w:rsidRPr="00A057AC" w:rsidRDefault="004D6D76" w:rsidP="009C7DAD">
      <w:pPr>
        <w:spacing w:after="240" w:line="276" w:lineRule="auto"/>
        <w:ind w:firstLine="720"/>
        <w:rPr>
          <w:rFonts w:ascii="Tahoma" w:eastAsia="Arial" w:hAnsi="Tahoma" w:cs="Tahoma"/>
          <w:sz w:val="24"/>
          <w:szCs w:val="24"/>
          <w:shd w:val="clear" w:color="auto" w:fill="FFFFFF"/>
        </w:rPr>
      </w:pPr>
      <w:r w:rsidRPr="00A057AC">
        <w:rPr>
          <w:rFonts w:ascii="Tahoma" w:eastAsia="Arial" w:hAnsi="Tahoma" w:cs="Tahoma"/>
          <w:b/>
          <w:sz w:val="24"/>
          <w:szCs w:val="24"/>
          <w:shd w:val="clear" w:color="auto" w:fill="FFFFFF"/>
        </w:rPr>
        <w:t>Cheltuielile pentru investiții</w:t>
      </w:r>
      <w:r w:rsidRPr="00A057AC">
        <w:rPr>
          <w:rFonts w:ascii="Tahoma" w:eastAsia="Arial" w:hAnsi="Tahoma" w:cs="Tahoma"/>
          <w:sz w:val="24"/>
          <w:szCs w:val="24"/>
          <w:shd w:val="clear" w:color="auto" w:fill="FFFFFF"/>
        </w:rPr>
        <w:t xml:space="preserve">, care includ cheltuielile de capital, precum și cele aferente programelor de dezvoltare finanțate din surse interne și externe, au însumat </w:t>
      </w:r>
      <w:r w:rsidR="00F80F55" w:rsidRPr="00A057AC">
        <w:rPr>
          <w:rFonts w:ascii="Tahoma" w:eastAsia="Arial" w:hAnsi="Tahoma" w:cs="Tahoma"/>
          <w:sz w:val="24"/>
          <w:szCs w:val="24"/>
          <w:shd w:val="clear" w:color="auto" w:fill="FFFFFF"/>
        </w:rPr>
        <w:t>21,35 miliarde lei (1,9% din PIB)</w:t>
      </w:r>
      <w:r w:rsidR="00EB1916" w:rsidRPr="00A057AC">
        <w:rPr>
          <w:rFonts w:ascii="Tahoma" w:eastAsia="Arial" w:hAnsi="Tahoma" w:cs="Tahoma"/>
          <w:sz w:val="24"/>
          <w:szCs w:val="24"/>
          <w:shd w:val="clear" w:color="auto" w:fill="FFFFFF"/>
        </w:rPr>
        <w:t xml:space="preserve">, </w:t>
      </w:r>
      <w:r w:rsidR="00F80F55" w:rsidRPr="00A057AC">
        <w:rPr>
          <w:rFonts w:ascii="Tahoma" w:eastAsia="Arial" w:hAnsi="Tahoma" w:cs="Tahoma"/>
          <w:sz w:val="24"/>
          <w:szCs w:val="24"/>
          <w:shd w:val="clear" w:color="auto" w:fill="FFFFFF"/>
        </w:rPr>
        <w:t xml:space="preserve">cu 32,4% mai mari comparativ cu semestrul I 2020. </w:t>
      </w:r>
      <w:r w:rsidR="007B08BF" w:rsidRPr="00A057AC">
        <w:rPr>
          <w:rFonts w:ascii="Tahoma" w:eastAsia="Arial" w:hAnsi="Tahoma" w:cs="Tahoma"/>
          <w:sz w:val="24"/>
          <w:szCs w:val="24"/>
          <w:shd w:val="clear" w:color="auto" w:fill="FFFFFF"/>
        </w:rPr>
        <w:t xml:space="preserve">De asemenea, se observă o creștere mai accentuată a proiectelor finanțate din fonduri externe nerambursabile postaderare, acestea reprezentând 52,84% din totalul cheltuielilor pentru investiții pe primele șase luni ale anului 2021.                                                                                                                                                                 </w:t>
      </w:r>
    </w:p>
    <w:p w:rsidR="007B08BF" w:rsidRPr="00A057AC" w:rsidRDefault="007B08BF" w:rsidP="009C7DAD">
      <w:pPr>
        <w:spacing w:after="240" w:line="276" w:lineRule="auto"/>
        <w:ind w:firstLine="720"/>
        <w:rPr>
          <w:rFonts w:ascii="Tahoma" w:eastAsia="Arial" w:hAnsi="Tahoma" w:cs="Tahoma"/>
          <w:sz w:val="24"/>
          <w:szCs w:val="24"/>
          <w:shd w:val="clear" w:color="auto" w:fill="FFFFFF"/>
        </w:rPr>
      </w:pPr>
      <w:r w:rsidRPr="00A057AC">
        <w:rPr>
          <w:rFonts w:ascii="Tahoma" w:eastAsia="Arial" w:hAnsi="Tahoma" w:cs="Tahoma"/>
          <w:sz w:val="24"/>
          <w:szCs w:val="24"/>
          <w:shd w:val="clear" w:color="auto" w:fill="FFFFFF"/>
        </w:rPr>
        <w:t xml:space="preserve">Totodată în cadrul bugetului Ministerului Afacerilor Interne s-au plătit 0,18 miliarde lei pentru achiziționarea de produse - stocuri de urgență medicală, inclusiv scannere termice pentru combaterea răspândirii infecției cu coronavirusul SARS-COV-2. </w:t>
      </w:r>
    </w:p>
    <w:p w:rsidR="000104AF" w:rsidRPr="00A057AC" w:rsidRDefault="004D6D76" w:rsidP="00462BD1">
      <w:pPr>
        <w:spacing w:before="240" w:after="120" w:line="276" w:lineRule="auto"/>
        <w:ind w:firstLine="720"/>
        <w:rPr>
          <w:rFonts w:ascii="Tahoma" w:eastAsia="Times New Roman" w:hAnsi="Tahoma" w:cs="Tahoma"/>
          <w:bCs/>
          <w:sz w:val="24"/>
          <w:szCs w:val="24"/>
        </w:rPr>
      </w:pPr>
      <w:r w:rsidRPr="00A057AC">
        <w:rPr>
          <w:rFonts w:ascii="Tahoma" w:hAnsi="Tahoma" w:cs="Tahoma"/>
          <w:sz w:val="24"/>
          <w:szCs w:val="24"/>
        </w:rPr>
        <w:t xml:space="preserve">La sfârșitul primului semestru a.c. se înregistrează un </w:t>
      </w:r>
      <w:r w:rsidRPr="00A057AC">
        <w:rPr>
          <w:rFonts w:ascii="Tahoma" w:hAnsi="Tahoma" w:cs="Tahoma"/>
          <w:b/>
          <w:bCs/>
          <w:sz w:val="24"/>
          <w:szCs w:val="24"/>
        </w:rPr>
        <w:t>deficit primar</w:t>
      </w:r>
      <w:r w:rsidRPr="00A057AC">
        <w:rPr>
          <w:rFonts w:ascii="Tahoma" w:hAnsi="Tahoma" w:cs="Tahoma"/>
          <w:bCs/>
          <w:sz w:val="24"/>
          <w:szCs w:val="24"/>
        </w:rPr>
        <w:t xml:space="preserve"> (soldul bugetar exclusiv cheltuielile cu dobânzile)</w:t>
      </w:r>
      <w:r w:rsidR="00B07E4B" w:rsidRPr="00A057AC">
        <w:rPr>
          <w:rFonts w:ascii="Tahoma" w:hAnsi="Tahoma" w:cs="Tahoma"/>
          <w:bCs/>
          <w:sz w:val="24"/>
          <w:szCs w:val="24"/>
        </w:rPr>
        <w:t xml:space="preserve"> </w:t>
      </w:r>
      <w:r w:rsidR="000104AF" w:rsidRPr="00A057AC">
        <w:rPr>
          <w:rFonts w:ascii="Tahoma" w:hAnsi="Tahoma" w:cs="Tahoma"/>
          <w:sz w:val="24"/>
          <w:szCs w:val="24"/>
        </w:rPr>
        <w:t xml:space="preserve">în valoare de </w:t>
      </w:r>
      <w:r w:rsidR="00D148DD" w:rsidRPr="00A057AC">
        <w:rPr>
          <w:rFonts w:ascii="Tahoma" w:hAnsi="Tahoma" w:cs="Tahoma"/>
          <w:bCs/>
          <w:sz w:val="24"/>
          <w:szCs w:val="24"/>
        </w:rPr>
        <w:t>24,94</w:t>
      </w:r>
      <w:r w:rsidR="00B07E4B" w:rsidRPr="00A057AC">
        <w:rPr>
          <w:rFonts w:ascii="Tahoma" w:hAnsi="Tahoma" w:cs="Tahoma"/>
          <w:bCs/>
          <w:sz w:val="24"/>
          <w:szCs w:val="24"/>
        </w:rPr>
        <w:t xml:space="preserve"> </w:t>
      </w:r>
      <w:r w:rsidR="00D148DD" w:rsidRPr="00A057AC">
        <w:rPr>
          <w:rFonts w:ascii="Tahoma" w:hAnsi="Tahoma" w:cs="Tahoma"/>
          <w:bCs/>
          <w:sz w:val="24"/>
          <w:szCs w:val="24"/>
        </w:rPr>
        <w:t>miliarde</w:t>
      </w:r>
      <w:r w:rsidR="000104AF" w:rsidRPr="00A057AC">
        <w:rPr>
          <w:rFonts w:ascii="Tahoma" w:hAnsi="Tahoma" w:cs="Tahoma"/>
          <w:bCs/>
          <w:sz w:val="24"/>
          <w:szCs w:val="24"/>
        </w:rPr>
        <w:t xml:space="preserve"> lei (</w:t>
      </w:r>
      <w:r w:rsidR="00D148DD" w:rsidRPr="00A057AC">
        <w:rPr>
          <w:rFonts w:ascii="Tahoma" w:hAnsi="Tahoma" w:cs="Tahoma"/>
          <w:bCs/>
          <w:sz w:val="24"/>
          <w:szCs w:val="24"/>
        </w:rPr>
        <w:t>2,2</w:t>
      </w:r>
      <w:r w:rsidR="000104AF" w:rsidRPr="00A057AC">
        <w:rPr>
          <w:rFonts w:ascii="Tahoma" w:hAnsi="Tahoma" w:cs="Tahoma"/>
          <w:bCs/>
          <w:sz w:val="24"/>
          <w:szCs w:val="24"/>
        </w:rPr>
        <w:t>% din PIB)</w:t>
      </w:r>
      <w:r w:rsidRPr="00A057AC">
        <w:rPr>
          <w:rFonts w:ascii="Tahoma" w:hAnsi="Tahoma" w:cs="Tahoma"/>
          <w:sz w:val="24"/>
          <w:szCs w:val="24"/>
        </w:rPr>
        <w:t xml:space="preserve"> față de un deficit primar prevăzut pentru această perioadă de </w:t>
      </w:r>
      <w:r w:rsidR="00D148DD" w:rsidRPr="00A057AC">
        <w:rPr>
          <w:rFonts w:ascii="Tahoma" w:eastAsia="Times New Roman" w:hAnsi="Tahoma" w:cs="Tahoma"/>
          <w:bCs/>
          <w:sz w:val="24"/>
          <w:szCs w:val="24"/>
        </w:rPr>
        <w:t>41,86 miliarde lei</w:t>
      </w:r>
      <w:r w:rsidR="000104AF" w:rsidRPr="00A057AC">
        <w:rPr>
          <w:rFonts w:ascii="Tahoma" w:eastAsia="Times New Roman" w:hAnsi="Tahoma" w:cs="Tahoma"/>
          <w:bCs/>
          <w:sz w:val="24"/>
          <w:szCs w:val="24"/>
        </w:rPr>
        <w:t xml:space="preserve"> (</w:t>
      </w:r>
      <w:r w:rsidR="00D148DD" w:rsidRPr="00A057AC">
        <w:rPr>
          <w:rFonts w:ascii="Tahoma" w:eastAsia="Times New Roman" w:hAnsi="Tahoma" w:cs="Tahoma"/>
          <w:bCs/>
          <w:sz w:val="24"/>
          <w:szCs w:val="24"/>
        </w:rPr>
        <w:t>3,7</w:t>
      </w:r>
      <w:r w:rsidR="000104AF" w:rsidRPr="00A057AC">
        <w:rPr>
          <w:rFonts w:ascii="Tahoma" w:eastAsia="Times New Roman" w:hAnsi="Tahoma" w:cs="Tahoma"/>
          <w:bCs/>
          <w:sz w:val="24"/>
          <w:szCs w:val="24"/>
        </w:rPr>
        <w:t>% din PIB).</w:t>
      </w:r>
    </w:p>
    <w:p w:rsidR="00A64C15" w:rsidRPr="00A057AC" w:rsidRDefault="004B7596" w:rsidP="00A64C15">
      <w:pPr>
        <w:spacing w:after="240" w:line="276" w:lineRule="auto"/>
        <w:ind w:firstLine="720"/>
        <w:rPr>
          <w:rFonts w:ascii="Tahoma" w:eastAsia="Times New Roman" w:hAnsi="Tahoma" w:cs="Tahoma"/>
          <w:bCs/>
          <w:sz w:val="24"/>
          <w:szCs w:val="24"/>
        </w:rPr>
      </w:pPr>
      <w:r w:rsidRPr="00A057AC">
        <w:rPr>
          <w:rFonts w:ascii="Tahoma" w:eastAsia="Times New Roman" w:hAnsi="Tahoma" w:cs="Tahoma"/>
          <w:bCs/>
          <w:sz w:val="24"/>
          <w:szCs w:val="24"/>
        </w:rPr>
        <w:lastRenderedPageBreak/>
        <w:t>Principalele obiective de investiții distincte pentru care s-au efectuat plăți în semestrul I al anului 202</w:t>
      </w:r>
      <w:r w:rsidR="00A64C15" w:rsidRPr="00A057AC">
        <w:rPr>
          <w:rFonts w:ascii="Tahoma" w:eastAsia="Times New Roman" w:hAnsi="Tahoma" w:cs="Tahoma"/>
          <w:bCs/>
          <w:sz w:val="24"/>
          <w:szCs w:val="24"/>
        </w:rPr>
        <w:t>1</w:t>
      </w:r>
      <w:r w:rsidRPr="00A057AC">
        <w:rPr>
          <w:rFonts w:ascii="Tahoma" w:eastAsia="Times New Roman" w:hAnsi="Tahoma" w:cs="Tahoma"/>
          <w:bCs/>
          <w:sz w:val="24"/>
          <w:szCs w:val="24"/>
        </w:rPr>
        <w:t xml:space="preserve"> sunt:</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Pod suspendat peste Dunăre în zona Brăila plăți 376,1 milioane lei;</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Autostrada Sebeș – Turda plăți 131,5 milioane lei;</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Modernizarea liniei C.F. București Nord - Jilava - Giurgiu Nord - Giurgiu Nord Frontiera. Lotul 1 : Redeschiderea circulației feroviare pe pod, peste râul Argeș între Vidra și Comana plăți 88,6 milioane lei;</w:t>
      </w:r>
    </w:p>
    <w:p w:rsidR="00462BD1" w:rsidRPr="00A057AC" w:rsidRDefault="00462BD1"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Reabilitarea liniei C.F. Frontiera - Curtici - Simeria, parte componenta a Coridorului IV Pan-European pentru </w:t>
      </w:r>
      <w:r w:rsidR="00B07E4B" w:rsidRPr="00A057AC">
        <w:rPr>
          <w:rFonts w:ascii="Tahoma" w:eastAsia="Times New Roman" w:hAnsi="Tahoma" w:cs="Tahoma"/>
          <w:bCs/>
          <w:sz w:val="24"/>
          <w:szCs w:val="24"/>
        </w:rPr>
        <w:t>circulația</w:t>
      </w:r>
      <w:r w:rsidRPr="00A057AC">
        <w:rPr>
          <w:rFonts w:ascii="Tahoma" w:eastAsia="Times New Roman" w:hAnsi="Tahoma" w:cs="Tahoma"/>
          <w:bCs/>
          <w:sz w:val="24"/>
          <w:szCs w:val="24"/>
        </w:rPr>
        <w:t xml:space="preserve"> trenurilor cu viteza maxima de 160 km/h; Tronsonul 2: km 614 - Gurasada si Tronsonul 3: Gurasada – Simeria plăți 552,1 milioane lei;</w:t>
      </w:r>
    </w:p>
    <w:p w:rsidR="00462BD1" w:rsidRPr="00A057AC" w:rsidRDefault="00462BD1"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Autostrada </w:t>
      </w:r>
      <w:r w:rsidR="00B07E4B" w:rsidRPr="00A057AC">
        <w:rPr>
          <w:rFonts w:ascii="Tahoma" w:eastAsia="Times New Roman" w:hAnsi="Tahoma" w:cs="Tahoma"/>
          <w:bCs/>
          <w:sz w:val="24"/>
          <w:szCs w:val="24"/>
        </w:rPr>
        <w:t>Brașov</w:t>
      </w:r>
      <w:r w:rsidRPr="00A057AC">
        <w:rPr>
          <w:rFonts w:ascii="Tahoma" w:eastAsia="Times New Roman" w:hAnsi="Tahoma" w:cs="Tahoma"/>
          <w:bCs/>
          <w:sz w:val="24"/>
          <w:szCs w:val="24"/>
        </w:rPr>
        <w:t xml:space="preserve"> - </w:t>
      </w:r>
      <w:r w:rsidR="00B07E4B" w:rsidRPr="00A057AC">
        <w:rPr>
          <w:rFonts w:ascii="Tahoma" w:eastAsia="Times New Roman" w:hAnsi="Tahoma" w:cs="Tahoma"/>
          <w:bCs/>
          <w:sz w:val="24"/>
          <w:szCs w:val="24"/>
        </w:rPr>
        <w:t>Târgu</w:t>
      </w:r>
      <w:r w:rsidRPr="00A057AC">
        <w:rPr>
          <w:rFonts w:ascii="Tahoma" w:eastAsia="Times New Roman" w:hAnsi="Tahoma" w:cs="Tahoma"/>
          <w:bCs/>
          <w:sz w:val="24"/>
          <w:szCs w:val="24"/>
        </w:rPr>
        <w:t xml:space="preserve"> </w:t>
      </w:r>
      <w:r w:rsidR="00B07E4B" w:rsidRPr="00A057AC">
        <w:rPr>
          <w:rFonts w:ascii="Tahoma" w:eastAsia="Times New Roman" w:hAnsi="Tahoma" w:cs="Tahoma"/>
          <w:bCs/>
          <w:sz w:val="24"/>
          <w:szCs w:val="24"/>
        </w:rPr>
        <w:t>Mureș</w:t>
      </w:r>
      <w:r w:rsidRPr="00A057AC">
        <w:rPr>
          <w:rFonts w:ascii="Tahoma" w:eastAsia="Times New Roman" w:hAnsi="Tahoma" w:cs="Tahoma"/>
          <w:bCs/>
          <w:sz w:val="24"/>
          <w:szCs w:val="24"/>
        </w:rPr>
        <w:t xml:space="preserve"> - Cluj – Oradea plăți 220,8 milioane lei;</w:t>
      </w:r>
    </w:p>
    <w:p w:rsidR="00462BD1" w:rsidRPr="00A057AC" w:rsidRDefault="00462BD1"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Autostrada de centura </w:t>
      </w:r>
      <w:r w:rsidR="00B07E4B" w:rsidRPr="00A057AC">
        <w:rPr>
          <w:rFonts w:ascii="Tahoma" w:eastAsia="Times New Roman" w:hAnsi="Tahoma" w:cs="Tahoma"/>
          <w:bCs/>
          <w:sz w:val="24"/>
          <w:szCs w:val="24"/>
        </w:rPr>
        <w:t>București</w:t>
      </w:r>
      <w:r w:rsidRPr="00A057AC">
        <w:rPr>
          <w:rFonts w:ascii="Tahoma" w:eastAsia="Times New Roman" w:hAnsi="Tahoma" w:cs="Tahoma"/>
          <w:bCs/>
          <w:sz w:val="24"/>
          <w:szCs w:val="24"/>
        </w:rPr>
        <w:t xml:space="preserve"> - Sector Centura Sud KM.52+770 - KM 100+900 plăți 196,5 milioane lei;</w:t>
      </w:r>
    </w:p>
    <w:p w:rsidR="00462BD1" w:rsidRPr="00A057AC" w:rsidRDefault="00462BD1"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Autostrada Sibiu – </w:t>
      </w:r>
      <w:r w:rsidR="00B07E4B" w:rsidRPr="00A057AC">
        <w:rPr>
          <w:rFonts w:ascii="Tahoma" w:eastAsia="Times New Roman" w:hAnsi="Tahoma" w:cs="Tahoma"/>
          <w:bCs/>
          <w:sz w:val="24"/>
          <w:szCs w:val="24"/>
        </w:rPr>
        <w:t>Pitești</w:t>
      </w:r>
      <w:r w:rsidRPr="00A057AC">
        <w:rPr>
          <w:rFonts w:ascii="Tahoma" w:eastAsia="Times New Roman" w:hAnsi="Tahoma" w:cs="Tahoma"/>
          <w:bCs/>
          <w:sz w:val="24"/>
          <w:szCs w:val="24"/>
        </w:rPr>
        <w:t xml:space="preserve"> plăți 117 milioane lei;</w:t>
      </w:r>
    </w:p>
    <w:p w:rsidR="00462BD1" w:rsidRPr="00A057AC" w:rsidRDefault="00462BD1"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Autostrada Lugoj-Deva plăți 83,8 milioane lei;</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Drum expres Craiova - </w:t>
      </w:r>
      <w:r w:rsidR="00B07E4B" w:rsidRPr="00A057AC">
        <w:rPr>
          <w:rFonts w:ascii="Tahoma" w:eastAsia="Times New Roman" w:hAnsi="Tahoma" w:cs="Tahoma"/>
          <w:bCs/>
          <w:sz w:val="24"/>
          <w:szCs w:val="24"/>
        </w:rPr>
        <w:t>Pitești</w:t>
      </w:r>
      <w:r w:rsidRPr="00A057AC">
        <w:rPr>
          <w:rFonts w:ascii="Tahoma" w:eastAsia="Times New Roman" w:hAnsi="Tahoma" w:cs="Tahoma"/>
          <w:bCs/>
          <w:sz w:val="24"/>
          <w:szCs w:val="24"/>
        </w:rPr>
        <w:t xml:space="preserve"> si </w:t>
      </w:r>
      <w:r w:rsidR="00B07E4B" w:rsidRPr="00A057AC">
        <w:rPr>
          <w:rFonts w:ascii="Tahoma" w:eastAsia="Times New Roman" w:hAnsi="Tahoma" w:cs="Tahoma"/>
          <w:bCs/>
          <w:sz w:val="24"/>
          <w:szCs w:val="24"/>
        </w:rPr>
        <w:t>legăturile</w:t>
      </w:r>
      <w:r w:rsidRPr="00A057AC">
        <w:rPr>
          <w:rFonts w:ascii="Tahoma" w:eastAsia="Times New Roman" w:hAnsi="Tahoma" w:cs="Tahoma"/>
          <w:bCs/>
          <w:sz w:val="24"/>
          <w:szCs w:val="24"/>
        </w:rPr>
        <w:t xml:space="preserve"> la drumurile existente plăți 421,8 milioane lei;</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Programul </w:t>
      </w:r>
      <w:r w:rsidR="00B07E4B" w:rsidRPr="00A057AC">
        <w:rPr>
          <w:rFonts w:ascii="Tahoma" w:eastAsia="Times New Roman" w:hAnsi="Tahoma" w:cs="Tahoma"/>
          <w:bCs/>
          <w:sz w:val="24"/>
          <w:szCs w:val="24"/>
        </w:rPr>
        <w:t>național</w:t>
      </w:r>
      <w:r w:rsidRPr="00A057AC">
        <w:rPr>
          <w:rFonts w:ascii="Tahoma" w:eastAsia="Times New Roman" w:hAnsi="Tahoma" w:cs="Tahoma"/>
          <w:bCs/>
          <w:sz w:val="24"/>
          <w:szCs w:val="24"/>
        </w:rPr>
        <w:t xml:space="preserve"> de </w:t>
      </w:r>
      <w:r w:rsidR="00B07E4B" w:rsidRPr="00A057AC">
        <w:rPr>
          <w:rFonts w:ascii="Tahoma" w:eastAsia="Times New Roman" w:hAnsi="Tahoma" w:cs="Tahoma"/>
          <w:bCs/>
          <w:sz w:val="24"/>
          <w:szCs w:val="24"/>
        </w:rPr>
        <w:t>construcții</w:t>
      </w:r>
      <w:r w:rsidRPr="00A057AC">
        <w:rPr>
          <w:rFonts w:ascii="Tahoma" w:eastAsia="Times New Roman" w:hAnsi="Tahoma" w:cs="Tahoma"/>
          <w:bCs/>
          <w:sz w:val="24"/>
          <w:szCs w:val="24"/>
        </w:rPr>
        <w:t xml:space="preserve"> de interes public sau social –</w:t>
      </w:r>
      <w:r w:rsidR="00B07E4B" w:rsidRPr="00A057AC">
        <w:rPr>
          <w:rFonts w:ascii="Tahoma" w:eastAsia="Times New Roman" w:hAnsi="Tahoma" w:cs="Tahoma"/>
          <w:bCs/>
          <w:sz w:val="24"/>
          <w:szCs w:val="24"/>
        </w:rPr>
        <w:t xml:space="preserve"> </w:t>
      </w:r>
      <w:r w:rsidRPr="00A057AC">
        <w:rPr>
          <w:rFonts w:ascii="Tahoma" w:eastAsia="Times New Roman" w:hAnsi="Tahoma" w:cs="Tahoma"/>
          <w:bCs/>
          <w:sz w:val="24"/>
          <w:szCs w:val="24"/>
        </w:rPr>
        <w:t>plăți 390 milioane lei;</w:t>
      </w:r>
    </w:p>
    <w:p w:rsidR="00325490"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Reducerea eroziunii costiere Faza II (2014-2020) plăți 106 milioane lei</w:t>
      </w:r>
      <w:r w:rsidR="00462BD1" w:rsidRPr="00A057AC">
        <w:rPr>
          <w:rFonts w:ascii="Tahoma" w:eastAsia="Times New Roman" w:hAnsi="Tahoma" w:cs="Tahoma"/>
          <w:bCs/>
          <w:sz w:val="24"/>
          <w:szCs w:val="24"/>
        </w:rPr>
        <w:t>;</w:t>
      </w:r>
    </w:p>
    <w:p w:rsidR="00A64C15" w:rsidRPr="00A057AC" w:rsidRDefault="00A64C15" w:rsidP="00462BD1">
      <w:pPr>
        <w:pStyle w:val="ListParagraph"/>
        <w:numPr>
          <w:ilvl w:val="0"/>
          <w:numId w:val="34"/>
        </w:numPr>
        <w:spacing w:after="12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Varianta de ocolire a municipiului Satu Mare plăți 18,7 milioane lei</w:t>
      </w:r>
      <w:r w:rsidR="00462BD1" w:rsidRPr="00A057AC">
        <w:rPr>
          <w:rFonts w:ascii="Tahoma" w:eastAsia="Times New Roman" w:hAnsi="Tahoma" w:cs="Tahoma"/>
          <w:bCs/>
          <w:sz w:val="24"/>
          <w:szCs w:val="24"/>
        </w:rPr>
        <w:t>;</w:t>
      </w:r>
    </w:p>
    <w:p w:rsidR="00A64C15" w:rsidRPr="00A057AC" w:rsidRDefault="00A64C15" w:rsidP="001F48D1">
      <w:pPr>
        <w:pStyle w:val="ListParagraph"/>
        <w:numPr>
          <w:ilvl w:val="0"/>
          <w:numId w:val="34"/>
        </w:numPr>
        <w:spacing w:after="240" w:line="276" w:lineRule="auto"/>
        <w:contextualSpacing w:val="0"/>
        <w:rPr>
          <w:rFonts w:ascii="Tahoma" w:eastAsia="Times New Roman" w:hAnsi="Tahoma" w:cs="Tahoma"/>
          <w:bCs/>
          <w:sz w:val="24"/>
          <w:szCs w:val="24"/>
        </w:rPr>
      </w:pPr>
      <w:r w:rsidRPr="00A057AC">
        <w:rPr>
          <w:rFonts w:ascii="Tahoma" w:eastAsia="Times New Roman" w:hAnsi="Tahoma" w:cs="Tahoma"/>
          <w:bCs/>
          <w:sz w:val="24"/>
          <w:szCs w:val="24"/>
        </w:rPr>
        <w:t xml:space="preserve">Reabilitarea infrastructurii principale de </w:t>
      </w:r>
      <w:r w:rsidR="00B07E4B" w:rsidRPr="00A057AC">
        <w:rPr>
          <w:rFonts w:ascii="Tahoma" w:eastAsia="Times New Roman" w:hAnsi="Tahoma" w:cs="Tahoma"/>
          <w:bCs/>
          <w:sz w:val="24"/>
          <w:szCs w:val="24"/>
        </w:rPr>
        <w:t>irigații</w:t>
      </w:r>
      <w:r w:rsidRPr="00A057AC">
        <w:rPr>
          <w:rFonts w:ascii="Tahoma" w:eastAsia="Times New Roman" w:hAnsi="Tahoma" w:cs="Tahoma"/>
          <w:bCs/>
          <w:sz w:val="24"/>
          <w:szCs w:val="24"/>
        </w:rPr>
        <w:t xml:space="preserve"> plăți 38,3 milioane lei</w:t>
      </w:r>
      <w:r w:rsidR="00462BD1" w:rsidRPr="00A057AC">
        <w:rPr>
          <w:rFonts w:ascii="Tahoma" w:eastAsia="Times New Roman" w:hAnsi="Tahoma" w:cs="Tahoma"/>
          <w:bCs/>
          <w:sz w:val="24"/>
          <w:szCs w:val="24"/>
        </w:rPr>
        <w:t>.</w:t>
      </w:r>
    </w:p>
    <w:p w:rsidR="001F48D1" w:rsidRPr="00A057AC" w:rsidRDefault="001F48D1" w:rsidP="001F48D1">
      <w:pPr>
        <w:suppressAutoHyphens/>
        <w:spacing w:after="0" w:line="360" w:lineRule="auto"/>
        <w:ind w:right="-33" w:firstLine="0"/>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Obiective / proiecte de investiții cu </w:t>
      </w:r>
      <w:r w:rsidRPr="00A057AC">
        <w:rPr>
          <w:rFonts w:ascii="Tahoma" w:eastAsia="Times New Roman" w:hAnsi="Tahoma" w:cs="Tahoma"/>
          <w:b/>
          <w:sz w:val="24"/>
          <w:szCs w:val="24"/>
          <w:lang w:eastAsia="zh-CN"/>
        </w:rPr>
        <w:t>grad valoric scăzut</w:t>
      </w:r>
      <w:r w:rsidRPr="00A057AC">
        <w:rPr>
          <w:rFonts w:ascii="Tahoma" w:eastAsia="Times New Roman" w:hAnsi="Tahoma" w:cs="Tahoma"/>
          <w:sz w:val="24"/>
          <w:szCs w:val="24"/>
          <w:lang w:eastAsia="zh-CN"/>
        </w:rPr>
        <w:t xml:space="preserve"> de execuție la 30 iunie 2021</w:t>
      </w: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sz w:val="24"/>
          <w:u w:val="single"/>
        </w:rPr>
      </w:pPr>
      <w:r w:rsidRPr="00A057AC">
        <w:rPr>
          <w:rFonts w:ascii="Tahoma" w:eastAsia="Calibri" w:hAnsi="Tahoma" w:cs="Tahoma"/>
          <w:sz w:val="24"/>
          <w:u w:val="single"/>
        </w:rPr>
        <w:t>Ministerul Transporturilor și Infrastructurii</w:t>
      </w:r>
      <w:r w:rsidRPr="00A057AC">
        <w:rPr>
          <w:rFonts w:ascii="Tahoma" w:eastAsia="Calibri" w:hAnsi="Tahoma" w:cs="Tahoma"/>
          <w:sz w:val="24"/>
        </w:rPr>
        <w:t>:</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u w:val="single"/>
        </w:rPr>
      </w:pPr>
      <w:r w:rsidRPr="00A057AC">
        <w:rPr>
          <w:rFonts w:ascii="Tahoma" w:eastAsia="Calibri" w:hAnsi="Tahoma" w:cs="Tahoma"/>
          <w:i/>
          <w:sz w:val="24"/>
        </w:rPr>
        <w:t xml:space="preserve">Reabilitarea liniei de cale ferata </w:t>
      </w:r>
      <w:r w:rsidR="00B07E4B" w:rsidRPr="00A057AC">
        <w:rPr>
          <w:rFonts w:ascii="Tahoma" w:eastAsia="Calibri" w:hAnsi="Tahoma" w:cs="Tahoma"/>
          <w:i/>
          <w:sz w:val="24"/>
        </w:rPr>
        <w:t>Brașov</w:t>
      </w:r>
      <w:r w:rsidRPr="00A057AC">
        <w:rPr>
          <w:rFonts w:ascii="Tahoma" w:eastAsia="Calibri" w:hAnsi="Tahoma" w:cs="Tahoma"/>
          <w:i/>
          <w:sz w:val="24"/>
        </w:rPr>
        <w:t xml:space="preserve">-Simeria, </w:t>
      </w:r>
      <w:r w:rsidR="00B07E4B" w:rsidRPr="00A057AC">
        <w:rPr>
          <w:rFonts w:ascii="Tahoma" w:eastAsia="Calibri" w:hAnsi="Tahoma" w:cs="Tahoma"/>
          <w:i/>
          <w:sz w:val="24"/>
        </w:rPr>
        <w:t>componentă</w:t>
      </w:r>
      <w:r w:rsidRPr="00A057AC">
        <w:rPr>
          <w:rFonts w:ascii="Tahoma" w:eastAsia="Calibri" w:hAnsi="Tahoma" w:cs="Tahoma"/>
          <w:i/>
          <w:sz w:val="24"/>
        </w:rPr>
        <w:t xml:space="preserve"> a Coridorului Rin-</w:t>
      </w:r>
      <w:r w:rsidR="00B07E4B" w:rsidRPr="00A057AC">
        <w:rPr>
          <w:rFonts w:ascii="Tahoma" w:eastAsia="Calibri" w:hAnsi="Tahoma" w:cs="Tahoma"/>
          <w:i/>
          <w:sz w:val="24"/>
        </w:rPr>
        <w:t>Dunăre</w:t>
      </w:r>
      <w:r w:rsidRPr="00A057AC">
        <w:rPr>
          <w:rFonts w:ascii="Tahoma" w:eastAsia="Calibri" w:hAnsi="Tahoma" w:cs="Tahoma"/>
          <w:i/>
          <w:sz w:val="24"/>
        </w:rPr>
        <w:t xml:space="preserve">, pentru </w:t>
      </w:r>
      <w:r w:rsidR="00B07E4B" w:rsidRPr="00A057AC">
        <w:rPr>
          <w:rFonts w:ascii="Tahoma" w:eastAsia="Calibri" w:hAnsi="Tahoma" w:cs="Tahoma"/>
          <w:i/>
          <w:sz w:val="24"/>
        </w:rPr>
        <w:t>circulația</w:t>
      </w:r>
      <w:r w:rsidRPr="00A057AC">
        <w:rPr>
          <w:rFonts w:ascii="Tahoma" w:eastAsia="Calibri" w:hAnsi="Tahoma" w:cs="Tahoma"/>
          <w:i/>
          <w:sz w:val="24"/>
        </w:rPr>
        <w:t xml:space="preserve"> trenurilor cu viteza maxima de 160 km/h, tronsonul </w:t>
      </w:r>
      <w:r w:rsidR="00B07E4B" w:rsidRPr="00A057AC">
        <w:rPr>
          <w:rFonts w:ascii="Tahoma" w:eastAsia="Calibri" w:hAnsi="Tahoma" w:cs="Tahoma"/>
          <w:i/>
          <w:sz w:val="24"/>
        </w:rPr>
        <w:t xml:space="preserve">Brașov </w:t>
      </w:r>
      <w:r w:rsidRPr="00A057AC">
        <w:rPr>
          <w:rFonts w:ascii="Tahoma" w:eastAsia="Calibri" w:hAnsi="Tahoma" w:cs="Tahoma"/>
          <w:i/>
          <w:sz w:val="24"/>
        </w:rPr>
        <w:t>-</w:t>
      </w:r>
      <w:r w:rsidR="00B07E4B" w:rsidRPr="00A057AC">
        <w:rPr>
          <w:rFonts w:ascii="Tahoma" w:eastAsia="Calibri" w:hAnsi="Tahoma" w:cs="Tahoma"/>
          <w:i/>
          <w:sz w:val="24"/>
        </w:rPr>
        <w:t xml:space="preserve"> Sighișoara</w:t>
      </w:r>
      <w:r w:rsidRPr="00A057AC">
        <w:rPr>
          <w:rFonts w:ascii="Tahoma" w:eastAsia="Calibri" w:hAnsi="Tahoma" w:cs="Tahoma"/>
          <w:sz w:val="24"/>
        </w:rPr>
        <w:t xml:space="preserve"> : 0% (program 1.974,9 milioane lei)</w:t>
      </w:r>
    </w:p>
    <w:p w:rsidR="001F48D1" w:rsidRPr="00A057AC" w:rsidRDefault="00B07E4B"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Legătura</w:t>
      </w:r>
      <w:r w:rsidR="001F48D1" w:rsidRPr="00A057AC">
        <w:rPr>
          <w:rFonts w:ascii="Tahoma" w:eastAsia="Calibri" w:hAnsi="Tahoma" w:cs="Tahoma"/>
          <w:i/>
          <w:sz w:val="24"/>
        </w:rPr>
        <w:t xml:space="preserve"> </w:t>
      </w:r>
      <w:r w:rsidRPr="00A057AC">
        <w:rPr>
          <w:rFonts w:ascii="Tahoma" w:eastAsia="Calibri" w:hAnsi="Tahoma" w:cs="Tahoma"/>
          <w:i/>
          <w:sz w:val="24"/>
        </w:rPr>
        <w:t>rețelei</w:t>
      </w:r>
      <w:r w:rsidR="001F48D1" w:rsidRPr="00A057AC">
        <w:rPr>
          <w:rFonts w:ascii="Tahoma" w:eastAsia="Calibri" w:hAnsi="Tahoma" w:cs="Tahoma"/>
          <w:i/>
          <w:sz w:val="24"/>
        </w:rPr>
        <w:t xml:space="preserve"> de metrou cu Aeroportul International Henri </w:t>
      </w:r>
      <w:r w:rsidRPr="00A057AC">
        <w:rPr>
          <w:rFonts w:ascii="Tahoma" w:eastAsia="Calibri" w:hAnsi="Tahoma" w:cs="Tahoma"/>
          <w:i/>
          <w:sz w:val="24"/>
        </w:rPr>
        <w:t>Coandă</w:t>
      </w:r>
      <w:r w:rsidR="001F48D1" w:rsidRPr="00A057AC">
        <w:rPr>
          <w:rFonts w:ascii="Tahoma" w:eastAsia="Calibri" w:hAnsi="Tahoma" w:cs="Tahoma"/>
          <w:i/>
          <w:sz w:val="24"/>
        </w:rPr>
        <w:t xml:space="preserve"> – Otopeni </w:t>
      </w:r>
      <w:r w:rsidR="001F48D1" w:rsidRPr="00A057AC">
        <w:rPr>
          <w:rFonts w:ascii="Tahoma" w:eastAsia="Calibri" w:hAnsi="Tahoma" w:cs="Tahoma"/>
          <w:sz w:val="24"/>
        </w:rPr>
        <w:t>: grad de execuție 0% (program 487,4 milioane lei)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Modernizarea liniei de cale ferata </w:t>
      </w:r>
      <w:r w:rsidR="00B07E4B" w:rsidRPr="00A057AC">
        <w:rPr>
          <w:rFonts w:ascii="Tahoma" w:eastAsia="Calibri" w:hAnsi="Tahoma" w:cs="Tahoma"/>
          <w:i/>
          <w:sz w:val="24"/>
        </w:rPr>
        <w:t>București</w:t>
      </w:r>
      <w:r w:rsidRPr="00A057AC">
        <w:rPr>
          <w:rFonts w:ascii="Tahoma" w:eastAsia="Calibri" w:hAnsi="Tahoma" w:cs="Tahoma"/>
          <w:i/>
          <w:sz w:val="24"/>
        </w:rPr>
        <w:t xml:space="preserve"> Nord - Aeroport International Henri </w:t>
      </w:r>
      <w:r w:rsidR="00B07E4B" w:rsidRPr="00A057AC">
        <w:rPr>
          <w:rFonts w:ascii="Tahoma" w:eastAsia="Calibri" w:hAnsi="Tahoma" w:cs="Tahoma"/>
          <w:i/>
          <w:sz w:val="24"/>
        </w:rPr>
        <w:t>Coandă</w:t>
      </w:r>
      <w:r w:rsidRPr="00A057AC">
        <w:rPr>
          <w:rFonts w:ascii="Tahoma" w:eastAsia="Calibri" w:hAnsi="Tahoma" w:cs="Tahoma"/>
          <w:i/>
          <w:sz w:val="24"/>
        </w:rPr>
        <w:t xml:space="preserve"> </w:t>
      </w:r>
      <w:r w:rsidR="00B07E4B" w:rsidRPr="00A057AC">
        <w:rPr>
          <w:rFonts w:ascii="Tahoma" w:eastAsia="Calibri" w:hAnsi="Tahoma" w:cs="Tahoma"/>
          <w:i/>
          <w:sz w:val="24"/>
        </w:rPr>
        <w:t>București</w:t>
      </w:r>
      <w:r w:rsidRPr="00A057AC">
        <w:rPr>
          <w:rFonts w:ascii="Tahoma" w:eastAsia="Calibri" w:hAnsi="Tahoma" w:cs="Tahoma"/>
          <w:i/>
          <w:sz w:val="24"/>
        </w:rPr>
        <w:t xml:space="preserve"> - Faza I: Racord cf la Terminalul T1, Aeroport </w:t>
      </w:r>
      <w:r w:rsidRPr="00A057AC">
        <w:rPr>
          <w:rFonts w:ascii="Tahoma" w:eastAsia="Calibri" w:hAnsi="Tahoma" w:cs="Tahoma"/>
          <w:i/>
          <w:sz w:val="24"/>
        </w:rPr>
        <w:lastRenderedPageBreak/>
        <w:t xml:space="preserve">International Henri </w:t>
      </w:r>
      <w:r w:rsidR="00B07E4B" w:rsidRPr="00A057AC">
        <w:rPr>
          <w:rFonts w:ascii="Tahoma" w:eastAsia="Calibri" w:hAnsi="Tahoma" w:cs="Tahoma"/>
          <w:i/>
          <w:sz w:val="24"/>
        </w:rPr>
        <w:t>Coandă</w:t>
      </w:r>
      <w:r w:rsidRPr="00A057AC">
        <w:rPr>
          <w:rFonts w:ascii="Tahoma" w:eastAsia="Calibri" w:hAnsi="Tahoma" w:cs="Tahoma"/>
          <w:i/>
          <w:sz w:val="24"/>
        </w:rPr>
        <w:t xml:space="preserve"> </w:t>
      </w:r>
      <w:r w:rsidR="00B07E4B" w:rsidRPr="00A057AC">
        <w:rPr>
          <w:rFonts w:ascii="Tahoma" w:eastAsia="Calibri" w:hAnsi="Tahoma" w:cs="Tahoma"/>
          <w:i/>
          <w:sz w:val="24"/>
        </w:rPr>
        <w:t>București</w:t>
      </w:r>
      <w:r w:rsidRPr="00A057AC">
        <w:rPr>
          <w:rFonts w:ascii="Tahoma" w:eastAsia="Calibri" w:hAnsi="Tahoma" w:cs="Tahoma"/>
          <w:sz w:val="24"/>
        </w:rPr>
        <w:t>: grad de execuție 0% (program 137,3 milioane lei)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Modernizare DN 28B </w:t>
      </w:r>
      <w:r w:rsidR="00B07E4B" w:rsidRPr="00A057AC">
        <w:rPr>
          <w:rFonts w:ascii="Tahoma" w:eastAsia="Calibri" w:hAnsi="Tahoma" w:cs="Tahoma"/>
          <w:i/>
          <w:sz w:val="24"/>
        </w:rPr>
        <w:t>Târgu</w:t>
      </w:r>
      <w:r w:rsidRPr="00A057AC">
        <w:rPr>
          <w:rFonts w:ascii="Tahoma" w:eastAsia="Calibri" w:hAnsi="Tahoma" w:cs="Tahoma"/>
          <w:i/>
          <w:sz w:val="24"/>
        </w:rPr>
        <w:t xml:space="preserve"> Frumos - </w:t>
      </w:r>
      <w:r w:rsidR="00B07E4B" w:rsidRPr="00A057AC">
        <w:rPr>
          <w:rFonts w:ascii="Tahoma" w:eastAsia="Calibri" w:hAnsi="Tahoma" w:cs="Tahoma"/>
          <w:i/>
          <w:sz w:val="24"/>
        </w:rPr>
        <w:t>Botoșani</w:t>
      </w:r>
      <w:r w:rsidRPr="00A057AC">
        <w:rPr>
          <w:rFonts w:ascii="Tahoma" w:eastAsia="Calibri" w:hAnsi="Tahoma" w:cs="Tahoma"/>
          <w:i/>
          <w:sz w:val="24"/>
        </w:rPr>
        <w:t xml:space="preserve"> km 0+000 - km 76+758</w:t>
      </w:r>
      <w:r w:rsidRPr="00A057AC">
        <w:rPr>
          <w:rFonts w:ascii="Tahoma" w:eastAsia="Calibri" w:hAnsi="Tahoma" w:cs="Tahoma"/>
          <w:sz w:val="24"/>
        </w:rPr>
        <w:t xml:space="preserve"> : grad de execuție 0% (program 61,9 milioane lei)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Varianta de ocolire a municipiului Satu Mare </w:t>
      </w:r>
      <w:r w:rsidRPr="00A057AC">
        <w:rPr>
          <w:rFonts w:ascii="Tahoma" w:eastAsia="Calibri" w:hAnsi="Tahoma" w:cs="Tahoma"/>
          <w:sz w:val="24"/>
        </w:rPr>
        <w:t xml:space="preserve">: grad de execuție 16,6% (program 112,5 milioane lei / plăți 18,7 milioane lei)  </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Modernizarea Centurii Rutiere A Municipiului </w:t>
      </w:r>
      <w:r w:rsidR="00B07E4B" w:rsidRPr="00A057AC">
        <w:rPr>
          <w:rFonts w:ascii="Tahoma" w:eastAsia="Calibri" w:hAnsi="Tahoma" w:cs="Tahoma"/>
          <w:i/>
          <w:sz w:val="24"/>
        </w:rPr>
        <w:t>București între A1 - DN 7 și DN</w:t>
      </w:r>
      <w:r w:rsidRPr="00A057AC">
        <w:rPr>
          <w:rFonts w:ascii="Tahoma" w:eastAsia="Calibri" w:hAnsi="Tahoma" w:cs="Tahoma"/>
          <w:i/>
          <w:sz w:val="24"/>
        </w:rPr>
        <w:t xml:space="preserve"> 2 - A2</w:t>
      </w:r>
      <w:r w:rsidRPr="00A057AC">
        <w:rPr>
          <w:rFonts w:ascii="Tahoma" w:eastAsia="Calibri" w:hAnsi="Tahoma" w:cs="Tahoma"/>
          <w:sz w:val="24"/>
        </w:rPr>
        <w:t xml:space="preserve"> : grad de execuție 4,9% (program 62,3 milioane lei / plăți 3 milioane lei)</w:t>
      </w:r>
    </w:p>
    <w:p w:rsidR="001F48D1" w:rsidRPr="00A057AC" w:rsidRDefault="001F48D1" w:rsidP="001F48D1">
      <w:pPr>
        <w:spacing w:after="200" w:line="360" w:lineRule="auto"/>
        <w:ind w:left="1080" w:right="-33" w:firstLine="0"/>
        <w:contextualSpacing/>
        <w:rPr>
          <w:rFonts w:ascii="Tahoma" w:eastAsia="Calibri" w:hAnsi="Tahoma" w:cs="Tahoma"/>
          <w:i/>
          <w:sz w:val="24"/>
        </w:rPr>
      </w:pP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sz w:val="24"/>
          <w:u w:val="single"/>
        </w:rPr>
      </w:pPr>
      <w:r w:rsidRPr="00A057AC">
        <w:rPr>
          <w:rFonts w:ascii="Tahoma" w:eastAsia="Calibri" w:hAnsi="Tahoma" w:cs="Tahoma"/>
          <w:sz w:val="24"/>
          <w:u w:val="single"/>
        </w:rPr>
        <w:t>Ministerul Afacerilor Interne:</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sz w:val="24"/>
          <w:u w:val="single"/>
        </w:rPr>
      </w:pPr>
      <w:r w:rsidRPr="00A057AC">
        <w:rPr>
          <w:rFonts w:ascii="Tahoma" w:eastAsia="Calibri" w:hAnsi="Tahoma" w:cs="Tahoma"/>
          <w:i/>
          <w:sz w:val="24"/>
          <w:u w:val="single"/>
        </w:rPr>
        <w:t>Obiective noi</w:t>
      </w:r>
      <w:r w:rsidRPr="00A057AC">
        <w:rPr>
          <w:rFonts w:ascii="Tahoma" w:eastAsia="Calibri" w:hAnsi="Tahoma" w:cs="Tahoma"/>
          <w:sz w:val="24"/>
        </w:rPr>
        <w:t>: grad de execuție 0% (program 117,7 milioane lei)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sz w:val="24"/>
          <w:u w:val="single"/>
        </w:rPr>
      </w:pPr>
      <w:r w:rsidRPr="00A057AC">
        <w:rPr>
          <w:rFonts w:ascii="Tahoma" w:eastAsia="Calibri" w:hAnsi="Tahoma" w:cs="Tahoma"/>
          <w:i/>
          <w:sz w:val="24"/>
          <w:u w:val="single"/>
        </w:rPr>
        <w:t>Obiective în continuare</w:t>
      </w:r>
      <w:r w:rsidRPr="00A057AC">
        <w:rPr>
          <w:rFonts w:ascii="Tahoma" w:eastAsia="Calibri" w:hAnsi="Tahoma" w:cs="Tahoma"/>
          <w:sz w:val="24"/>
        </w:rPr>
        <w:t>: grad de execuție 21,4% (program 80,2 milioane lei / plăți 17,1 milioane lei)</w:t>
      </w: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sz w:val="24"/>
          <w:u w:val="single"/>
        </w:rPr>
      </w:pPr>
      <w:r w:rsidRPr="00A057AC">
        <w:rPr>
          <w:rFonts w:ascii="Tahoma" w:eastAsia="Calibri" w:hAnsi="Tahoma" w:cs="Tahoma"/>
          <w:sz w:val="24"/>
          <w:u w:val="single"/>
        </w:rPr>
        <w:t xml:space="preserve">Ministerul Agriculturii si </w:t>
      </w:r>
      <w:r w:rsidR="00B07E4B" w:rsidRPr="00A057AC">
        <w:rPr>
          <w:rFonts w:ascii="Tahoma" w:eastAsia="Calibri" w:hAnsi="Tahoma" w:cs="Tahoma"/>
          <w:sz w:val="24"/>
          <w:u w:val="single"/>
        </w:rPr>
        <w:t>Dezvoltării</w:t>
      </w:r>
      <w:r w:rsidRPr="00A057AC">
        <w:rPr>
          <w:rFonts w:ascii="Tahoma" w:eastAsia="Calibri" w:hAnsi="Tahoma" w:cs="Tahoma"/>
          <w:sz w:val="24"/>
          <w:u w:val="single"/>
        </w:rPr>
        <w:t xml:space="preserve"> Rurale:</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Reabilitarea infrastructurii principale de </w:t>
      </w:r>
      <w:r w:rsidR="00B07E4B" w:rsidRPr="00A057AC">
        <w:rPr>
          <w:rFonts w:ascii="Tahoma" w:eastAsia="Calibri" w:hAnsi="Tahoma" w:cs="Tahoma"/>
          <w:i/>
          <w:sz w:val="24"/>
        </w:rPr>
        <w:t>irigații</w:t>
      </w:r>
      <w:r w:rsidRPr="00A057AC">
        <w:rPr>
          <w:rFonts w:ascii="Tahoma" w:eastAsia="Calibri" w:hAnsi="Tahoma" w:cs="Tahoma"/>
          <w:i/>
          <w:sz w:val="24"/>
        </w:rPr>
        <w:t xml:space="preserve"> – A</w:t>
      </w:r>
      <w:r w:rsidRPr="00A057AC">
        <w:rPr>
          <w:rFonts w:ascii="Tahoma" w:eastAsia="Calibri" w:hAnsi="Tahoma" w:cs="Tahoma"/>
          <w:sz w:val="24"/>
        </w:rPr>
        <w:t xml:space="preserve"> : grad de execuție 13,9% (program 276,2 milioane lei / plăți 38,3 milioane lei)</w:t>
      </w: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u w:val="single"/>
        </w:rPr>
      </w:pPr>
      <w:r w:rsidRPr="00A057AC">
        <w:rPr>
          <w:rFonts w:ascii="Tahoma" w:eastAsia="Calibri" w:hAnsi="Tahoma" w:cs="Tahoma"/>
          <w:u w:val="single"/>
        </w:rPr>
        <w:t>Ministerul Mediului, Apelor si Pădurilor:</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sz w:val="24"/>
          <w:szCs w:val="24"/>
        </w:rPr>
      </w:pPr>
      <w:r w:rsidRPr="00A057AC">
        <w:rPr>
          <w:rFonts w:ascii="Tahoma" w:eastAsia="Calibri" w:hAnsi="Tahoma" w:cs="Tahoma"/>
          <w:i/>
          <w:sz w:val="24"/>
          <w:szCs w:val="24"/>
        </w:rPr>
        <w:t xml:space="preserve">Înființare perdele forestiere </w:t>
      </w:r>
      <w:r w:rsidRPr="00A057AC">
        <w:rPr>
          <w:rFonts w:ascii="Tahoma" w:eastAsia="Calibri" w:hAnsi="Tahoma" w:cs="Tahoma"/>
          <w:sz w:val="24"/>
          <w:szCs w:val="24"/>
        </w:rPr>
        <w:t>: grad de execuție 3,5% (program 28,8 milioane lei / plăți aprox. 1 milion lei)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Acumulare Runcu</w:t>
      </w:r>
      <w:r w:rsidRPr="00A057AC">
        <w:rPr>
          <w:rFonts w:ascii="Tahoma" w:eastAsia="Calibri" w:hAnsi="Tahoma" w:cs="Tahoma"/>
          <w:sz w:val="24"/>
        </w:rPr>
        <w:t>: grad de execuție 33,9% (program 20,0 milioane lei / plăți 6,8 milioane lei)</w:t>
      </w:r>
    </w:p>
    <w:p w:rsidR="001F48D1" w:rsidRPr="00A057AC" w:rsidRDefault="001F48D1" w:rsidP="001F48D1">
      <w:pPr>
        <w:suppressAutoHyphens/>
        <w:spacing w:after="0" w:line="360" w:lineRule="auto"/>
        <w:ind w:right="-33" w:firstLine="720"/>
        <w:rPr>
          <w:rFonts w:ascii="Tahoma" w:eastAsia="Times New Roman" w:hAnsi="Tahoma" w:cs="Tahoma"/>
          <w:sz w:val="24"/>
          <w:szCs w:val="24"/>
          <w:lang w:eastAsia="zh-CN"/>
        </w:rPr>
      </w:pPr>
      <w:r w:rsidRPr="00A057AC">
        <w:rPr>
          <w:rFonts w:ascii="Tahoma" w:eastAsia="Times New Roman" w:hAnsi="Tahoma" w:cs="Tahoma"/>
          <w:sz w:val="24"/>
          <w:szCs w:val="24"/>
          <w:lang w:eastAsia="zh-CN"/>
        </w:rPr>
        <w:t>Remarcăm faptul că în programul de inve</w:t>
      </w:r>
      <w:r w:rsidR="00B07E4B" w:rsidRPr="00A057AC">
        <w:rPr>
          <w:rFonts w:ascii="Tahoma" w:eastAsia="Times New Roman" w:hAnsi="Tahoma" w:cs="Tahoma"/>
          <w:sz w:val="24"/>
          <w:szCs w:val="24"/>
          <w:lang w:eastAsia="zh-CN"/>
        </w:rPr>
        <w:t>stiții publice al ministerelor ș</w:t>
      </w:r>
      <w:r w:rsidRPr="00A057AC">
        <w:rPr>
          <w:rFonts w:ascii="Tahoma" w:eastAsia="Times New Roman" w:hAnsi="Tahoma" w:cs="Tahoma"/>
          <w:sz w:val="24"/>
          <w:szCs w:val="24"/>
          <w:lang w:eastAsia="zh-CN"/>
        </w:rPr>
        <w:t>i Secretariatului General al Guvernului pe anul în curs sunt incluse un număr de 76 de obiective de investiții în continuare pentru care ordonatorii principali de credite nu au alocat pe anul în curs credite bugetare. Exemplificăm mai jos, astfel:</w:t>
      </w:r>
    </w:p>
    <w:p w:rsidR="001F48D1" w:rsidRPr="00A057AC" w:rsidRDefault="001F48D1" w:rsidP="001F48D1">
      <w:pPr>
        <w:suppressAutoHyphens/>
        <w:spacing w:after="0" w:line="360" w:lineRule="auto"/>
        <w:ind w:right="-33" w:firstLine="720"/>
        <w:rPr>
          <w:rFonts w:ascii="Tahoma" w:eastAsia="Times New Roman" w:hAnsi="Tahoma" w:cs="Tahoma"/>
          <w:sz w:val="24"/>
          <w:szCs w:val="24"/>
          <w:lang w:eastAsia="zh-CN"/>
        </w:rPr>
      </w:pP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sz w:val="24"/>
          <w:u w:val="single"/>
        </w:rPr>
      </w:pPr>
      <w:r w:rsidRPr="00A057AC">
        <w:rPr>
          <w:rFonts w:ascii="Tahoma" w:eastAsia="Calibri" w:hAnsi="Tahoma" w:cs="Tahoma"/>
          <w:sz w:val="24"/>
          <w:u w:val="single"/>
        </w:rPr>
        <w:t>Ministerul Transporturilor și Infrastructurii:</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Varianta de ocolire </w:t>
      </w:r>
      <w:r w:rsidR="00B07E4B" w:rsidRPr="00A057AC">
        <w:rPr>
          <w:rFonts w:ascii="Tahoma" w:eastAsia="Calibri" w:hAnsi="Tahoma" w:cs="Tahoma"/>
          <w:i/>
          <w:sz w:val="24"/>
        </w:rPr>
        <w:t>Bușteni</w:t>
      </w:r>
      <w:r w:rsidRPr="00A057AC">
        <w:rPr>
          <w:rFonts w:ascii="Tahoma" w:eastAsia="Calibri" w:hAnsi="Tahoma" w:cs="Tahoma"/>
          <w:i/>
          <w:sz w:val="24"/>
        </w:rPr>
        <w:t xml:space="preserve"> Sud km 0+000 - km 1+020</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Varianta de ocolire Comarnic km 0+000 - km 2+850</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 xml:space="preserve">Varianta ocolitoare a </w:t>
      </w:r>
      <w:r w:rsidR="00B07E4B" w:rsidRPr="00A057AC">
        <w:rPr>
          <w:rFonts w:ascii="Tahoma" w:eastAsia="Calibri" w:hAnsi="Tahoma" w:cs="Tahoma"/>
          <w:i/>
          <w:sz w:val="24"/>
        </w:rPr>
        <w:t>orașului</w:t>
      </w:r>
      <w:r w:rsidRPr="00A057AC">
        <w:rPr>
          <w:rFonts w:ascii="Tahoma" w:eastAsia="Calibri" w:hAnsi="Tahoma" w:cs="Tahoma"/>
          <w:i/>
          <w:sz w:val="24"/>
        </w:rPr>
        <w:t xml:space="preserve"> </w:t>
      </w:r>
      <w:r w:rsidR="00B07E4B" w:rsidRPr="00A057AC">
        <w:rPr>
          <w:rFonts w:ascii="Tahoma" w:eastAsia="Calibri" w:hAnsi="Tahoma" w:cs="Tahoma"/>
          <w:i/>
          <w:sz w:val="24"/>
        </w:rPr>
        <w:t>Mediaș</w:t>
      </w:r>
      <w:r w:rsidRPr="00A057AC">
        <w:rPr>
          <w:rFonts w:ascii="Tahoma" w:eastAsia="Calibri" w:hAnsi="Tahoma" w:cs="Tahoma"/>
          <w:i/>
          <w:sz w:val="24"/>
        </w:rPr>
        <w:t>, pe DN 14</w:t>
      </w:r>
    </w:p>
    <w:p w:rsidR="001F48D1" w:rsidRPr="00A057AC" w:rsidRDefault="001F48D1" w:rsidP="001F48D1">
      <w:pPr>
        <w:spacing w:after="200" w:line="360" w:lineRule="auto"/>
        <w:ind w:left="1080" w:right="-33" w:firstLine="0"/>
        <w:contextualSpacing/>
        <w:rPr>
          <w:rFonts w:ascii="Tahoma" w:eastAsia="Calibri" w:hAnsi="Tahoma" w:cs="Tahoma"/>
          <w:i/>
          <w:sz w:val="24"/>
        </w:rPr>
      </w:pPr>
    </w:p>
    <w:p w:rsidR="001F48D1" w:rsidRPr="00A057AC" w:rsidRDefault="001F48D1" w:rsidP="001F48D1">
      <w:pPr>
        <w:numPr>
          <w:ilvl w:val="0"/>
          <w:numId w:val="35"/>
        </w:numPr>
        <w:suppressAutoHyphens/>
        <w:spacing w:after="200" w:line="360" w:lineRule="auto"/>
        <w:ind w:right="-33" w:hanging="720"/>
        <w:contextualSpacing/>
        <w:jc w:val="left"/>
        <w:rPr>
          <w:rFonts w:ascii="Tahoma" w:eastAsia="Calibri" w:hAnsi="Tahoma" w:cs="Tahoma"/>
          <w:u w:val="single"/>
        </w:rPr>
      </w:pPr>
      <w:r w:rsidRPr="00A057AC">
        <w:rPr>
          <w:rFonts w:ascii="Tahoma" w:eastAsia="Calibri" w:hAnsi="Tahoma" w:cs="Tahoma"/>
          <w:u w:val="single"/>
        </w:rPr>
        <w:lastRenderedPageBreak/>
        <w:t>Ministerul Mediului, Apelor si Pădurilor (20 de obiective)</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Lucrări de protecție lac Techirghiol etapa a III a</w:t>
      </w:r>
    </w:p>
    <w:p w:rsidR="001F48D1" w:rsidRPr="00A057AC" w:rsidRDefault="001F48D1" w:rsidP="001F48D1">
      <w:pPr>
        <w:numPr>
          <w:ilvl w:val="0"/>
          <w:numId w:val="36"/>
        </w:numPr>
        <w:suppressAutoHyphens/>
        <w:spacing w:after="200" w:line="360" w:lineRule="auto"/>
        <w:ind w:right="-33"/>
        <w:contextualSpacing/>
        <w:jc w:val="left"/>
        <w:rPr>
          <w:rFonts w:ascii="Tahoma" w:eastAsia="Calibri" w:hAnsi="Tahoma" w:cs="Tahoma"/>
          <w:i/>
          <w:sz w:val="24"/>
        </w:rPr>
      </w:pPr>
      <w:r w:rsidRPr="00A057AC">
        <w:rPr>
          <w:rFonts w:ascii="Tahoma" w:eastAsia="Calibri" w:hAnsi="Tahoma" w:cs="Tahoma"/>
          <w:i/>
          <w:sz w:val="24"/>
        </w:rPr>
        <w:t>Acumulare Surduc pentru zona Timișoara</w:t>
      </w:r>
    </w:p>
    <w:tbl>
      <w:tblPr>
        <w:tblW w:w="8192" w:type="dxa"/>
        <w:tblLook w:val="04A0" w:firstRow="1" w:lastRow="0" w:firstColumn="1" w:lastColumn="0" w:noHBand="0" w:noVBand="1"/>
      </w:tblPr>
      <w:tblGrid>
        <w:gridCol w:w="4434"/>
        <w:gridCol w:w="1245"/>
        <w:gridCol w:w="1268"/>
        <w:gridCol w:w="1245"/>
      </w:tblGrid>
      <w:tr w:rsidR="00565CBC" w:rsidRPr="00A057AC" w:rsidTr="00BF6441">
        <w:trPr>
          <w:trHeight w:val="300"/>
        </w:trPr>
        <w:tc>
          <w:tcPr>
            <w:tcW w:w="8192" w:type="dxa"/>
            <w:gridSpan w:val="4"/>
            <w:tcBorders>
              <w:top w:val="nil"/>
              <w:left w:val="nil"/>
              <w:bottom w:val="nil"/>
              <w:right w:val="nil"/>
            </w:tcBorders>
            <w:shd w:val="clear" w:color="000000" w:fill="FFFFFF"/>
            <w:noWrap/>
            <w:vAlign w:val="bottom"/>
            <w:hideMark/>
          </w:tcPr>
          <w:p w:rsidR="00565CBC" w:rsidRPr="00A057AC" w:rsidRDefault="00565CBC" w:rsidP="00565CBC">
            <w:pPr>
              <w:spacing w:after="0"/>
              <w:ind w:firstLine="0"/>
              <w:jc w:val="center"/>
              <w:rPr>
                <w:rFonts w:ascii="Tahoma" w:eastAsia="Times New Roman" w:hAnsi="Tahoma" w:cs="Tahoma"/>
                <w:color w:val="000000"/>
              </w:rPr>
            </w:pPr>
            <w:r w:rsidRPr="00A057AC">
              <w:rPr>
                <w:rFonts w:ascii="Tahoma" w:eastAsia="Times New Roman" w:hAnsi="Tahoma" w:cs="Tahoma"/>
                <w:color w:val="000000"/>
              </w:rPr>
              <w:t>Plafoane privind soldul bugetar pe principalele bugete componente 2021</w:t>
            </w:r>
          </w:p>
        </w:tc>
      </w:tr>
      <w:tr w:rsidR="00565CBC" w:rsidRPr="00A057AC" w:rsidTr="00BF6441">
        <w:trPr>
          <w:trHeight w:val="315"/>
        </w:trPr>
        <w:tc>
          <w:tcPr>
            <w:tcW w:w="4434" w:type="dxa"/>
            <w:tcBorders>
              <w:top w:val="nil"/>
              <w:left w:val="nil"/>
              <w:bottom w:val="double" w:sz="6" w:space="0" w:color="auto"/>
              <w:right w:val="nil"/>
            </w:tcBorders>
            <w:shd w:val="clear" w:color="000000" w:fill="FFFFFF"/>
            <w:noWrap/>
            <w:vAlign w:val="bottom"/>
            <w:hideMark/>
          </w:tcPr>
          <w:p w:rsidR="00565CBC" w:rsidRPr="00A057AC" w:rsidRDefault="00565CBC" w:rsidP="00565CBC">
            <w:pPr>
              <w:spacing w:after="0"/>
              <w:ind w:firstLine="0"/>
              <w:jc w:val="left"/>
              <w:rPr>
                <w:rFonts w:ascii="Tahoma" w:eastAsia="Times New Roman" w:hAnsi="Tahoma" w:cs="Tahoma"/>
                <w:color w:val="000000"/>
              </w:rPr>
            </w:pPr>
            <w:r w:rsidRPr="00A057AC">
              <w:rPr>
                <w:rFonts w:ascii="Tahoma" w:eastAsia="Times New Roman" w:hAnsi="Tahoma" w:cs="Tahoma"/>
                <w:color w:val="000000"/>
              </w:rPr>
              <w:t> </w:t>
            </w:r>
          </w:p>
        </w:tc>
        <w:tc>
          <w:tcPr>
            <w:tcW w:w="1245" w:type="dxa"/>
            <w:tcBorders>
              <w:top w:val="nil"/>
              <w:left w:val="nil"/>
              <w:bottom w:val="double" w:sz="6" w:space="0" w:color="auto"/>
              <w:right w:val="nil"/>
            </w:tcBorders>
            <w:shd w:val="clear" w:color="000000" w:fill="FFFFFF"/>
            <w:noWrap/>
            <w:vAlign w:val="bottom"/>
            <w:hideMark/>
          </w:tcPr>
          <w:p w:rsidR="00565CBC" w:rsidRPr="00A057AC" w:rsidRDefault="00565CBC" w:rsidP="00565CBC">
            <w:pPr>
              <w:spacing w:after="0"/>
              <w:ind w:firstLine="0"/>
              <w:jc w:val="left"/>
              <w:rPr>
                <w:rFonts w:ascii="Tahoma" w:eastAsia="Times New Roman" w:hAnsi="Tahoma" w:cs="Tahoma"/>
                <w:color w:val="000000"/>
              </w:rPr>
            </w:pPr>
            <w:r w:rsidRPr="00A057AC">
              <w:rPr>
                <w:rFonts w:ascii="Tahoma" w:eastAsia="Times New Roman" w:hAnsi="Tahoma" w:cs="Tahoma"/>
                <w:color w:val="000000"/>
              </w:rPr>
              <w:t> </w:t>
            </w:r>
          </w:p>
        </w:tc>
        <w:tc>
          <w:tcPr>
            <w:tcW w:w="1268" w:type="dxa"/>
            <w:tcBorders>
              <w:top w:val="nil"/>
              <w:left w:val="nil"/>
              <w:bottom w:val="double" w:sz="6" w:space="0" w:color="auto"/>
              <w:right w:val="nil"/>
            </w:tcBorders>
            <w:shd w:val="clear" w:color="000000" w:fill="FFFFFF"/>
            <w:noWrap/>
            <w:vAlign w:val="bottom"/>
            <w:hideMark/>
          </w:tcPr>
          <w:p w:rsidR="00565CBC" w:rsidRPr="00A057AC" w:rsidRDefault="00565CBC" w:rsidP="00565CBC">
            <w:pPr>
              <w:spacing w:after="0"/>
              <w:ind w:firstLine="0"/>
              <w:jc w:val="left"/>
              <w:rPr>
                <w:rFonts w:ascii="Tahoma" w:eastAsia="Times New Roman" w:hAnsi="Tahoma" w:cs="Tahoma"/>
                <w:color w:val="000000"/>
              </w:rPr>
            </w:pPr>
            <w:r w:rsidRPr="00A057AC">
              <w:rPr>
                <w:rFonts w:ascii="Tahoma" w:eastAsia="Times New Roman" w:hAnsi="Tahoma" w:cs="Tahoma"/>
                <w:color w:val="000000"/>
              </w:rPr>
              <w:t> </w:t>
            </w:r>
          </w:p>
        </w:tc>
        <w:tc>
          <w:tcPr>
            <w:tcW w:w="1245" w:type="dxa"/>
            <w:tcBorders>
              <w:top w:val="nil"/>
              <w:left w:val="nil"/>
              <w:bottom w:val="double" w:sz="6" w:space="0" w:color="auto"/>
              <w:right w:val="nil"/>
            </w:tcBorders>
            <w:shd w:val="clear" w:color="000000" w:fill="FFFFFF"/>
            <w:noWrap/>
            <w:vAlign w:val="bottom"/>
            <w:hideMark/>
          </w:tcPr>
          <w:p w:rsidR="00565CBC" w:rsidRPr="00A057AC" w:rsidRDefault="00565CBC" w:rsidP="00565CBC">
            <w:pPr>
              <w:spacing w:after="0"/>
              <w:ind w:firstLine="0"/>
              <w:jc w:val="left"/>
              <w:rPr>
                <w:rFonts w:ascii="Tahoma" w:eastAsia="Times New Roman" w:hAnsi="Tahoma" w:cs="Tahoma"/>
                <w:color w:val="000000"/>
              </w:rPr>
            </w:pPr>
            <w:r w:rsidRPr="00A057AC">
              <w:rPr>
                <w:rFonts w:ascii="Tahoma" w:eastAsia="Times New Roman" w:hAnsi="Tahoma" w:cs="Tahoma"/>
                <w:color w:val="000000"/>
              </w:rPr>
              <w:t> </w:t>
            </w:r>
          </w:p>
        </w:tc>
      </w:tr>
      <w:tr w:rsidR="00565CBC" w:rsidRPr="00A057AC" w:rsidTr="00BF6441">
        <w:trPr>
          <w:trHeight w:val="795"/>
        </w:trPr>
        <w:tc>
          <w:tcPr>
            <w:tcW w:w="4434" w:type="dxa"/>
            <w:tcBorders>
              <w:top w:val="nil"/>
              <w:left w:val="nil"/>
              <w:bottom w:val="double" w:sz="6" w:space="0" w:color="auto"/>
              <w:right w:val="nil"/>
            </w:tcBorders>
            <w:shd w:val="clear" w:color="EBF1DE" w:fill="DCE6F1"/>
            <w:noWrap/>
            <w:vAlign w:val="bottom"/>
            <w:hideMark/>
          </w:tcPr>
          <w:p w:rsidR="00565CBC" w:rsidRPr="00A057AC" w:rsidRDefault="00565CBC" w:rsidP="00565CBC">
            <w:pPr>
              <w:spacing w:after="0"/>
              <w:ind w:firstLine="0"/>
              <w:jc w:val="left"/>
              <w:rPr>
                <w:rFonts w:ascii="Tahoma" w:eastAsia="Times New Roman" w:hAnsi="Tahoma" w:cs="Tahoma"/>
                <w:b/>
                <w:bCs/>
                <w:color w:val="000000"/>
                <w:sz w:val="20"/>
                <w:szCs w:val="20"/>
              </w:rPr>
            </w:pPr>
            <w:r w:rsidRPr="00A057AC">
              <w:rPr>
                <w:rFonts w:ascii="Tahoma" w:eastAsia="Times New Roman" w:hAnsi="Tahoma" w:cs="Tahoma"/>
                <w:b/>
                <w:bCs/>
                <w:color w:val="000000"/>
                <w:sz w:val="20"/>
                <w:szCs w:val="20"/>
              </w:rPr>
              <w:t> </w:t>
            </w:r>
          </w:p>
        </w:tc>
        <w:tc>
          <w:tcPr>
            <w:tcW w:w="1245" w:type="dxa"/>
            <w:tcBorders>
              <w:top w:val="nil"/>
              <w:left w:val="nil"/>
              <w:bottom w:val="double" w:sz="6" w:space="0" w:color="auto"/>
              <w:right w:val="nil"/>
            </w:tcBorders>
            <w:shd w:val="clear" w:color="EBF1DE" w:fill="DCE6F1"/>
            <w:vAlign w:val="center"/>
            <w:hideMark/>
          </w:tcPr>
          <w:p w:rsidR="00565CBC" w:rsidRPr="00A057AC" w:rsidRDefault="00565CBC" w:rsidP="00565CBC">
            <w:pPr>
              <w:spacing w:after="0"/>
              <w:ind w:firstLine="0"/>
              <w:jc w:val="center"/>
              <w:rPr>
                <w:rFonts w:ascii="Tahoma" w:eastAsia="Times New Roman" w:hAnsi="Tahoma" w:cs="Tahoma"/>
                <w:b/>
                <w:bCs/>
                <w:color w:val="000000"/>
                <w:sz w:val="20"/>
                <w:szCs w:val="20"/>
              </w:rPr>
            </w:pPr>
            <w:r w:rsidRPr="00A057AC">
              <w:rPr>
                <w:rFonts w:ascii="Tahoma" w:eastAsia="Times New Roman" w:hAnsi="Tahoma" w:cs="Tahoma"/>
                <w:b/>
                <w:bCs/>
                <w:color w:val="000000"/>
                <w:sz w:val="20"/>
                <w:szCs w:val="20"/>
              </w:rPr>
              <w:t>Buget iniţial</w:t>
            </w:r>
          </w:p>
        </w:tc>
        <w:tc>
          <w:tcPr>
            <w:tcW w:w="1268" w:type="dxa"/>
            <w:tcBorders>
              <w:top w:val="nil"/>
              <w:left w:val="nil"/>
              <w:bottom w:val="double" w:sz="6" w:space="0" w:color="auto"/>
              <w:right w:val="nil"/>
            </w:tcBorders>
            <w:shd w:val="clear" w:color="EBF1DE" w:fill="DCE6F1"/>
            <w:vAlign w:val="center"/>
            <w:hideMark/>
          </w:tcPr>
          <w:p w:rsidR="00565CBC" w:rsidRPr="00A057AC" w:rsidRDefault="00565CBC" w:rsidP="00565CBC">
            <w:pPr>
              <w:spacing w:after="0"/>
              <w:ind w:firstLine="0"/>
              <w:jc w:val="center"/>
              <w:rPr>
                <w:rFonts w:ascii="Tahoma" w:eastAsia="Times New Roman" w:hAnsi="Tahoma" w:cs="Tahoma"/>
                <w:b/>
                <w:bCs/>
                <w:color w:val="000000"/>
                <w:sz w:val="20"/>
                <w:szCs w:val="20"/>
              </w:rPr>
            </w:pPr>
            <w:r w:rsidRPr="00A057AC">
              <w:rPr>
                <w:rFonts w:ascii="Tahoma" w:eastAsia="Times New Roman" w:hAnsi="Tahoma" w:cs="Tahoma"/>
                <w:b/>
                <w:bCs/>
                <w:color w:val="000000"/>
                <w:sz w:val="20"/>
                <w:szCs w:val="20"/>
              </w:rPr>
              <w:t>Realizări semestrul I 2021</w:t>
            </w:r>
          </w:p>
        </w:tc>
        <w:tc>
          <w:tcPr>
            <w:tcW w:w="1245" w:type="dxa"/>
            <w:tcBorders>
              <w:top w:val="nil"/>
              <w:left w:val="nil"/>
              <w:bottom w:val="double" w:sz="6" w:space="0" w:color="auto"/>
              <w:right w:val="nil"/>
            </w:tcBorders>
            <w:shd w:val="clear" w:color="EBF1DE" w:fill="DCE6F1"/>
            <w:vAlign w:val="center"/>
            <w:hideMark/>
          </w:tcPr>
          <w:p w:rsidR="00565CBC" w:rsidRPr="00A057AC" w:rsidRDefault="00565CBC" w:rsidP="00565CBC">
            <w:pPr>
              <w:spacing w:after="0"/>
              <w:ind w:firstLine="0"/>
              <w:jc w:val="center"/>
              <w:rPr>
                <w:rFonts w:ascii="Tahoma" w:eastAsia="Times New Roman" w:hAnsi="Tahoma" w:cs="Tahoma"/>
                <w:b/>
                <w:bCs/>
                <w:color w:val="000000"/>
                <w:sz w:val="20"/>
                <w:szCs w:val="20"/>
              </w:rPr>
            </w:pPr>
            <w:r w:rsidRPr="00A057AC">
              <w:rPr>
                <w:rFonts w:ascii="Tahoma" w:eastAsia="Times New Roman" w:hAnsi="Tahoma" w:cs="Tahoma"/>
                <w:b/>
                <w:bCs/>
                <w:color w:val="000000"/>
                <w:sz w:val="20"/>
                <w:szCs w:val="20"/>
              </w:rPr>
              <w:t>Estimări 2021</w:t>
            </w:r>
          </w:p>
        </w:tc>
      </w:tr>
      <w:tr w:rsidR="00565CBC" w:rsidRPr="00A057AC" w:rsidTr="00BF6441">
        <w:trPr>
          <w:trHeight w:val="315"/>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Sold buget general consolidat (% din PIB)</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-7.16%</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-2.96%</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-7.13%</w:t>
            </w:r>
          </w:p>
        </w:tc>
      </w:tr>
      <w:tr w:rsidR="00565CBC" w:rsidRPr="00A057AC" w:rsidTr="00BF6441">
        <w:trPr>
          <w:trHeight w:val="510"/>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Sold primar al bugetului general consolidat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-63,135.5</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-24,937.2</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-66,963.9</w:t>
            </w:r>
          </w:p>
        </w:tc>
      </w:tr>
      <w:tr w:rsidR="00565CBC" w:rsidRPr="00A057AC" w:rsidTr="00BF6441">
        <w:trPr>
          <w:trHeight w:val="420"/>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Sold buget general consolidat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-80,000.00</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-33,809.5</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-83,757.6</w:t>
            </w:r>
          </w:p>
        </w:tc>
      </w:tr>
      <w:tr w:rsidR="00565CBC" w:rsidRPr="00A057AC" w:rsidTr="00BF6441">
        <w:trPr>
          <w:trHeight w:val="300"/>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Sold buget de stat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-87,349.70</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-42,703.1</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-90,910.9</w:t>
            </w:r>
          </w:p>
        </w:tc>
      </w:tr>
      <w:tr w:rsidR="00565CBC" w:rsidRPr="00A057AC" w:rsidTr="00BF6441">
        <w:trPr>
          <w:trHeight w:val="375"/>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 xml:space="preserve">Sold buget </w:t>
            </w:r>
            <w:r w:rsidR="008D0A2E" w:rsidRPr="00A057AC">
              <w:rPr>
                <w:rFonts w:ascii="Tahoma" w:eastAsia="Times New Roman" w:hAnsi="Tahoma" w:cs="Tahoma"/>
                <w:color w:val="000000"/>
                <w:sz w:val="20"/>
                <w:szCs w:val="20"/>
              </w:rPr>
              <w:t>asigurări</w:t>
            </w:r>
            <w:r w:rsidRPr="00A057AC">
              <w:rPr>
                <w:rFonts w:ascii="Tahoma" w:eastAsia="Times New Roman" w:hAnsi="Tahoma" w:cs="Tahoma"/>
                <w:color w:val="000000"/>
                <w:sz w:val="20"/>
                <w:szCs w:val="20"/>
              </w:rPr>
              <w:t xml:space="preserve"> sociale de stat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142.90</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-32.7</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172.2</w:t>
            </w:r>
          </w:p>
        </w:tc>
      </w:tr>
      <w:tr w:rsidR="00565CBC" w:rsidRPr="00A057AC" w:rsidTr="00BF6441">
        <w:trPr>
          <w:trHeight w:val="525"/>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 xml:space="preserve">Sold buget Fond național unic de </w:t>
            </w:r>
            <w:r w:rsidR="008D0A2E" w:rsidRPr="00A057AC">
              <w:rPr>
                <w:rFonts w:ascii="Tahoma" w:eastAsia="Times New Roman" w:hAnsi="Tahoma" w:cs="Tahoma"/>
                <w:color w:val="000000"/>
                <w:sz w:val="20"/>
                <w:szCs w:val="20"/>
              </w:rPr>
              <w:t>asigurări</w:t>
            </w:r>
            <w:r w:rsidRPr="00A057AC">
              <w:rPr>
                <w:rFonts w:ascii="Tahoma" w:eastAsia="Times New Roman" w:hAnsi="Tahoma" w:cs="Tahoma"/>
                <w:color w:val="000000"/>
                <w:sz w:val="20"/>
                <w:szCs w:val="20"/>
              </w:rPr>
              <w:t xml:space="preserve"> de </w:t>
            </w:r>
            <w:r w:rsidR="008D0A2E" w:rsidRPr="00A057AC">
              <w:rPr>
                <w:rFonts w:ascii="Tahoma" w:eastAsia="Times New Roman" w:hAnsi="Tahoma" w:cs="Tahoma"/>
                <w:color w:val="000000"/>
                <w:sz w:val="20"/>
                <w:szCs w:val="20"/>
              </w:rPr>
              <w:t>sănătate</w:t>
            </w:r>
            <w:r w:rsidRPr="00A057AC">
              <w:rPr>
                <w:rFonts w:ascii="Tahoma" w:eastAsia="Times New Roman" w:hAnsi="Tahoma" w:cs="Tahoma"/>
                <w:color w:val="000000"/>
                <w:sz w:val="20"/>
                <w:szCs w:val="20"/>
              </w:rPr>
              <w:t xml:space="preserve">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0.00</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920.2</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0.0</w:t>
            </w:r>
          </w:p>
        </w:tc>
      </w:tr>
      <w:tr w:rsidR="00565CBC" w:rsidRPr="00A057AC" w:rsidTr="00BF6441">
        <w:trPr>
          <w:trHeight w:val="510"/>
        </w:trPr>
        <w:tc>
          <w:tcPr>
            <w:tcW w:w="4434" w:type="dxa"/>
            <w:tcBorders>
              <w:top w:val="nil"/>
              <w:left w:val="nil"/>
              <w:bottom w:val="nil"/>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 xml:space="preserve">Sold bugetul asigurărilor pentru </w:t>
            </w:r>
            <w:r w:rsidR="008D0A2E" w:rsidRPr="00A057AC">
              <w:rPr>
                <w:rFonts w:ascii="Tahoma" w:eastAsia="Times New Roman" w:hAnsi="Tahoma" w:cs="Tahoma"/>
                <w:color w:val="000000"/>
                <w:sz w:val="20"/>
                <w:szCs w:val="20"/>
              </w:rPr>
              <w:t>șomaj</w:t>
            </w:r>
            <w:r w:rsidRPr="00A057AC">
              <w:rPr>
                <w:rFonts w:ascii="Tahoma" w:eastAsia="Times New Roman" w:hAnsi="Tahoma" w:cs="Tahoma"/>
                <w:color w:val="000000"/>
                <w:sz w:val="20"/>
                <w:szCs w:val="20"/>
              </w:rPr>
              <w:t xml:space="preserve"> (mil. lei)</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1,192.90</w:t>
            </w:r>
          </w:p>
        </w:tc>
        <w:tc>
          <w:tcPr>
            <w:tcW w:w="1268"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-977.6</w:t>
            </w:r>
          </w:p>
        </w:tc>
        <w:tc>
          <w:tcPr>
            <w:tcW w:w="1245" w:type="dxa"/>
            <w:tcBorders>
              <w:top w:val="nil"/>
              <w:left w:val="nil"/>
              <w:bottom w:val="nil"/>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1,263.7</w:t>
            </w:r>
          </w:p>
        </w:tc>
      </w:tr>
      <w:tr w:rsidR="00565CBC" w:rsidRPr="00A057AC" w:rsidTr="00BF6441">
        <w:trPr>
          <w:trHeight w:val="525"/>
        </w:trPr>
        <w:tc>
          <w:tcPr>
            <w:tcW w:w="4434" w:type="dxa"/>
            <w:tcBorders>
              <w:top w:val="nil"/>
              <w:left w:val="nil"/>
              <w:bottom w:val="double" w:sz="6" w:space="0" w:color="auto"/>
              <w:right w:val="nil"/>
            </w:tcBorders>
            <w:shd w:val="clear" w:color="000000" w:fill="FFFFFF"/>
            <w:vAlign w:val="center"/>
            <w:hideMark/>
          </w:tcPr>
          <w:p w:rsidR="00565CBC" w:rsidRPr="00A057AC" w:rsidRDefault="00565CBC" w:rsidP="00565CBC">
            <w:pPr>
              <w:spacing w:after="0"/>
              <w:ind w:firstLine="0"/>
              <w:jc w:val="left"/>
              <w:rPr>
                <w:rFonts w:ascii="Tahoma" w:eastAsia="Times New Roman" w:hAnsi="Tahoma" w:cs="Tahoma"/>
                <w:color w:val="000000"/>
                <w:sz w:val="20"/>
                <w:szCs w:val="20"/>
              </w:rPr>
            </w:pPr>
            <w:r w:rsidRPr="00A057AC">
              <w:rPr>
                <w:rFonts w:ascii="Tahoma" w:eastAsia="Times New Roman" w:hAnsi="Tahoma" w:cs="Tahoma"/>
                <w:color w:val="000000"/>
                <w:sz w:val="20"/>
                <w:szCs w:val="20"/>
              </w:rPr>
              <w:t xml:space="preserve">Sold bugetul </w:t>
            </w:r>
            <w:r w:rsidR="008D0A2E" w:rsidRPr="00A057AC">
              <w:rPr>
                <w:rFonts w:ascii="Tahoma" w:eastAsia="Times New Roman" w:hAnsi="Tahoma" w:cs="Tahoma"/>
                <w:color w:val="000000"/>
                <w:sz w:val="20"/>
                <w:szCs w:val="20"/>
              </w:rPr>
              <w:t>instituțiilor</w:t>
            </w:r>
            <w:r w:rsidRPr="00A057AC">
              <w:rPr>
                <w:rFonts w:ascii="Tahoma" w:eastAsia="Times New Roman" w:hAnsi="Tahoma" w:cs="Tahoma"/>
                <w:color w:val="000000"/>
                <w:sz w:val="20"/>
                <w:szCs w:val="20"/>
              </w:rPr>
              <w:t xml:space="preserve"> </w:t>
            </w:r>
            <w:r w:rsidR="008D0A2E" w:rsidRPr="00A057AC">
              <w:rPr>
                <w:rFonts w:ascii="Tahoma" w:eastAsia="Times New Roman" w:hAnsi="Tahoma" w:cs="Tahoma"/>
                <w:color w:val="000000"/>
                <w:sz w:val="20"/>
                <w:szCs w:val="20"/>
              </w:rPr>
              <w:t>finanțe</w:t>
            </w:r>
            <w:r w:rsidRPr="00A057AC">
              <w:rPr>
                <w:rFonts w:ascii="Tahoma" w:eastAsia="Times New Roman" w:hAnsi="Tahoma" w:cs="Tahoma"/>
                <w:color w:val="000000"/>
                <w:sz w:val="20"/>
                <w:szCs w:val="20"/>
              </w:rPr>
              <w:t xml:space="preserve"> din venituri proprii (mil. lei)</w:t>
            </w:r>
          </w:p>
        </w:tc>
        <w:tc>
          <w:tcPr>
            <w:tcW w:w="1245" w:type="dxa"/>
            <w:tcBorders>
              <w:top w:val="nil"/>
              <w:left w:val="nil"/>
              <w:bottom w:val="double" w:sz="6" w:space="0" w:color="auto"/>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sz w:val="20"/>
                <w:szCs w:val="20"/>
              </w:rPr>
            </w:pPr>
            <w:r w:rsidRPr="00A057AC">
              <w:rPr>
                <w:rFonts w:ascii="Tahoma" w:eastAsia="Times New Roman" w:hAnsi="Tahoma" w:cs="Tahoma"/>
                <w:sz w:val="20"/>
                <w:szCs w:val="20"/>
              </w:rPr>
              <w:t>1,850.00</w:t>
            </w:r>
          </w:p>
        </w:tc>
        <w:tc>
          <w:tcPr>
            <w:tcW w:w="1268" w:type="dxa"/>
            <w:tcBorders>
              <w:top w:val="nil"/>
              <w:left w:val="nil"/>
              <w:bottom w:val="double" w:sz="6" w:space="0" w:color="auto"/>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2,256.0</w:t>
            </w:r>
          </w:p>
        </w:tc>
        <w:tc>
          <w:tcPr>
            <w:tcW w:w="1245" w:type="dxa"/>
            <w:tcBorders>
              <w:top w:val="nil"/>
              <w:left w:val="nil"/>
              <w:bottom w:val="double" w:sz="6" w:space="0" w:color="auto"/>
              <w:right w:val="nil"/>
            </w:tcBorders>
            <w:shd w:val="clear" w:color="000000" w:fill="FFFFFF"/>
            <w:noWrap/>
            <w:vAlign w:val="center"/>
            <w:hideMark/>
          </w:tcPr>
          <w:p w:rsidR="00565CBC" w:rsidRPr="00A057AC" w:rsidRDefault="00565CBC" w:rsidP="00565CBC">
            <w:pPr>
              <w:spacing w:after="0"/>
              <w:ind w:firstLine="0"/>
              <w:jc w:val="right"/>
              <w:rPr>
                <w:rFonts w:ascii="Tahoma" w:eastAsia="Times New Roman" w:hAnsi="Tahoma" w:cs="Tahoma"/>
                <w:color w:val="000000"/>
                <w:sz w:val="20"/>
                <w:szCs w:val="20"/>
              </w:rPr>
            </w:pPr>
            <w:r w:rsidRPr="00A057AC">
              <w:rPr>
                <w:rFonts w:ascii="Tahoma" w:eastAsia="Times New Roman" w:hAnsi="Tahoma" w:cs="Tahoma"/>
                <w:color w:val="000000"/>
                <w:sz w:val="20"/>
                <w:szCs w:val="20"/>
              </w:rPr>
              <w:t>1,850.0</w:t>
            </w:r>
          </w:p>
        </w:tc>
      </w:tr>
    </w:tbl>
    <w:p w:rsidR="00B07E4B" w:rsidRPr="00A057AC" w:rsidRDefault="004D6D76" w:rsidP="00932C9E">
      <w:pPr>
        <w:keepNext/>
        <w:keepLines/>
        <w:spacing w:line="276" w:lineRule="auto"/>
        <w:ind w:firstLine="708"/>
        <w:rPr>
          <w:rFonts w:ascii="Tahoma" w:hAnsi="Tahoma" w:cs="Tahoma"/>
          <w:sz w:val="24"/>
          <w:szCs w:val="24"/>
        </w:rPr>
      </w:pPr>
      <w:r w:rsidRPr="00A057AC">
        <w:rPr>
          <w:rFonts w:ascii="Tahoma" w:hAnsi="Tahoma" w:cs="Tahoma"/>
          <w:b/>
          <w:sz w:val="24"/>
          <w:szCs w:val="24"/>
        </w:rPr>
        <w:lastRenderedPageBreak/>
        <w:t>Stocul plăților restante</w:t>
      </w:r>
      <w:r w:rsidRPr="00A057AC">
        <w:rPr>
          <w:rFonts w:ascii="Tahoma" w:hAnsi="Tahoma" w:cs="Tahoma"/>
          <w:sz w:val="24"/>
          <w:szCs w:val="24"/>
        </w:rPr>
        <w:t xml:space="preserve"> raportate la data de 30 iunie 20</w:t>
      </w:r>
      <w:r w:rsidR="00F326AB" w:rsidRPr="00A057AC">
        <w:rPr>
          <w:rFonts w:ascii="Tahoma" w:hAnsi="Tahoma" w:cs="Tahoma"/>
          <w:sz w:val="24"/>
          <w:szCs w:val="24"/>
        </w:rPr>
        <w:t>2</w:t>
      </w:r>
      <w:r w:rsidR="007414A5" w:rsidRPr="00A057AC">
        <w:rPr>
          <w:rFonts w:ascii="Tahoma" w:hAnsi="Tahoma" w:cs="Tahoma"/>
          <w:sz w:val="24"/>
          <w:szCs w:val="24"/>
        </w:rPr>
        <w:t>1</w:t>
      </w:r>
      <w:r w:rsidRPr="00A057AC">
        <w:rPr>
          <w:rFonts w:ascii="Tahoma" w:hAnsi="Tahoma" w:cs="Tahoma"/>
          <w:sz w:val="24"/>
          <w:szCs w:val="24"/>
        </w:rPr>
        <w:t xml:space="preserve"> a fost în sumă totală de </w:t>
      </w:r>
      <w:r w:rsidR="00F326AB" w:rsidRPr="00A057AC">
        <w:rPr>
          <w:rFonts w:ascii="Tahoma" w:hAnsi="Tahoma" w:cs="Tahoma"/>
          <w:sz w:val="24"/>
          <w:szCs w:val="24"/>
        </w:rPr>
        <w:t>1.25</w:t>
      </w:r>
      <w:r w:rsidR="007414A5" w:rsidRPr="00A057AC">
        <w:rPr>
          <w:rFonts w:ascii="Tahoma" w:hAnsi="Tahoma" w:cs="Tahoma"/>
          <w:sz w:val="24"/>
          <w:szCs w:val="24"/>
        </w:rPr>
        <w:t>0</w:t>
      </w:r>
      <w:r w:rsidR="00F326AB" w:rsidRPr="00A057AC">
        <w:rPr>
          <w:rFonts w:ascii="Tahoma" w:hAnsi="Tahoma" w:cs="Tahoma"/>
          <w:sz w:val="24"/>
          <w:szCs w:val="24"/>
        </w:rPr>
        <w:t>,</w:t>
      </w:r>
      <w:r w:rsidR="007414A5" w:rsidRPr="00A057AC">
        <w:rPr>
          <w:rFonts w:ascii="Tahoma" w:hAnsi="Tahoma" w:cs="Tahoma"/>
          <w:sz w:val="24"/>
          <w:szCs w:val="24"/>
        </w:rPr>
        <w:t>8</w:t>
      </w:r>
      <w:r w:rsidRPr="00A057AC">
        <w:rPr>
          <w:rFonts w:ascii="Tahoma" w:hAnsi="Tahoma" w:cs="Tahoma"/>
          <w:sz w:val="24"/>
          <w:szCs w:val="24"/>
        </w:rPr>
        <w:t xml:space="preserve"> milioane lei, cu </w:t>
      </w:r>
      <w:r w:rsidR="007414A5" w:rsidRPr="00A057AC">
        <w:rPr>
          <w:rFonts w:ascii="Tahoma" w:hAnsi="Tahoma" w:cs="Tahoma"/>
          <w:sz w:val="24"/>
          <w:szCs w:val="24"/>
        </w:rPr>
        <w:t>0,22</w:t>
      </w:r>
      <w:r w:rsidRPr="00A057AC">
        <w:rPr>
          <w:rFonts w:ascii="Tahoma" w:hAnsi="Tahoma" w:cs="Tahoma"/>
          <w:sz w:val="24"/>
          <w:szCs w:val="24"/>
        </w:rPr>
        <w:t xml:space="preserve">% </w:t>
      </w:r>
      <w:r w:rsidR="007414A5" w:rsidRPr="00A057AC">
        <w:rPr>
          <w:rFonts w:ascii="Tahoma" w:hAnsi="Tahoma" w:cs="Tahoma"/>
          <w:sz w:val="24"/>
          <w:szCs w:val="24"/>
        </w:rPr>
        <w:t>sub</w:t>
      </w:r>
      <w:r w:rsidRPr="00A057AC">
        <w:rPr>
          <w:rFonts w:ascii="Tahoma" w:hAnsi="Tahoma" w:cs="Tahoma"/>
          <w:sz w:val="24"/>
          <w:szCs w:val="24"/>
        </w:rPr>
        <w:t xml:space="preserve"> nivelul înregistrat la data de 30 iunie 20</w:t>
      </w:r>
      <w:r w:rsidR="007414A5" w:rsidRPr="00A057AC">
        <w:rPr>
          <w:rFonts w:ascii="Tahoma" w:hAnsi="Tahoma" w:cs="Tahoma"/>
          <w:sz w:val="24"/>
          <w:szCs w:val="24"/>
        </w:rPr>
        <w:t>20</w:t>
      </w:r>
      <w:r w:rsidRPr="00A057AC">
        <w:rPr>
          <w:rFonts w:ascii="Tahoma" w:hAnsi="Tahoma" w:cs="Tahoma"/>
          <w:sz w:val="24"/>
          <w:szCs w:val="24"/>
        </w:rPr>
        <w:t xml:space="preserve">, pe fondul </w:t>
      </w:r>
      <w:r w:rsidR="007414A5" w:rsidRPr="00A057AC">
        <w:rPr>
          <w:rFonts w:ascii="Tahoma" w:hAnsi="Tahoma" w:cs="Tahoma"/>
          <w:sz w:val="24"/>
          <w:szCs w:val="24"/>
        </w:rPr>
        <w:t>diminuării</w:t>
      </w:r>
      <w:r w:rsidRPr="00A057AC">
        <w:rPr>
          <w:rFonts w:ascii="Tahoma" w:hAnsi="Tahoma" w:cs="Tahoma"/>
          <w:sz w:val="24"/>
          <w:szCs w:val="24"/>
        </w:rPr>
        <w:t xml:space="preserve"> plăților restante în administrația locală cu </w:t>
      </w:r>
      <w:r w:rsidR="007414A5" w:rsidRPr="00A057AC">
        <w:rPr>
          <w:rFonts w:ascii="Tahoma" w:hAnsi="Tahoma" w:cs="Tahoma"/>
          <w:sz w:val="24"/>
          <w:szCs w:val="24"/>
        </w:rPr>
        <w:t>1,95</w:t>
      </w:r>
      <w:r w:rsidRPr="00A057AC">
        <w:rPr>
          <w:rFonts w:ascii="Tahoma" w:hAnsi="Tahoma" w:cs="Tahoma"/>
          <w:sz w:val="24"/>
          <w:szCs w:val="24"/>
        </w:rPr>
        <w:t>%. La nivelul administrație</w:t>
      </w:r>
      <w:r w:rsidR="00583D0F" w:rsidRPr="00A057AC">
        <w:rPr>
          <w:rFonts w:ascii="Tahoma" w:hAnsi="Tahoma" w:cs="Tahoma"/>
          <w:sz w:val="24"/>
          <w:szCs w:val="24"/>
        </w:rPr>
        <w:t>i</w:t>
      </w:r>
      <w:r w:rsidRPr="00A057AC">
        <w:rPr>
          <w:rFonts w:ascii="Tahoma" w:hAnsi="Tahoma" w:cs="Tahoma"/>
          <w:sz w:val="24"/>
          <w:szCs w:val="24"/>
        </w:rPr>
        <w:t xml:space="preserve"> centrale s-a înregistrat o </w:t>
      </w:r>
      <w:r w:rsidR="00F6547E" w:rsidRPr="00A057AC">
        <w:rPr>
          <w:rFonts w:ascii="Tahoma" w:hAnsi="Tahoma" w:cs="Tahoma"/>
          <w:sz w:val="24"/>
          <w:szCs w:val="24"/>
        </w:rPr>
        <w:t xml:space="preserve">creștere a plăților restante cu </w:t>
      </w:r>
      <w:r w:rsidR="007414A5" w:rsidRPr="00A057AC">
        <w:rPr>
          <w:rFonts w:ascii="Tahoma" w:hAnsi="Tahoma" w:cs="Tahoma"/>
          <w:sz w:val="24"/>
          <w:szCs w:val="24"/>
        </w:rPr>
        <w:t>7,98</w:t>
      </w:r>
      <w:r w:rsidRPr="00A057AC">
        <w:rPr>
          <w:rFonts w:ascii="Tahoma" w:hAnsi="Tahoma" w:cs="Tahoma"/>
          <w:sz w:val="24"/>
          <w:szCs w:val="24"/>
        </w:rPr>
        <w:t>% comparativ cu semestrul I 20</w:t>
      </w:r>
      <w:r w:rsidR="007414A5" w:rsidRPr="00A057AC">
        <w:rPr>
          <w:rFonts w:ascii="Tahoma" w:hAnsi="Tahoma" w:cs="Tahoma"/>
          <w:sz w:val="24"/>
          <w:szCs w:val="24"/>
        </w:rPr>
        <w:t>20 în timp ce la nivelul bugetului asigurărilor sociale acestea au crescut cu 209,4%</w:t>
      </w:r>
      <w:r w:rsidRPr="00A057AC">
        <w:rPr>
          <w:rFonts w:ascii="Tahoma" w:hAnsi="Tahoma" w:cs="Tahoma"/>
          <w:sz w:val="24"/>
          <w:szCs w:val="24"/>
        </w:rPr>
        <w:t>.</w:t>
      </w:r>
    </w:p>
    <w:p w:rsidR="00B07E4B" w:rsidRPr="00A057AC" w:rsidRDefault="00B07E4B" w:rsidP="00B07E4B">
      <w:pPr>
        <w:keepNext/>
        <w:keepLines/>
        <w:spacing w:line="276" w:lineRule="auto"/>
        <w:ind w:firstLine="708"/>
        <w:rPr>
          <w:rFonts w:ascii="Tahoma" w:hAnsi="Tahoma" w:cs="Tahoma"/>
          <w:sz w:val="24"/>
          <w:szCs w:val="24"/>
        </w:rPr>
      </w:pPr>
      <w:r w:rsidRPr="00A057AC">
        <w:rPr>
          <w:rFonts w:ascii="Tahoma" w:hAnsi="Tahoma" w:cs="Tahoma"/>
          <w:noProof/>
          <w:sz w:val="24"/>
          <w:szCs w:val="24"/>
          <w:lang w:val="en-US"/>
        </w:rPr>
        <w:drawing>
          <wp:inline distT="0" distB="0" distL="0" distR="0" wp14:anchorId="64C69D10">
            <wp:extent cx="5216460" cy="174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5374" cy="1784655"/>
                    </a:xfrm>
                    <a:prstGeom prst="rect">
                      <a:avLst/>
                    </a:prstGeom>
                    <a:noFill/>
                  </pic:spPr>
                </pic:pic>
              </a:graphicData>
            </a:graphic>
          </wp:inline>
        </w:drawing>
      </w:r>
    </w:p>
    <w:p w:rsidR="00B07E4B" w:rsidRPr="00A057AC" w:rsidRDefault="00B07E4B" w:rsidP="006A7316">
      <w:pPr>
        <w:keepNext/>
        <w:keepLines/>
        <w:spacing w:line="276" w:lineRule="auto"/>
        <w:ind w:firstLine="708"/>
        <w:rPr>
          <w:rFonts w:ascii="Tahoma" w:hAnsi="Tahoma" w:cs="Tahoma"/>
          <w:sz w:val="24"/>
          <w:szCs w:val="24"/>
        </w:rPr>
      </w:pPr>
    </w:p>
    <w:p w:rsidR="00BF6828" w:rsidRPr="00A057AC" w:rsidRDefault="004D6D76" w:rsidP="002A6579">
      <w:pPr>
        <w:keepNext/>
        <w:keepLines/>
        <w:spacing w:line="276" w:lineRule="auto"/>
        <w:ind w:firstLine="567"/>
        <w:rPr>
          <w:rFonts w:ascii="Tahoma" w:hAnsi="Tahoma" w:cs="Tahoma"/>
          <w:sz w:val="24"/>
          <w:szCs w:val="24"/>
        </w:rPr>
      </w:pPr>
      <w:r w:rsidRPr="00A057AC">
        <w:rPr>
          <w:rFonts w:ascii="Tahoma" w:hAnsi="Tahoma" w:cs="Tahoma"/>
          <w:b/>
          <w:sz w:val="24"/>
          <w:szCs w:val="24"/>
        </w:rPr>
        <w:t>Arieratele</w:t>
      </w:r>
      <w:r w:rsidRPr="00A057AC">
        <w:rPr>
          <w:rFonts w:ascii="Tahoma" w:hAnsi="Tahoma" w:cs="Tahoma"/>
          <w:sz w:val="24"/>
          <w:szCs w:val="24"/>
        </w:rPr>
        <w:t xml:space="preserve"> (plățile restante peste 90 de zile) înregistrate la data de 30 iunie 20</w:t>
      </w:r>
      <w:r w:rsidR="005F757C" w:rsidRPr="00A057AC">
        <w:rPr>
          <w:rFonts w:ascii="Tahoma" w:hAnsi="Tahoma" w:cs="Tahoma"/>
          <w:sz w:val="24"/>
          <w:szCs w:val="24"/>
        </w:rPr>
        <w:t>2</w:t>
      </w:r>
      <w:r w:rsidR="00FE2F7D" w:rsidRPr="00A057AC">
        <w:rPr>
          <w:rFonts w:ascii="Tahoma" w:hAnsi="Tahoma" w:cs="Tahoma"/>
          <w:sz w:val="24"/>
          <w:szCs w:val="24"/>
        </w:rPr>
        <w:t>1</w:t>
      </w:r>
      <w:r w:rsidRPr="00A057AC">
        <w:rPr>
          <w:rFonts w:ascii="Tahoma" w:hAnsi="Tahoma" w:cs="Tahoma"/>
          <w:sz w:val="24"/>
          <w:szCs w:val="24"/>
        </w:rPr>
        <w:t xml:space="preserve"> au fost în sumă de </w:t>
      </w:r>
      <w:r w:rsidR="00FE2F7D" w:rsidRPr="00A057AC">
        <w:rPr>
          <w:rFonts w:ascii="Tahoma" w:hAnsi="Tahoma" w:cs="Tahoma"/>
          <w:sz w:val="24"/>
          <w:szCs w:val="24"/>
        </w:rPr>
        <w:t>257,8</w:t>
      </w:r>
      <w:r w:rsidRPr="00A057AC">
        <w:rPr>
          <w:rFonts w:ascii="Tahoma" w:hAnsi="Tahoma" w:cs="Tahoma"/>
          <w:sz w:val="24"/>
          <w:szCs w:val="24"/>
        </w:rPr>
        <w:t xml:space="preserve"> milioane lei, în c</w:t>
      </w:r>
      <w:r w:rsidR="005F757C" w:rsidRPr="00A057AC">
        <w:rPr>
          <w:rFonts w:ascii="Tahoma" w:hAnsi="Tahoma" w:cs="Tahoma"/>
          <w:sz w:val="24"/>
          <w:szCs w:val="24"/>
        </w:rPr>
        <w:t>reștere</w:t>
      </w:r>
      <w:r w:rsidRPr="00A057AC">
        <w:rPr>
          <w:rFonts w:ascii="Tahoma" w:hAnsi="Tahoma" w:cs="Tahoma"/>
          <w:sz w:val="24"/>
          <w:szCs w:val="24"/>
        </w:rPr>
        <w:t xml:space="preserve"> cu </w:t>
      </w:r>
      <w:r w:rsidR="00FE2F7D" w:rsidRPr="00A057AC">
        <w:rPr>
          <w:rFonts w:ascii="Tahoma" w:hAnsi="Tahoma" w:cs="Tahoma"/>
          <w:sz w:val="24"/>
          <w:szCs w:val="24"/>
        </w:rPr>
        <w:t>4,77</w:t>
      </w:r>
      <w:r w:rsidRPr="00A057AC">
        <w:rPr>
          <w:rFonts w:ascii="Tahoma" w:hAnsi="Tahoma" w:cs="Tahoma"/>
          <w:sz w:val="24"/>
          <w:szCs w:val="24"/>
        </w:rPr>
        <w:t>% comparativ cu cele înregistrate la data de 30 iunie 20</w:t>
      </w:r>
      <w:r w:rsidR="00FE2F7D" w:rsidRPr="00A057AC">
        <w:rPr>
          <w:rFonts w:ascii="Tahoma" w:hAnsi="Tahoma" w:cs="Tahoma"/>
          <w:sz w:val="24"/>
          <w:szCs w:val="24"/>
        </w:rPr>
        <w:t>20</w:t>
      </w:r>
      <w:r w:rsidRPr="00A057AC">
        <w:rPr>
          <w:rFonts w:ascii="Tahoma" w:hAnsi="Tahoma" w:cs="Tahoma"/>
          <w:sz w:val="24"/>
          <w:szCs w:val="24"/>
        </w:rPr>
        <w:t xml:space="preserve"> pe fondul </w:t>
      </w:r>
      <w:r w:rsidR="005F757C" w:rsidRPr="00A057AC">
        <w:rPr>
          <w:rFonts w:ascii="Tahoma" w:hAnsi="Tahoma" w:cs="Tahoma"/>
          <w:sz w:val="24"/>
          <w:szCs w:val="24"/>
        </w:rPr>
        <w:t>cr</w:t>
      </w:r>
      <w:r w:rsidRPr="00A057AC">
        <w:rPr>
          <w:rFonts w:ascii="Tahoma" w:hAnsi="Tahoma" w:cs="Tahoma"/>
          <w:sz w:val="24"/>
          <w:szCs w:val="24"/>
        </w:rPr>
        <w:t>e</w:t>
      </w:r>
      <w:r w:rsidR="005F757C" w:rsidRPr="00A057AC">
        <w:rPr>
          <w:rFonts w:ascii="Tahoma" w:hAnsi="Tahoma" w:cs="Tahoma"/>
          <w:sz w:val="24"/>
          <w:szCs w:val="24"/>
        </w:rPr>
        <w:t>șt</w:t>
      </w:r>
      <w:r w:rsidRPr="00A057AC">
        <w:rPr>
          <w:rFonts w:ascii="Tahoma" w:hAnsi="Tahoma" w:cs="Tahoma"/>
          <w:sz w:val="24"/>
          <w:szCs w:val="24"/>
        </w:rPr>
        <w:t xml:space="preserve">erii arieratelor </w:t>
      </w:r>
      <w:r w:rsidR="00FE2F7D" w:rsidRPr="00A057AC">
        <w:rPr>
          <w:rFonts w:ascii="Tahoma" w:hAnsi="Tahoma" w:cs="Tahoma"/>
          <w:sz w:val="24"/>
          <w:szCs w:val="24"/>
        </w:rPr>
        <w:t xml:space="preserve">în administrația locală cu 11,04%în timp ce </w:t>
      </w:r>
      <w:r w:rsidRPr="00A057AC">
        <w:rPr>
          <w:rFonts w:ascii="Tahoma" w:hAnsi="Tahoma" w:cs="Tahoma"/>
          <w:sz w:val="24"/>
          <w:szCs w:val="24"/>
        </w:rPr>
        <w:t>la nivelul administrației centrale</w:t>
      </w:r>
      <w:r w:rsidR="00FE2F7D" w:rsidRPr="00A057AC">
        <w:rPr>
          <w:rFonts w:ascii="Tahoma" w:hAnsi="Tahoma" w:cs="Tahoma"/>
          <w:sz w:val="24"/>
          <w:szCs w:val="24"/>
        </w:rPr>
        <w:t xml:space="preserve"> se constată o reducere cu 42,31%</w:t>
      </w:r>
      <w:r w:rsidRPr="00A057AC">
        <w:rPr>
          <w:rFonts w:ascii="Tahoma" w:hAnsi="Tahoma" w:cs="Tahoma"/>
          <w:sz w:val="24"/>
          <w:szCs w:val="24"/>
        </w:rPr>
        <w:t xml:space="preserve">. Arieratele din administrația locală au reprezentat </w:t>
      </w:r>
      <w:r w:rsidR="00FE2F7D" w:rsidRPr="00A057AC">
        <w:rPr>
          <w:rFonts w:ascii="Tahoma" w:hAnsi="Tahoma" w:cs="Tahoma"/>
          <w:sz w:val="24"/>
          <w:szCs w:val="24"/>
        </w:rPr>
        <w:t>93,6</w:t>
      </w:r>
      <w:r w:rsidRPr="00A057AC">
        <w:rPr>
          <w:rFonts w:ascii="Tahoma" w:hAnsi="Tahoma" w:cs="Tahoma"/>
          <w:sz w:val="24"/>
          <w:szCs w:val="24"/>
        </w:rPr>
        <w:t>% din totalul arieratelor înregistrate la 30 iunie 20</w:t>
      </w:r>
      <w:r w:rsidR="005F757C" w:rsidRPr="00A057AC">
        <w:rPr>
          <w:rFonts w:ascii="Tahoma" w:hAnsi="Tahoma" w:cs="Tahoma"/>
          <w:sz w:val="24"/>
          <w:szCs w:val="24"/>
        </w:rPr>
        <w:t>2</w:t>
      </w:r>
      <w:r w:rsidR="00FE2F7D" w:rsidRPr="00A057AC">
        <w:rPr>
          <w:rFonts w:ascii="Tahoma" w:hAnsi="Tahoma" w:cs="Tahoma"/>
          <w:sz w:val="24"/>
          <w:szCs w:val="24"/>
        </w:rPr>
        <w:t>1</w:t>
      </w:r>
      <w:r w:rsidRPr="00A057AC">
        <w:rPr>
          <w:rFonts w:ascii="Tahoma" w:hAnsi="Tahoma" w:cs="Tahoma"/>
          <w:sz w:val="24"/>
          <w:szCs w:val="24"/>
        </w:rPr>
        <w:t>.</w:t>
      </w:r>
    </w:p>
    <w:p w:rsidR="007C4F03" w:rsidRPr="00A057AC" w:rsidRDefault="008A700D" w:rsidP="002A6579">
      <w:pPr>
        <w:keepNext/>
        <w:keepLines/>
        <w:spacing w:line="276" w:lineRule="auto"/>
        <w:ind w:firstLine="567"/>
        <w:rPr>
          <w:rFonts w:ascii="Tahoma" w:hAnsi="Tahoma" w:cs="Tahoma"/>
          <w:sz w:val="24"/>
          <w:szCs w:val="24"/>
        </w:rPr>
      </w:pPr>
      <w:r w:rsidRPr="00A057AC">
        <w:rPr>
          <w:rFonts w:ascii="Tahoma" w:hAnsi="Tahoma" w:cs="Tahoma"/>
          <w:sz w:val="24"/>
          <w:szCs w:val="24"/>
        </w:rPr>
        <w:br w:type="page"/>
      </w:r>
    </w:p>
    <w:p w:rsidR="00155F43" w:rsidRPr="00A057AC" w:rsidRDefault="00C43AD2" w:rsidP="002A6579">
      <w:pPr>
        <w:pStyle w:val="ListParagraph"/>
        <w:keepNext/>
        <w:keepLines/>
        <w:spacing w:line="276" w:lineRule="auto"/>
        <w:ind w:left="567"/>
        <w:outlineLvl w:val="0"/>
        <w:rPr>
          <w:rFonts w:ascii="Tahoma" w:hAnsi="Tahoma" w:cs="Tahoma"/>
          <w:b/>
          <w:sz w:val="24"/>
          <w:szCs w:val="24"/>
        </w:rPr>
      </w:pPr>
      <w:bookmarkStart w:id="28" w:name="_Toc78799190"/>
      <w:r w:rsidRPr="00A057AC">
        <w:rPr>
          <w:rFonts w:ascii="Tahoma" w:hAnsi="Tahoma" w:cs="Tahoma"/>
          <w:b/>
          <w:sz w:val="24"/>
          <w:szCs w:val="24"/>
        </w:rPr>
        <w:lastRenderedPageBreak/>
        <w:t xml:space="preserve">IV. Finanțarea deficitului bugetar </w:t>
      </w:r>
      <w:r w:rsidR="00E771E4" w:rsidRPr="00A057AC">
        <w:rPr>
          <w:rFonts w:ascii="Tahoma" w:hAnsi="Tahoma" w:cs="Tahoma"/>
          <w:b/>
          <w:sz w:val="24"/>
          <w:szCs w:val="24"/>
        </w:rPr>
        <w:t>și</w:t>
      </w:r>
      <w:r w:rsidRPr="00A057AC">
        <w:rPr>
          <w:rFonts w:ascii="Tahoma" w:hAnsi="Tahoma" w:cs="Tahoma"/>
          <w:b/>
          <w:sz w:val="24"/>
          <w:szCs w:val="24"/>
        </w:rPr>
        <w:t xml:space="preserve"> datoria publică</w:t>
      </w:r>
      <w:bookmarkEnd w:id="28"/>
    </w:p>
    <w:p w:rsidR="00D31CEE" w:rsidRPr="00A057AC" w:rsidRDefault="00D31CEE" w:rsidP="002A6579">
      <w:pPr>
        <w:spacing w:line="276" w:lineRule="auto"/>
        <w:rPr>
          <w:rFonts w:ascii="Tahoma" w:hAnsi="Tahoma" w:cs="Tahoma"/>
          <w:b/>
          <w:bCs/>
          <w:sz w:val="24"/>
          <w:szCs w:val="24"/>
        </w:rPr>
      </w:pPr>
      <w:bookmarkStart w:id="29" w:name="RANGE!B1:I9"/>
      <w:bookmarkEnd w:id="29"/>
    </w:p>
    <w:p w:rsidR="00D31CEE" w:rsidRPr="00A057AC" w:rsidRDefault="00D31CEE" w:rsidP="002A6579">
      <w:pPr>
        <w:widowControl w:val="0"/>
        <w:spacing w:after="120" w:line="276" w:lineRule="auto"/>
        <w:ind w:left="720" w:hanging="720"/>
        <w:rPr>
          <w:rFonts w:ascii="Tahoma" w:hAnsi="Tahoma" w:cs="Tahoma"/>
          <w:b/>
          <w:bCs/>
          <w:sz w:val="24"/>
          <w:szCs w:val="24"/>
        </w:rPr>
      </w:pPr>
      <w:r w:rsidRPr="00A057AC">
        <w:rPr>
          <w:rFonts w:ascii="Tahoma" w:hAnsi="Tahoma" w:cs="Tahoma"/>
          <w:b/>
          <w:bCs/>
          <w:sz w:val="24"/>
          <w:szCs w:val="24"/>
        </w:rPr>
        <w:t>VI.1 Datoria publică</w:t>
      </w:r>
    </w:p>
    <w:p w:rsidR="0057284B" w:rsidRPr="00A057AC" w:rsidRDefault="0057284B" w:rsidP="0057284B">
      <w:pPr>
        <w:widowControl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 xml:space="preserve">Datoria guvernamentală conform metodologiei UE s-a situat la data de </w:t>
      </w:r>
      <w:r w:rsidRPr="00A057AC">
        <w:rPr>
          <w:rFonts w:ascii="Tahoma" w:eastAsia="Calibri" w:hAnsi="Tahoma" w:cs="Tahoma"/>
          <w:b/>
          <w:sz w:val="24"/>
          <w:szCs w:val="24"/>
        </w:rPr>
        <w:t>31 mai 2021</w:t>
      </w:r>
      <w:r w:rsidRPr="00A057AC">
        <w:rPr>
          <w:rFonts w:ascii="Tahoma" w:eastAsia="Calibri" w:hAnsi="Tahoma" w:cs="Tahoma"/>
          <w:sz w:val="24"/>
          <w:szCs w:val="24"/>
        </w:rPr>
        <w:t xml:space="preserve"> la un nivel de 49,7% din PIB în creștere, comparativ cu nivelul de 47,3% din PIB, cât s-a înregistrat la sfârșitul anului 2020 situându-se sub plafonul de 60% stabilit prin Tratatul de la Maastricht.</w:t>
      </w:r>
    </w:p>
    <w:p w:rsidR="0057284B" w:rsidRPr="00A057AC" w:rsidRDefault="0057284B" w:rsidP="0057284B">
      <w:pPr>
        <w:widowControl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 xml:space="preserve">Din datoria guvernamentală înregistrată la 31 mai 2021, datoria internă a administrației publice a reprezentat  24,6% din PIB, iar datoria externă a fost de 25,1% din PIB. </w:t>
      </w:r>
    </w:p>
    <w:p w:rsidR="0057284B" w:rsidRPr="00A057AC" w:rsidRDefault="0057284B" w:rsidP="0057284B">
      <w:pPr>
        <w:spacing w:after="0" w:line="276" w:lineRule="auto"/>
        <w:ind w:firstLine="720"/>
        <w:rPr>
          <w:rFonts w:ascii="Tahoma" w:eastAsia="Calibri" w:hAnsi="Tahoma" w:cs="Tahoma"/>
          <w:color w:val="000000"/>
          <w:sz w:val="24"/>
          <w:szCs w:val="24"/>
        </w:rPr>
      </w:pPr>
      <w:r w:rsidRPr="00A057AC">
        <w:rPr>
          <w:rFonts w:ascii="Tahoma" w:eastAsia="Calibri" w:hAnsi="Tahoma" w:cs="Tahoma"/>
          <w:color w:val="000000"/>
          <w:sz w:val="24"/>
          <w:szCs w:val="24"/>
        </w:rPr>
        <w:t>Conform datelor publicate de EUROSTAT</w:t>
      </w:r>
      <w:r w:rsidRPr="00A057AC">
        <w:rPr>
          <w:rFonts w:ascii="Tahoma" w:eastAsia="Calibri" w:hAnsi="Tahoma" w:cs="Tahoma"/>
          <w:sz w:val="24"/>
          <w:szCs w:val="24"/>
          <w:vertAlign w:val="superscript"/>
        </w:rPr>
        <w:footnoteReference w:id="2"/>
      </w:r>
      <w:r w:rsidRPr="00A057AC">
        <w:rPr>
          <w:rFonts w:ascii="Tahoma" w:eastAsia="Calibri" w:hAnsi="Tahoma" w:cs="Tahoma"/>
          <w:sz w:val="24"/>
          <w:szCs w:val="24"/>
        </w:rPr>
        <w:t xml:space="preserve">, </w:t>
      </w:r>
      <w:r w:rsidRPr="00A057AC">
        <w:rPr>
          <w:rFonts w:ascii="Tahoma" w:eastAsia="Calibri" w:hAnsi="Tahoma" w:cs="Tahoma"/>
          <w:color w:val="000000"/>
          <w:sz w:val="24"/>
          <w:szCs w:val="24"/>
        </w:rPr>
        <w:t xml:space="preserve">la sfârșitul anului 2020 România (47,3% din PIB)  s-a situat pe locul 8 între statele membre UE, cu cel mai scăzut nivel de îndatorare după Estonia (18,2% din PIB), Luxemburg (24,9% din PIB), Bulgaria (25,0% din PIB), Republica Cehă (38,1% din PIB), Suedia (39,9% din PIB), Danemarca ( 42,2% din PIB) și Letonia (43,5% din PIB), sub media datoriei  guvernamentale pentru zona euro (EA 19) (98,0% din PIB), dar </w:t>
      </w:r>
      <w:r w:rsidR="0058067F" w:rsidRPr="00A057AC">
        <w:rPr>
          <w:rFonts w:ascii="Tahoma" w:eastAsia="Calibri" w:hAnsi="Tahoma" w:cs="Tahoma"/>
          <w:color w:val="000000"/>
          <w:sz w:val="24"/>
          <w:szCs w:val="24"/>
        </w:rPr>
        <w:t>și</w:t>
      </w:r>
      <w:r w:rsidRPr="00A057AC">
        <w:rPr>
          <w:rFonts w:ascii="Tahoma" w:eastAsia="Calibri" w:hAnsi="Tahoma" w:cs="Tahoma"/>
          <w:color w:val="000000"/>
          <w:sz w:val="24"/>
          <w:szCs w:val="24"/>
        </w:rPr>
        <w:t xml:space="preserve"> sub media datoriei guvernamentale pentru UE27 (90,7% din PIB).</w:t>
      </w:r>
    </w:p>
    <w:p w:rsidR="0057284B" w:rsidRPr="00A057AC" w:rsidRDefault="0057284B" w:rsidP="0057284B">
      <w:pPr>
        <w:widowControl w:val="0"/>
        <w:spacing w:after="120" w:line="276" w:lineRule="auto"/>
        <w:ind w:firstLine="720"/>
        <w:rPr>
          <w:rFonts w:ascii="Tahoma" w:eastAsia="Calibri" w:hAnsi="Tahoma" w:cs="Tahoma"/>
          <w:sz w:val="24"/>
          <w:szCs w:val="24"/>
        </w:rPr>
      </w:pPr>
      <w:r w:rsidRPr="00A057AC">
        <w:rPr>
          <w:rFonts w:ascii="Tahoma" w:eastAsia="Calibri" w:hAnsi="Tahoma" w:cs="Tahoma"/>
          <w:sz w:val="24"/>
          <w:szCs w:val="24"/>
        </w:rPr>
        <w:t xml:space="preserve">Un număr de  14 state membre au înregistrat, la finele anului 2020, un nivel al datoriei publice guvernamentale în PIB de peste 60% din PIB cele mai ridicate niveluri înregistrându-se în Grecia (205,6%), Italia (155,8%), Portugalia (133,6%), Spania (120,0%), Cipru (118,2%), Franța (115,7%), și Belgia (114,1%). </w:t>
      </w:r>
    </w:p>
    <w:p w:rsidR="00D31CEE" w:rsidRPr="00A057AC" w:rsidRDefault="00D31CEE" w:rsidP="0057284B">
      <w:pPr>
        <w:widowControl w:val="0"/>
        <w:spacing w:after="120" w:line="276" w:lineRule="auto"/>
        <w:ind w:firstLine="720"/>
        <w:rPr>
          <w:rFonts w:ascii="Tahoma" w:hAnsi="Tahoma" w:cs="Tahoma"/>
          <w:bCs/>
          <w:sz w:val="24"/>
          <w:szCs w:val="24"/>
        </w:rPr>
      </w:pPr>
    </w:p>
    <w:p w:rsidR="00D31CEE" w:rsidRPr="00A057AC" w:rsidRDefault="00D31CEE" w:rsidP="0057284B">
      <w:pPr>
        <w:widowControl w:val="0"/>
        <w:spacing w:after="120" w:line="276" w:lineRule="auto"/>
        <w:ind w:firstLine="0"/>
        <w:rPr>
          <w:rFonts w:ascii="Tahoma" w:eastAsia="MS Mincho" w:hAnsi="Tahoma" w:cs="Tahoma"/>
          <w:sz w:val="24"/>
          <w:szCs w:val="24"/>
          <w:lang w:eastAsia="ja-JP"/>
        </w:rPr>
      </w:pPr>
      <w:r w:rsidRPr="00A057AC">
        <w:rPr>
          <w:rFonts w:ascii="Tahoma" w:hAnsi="Tahoma" w:cs="Tahoma"/>
          <w:b/>
          <w:bCs/>
          <w:sz w:val="24"/>
          <w:szCs w:val="24"/>
        </w:rPr>
        <w:t xml:space="preserve">VI.2 Finanțarea deficitului bugetar </w:t>
      </w:r>
    </w:p>
    <w:p w:rsidR="0057284B" w:rsidRPr="00A057AC" w:rsidRDefault="0057284B" w:rsidP="0057284B">
      <w:pPr>
        <w:spacing w:after="0" w:line="276" w:lineRule="auto"/>
        <w:ind w:firstLine="720"/>
        <w:rPr>
          <w:rFonts w:ascii="Tahoma" w:eastAsia="Calibri" w:hAnsi="Tahoma" w:cs="Tahoma"/>
          <w:sz w:val="24"/>
          <w:szCs w:val="24"/>
          <w:lang w:eastAsia="ro-RO"/>
        </w:rPr>
      </w:pPr>
      <w:r w:rsidRPr="00A057AC">
        <w:rPr>
          <w:rFonts w:ascii="Tahoma" w:eastAsia="MS Mincho" w:hAnsi="Tahoma" w:cs="Tahoma"/>
          <w:sz w:val="24"/>
          <w:szCs w:val="24"/>
          <w:lang w:eastAsia="ja-JP"/>
        </w:rPr>
        <w:t xml:space="preserve">Finanțarea deficitului bugetar pentru </w:t>
      </w:r>
      <w:r w:rsidRPr="00A057AC">
        <w:rPr>
          <w:rFonts w:ascii="Tahoma" w:eastAsia="MS Mincho" w:hAnsi="Tahoma" w:cs="Tahoma"/>
          <w:b/>
          <w:sz w:val="24"/>
          <w:szCs w:val="24"/>
          <w:lang w:eastAsia="ja-JP"/>
        </w:rPr>
        <w:t xml:space="preserve">semestrul I 2021 </w:t>
      </w:r>
      <w:r w:rsidRPr="00A057AC">
        <w:rPr>
          <w:rFonts w:ascii="Tahoma" w:eastAsia="MS Mincho" w:hAnsi="Tahoma" w:cs="Tahoma"/>
          <w:sz w:val="24"/>
          <w:szCs w:val="24"/>
          <w:lang w:eastAsia="ja-JP"/>
        </w:rPr>
        <w:t xml:space="preserve">s-a realizat în principal din surse interne, prin emisiuni de titluri de stat lansate pe piața internă și în completare din surse externe. Sursele necesare refinanțării datoriei publice guvernamentale s-au asigurat in principal de pe piețele pe care s-au emis aceste datorii </w:t>
      </w:r>
      <w:r w:rsidR="0058067F" w:rsidRPr="00A057AC">
        <w:rPr>
          <w:rFonts w:ascii="Tahoma" w:eastAsia="MS Mincho" w:hAnsi="Tahoma" w:cs="Tahoma"/>
          <w:sz w:val="24"/>
          <w:szCs w:val="24"/>
          <w:lang w:eastAsia="ja-JP"/>
        </w:rPr>
        <w:t>și</w:t>
      </w:r>
      <w:r w:rsidRPr="00A057AC">
        <w:rPr>
          <w:rFonts w:ascii="Tahoma" w:eastAsia="MS Mincho" w:hAnsi="Tahoma" w:cs="Tahoma"/>
          <w:sz w:val="24"/>
          <w:szCs w:val="24"/>
          <w:lang w:eastAsia="ja-JP"/>
        </w:rPr>
        <w:t xml:space="preserve"> din rezerva financiară în valută la dispoziția MFP.</w:t>
      </w:r>
    </w:p>
    <w:p w:rsidR="0057284B" w:rsidRPr="00A057AC" w:rsidRDefault="0057284B" w:rsidP="0057284B">
      <w:pPr>
        <w:autoSpaceDE w:val="0"/>
        <w:autoSpaceDN w:val="0"/>
        <w:adjustRightInd w:val="0"/>
        <w:spacing w:after="0" w:line="276" w:lineRule="auto"/>
        <w:ind w:firstLine="720"/>
        <w:rPr>
          <w:rFonts w:ascii="Tahoma" w:eastAsia="MS Mincho" w:hAnsi="Tahoma" w:cs="Tahoma"/>
          <w:sz w:val="24"/>
          <w:szCs w:val="24"/>
          <w:lang w:eastAsia="ja-JP"/>
        </w:rPr>
      </w:pPr>
    </w:p>
    <w:p w:rsidR="0057284B" w:rsidRPr="00A057AC" w:rsidRDefault="0057284B" w:rsidP="0057284B">
      <w:pPr>
        <w:autoSpaceDE w:val="0"/>
        <w:autoSpaceDN w:val="0"/>
        <w:adjustRightInd w:val="0"/>
        <w:spacing w:after="0" w:line="276" w:lineRule="auto"/>
        <w:ind w:firstLine="720"/>
        <w:rPr>
          <w:rFonts w:ascii="Tahoma" w:eastAsia="Calibri" w:hAnsi="Tahoma" w:cs="Tahoma"/>
          <w:sz w:val="24"/>
          <w:szCs w:val="24"/>
          <w:lang w:eastAsia="ro-RO"/>
        </w:rPr>
      </w:pPr>
      <w:r w:rsidRPr="00A057AC">
        <w:rPr>
          <w:rFonts w:ascii="Tahoma" w:eastAsia="MS Mincho" w:hAnsi="Tahoma" w:cs="Tahoma"/>
          <w:sz w:val="24"/>
          <w:szCs w:val="24"/>
          <w:lang w:eastAsia="ja-JP"/>
        </w:rPr>
        <w:t xml:space="preserve">Instrumentele de datorie în semestrul I 2021 pentru finanțarea deficitului bugetar </w:t>
      </w:r>
      <w:r w:rsidR="0058067F" w:rsidRPr="00A057AC">
        <w:rPr>
          <w:rFonts w:ascii="Tahoma" w:eastAsia="MS Mincho" w:hAnsi="Tahoma" w:cs="Tahoma"/>
          <w:sz w:val="24"/>
          <w:szCs w:val="24"/>
          <w:lang w:eastAsia="ja-JP"/>
        </w:rPr>
        <w:t>și</w:t>
      </w:r>
      <w:r w:rsidRPr="00A057AC">
        <w:rPr>
          <w:rFonts w:ascii="Tahoma" w:eastAsia="MS Mincho" w:hAnsi="Tahoma" w:cs="Tahoma"/>
          <w:sz w:val="24"/>
          <w:szCs w:val="24"/>
          <w:lang w:eastAsia="ja-JP"/>
        </w:rPr>
        <w:t xml:space="preserve"> refinanțarea datoriei publice au fost următoarele:</w:t>
      </w:r>
    </w:p>
    <w:p w:rsidR="0057284B" w:rsidRPr="00A057AC" w:rsidRDefault="0057284B" w:rsidP="0057284B">
      <w:pPr>
        <w:autoSpaceDE w:val="0"/>
        <w:autoSpaceDN w:val="0"/>
        <w:adjustRightInd w:val="0"/>
        <w:spacing w:after="0" w:line="276" w:lineRule="auto"/>
        <w:ind w:firstLine="0"/>
        <w:rPr>
          <w:rFonts w:ascii="Tahoma" w:eastAsia="Calibri" w:hAnsi="Tahoma" w:cs="Tahoma"/>
          <w:sz w:val="24"/>
          <w:szCs w:val="24"/>
          <w:lang w:eastAsia="ro-RO"/>
        </w:rPr>
      </w:pPr>
    </w:p>
    <w:p w:rsidR="0057284B" w:rsidRPr="00A057AC" w:rsidRDefault="0057284B" w:rsidP="0057284B">
      <w:pPr>
        <w:numPr>
          <w:ilvl w:val="0"/>
          <w:numId w:val="5"/>
        </w:numPr>
        <w:suppressAutoHyphens/>
        <w:spacing w:after="0" w:line="276" w:lineRule="auto"/>
        <w:ind w:left="360"/>
        <w:jc w:val="left"/>
        <w:rPr>
          <w:rFonts w:ascii="Tahoma" w:eastAsia="Times New Roman" w:hAnsi="Tahoma" w:cs="Tahoma"/>
          <w:sz w:val="24"/>
          <w:szCs w:val="24"/>
          <w:u w:val="single"/>
          <w:lang w:eastAsia="zh-CN"/>
        </w:rPr>
      </w:pPr>
      <w:r w:rsidRPr="00A057AC">
        <w:rPr>
          <w:rFonts w:ascii="Tahoma" w:eastAsia="Times New Roman" w:hAnsi="Tahoma" w:cs="Tahoma"/>
          <w:sz w:val="24"/>
          <w:szCs w:val="24"/>
          <w:u w:val="single"/>
          <w:lang w:eastAsia="zh-CN"/>
        </w:rPr>
        <w:t xml:space="preserve">De pe piața internă : </w:t>
      </w:r>
    </w:p>
    <w:p w:rsidR="0057284B" w:rsidRPr="00A057AC" w:rsidRDefault="0057284B" w:rsidP="0058067F">
      <w:pPr>
        <w:numPr>
          <w:ilvl w:val="1"/>
          <w:numId w:val="5"/>
        </w:numPr>
        <w:suppressAutoHyphens/>
        <w:spacing w:after="0" w:line="276" w:lineRule="auto"/>
        <w:ind w:left="1080"/>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Licitații de titluri de stat pe piața interbancară: a fost adjudecată suma de 28,95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lei și respectiv 1,48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euro, reprezentând un total de aproximativ 36,21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lei, din care:</w:t>
      </w:r>
    </w:p>
    <w:p w:rsidR="0057284B" w:rsidRPr="00A057AC" w:rsidRDefault="0057284B" w:rsidP="0058067F">
      <w:pPr>
        <w:numPr>
          <w:ilvl w:val="1"/>
          <w:numId w:val="4"/>
        </w:numPr>
        <w:suppressAutoHyphens/>
        <w:spacing w:after="0" w:line="276" w:lineRule="auto"/>
        <w:rPr>
          <w:rFonts w:ascii="Tahoma" w:eastAsia="Times New Roman" w:hAnsi="Tahoma" w:cs="Tahoma"/>
          <w:sz w:val="24"/>
          <w:szCs w:val="24"/>
          <w:lang w:eastAsia="zh-CN"/>
        </w:rPr>
      </w:pPr>
      <w:r w:rsidRPr="00A057AC">
        <w:rPr>
          <w:rFonts w:ascii="Tahoma" w:eastAsia="Times New Roman" w:hAnsi="Tahoma" w:cs="Tahoma"/>
          <w:sz w:val="24"/>
          <w:szCs w:val="24"/>
          <w:lang w:eastAsia="zh-CN"/>
        </w:rPr>
        <w:lastRenderedPageBreak/>
        <w:t xml:space="preserve">11,5 % - emisiuni de certificate de trezorerie cu </w:t>
      </w:r>
      <w:r w:rsidRPr="00A057AC">
        <w:rPr>
          <w:rFonts w:ascii="Tahoma" w:eastAsia="Times New Roman" w:hAnsi="Tahoma" w:cs="Tahoma"/>
          <w:sz w:val="24"/>
          <w:szCs w:val="24"/>
          <w:lang w:val="en-US" w:eastAsia="zh-CN"/>
        </w:rPr>
        <w:t>discont</w:t>
      </w:r>
      <w:r w:rsidRPr="00A057AC">
        <w:rPr>
          <w:rFonts w:ascii="Tahoma" w:eastAsia="Times New Roman" w:hAnsi="Tahoma" w:cs="Tahoma"/>
          <w:sz w:val="24"/>
          <w:szCs w:val="24"/>
          <w:lang w:eastAsia="zh-CN"/>
        </w:rPr>
        <w:t xml:space="preserve"> cu maturitate de până la 12 luni și emisiuni de obligațiuni de tip benchmark cu maturități reziduale până la 1 an;</w:t>
      </w:r>
    </w:p>
    <w:p w:rsidR="0057284B" w:rsidRPr="00A057AC" w:rsidRDefault="0057284B" w:rsidP="0058067F">
      <w:pPr>
        <w:numPr>
          <w:ilvl w:val="1"/>
          <w:numId w:val="4"/>
        </w:numPr>
        <w:suppressAutoHyphens/>
        <w:spacing w:after="0" w:line="276" w:lineRule="auto"/>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27,7 % - emisiuni de obligațiuni de tip benchmark cu maturități reziduale între 1 și 5 ani; și </w:t>
      </w:r>
    </w:p>
    <w:p w:rsidR="0057284B" w:rsidRPr="00A057AC" w:rsidRDefault="0057284B" w:rsidP="0058067F">
      <w:pPr>
        <w:numPr>
          <w:ilvl w:val="1"/>
          <w:numId w:val="4"/>
        </w:numPr>
        <w:suppressAutoHyphens/>
        <w:spacing w:after="0" w:line="276" w:lineRule="auto"/>
        <w:rPr>
          <w:rFonts w:ascii="Tahoma" w:eastAsia="Times New Roman" w:hAnsi="Tahoma" w:cs="Tahoma"/>
          <w:sz w:val="24"/>
          <w:szCs w:val="24"/>
          <w:lang w:eastAsia="zh-CN"/>
        </w:rPr>
      </w:pPr>
      <w:r w:rsidRPr="00A057AC">
        <w:rPr>
          <w:rFonts w:ascii="Tahoma" w:eastAsia="Times New Roman" w:hAnsi="Tahoma" w:cs="Tahoma"/>
          <w:sz w:val="24"/>
          <w:szCs w:val="24"/>
          <w:lang w:eastAsia="zh-CN"/>
        </w:rPr>
        <w:t>60,7 % - emisiuni de obligațiuni de tip benchmark cu maturități reziduale între 5 și 15 ani.</w:t>
      </w:r>
    </w:p>
    <w:p w:rsidR="0057284B" w:rsidRPr="00A057AC" w:rsidRDefault="0057284B" w:rsidP="0058067F">
      <w:pPr>
        <w:suppressAutoHyphens/>
        <w:spacing w:after="0" w:line="276" w:lineRule="auto"/>
        <w:ind w:left="1440" w:firstLine="0"/>
        <w:rPr>
          <w:rFonts w:ascii="Tahoma" w:eastAsia="Times New Roman" w:hAnsi="Tahoma" w:cs="Tahoma"/>
          <w:sz w:val="24"/>
          <w:szCs w:val="24"/>
          <w:lang w:eastAsia="zh-CN"/>
        </w:rPr>
      </w:pPr>
    </w:p>
    <w:p w:rsidR="0057284B" w:rsidRPr="00A057AC" w:rsidRDefault="0057284B" w:rsidP="0058067F">
      <w:pPr>
        <w:numPr>
          <w:ilvl w:val="1"/>
          <w:numId w:val="5"/>
        </w:numPr>
        <w:suppressAutoHyphens/>
        <w:spacing w:after="0" w:line="276" w:lineRule="auto"/>
        <w:ind w:left="1080"/>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Titluri de stat pentru populație: în semestrul I 2021 au fost lansate de titluri de stat destinate populației prin programele TEZAUR și FIDELIS în valoare totală de 3,7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lei. Prin programul TEZAUR a fost atrasă suma de 2,3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lei prin 17 emisiuni cu maturități cuprinse între 1 si 5 ani. Prin programul FIDELIS, </w:t>
      </w:r>
      <w:r w:rsidR="0058067F" w:rsidRPr="00A057AC">
        <w:rPr>
          <w:rFonts w:ascii="Tahoma" w:eastAsia="Times New Roman" w:hAnsi="Tahoma" w:cs="Tahoma"/>
          <w:sz w:val="24"/>
          <w:szCs w:val="24"/>
          <w:lang w:eastAsia="zh-CN"/>
        </w:rPr>
        <w:t>prin trei emisiuni cu maturități</w:t>
      </w:r>
      <w:r w:rsidRPr="00A057AC">
        <w:rPr>
          <w:rFonts w:ascii="Tahoma" w:eastAsia="Times New Roman" w:hAnsi="Tahoma" w:cs="Tahoma"/>
          <w:sz w:val="24"/>
          <w:szCs w:val="24"/>
          <w:lang w:eastAsia="zh-CN"/>
        </w:rPr>
        <w:t xml:space="preserve"> de 1 și 3 ani (lei) și 5 ani (euro) au fost atrase 709,5 mil. lei și 140,5 mil. Euro.</w:t>
      </w:r>
    </w:p>
    <w:p w:rsidR="0057284B" w:rsidRPr="00A057AC" w:rsidRDefault="0057284B" w:rsidP="0058067F">
      <w:pPr>
        <w:suppressAutoHyphens/>
        <w:spacing w:after="0" w:line="276" w:lineRule="auto"/>
        <w:ind w:left="720" w:firstLine="0"/>
        <w:rPr>
          <w:rFonts w:ascii="Tahoma" w:eastAsia="Times New Roman" w:hAnsi="Tahoma" w:cs="Tahoma"/>
          <w:lang w:eastAsia="zh-CN"/>
        </w:rPr>
      </w:pPr>
    </w:p>
    <w:p w:rsidR="0057284B" w:rsidRPr="00A057AC" w:rsidRDefault="0057284B" w:rsidP="0058067F">
      <w:pPr>
        <w:numPr>
          <w:ilvl w:val="0"/>
          <w:numId w:val="5"/>
        </w:numPr>
        <w:suppressAutoHyphens/>
        <w:spacing w:after="0" w:line="276" w:lineRule="auto"/>
        <w:ind w:left="360"/>
        <w:rPr>
          <w:rFonts w:ascii="Tahoma" w:eastAsia="Times New Roman" w:hAnsi="Tahoma" w:cs="Tahoma"/>
          <w:sz w:val="24"/>
          <w:szCs w:val="24"/>
          <w:lang w:eastAsia="zh-CN"/>
        </w:rPr>
      </w:pPr>
      <w:r w:rsidRPr="00A057AC">
        <w:rPr>
          <w:rFonts w:ascii="Tahoma" w:eastAsia="Times New Roman" w:hAnsi="Tahoma" w:cs="Tahoma"/>
          <w:sz w:val="24"/>
          <w:szCs w:val="24"/>
          <w:u w:val="single"/>
          <w:lang w:eastAsia="zh-CN"/>
        </w:rPr>
        <w:t>De pe piața externă a</w:t>
      </w:r>
      <w:r w:rsidRPr="00A057AC">
        <w:rPr>
          <w:rFonts w:ascii="Tahoma" w:eastAsia="Times New Roman" w:hAnsi="Tahoma" w:cs="Tahoma"/>
          <w:sz w:val="24"/>
          <w:szCs w:val="24"/>
          <w:lang w:eastAsia="zh-CN"/>
        </w:rPr>
        <w:t xml:space="preserve"> fost atrasă suma de 3,5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euro, printr-o emisiune, în două tranșe de euroobligațiuni, în data de 7 aprilie 2021, astfel:</w:t>
      </w:r>
    </w:p>
    <w:p w:rsidR="0057284B" w:rsidRPr="00A057AC" w:rsidRDefault="0057284B" w:rsidP="0058067F">
      <w:pPr>
        <w:numPr>
          <w:ilvl w:val="0"/>
          <w:numId w:val="6"/>
        </w:numPr>
        <w:suppressAutoHyphens/>
        <w:spacing w:before="120" w:after="120" w:line="276" w:lineRule="auto"/>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2 miliarde euro cu scadență de 12 ani și dobândă de 2,00% pe an; </w:t>
      </w:r>
    </w:p>
    <w:p w:rsidR="0057284B" w:rsidRPr="00A057AC" w:rsidRDefault="0057284B" w:rsidP="0058067F">
      <w:pPr>
        <w:numPr>
          <w:ilvl w:val="0"/>
          <w:numId w:val="6"/>
        </w:numPr>
        <w:suppressAutoHyphens/>
        <w:spacing w:before="120" w:after="120" w:line="276" w:lineRule="auto"/>
        <w:rPr>
          <w:rFonts w:ascii="Tahoma" w:eastAsia="Times New Roman" w:hAnsi="Tahoma" w:cs="Tahoma"/>
          <w:sz w:val="24"/>
          <w:szCs w:val="24"/>
          <w:lang w:eastAsia="zh-CN"/>
        </w:rPr>
      </w:pPr>
      <w:r w:rsidRPr="00A057AC">
        <w:rPr>
          <w:rFonts w:ascii="Tahoma" w:eastAsia="Times New Roman" w:hAnsi="Tahoma" w:cs="Tahoma"/>
          <w:sz w:val="24"/>
          <w:szCs w:val="24"/>
          <w:lang w:eastAsia="zh-CN"/>
        </w:rPr>
        <w:t>1,5 miliarde euro cu scadență de 20 ani și dobândă de 2,75% pe an;</w:t>
      </w:r>
    </w:p>
    <w:p w:rsidR="0057284B" w:rsidRPr="00A057AC" w:rsidRDefault="0057284B" w:rsidP="0058067F">
      <w:pPr>
        <w:suppressAutoHyphens/>
        <w:spacing w:before="120" w:after="120" w:line="276" w:lineRule="auto"/>
        <w:ind w:left="720" w:firstLine="0"/>
        <w:rPr>
          <w:rFonts w:ascii="Tahoma" w:eastAsia="Times New Roman" w:hAnsi="Tahoma" w:cs="Tahoma"/>
          <w:sz w:val="24"/>
          <w:szCs w:val="24"/>
          <w:lang w:eastAsia="zh-CN"/>
        </w:rPr>
      </w:pPr>
    </w:p>
    <w:p w:rsidR="007C683C" w:rsidRPr="00A057AC" w:rsidRDefault="007C683C" w:rsidP="0057284B">
      <w:pPr>
        <w:suppressAutoHyphens/>
        <w:spacing w:before="120" w:after="120" w:line="276" w:lineRule="auto"/>
        <w:ind w:firstLine="720"/>
        <w:rPr>
          <w:rFonts w:ascii="Tahoma" w:eastAsia="Times New Roman" w:hAnsi="Tahoma" w:cs="Tahoma"/>
          <w:sz w:val="24"/>
          <w:szCs w:val="24"/>
          <w:lang w:eastAsia="zh-CN"/>
        </w:rPr>
      </w:pPr>
      <w:r w:rsidRPr="00A057AC">
        <w:rPr>
          <w:rFonts w:ascii="Tahoma" w:eastAsia="Times New Roman" w:hAnsi="Tahoma" w:cs="Tahoma"/>
          <w:sz w:val="24"/>
          <w:szCs w:val="24"/>
          <w:lang w:eastAsia="zh-CN"/>
        </w:rPr>
        <w:t>Tragerile aferente împrumuturilor contractate de la instituțiile financiare internaționale, în semestrul I 2021, au fost de cca 71,4 mil EUR.</w:t>
      </w:r>
    </w:p>
    <w:p w:rsidR="0057284B" w:rsidRPr="00A057AC" w:rsidRDefault="0057284B" w:rsidP="0057284B">
      <w:pPr>
        <w:suppressAutoHyphens/>
        <w:spacing w:before="120" w:after="120" w:line="276" w:lineRule="auto"/>
        <w:ind w:firstLine="720"/>
        <w:rPr>
          <w:rFonts w:ascii="Tahoma" w:eastAsia="Times New Roman" w:hAnsi="Tahoma" w:cs="Tahoma"/>
          <w:sz w:val="24"/>
          <w:szCs w:val="24"/>
          <w:lang w:eastAsia="zh-CN"/>
        </w:rPr>
      </w:pPr>
      <w:r w:rsidRPr="00A057AC">
        <w:rPr>
          <w:rFonts w:ascii="Tahoma" w:eastAsia="Times New Roman" w:hAnsi="Tahoma" w:cs="Tahoma"/>
          <w:sz w:val="24"/>
          <w:szCs w:val="24"/>
          <w:lang w:eastAsia="zh-CN"/>
        </w:rPr>
        <w:t xml:space="preserve">Procesul de finanțare externă în primul semestru al anului 2021 a avut în vedere asigurarea </w:t>
      </w:r>
      <w:r w:rsidR="0058067F" w:rsidRPr="00A057AC">
        <w:rPr>
          <w:rFonts w:ascii="Tahoma" w:eastAsia="Times New Roman" w:hAnsi="Tahoma" w:cs="Tahoma"/>
          <w:sz w:val="24"/>
          <w:szCs w:val="24"/>
          <w:lang w:eastAsia="zh-CN"/>
        </w:rPr>
        <w:t>prezenței</w:t>
      </w:r>
      <w:r w:rsidRPr="00A057AC">
        <w:rPr>
          <w:rFonts w:ascii="Tahoma" w:eastAsia="Times New Roman" w:hAnsi="Tahoma" w:cs="Tahoma"/>
          <w:sz w:val="24"/>
          <w:szCs w:val="24"/>
          <w:lang w:eastAsia="zh-CN"/>
        </w:rPr>
        <w:t xml:space="preserve"> constante a României pe </w:t>
      </w:r>
      <w:r w:rsidR="0058067F" w:rsidRPr="00A057AC">
        <w:rPr>
          <w:rFonts w:ascii="Tahoma" w:eastAsia="Times New Roman" w:hAnsi="Tahoma" w:cs="Tahoma"/>
          <w:sz w:val="24"/>
          <w:szCs w:val="24"/>
          <w:lang w:eastAsia="zh-CN"/>
        </w:rPr>
        <w:t>piețele</w:t>
      </w:r>
      <w:r w:rsidRPr="00A057AC">
        <w:rPr>
          <w:rFonts w:ascii="Tahoma" w:eastAsia="Times New Roman" w:hAnsi="Tahoma" w:cs="Tahoma"/>
          <w:sz w:val="24"/>
          <w:szCs w:val="24"/>
          <w:lang w:eastAsia="zh-CN"/>
        </w:rPr>
        <w:t xml:space="preserve"> externe de capital în </w:t>
      </w:r>
      <w:r w:rsidR="0058067F" w:rsidRPr="00A057AC">
        <w:rPr>
          <w:rFonts w:ascii="Tahoma" w:eastAsia="Times New Roman" w:hAnsi="Tahoma" w:cs="Tahoma"/>
          <w:sz w:val="24"/>
          <w:szCs w:val="24"/>
          <w:lang w:eastAsia="zh-CN"/>
        </w:rPr>
        <w:t>condiții</w:t>
      </w:r>
      <w:r w:rsidRPr="00A057AC">
        <w:rPr>
          <w:rFonts w:ascii="Tahoma" w:eastAsia="Times New Roman" w:hAnsi="Tahoma" w:cs="Tahoma"/>
          <w:sz w:val="24"/>
          <w:szCs w:val="24"/>
          <w:lang w:eastAsia="zh-CN"/>
        </w:rPr>
        <w:t xml:space="preserve"> de cost avantajoase pentru România, diversificarea bazei de investitori și consolidarea rezervei financiare în valută la </w:t>
      </w:r>
      <w:r w:rsidR="0058067F" w:rsidRPr="00A057AC">
        <w:rPr>
          <w:rFonts w:ascii="Tahoma" w:eastAsia="Times New Roman" w:hAnsi="Tahoma" w:cs="Tahoma"/>
          <w:sz w:val="24"/>
          <w:szCs w:val="24"/>
          <w:lang w:eastAsia="zh-CN"/>
        </w:rPr>
        <w:t>dispoziția</w:t>
      </w:r>
      <w:r w:rsidRPr="00A057AC">
        <w:rPr>
          <w:rFonts w:ascii="Tahoma" w:eastAsia="Times New Roman" w:hAnsi="Tahoma" w:cs="Tahoma"/>
          <w:sz w:val="24"/>
          <w:szCs w:val="24"/>
          <w:lang w:eastAsia="zh-CN"/>
        </w:rPr>
        <w:t xml:space="preserve"> Trezoreriei Statului la un nivel care să acopere până la 4 luni din necesarul brut de </w:t>
      </w:r>
      <w:r w:rsidR="0058067F" w:rsidRPr="00A057AC">
        <w:rPr>
          <w:rFonts w:ascii="Tahoma" w:eastAsia="Times New Roman" w:hAnsi="Tahoma" w:cs="Tahoma"/>
          <w:sz w:val="24"/>
          <w:szCs w:val="24"/>
          <w:lang w:eastAsia="zh-CN"/>
        </w:rPr>
        <w:t>finanțare</w:t>
      </w:r>
      <w:r w:rsidRPr="00A057AC">
        <w:rPr>
          <w:rFonts w:ascii="Tahoma" w:eastAsia="Times New Roman" w:hAnsi="Tahoma" w:cs="Tahoma"/>
          <w:sz w:val="24"/>
          <w:szCs w:val="24"/>
          <w:lang w:eastAsia="zh-CN"/>
        </w:rPr>
        <w:t xml:space="preserve">. </w:t>
      </w:r>
    </w:p>
    <w:p w:rsidR="0057284B" w:rsidRPr="00A057AC" w:rsidRDefault="0057284B" w:rsidP="0057284B">
      <w:pPr>
        <w:suppressAutoHyphens/>
        <w:spacing w:before="120" w:after="120" w:line="276" w:lineRule="auto"/>
        <w:ind w:firstLine="720"/>
        <w:rPr>
          <w:rFonts w:ascii="Tahoma" w:eastAsia="Times New Roman" w:hAnsi="Tahoma" w:cs="Tahoma"/>
          <w:sz w:val="24"/>
          <w:szCs w:val="24"/>
          <w:lang w:eastAsia="zh-CN"/>
        </w:rPr>
      </w:pPr>
      <w:r w:rsidRPr="00A057AC">
        <w:rPr>
          <w:rFonts w:ascii="Tahoma" w:eastAsia="Times New Roman" w:hAnsi="Tahoma" w:cs="Tahoma"/>
          <w:b/>
          <w:sz w:val="24"/>
          <w:szCs w:val="24"/>
          <w:lang w:eastAsia="zh-CN"/>
        </w:rPr>
        <w:t>Garanțiile guvernamentale</w:t>
      </w:r>
      <w:r w:rsidRPr="00A057AC">
        <w:rPr>
          <w:rFonts w:ascii="Tahoma" w:eastAsia="Times New Roman" w:hAnsi="Tahoma" w:cs="Tahoma"/>
          <w:sz w:val="24"/>
          <w:szCs w:val="24"/>
          <w:lang w:eastAsia="zh-CN"/>
        </w:rPr>
        <w:t xml:space="preserve"> acordate de Ministerul Finanțelor Publice în primele 6 luni ale anului 2021 au fost în valoare de aproximativ 5.137,18 mil. lei, în limita plafonului de 30 </w:t>
      </w:r>
      <w:r w:rsidR="000C2870" w:rsidRPr="00A057AC">
        <w:rPr>
          <w:rFonts w:ascii="Tahoma" w:eastAsia="Times New Roman" w:hAnsi="Tahoma" w:cs="Tahoma"/>
          <w:sz w:val="24"/>
          <w:szCs w:val="24"/>
          <w:lang w:eastAsia="zh-CN"/>
        </w:rPr>
        <w:t>miliarde</w:t>
      </w:r>
      <w:r w:rsidRPr="00A057AC">
        <w:rPr>
          <w:rFonts w:ascii="Tahoma" w:eastAsia="Times New Roman" w:hAnsi="Tahoma" w:cs="Tahoma"/>
          <w:sz w:val="24"/>
          <w:szCs w:val="24"/>
          <w:lang w:eastAsia="zh-CN"/>
        </w:rPr>
        <w:t xml:space="preserve"> lei stabilit prin Legea nr. 14/2021 pentru aprobarea plafoanelor unor indicatori </w:t>
      </w:r>
      <w:r w:rsidR="0058067F" w:rsidRPr="00A057AC">
        <w:rPr>
          <w:rFonts w:ascii="Tahoma" w:eastAsia="Times New Roman" w:hAnsi="Tahoma" w:cs="Tahoma"/>
          <w:sz w:val="24"/>
          <w:szCs w:val="24"/>
          <w:lang w:eastAsia="zh-CN"/>
        </w:rPr>
        <w:t>specificați</w:t>
      </w:r>
      <w:r w:rsidRPr="00A057AC">
        <w:rPr>
          <w:rFonts w:ascii="Tahoma" w:eastAsia="Times New Roman" w:hAnsi="Tahoma" w:cs="Tahoma"/>
          <w:sz w:val="24"/>
          <w:szCs w:val="24"/>
          <w:lang w:eastAsia="zh-CN"/>
        </w:rPr>
        <w:t xml:space="preserve"> în cadrul fiscal-bugetar pe anul 2021.</w:t>
      </w:r>
    </w:p>
    <w:p w:rsidR="0057284B" w:rsidRPr="00A057AC" w:rsidRDefault="0057284B" w:rsidP="0057284B">
      <w:pPr>
        <w:suppressAutoHyphens/>
        <w:spacing w:before="100" w:beforeAutospacing="1" w:after="100" w:afterAutospacing="1" w:line="276" w:lineRule="auto"/>
        <w:ind w:firstLine="0"/>
        <w:rPr>
          <w:rFonts w:ascii="Tahoma" w:eastAsia="MS Mincho" w:hAnsi="Tahoma" w:cs="Tahoma"/>
          <w:sz w:val="24"/>
          <w:szCs w:val="24"/>
          <w:lang w:eastAsia="ja-JP"/>
        </w:rPr>
      </w:pPr>
      <w:r w:rsidRPr="00A057AC">
        <w:rPr>
          <w:rFonts w:ascii="Tahoma" w:eastAsia="Calibri" w:hAnsi="Tahoma" w:cs="Tahoma"/>
          <w:b/>
          <w:bCs/>
          <w:sz w:val="24"/>
          <w:szCs w:val="24"/>
        </w:rPr>
        <w:t>VI.3 Datoria publică locală</w:t>
      </w:r>
    </w:p>
    <w:p w:rsidR="0057284B" w:rsidRPr="00A057AC" w:rsidRDefault="0057284B" w:rsidP="0057284B">
      <w:pPr>
        <w:suppressAutoHyphens/>
        <w:spacing w:before="100" w:beforeAutospacing="1" w:after="100" w:afterAutospacing="1" w:line="276" w:lineRule="auto"/>
        <w:ind w:firstLine="720"/>
        <w:rPr>
          <w:rFonts w:ascii="Tahoma" w:eastAsia="MS Mincho" w:hAnsi="Tahoma" w:cs="Tahoma"/>
          <w:noProof/>
          <w:sz w:val="24"/>
          <w:szCs w:val="24"/>
          <w:lang w:eastAsia="ja-JP"/>
        </w:rPr>
      </w:pPr>
      <w:r w:rsidRPr="00A057AC">
        <w:rPr>
          <w:rFonts w:ascii="Tahoma" w:eastAsia="MS Mincho" w:hAnsi="Tahoma" w:cs="Tahoma"/>
          <w:noProof/>
          <w:sz w:val="24"/>
          <w:szCs w:val="24"/>
          <w:lang w:eastAsia="ja-JP"/>
        </w:rPr>
        <w:t xml:space="preserve">În ceea ce privește tragerile autorizate pentru a fi efectuate în anul 2021 din finanțările rambursabile contractate sau care urmează să fie contractate de către unitățile/subdiviziunile administrativ-teritoriale, acestea sunt în valoare de 1.600 milioane lei, cu încadrare în plafonul anual de 1.600 milioane lei, aprobat prin </w:t>
      </w:r>
      <w:r w:rsidRPr="00A057AC">
        <w:rPr>
          <w:rFonts w:ascii="Tahoma" w:eastAsia="MS Mincho" w:hAnsi="Tahoma" w:cs="Tahoma"/>
          <w:i/>
          <w:noProof/>
          <w:sz w:val="24"/>
          <w:szCs w:val="24"/>
          <w:lang w:eastAsia="ja-JP"/>
        </w:rPr>
        <w:t>Legea nr. 14/2021 pentru aprobarea plafoanelor unor indicatori specificaţi în cadrul fiscal-bugetar pe anul 2021</w:t>
      </w:r>
      <w:r w:rsidRPr="00A057AC">
        <w:rPr>
          <w:rFonts w:ascii="Tahoma" w:eastAsia="MS Mincho" w:hAnsi="Tahoma" w:cs="Tahoma"/>
          <w:noProof/>
          <w:sz w:val="24"/>
          <w:szCs w:val="24"/>
          <w:lang w:eastAsia="ja-JP"/>
        </w:rPr>
        <w:t xml:space="preserve">. Finanțările rambursabile autorizate în semestrul I al anului 2021 </w:t>
      </w:r>
      <w:r w:rsidRPr="00A057AC">
        <w:rPr>
          <w:rFonts w:ascii="Tahoma" w:eastAsia="MS Mincho" w:hAnsi="Tahoma" w:cs="Tahoma"/>
          <w:noProof/>
          <w:sz w:val="24"/>
          <w:szCs w:val="24"/>
          <w:lang w:eastAsia="ja-JP"/>
        </w:rPr>
        <w:lastRenderedPageBreak/>
        <w:t>pentru a fi contractate de unitățile/subdiviziunile administrativ-teritoriale pentru realizarea de investiții publice de interes local au fost în valoare de cca. 564,13 milioane lei, în limita plafonului de 1.200 milioane lei stabilit prin Legea nr. 14/2021. De asemenea, au fost autorizate finanțări rambursabile, în sumă totală de cca. 487,46 milioane lei, pentru a fi contractate de unitățile administrativ-teritoriale în vederea prefinanțării și/sau cofinanțării de proiecte care beneficiază de fonduri externe nerambursabile de la Uniunea Europeană.</w:t>
      </w:r>
    </w:p>
    <w:p w:rsidR="00C60107" w:rsidRPr="00A057AC"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A057AC">
        <w:rPr>
          <w:rFonts w:ascii="Tahoma" w:eastAsia="MS Mincho" w:hAnsi="Tahoma" w:cs="Tahoma"/>
          <w:b/>
          <w:noProof/>
          <w:sz w:val="24"/>
          <w:szCs w:val="24"/>
          <w:lang w:eastAsia="ja-JP"/>
        </w:rPr>
        <w:lastRenderedPageBreak/>
        <w:tab/>
      </w:r>
      <w:bookmarkStart w:id="30" w:name="_Toc78799191"/>
      <w:r w:rsidR="007D49B8" w:rsidRPr="00A057AC">
        <w:rPr>
          <w:rFonts w:ascii="Tahoma" w:eastAsia="MS Mincho" w:hAnsi="Tahoma" w:cs="Tahoma"/>
          <w:b/>
          <w:noProof/>
          <w:color w:val="auto"/>
          <w:sz w:val="24"/>
          <w:szCs w:val="24"/>
          <w:lang w:eastAsia="ja-JP"/>
        </w:rPr>
        <w:t xml:space="preserve">V. </w:t>
      </w:r>
      <w:r w:rsidRPr="00A057AC">
        <w:rPr>
          <w:rFonts w:ascii="Tahoma" w:eastAsia="MS Mincho" w:hAnsi="Tahoma" w:cs="Tahoma"/>
          <w:b/>
          <w:noProof/>
          <w:color w:val="auto"/>
          <w:sz w:val="24"/>
          <w:szCs w:val="24"/>
          <w:lang w:eastAsia="ja-JP"/>
        </w:rPr>
        <w:t>Absorbția fondurilor externe nerambursabile</w:t>
      </w:r>
      <w:bookmarkEnd w:id="30"/>
    </w:p>
    <w:p w:rsidR="0057284B" w:rsidRPr="00A057AC" w:rsidRDefault="0057284B" w:rsidP="0057284B">
      <w:pPr>
        <w:spacing w:after="160" w:line="259" w:lineRule="auto"/>
        <w:ind w:firstLine="720"/>
        <w:rPr>
          <w:rFonts w:ascii="Tahoma" w:hAnsi="Tahoma" w:cs="Tahoma"/>
          <w:sz w:val="24"/>
          <w:szCs w:val="24"/>
        </w:rPr>
      </w:pPr>
      <w:bookmarkStart w:id="31" w:name="_Toc425320862"/>
      <w:bookmarkStart w:id="32" w:name="_Toc456256938"/>
      <w:bookmarkStart w:id="33" w:name="_Toc456257462"/>
      <w:bookmarkStart w:id="34" w:name="_Toc456258320"/>
      <w:bookmarkStart w:id="35" w:name="_Toc456258425"/>
      <w:r w:rsidRPr="00A057AC">
        <w:rPr>
          <w:rFonts w:ascii="Tahoma" w:hAnsi="Tahoma" w:cs="Tahoma"/>
          <w:sz w:val="24"/>
          <w:szCs w:val="24"/>
        </w:rPr>
        <w:t xml:space="preserve">Pentru Cadrul Financiar Multianual (CFM) 2021-2027, România are o alocare totală, de aproximativ 80 miliarde euro, din fonduri UE, împărțită astfel: </w:t>
      </w:r>
      <w:r w:rsidRPr="00A057AC">
        <w:rPr>
          <w:rFonts w:ascii="Tahoma" w:hAnsi="Tahoma" w:cs="Tahoma"/>
          <w:b/>
          <w:sz w:val="24"/>
          <w:szCs w:val="24"/>
        </w:rPr>
        <w:t xml:space="preserve">pentru CFM 2021-2027 </w:t>
      </w:r>
      <w:r w:rsidRPr="00A057AC">
        <w:rPr>
          <w:rFonts w:ascii="Tahoma" w:hAnsi="Tahoma" w:cs="Tahoma"/>
          <w:sz w:val="24"/>
          <w:szCs w:val="24"/>
        </w:rPr>
        <w:t xml:space="preserve">– 51,30 miliarde euro (din care 30,30 miliarde euro, alocați pentru Politica de coeziune (PC) și 21,60 miliarde euro, alocați pentru Politica agricola comuna (PAC)) și </w:t>
      </w:r>
      <w:r w:rsidRPr="00A057AC">
        <w:rPr>
          <w:rFonts w:ascii="Tahoma" w:hAnsi="Tahoma" w:cs="Tahoma"/>
          <w:b/>
          <w:sz w:val="24"/>
          <w:szCs w:val="24"/>
        </w:rPr>
        <w:t>pentruNext Generation EU/NGUE</w:t>
      </w:r>
      <w:r w:rsidRPr="00A057AC">
        <w:rPr>
          <w:rFonts w:ascii="Tahoma" w:hAnsi="Tahoma" w:cs="Tahoma"/>
          <w:sz w:val="24"/>
          <w:szCs w:val="24"/>
        </w:rPr>
        <w:t xml:space="preserve"> (instrumentul de redresare economică) – 31,60 miliarde euro (din care 29,20 miliarde euro, alocați pentru Facilitate de Recuperare și Reziliență (RRF), 1,30 miliarde euro alocați pentru React-EU și 1,11 miliarde  alocați pentru Fondul de tranziției justă).</w:t>
      </w:r>
    </w:p>
    <w:p w:rsidR="0057284B" w:rsidRPr="00A057AC" w:rsidRDefault="0057284B" w:rsidP="0057284B">
      <w:pPr>
        <w:spacing w:after="160" w:line="259" w:lineRule="auto"/>
        <w:ind w:firstLine="720"/>
        <w:rPr>
          <w:rFonts w:ascii="Tahoma" w:hAnsi="Tahoma" w:cs="Tahoma"/>
          <w:sz w:val="24"/>
          <w:szCs w:val="24"/>
        </w:rPr>
      </w:pPr>
      <w:r w:rsidRPr="00A057AC">
        <w:rPr>
          <w:rFonts w:ascii="Tahoma" w:hAnsi="Tahoma" w:cs="Tahoma"/>
          <w:sz w:val="24"/>
          <w:szCs w:val="24"/>
        </w:rPr>
        <w:t>Programele operaționale aferente implementării politicii de coeziune și politicii agricole comune la nivel național, pentru CFM 2021 – 2027 sunt în curs de aprobare. Planul Național de Redresare și Reziliență (PNRR) se află în curs de analiză în vederea aprobării la nivelul Comisiei Europene.</w:t>
      </w:r>
    </w:p>
    <w:p w:rsidR="0057284B" w:rsidRPr="00A057AC" w:rsidRDefault="0057284B" w:rsidP="0057284B">
      <w:pPr>
        <w:spacing w:after="160" w:line="259" w:lineRule="auto"/>
        <w:ind w:firstLine="720"/>
        <w:rPr>
          <w:rFonts w:ascii="Tahoma" w:hAnsi="Tahoma" w:cs="Tahoma"/>
          <w:sz w:val="24"/>
          <w:szCs w:val="24"/>
        </w:rPr>
      </w:pPr>
      <w:r w:rsidRPr="00A057AC">
        <w:rPr>
          <w:rFonts w:ascii="Tahoma" w:hAnsi="Tahoma" w:cs="Tahoma"/>
          <w:sz w:val="24"/>
          <w:szCs w:val="24"/>
        </w:rPr>
        <w:t xml:space="preserve">În ceea ce privește CFM 2014-2020, sumele primite de România de la bugetul UE, în primul semestru al anului 2021, sunt în sumă de 3,57 miliarde euro. </w:t>
      </w:r>
    </w:p>
    <w:p w:rsidR="0057284B" w:rsidRPr="00A057AC" w:rsidRDefault="0057284B" w:rsidP="0057284B">
      <w:pPr>
        <w:spacing w:after="160" w:line="259" w:lineRule="auto"/>
        <w:ind w:firstLine="720"/>
        <w:rPr>
          <w:rFonts w:ascii="Tahoma" w:hAnsi="Tahoma" w:cs="Tahoma"/>
          <w:sz w:val="24"/>
          <w:szCs w:val="24"/>
        </w:rPr>
      </w:pPr>
      <w:r w:rsidRPr="00A057AC">
        <w:rPr>
          <w:rFonts w:ascii="Tahoma" w:hAnsi="Tahoma" w:cs="Tahoma"/>
          <w:sz w:val="24"/>
          <w:szCs w:val="24"/>
        </w:rPr>
        <w:t>Avansurile primite din CFM 2014-2020 în primele 6 luni ale anului 2021 sunt în sumă de 0,03 miliarde euro (52,04%), iar rambursările (inclusiv sumele primite din FEGA) sunt în sumă de 3,53 miliarde euro (52,96%).</w:t>
      </w:r>
    </w:p>
    <w:p w:rsidR="0057284B" w:rsidRPr="00A057AC" w:rsidRDefault="0057284B" w:rsidP="0057284B">
      <w:pPr>
        <w:spacing w:after="160" w:line="259" w:lineRule="auto"/>
        <w:ind w:firstLine="720"/>
        <w:rPr>
          <w:rFonts w:ascii="Tahoma" w:hAnsi="Tahoma" w:cs="Tahoma"/>
          <w:sz w:val="24"/>
          <w:szCs w:val="24"/>
        </w:rPr>
      </w:pPr>
      <w:r w:rsidRPr="00A057AC">
        <w:rPr>
          <w:rFonts w:ascii="Tahoma" w:hAnsi="Tahoma" w:cs="Tahoma"/>
          <w:sz w:val="24"/>
          <w:szCs w:val="24"/>
        </w:rPr>
        <w:t xml:space="preserve">Din punct de vedere al </w:t>
      </w:r>
      <w:r w:rsidR="0058067F" w:rsidRPr="00A057AC">
        <w:rPr>
          <w:rFonts w:ascii="Tahoma" w:hAnsi="Tahoma" w:cs="Tahoma"/>
          <w:sz w:val="24"/>
          <w:szCs w:val="24"/>
        </w:rPr>
        <w:t>absorbției</w:t>
      </w:r>
      <w:r w:rsidRPr="00A057AC">
        <w:rPr>
          <w:rFonts w:ascii="Tahoma" w:hAnsi="Tahoma" w:cs="Tahoma"/>
          <w:sz w:val="24"/>
          <w:szCs w:val="24"/>
        </w:rPr>
        <w:t xml:space="preserve"> pentru CFM 2014-2020, în anul 2021, cele mai bune rezultate au fost înregistrate de Fondul European pentru Garantare Agricolă (FEGA) prin intermediul căruia s-au atras 1,75 miliarde euro (90,10% din suma estimată de 1,94 miliarde euro), urmat de fondurile structurale și de coeziune (FSC) cu 1,03 miliarde euro (32,28% din suma estimată de 3,20 miliarde euro).</w:t>
      </w:r>
    </w:p>
    <w:p w:rsidR="00A41270" w:rsidRPr="00A057AC" w:rsidRDefault="00A41270" w:rsidP="00A41270">
      <w:pPr>
        <w:spacing w:after="160" w:line="259" w:lineRule="auto"/>
        <w:ind w:firstLine="0"/>
        <w:rPr>
          <w:rFonts w:ascii="Tahoma" w:hAnsi="Tahoma" w:cs="Tahoma"/>
          <w:sz w:val="24"/>
          <w:szCs w:val="24"/>
        </w:rPr>
      </w:pPr>
      <w:r w:rsidRPr="00A057AC">
        <w:rPr>
          <w:rFonts w:ascii="Tahoma" w:hAnsi="Tahoma" w:cs="Tahoma"/>
          <w:noProof/>
          <w:lang w:val="en-US"/>
        </w:rPr>
        <w:drawing>
          <wp:inline distT="0" distB="0" distL="0" distR="0" wp14:anchorId="44861A86" wp14:editId="67B45953">
            <wp:extent cx="5759450" cy="3399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399439"/>
                    </a:xfrm>
                    <a:prstGeom prst="rect">
                      <a:avLst/>
                    </a:prstGeom>
                    <a:noFill/>
                    <a:ln>
                      <a:noFill/>
                    </a:ln>
                  </pic:spPr>
                </pic:pic>
              </a:graphicData>
            </a:graphic>
          </wp:inline>
        </w:drawing>
      </w:r>
    </w:p>
    <w:p w:rsidR="004423E3" w:rsidRPr="00A057AC" w:rsidRDefault="004423E3" w:rsidP="002A6579">
      <w:pPr>
        <w:keepNext/>
        <w:keepLines/>
        <w:spacing w:line="276" w:lineRule="auto"/>
        <w:ind w:firstLine="0"/>
        <w:rPr>
          <w:rFonts w:ascii="Tahoma" w:hAnsi="Tahoma" w:cs="Tahoma"/>
          <w:sz w:val="24"/>
          <w:szCs w:val="24"/>
        </w:rPr>
      </w:pPr>
    </w:p>
    <w:p w:rsidR="00C60107" w:rsidRPr="00A057AC" w:rsidRDefault="00C60107" w:rsidP="002A6579">
      <w:pPr>
        <w:pStyle w:val="Heading1"/>
        <w:spacing w:after="360" w:line="276" w:lineRule="auto"/>
        <w:ind w:left="374" w:firstLine="706"/>
        <w:rPr>
          <w:rFonts w:ascii="Tahoma" w:hAnsi="Tahoma" w:cs="Tahoma"/>
          <w:b/>
          <w:color w:val="auto"/>
          <w:sz w:val="24"/>
          <w:szCs w:val="24"/>
        </w:rPr>
      </w:pPr>
      <w:bookmarkStart w:id="36" w:name="_Toc78799192"/>
      <w:r w:rsidRPr="00A057AC">
        <w:rPr>
          <w:rFonts w:ascii="Tahoma" w:hAnsi="Tahoma" w:cs="Tahoma"/>
          <w:b/>
          <w:color w:val="auto"/>
          <w:sz w:val="24"/>
          <w:szCs w:val="24"/>
        </w:rPr>
        <w:t>Concluzii</w:t>
      </w:r>
      <w:bookmarkEnd w:id="36"/>
    </w:p>
    <w:p w:rsidR="0036088B" w:rsidRPr="00A057AC" w:rsidRDefault="00976F3B" w:rsidP="00976F3B">
      <w:pPr>
        <w:pStyle w:val="ListParagraph"/>
        <w:numPr>
          <w:ilvl w:val="1"/>
          <w:numId w:val="2"/>
        </w:numPr>
        <w:rPr>
          <w:rFonts w:ascii="Tahoma" w:eastAsia="Times New Roman" w:hAnsi="Tahoma" w:cs="Tahoma"/>
          <w:sz w:val="24"/>
          <w:szCs w:val="24"/>
        </w:rPr>
      </w:pPr>
      <w:r>
        <w:rPr>
          <w:rFonts w:ascii="Tahoma" w:eastAsia="Times New Roman" w:hAnsi="Tahoma" w:cs="Tahoma"/>
          <w:sz w:val="24"/>
          <w:szCs w:val="24"/>
        </w:rPr>
        <w:t>Î</w:t>
      </w:r>
      <w:r w:rsidRPr="00976F3B">
        <w:rPr>
          <w:rFonts w:ascii="Tahoma" w:eastAsia="Times New Roman" w:hAnsi="Tahoma" w:cs="Tahoma"/>
          <w:sz w:val="24"/>
          <w:szCs w:val="24"/>
        </w:rPr>
        <w:t>n trimestrul I 2021 comparativ cu trimestrul I 2020 produsul intern brut s-a majorat, în termeni reali, cu 0,1% față de aceeași perioadă din 2020 și cu 2,9% față de trimestrul precede</w:t>
      </w:r>
      <w:r>
        <w:rPr>
          <w:rFonts w:ascii="Tahoma" w:eastAsia="Times New Roman" w:hAnsi="Tahoma" w:cs="Tahoma"/>
          <w:sz w:val="24"/>
          <w:szCs w:val="24"/>
        </w:rPr>
        <w:t>nt (pe serie ajustată sezonier)</w:t>
      </w:r>
      <w:r w:rsidR="0036088B" w:rsidRPr="00A057AC">
        <w:rPr>
          <w:rFonts w:ascii="Tahoma" w:eastAsia="Times New Roman" w:hAnsi="Tahoma" w:cs="Tahoma"/>
          <w:sz w:val="24"/>
          <w:szCs w:val="24"/>
        </w:rPr>
        <w:t xml:space="preserve">, România situându-se, astfel, cu circa 3 puncte procentuale peste media </w:t>
      </w:r>
      <w:r w:rsidR="0058067F" w:rsidRPr="00A057AC">
        <w:rPr>
          <w:rFonts w:ascii="Tahoma" w:eastAsia="Times New Roman" w:hAnsi="Tahoma" w:cs="Tahoma"/>
          <w:sz w:val="24"/>
          <w:szCs w:val="24"/>
        </w:rPr>
        <w:t>creșterii</w:t>
      </w:r>
      <w:r w:rsidR="0036088B" w:rsidRPr="00A057AC">
        <w:rPr>
          <w:rFonts w:ascii="Tahoma" w:eastAsia="Times New Roman" w:hAnsi="Tahoma" w:cs="Tahoma"/>
          <w:sz w:val="24"/>
          <w:szCs w:val="24"/>
        </w:rPr>
        <w:t xml:space="preserve"> economice din UE27(-0,1%) şi Zona Euro (-0,3%).</w:t>
      </w:r>
    </w:p>
    <w:p w:rsidR="00095E25" w:rsidRPr="00A057AC" w:rsidRDefault="00C60107" w:rsidP="002A6579">
      <w:pPr>
        <w:pStyle w:val="ListParagraph"/>
        <w:numPr>
          <w:ilvl w:val="1"/>
          <w:numId w:val="2"/>
        </w:numPr>
        <w:spacing w:before="240" w:after="240" w:line="276" w:lineRule="auto"/>
        <w:contextualSpacing w:val="0"/>
        <w:rPr>
          <w:rFonts w:ascii="Tahoma" w:eastAsia="Times New Roman" w:hAnsi="Tahoma" w:cs="Tahoma"/>
          <w:sz w:val="24"/>
          <w:szCs w:val="24"/>
        </w:rPr>
      </w:pPr>
      <w:r w:rsidRPr="00A057AC">
        <w:rPr>
          <w:rFonts w:ascii="Tahoma" w:eastAsia="Times New Roman" w:hAnsi="Tahoma" w:cs="Tahoma"/>
          <w:sz w:val="24"/>
          <w:szCs w:val="24"/>
        </w:rPr>
        <w:t>Soldul bugetului general consolidat la semestrul I 20</w:t>
      </w:r>
      <w:r w:rsidR="000D44BC" w:rsidRPr="00A057AC">
        <w:rPr>
          <w:rFonts w:ascii="Tahoma" w:eastAsia="Times New Roman" w:hAnsi="Tahoma" w:cs="Tahoma"/>
          <w:sz w:val="24"/>
          <w:szCs w:val="24"/>
        </w:rPr>
        <w:t>2</w:t>
      </w:r>
      <w:r w:rsidR="009C7DAD" w:rsidRPr="00A057AC">
        <w:rPr>
          <w:rFonts w:ascii="Tahoma" w:eastAsia="Times New Roman" w:hAnsi="Tahoma" w:cs="Tahoma"/>
          <w:sz w:val="24"/>
          <w:szCs w:val="24"/>
        </w:rPr>
        <w:t>1</w:t>
      </w:r>
      <w:r w:rsidRPr="00A057AC">
        <w:rPr>
          <w:rFonts w:ascii="Tahoma" w:eastAsia="Times New Roman" w:hAnsi="Tahoma" w:cs="Tahoma"/>
          <w:sz w:val="24"/>
          <w:szCs w:val="24"/>
        </w:rPr>
        <w:t xml:space="preserve"> s-a încadrat în ținta stabilită.</w:t>
      </w:r>
      <w:r w:rsidR="009C7DAD" w:rsidRPr="00A057AC">
        <w:rPr>
          <w:rFonts w:ascii="Tahoma" w:hAnsi="Tahoma" w:cs="Tahoma"/>
          <w:sz w:val="24"/>
          <w:szCs w:val="24"/>
        </w:rPr>
        <w:t xml:space="preserve"> D</w:t>
      </w:r>
      <w:r w:rsidR="00095E25" w:rsidRPr="00A057AC">
        <w:rPr>
          <w:rFonts w:ascii="Tahoma" w:eastAsia="Times New Roman" w:hAnsi="Tahoma" w:cs="Tahoma"/>
          <w:sz w:val="24"/>
          <w:szCs w:val="24"/>
        </w:rPr>
        <w:t xml:space="preserve">eficitul înregistrat a fost </w:t>
      </w:r>
      <w:r w:rsidR="002E13BC" w:rsidRPr="00A057AC">
        <w:rPr>
          <w:rFonts w:ascii="Tahoma" w:eastAsia="Times New Roman" w:hAnsi="Tahoma" w:cs="Tahoma"/>
          <w:sz w:val="24"/>
          <w:szCs w:val="24"/>
        </w:rPr>
        <w:t xml:space="preserve">influențat </w:t>
      </w:r>
      <w:r w:rsidR="00095E25" w:rsidRPr="00A057AC">
        <w:rPr>
          <w:rFonts w:ascii="Tahoma" w:eastAsia="Times New Roman" w:hAnsi="Tahoma" w:cs="Tahoma"/>
          <w:sz w:val="24"/>
          <w:szCs w:val="24"/>
        </w:rPr>
        <w:t>de cheltuieli</w:t>
      </w:r>
      <w:r w:rsidR="009C7DAD" w:rsidRPr="00A057AC">
        <w:rPr>
          <w:rFonts w:ascii="Tahoma" w:eastAsia="Times New Roman" w:hAnsi="Tahoma" w:cs="Tahoma"/>
          <w:sz w:val="24"/>
          <w:szCs w:val="24"/>
        </w:rPr>
        <w:t>le</w:t>
      </w:r>
      <w:r w:rsidR="00095E25" w:rsidRPr="00A057AC">
        <w:rPr>
          <w:rFonts w:ascii="Tahoma" w:eastAsia="Times New Roman" w:hAnsi="Tahoma" w:cs="Tahoma"/>
          <w:sz w:val="24"/>
          <w:szCs w:val="24"/>
        </w:rPr>
        <w:t xml:space="preserve"> excepționale adoptate pentru combaterea efectelor epidemiei de COVID-19</w:t>
      </w:r>
      <w:r w:rsidR="009C7DAD" w:rsidRPr="00A057AC">
        <w:rPr>
          <w:rFonts w:ascii="Tahoma" w:eastAsia="Times New Roman" w:hAnsi="Tahoma" w:cs="Tahoma"/>
          <w:sz w:val="24"/>
          <w:szCs w:val="24"/>
        </w:rPr>
        <w:t xml:space="preserve"> și de accelerarea cheltuielilor cu investițiile</w:t>
      </w:r>
      <w:r w:rsidR="00095E25" w:rsidRPr="00A057AC">
        <w:rPr>
          <w:rFonts w:ascii="Tahoma" w:eastAsia="Times New Roman" w:hAnsi="Tahoma" w:cs="Tahoma"/>
          <w:sz w:val="24"/>
          <w:szCs w:val="24"/>
        </w:rPr>
        <w:t>.</w:t>
      </w:r>
    </w:p>
    <w:p w:rsidR="000D44BC" w:rsidRPr="00A057AC" w:rsidRDefault="002E13BC" w:rsidP="003A3260">
      <w:pPr>
        <w:pStyle w:val="ListParagraph"/>
        <w:numPr>
          <w:ilvl w:val="1"/>
          <w:numId w:val="2"/>
        </w:numPr>
        <w:spacing w:before="240" w:after="240" w:line="276" w:lineRule="auto"/>
        <w:contextualSpacing w:val="0"/>
        <w:rPr>
          <w:rFonts w:ascii="Tahoma" w:eastAsia="Times New Roman" w:hAnsi="Tahoma" w:cs="Tahoma"/>
          <w:sz w:val="24"/>
          <w:szCs w:val="24"/>
        </w:rPr>
      </w:pPr>
      <w:r w:rsidRPr="00A057AC">
        <w:rPr>
          <w:rFonts w:ascii="Tahoma" w:hAnsi="Tahoma" w:cs="Tahoma"/>
          <w:sz w:val="24"/>
          <w:szCs w:val="24"/>
        </w:rPr>
        <w:t xml:space="preserve">Datoria guvernamentală conform metodologiei UE s-a situat la data de </w:t>
      </w:r>
      <w:r w:rsidRPr="00A057AC">
        <w:rPr>
          <w:rFonts w:ascii="Tahoma" w:hAnsi="Tahoma" w:cs="Tahoma"/>
          <w:b/>
          <w:sz w:val="24"/>
          <w:szCs w:val="24"/>
        </w:rPr>
        <w:t>31 mai 2021</w:t>
      </w:r>
      <w:r w:rsidR="0058067F" w:rsidRPr="00A057AC">
        <w:rPr>
          <w:rFonts w:ascii="Tahoma" w:hAnsi="Tahoma" w:cs="Tahoma"/>
          <w:sz w:val="24"/>
          <w:szCs w:val="24"/>
        </w:rPr>
        <w:t xml:space="preserve"> la un nivel de 49,7% din PIB</w:t>
      </w:r>
      <w:r w:rsidR="00232029" w:rsidRPr="00A057AC">
        <w:rPr>
          <w:rFonts w:ascii="Tahoma" w:hAnsi="Tahoma" w:cs="Tahoma"/>
          <w:sz w:val="24"/>
          <w:szCs w:val="24"/>
        </w:rPr>
        <w:t>.</w:t>
      </w:r>
    </w:p>
    <w:p w:rsidR="00C60107" w:rsidRPr="00A057AC" w:rsidRDefault="00C60107" w:rsidP="002A6579">
      <w:pPr>
        <w:pStyle w:val="ListParagraph"/>
        <w:widowControl w:val="0"/>
        <w:numPr>
          <w:ilvl w:val="1"/>
          <w:numId w:val="2"/>
        </w:numPr>
        <w:spacing w:before="240" w:after="240" w:line="276" w:lineRule="auto"/>
        <w:contextualSpacing w:val="0"/>
        <w:rPr>
          <w:rFonts w:ascii="Tahoma" w:hAnsi="Tahoma" w:cs="Tahoma"/>
          <w:sz w:val="24"/>
          <w:szCs w:val="24"/>
        </w:rPr>
      </w:pPr>
      <w:r w:rsidRPr="00A057AC">
        <w:rPr>
          <w:rFonts w:ascii="Tahoma" w:hAnsi="Tahoma" w:cs="Tahoma"/>
          <w:sz w:val="24"/>
          <w:szCs w:val="24"/>
        </w:rPr>
        <w:t xml:space="preserve">Veniturile bugetului general consolidat au fost </w:t>
      </w:r>
      <w:r w:rsidR="002E13BC" w:rsidRPr="00A057AC">
        <w:rPr>
          <w:rFonts w:ascii="Tahoma" w:hAnsi="Tahoma" w:cs="Tahoma"/>
          <w:sz w:val="24"/>
          <w:szCs w:val="24"/>
        </w:rPr>
        <w:t xml:space="preserve">superioare </w:t>
      </w:r>
      <w:r w:rsidRPr="00A057AC">
        <w:rPr>
          <w:rFonts w:ascii="Tahoma" w:hAnsi="Tahoma" w:cs="Tahoma"/>
          <w:sz w:val="24"/>
          <w:szCs w:val="24"/>
        </w:rPr>
        <w:t>încasărilor din perioada similară a anului anterior, atât în termeni nominali cât și ca raport</w:t>
      </w:r>
      <w:r w:rsidR="00232029" w:rsidRPr="00A057AC">
        <w:rPr>
          <w:rFonts w:ascii="Tahoma" w:hAnsi="Tahoma" w:cs="Tahoma"/>
          <w:sz w:val="24"/>
          <w:szCs w:val="24"/>
        </w:rPr>
        <w:t xml:space="preserve"> </w:t>
      </w:r>
      <w:r w:rsidRPr="00A057AC">
        <w:rPr>
          <w:rFonts w:ascii="Tahoma" w:hAnsi="Tahoma" w:cs="Tahoma"/>
          <w:sz w:val="24"/>
          <w:szCs w:val="24"/>
        </w:rPr>
        <w:t>în PIB</w:t>
      </w:r>
      <w:r w:rsidR="00C1502A" w:rsidRPr="00A057AC">
        <w:rPr>
          <w:rFonts w:ascii="Tahoma" w:hAnsi="Tahoma" w:cs="Tahoma"/>
          <w:sz w:val="24"/>
          <w:szCs w:val="24"/>
        </w:rPr>
        <w:t>,</w:t>
      </w:r>
      <w:r w:rsidR="00232029" w:rsidRPr="00A057AC">
        <w:rPr>
          <w:rFonts w:ascii="Tahoma" w:hAnsi="Tahoma" w:cs="Tahoma"/>
          <w:sz w:val="24"/>
          <w:szCs w:val="24"/>
        </w:rPr>
        <w:t xml:space="preserve"> </w:t>
      </w:r>
      <w:r w:rsidR="002E13BC" w:rsidRPr="00A057AC">
        <w:rPr>
          <w:rFonts w:ascii="Tahoma" w:hAnsi="Tahoma" w:cs="Tahoma"/>
          <w:sz w:val="24"/>
          <w:szCs w:val="24"/>
        </w:rPr>
        <w:t>fiind influențate de baza redusă aferentă 2020 (în principal perioada mar-mai - caracterizată preponderent de lockdown), redresarea indicatorilor economici, dar și de recuperarea parțială a unor categorii de venituri (contribuții de asigurări și TVA)</w:t>
      </w:r>
      <w:r w:rsidR="00D90007" w:rsidRPr="00A057AC">
        <w:rPr>
          <w:rFonts w:ascii="Tahoma" w:hAnsi="Tahoma" w:cs="Tahoma"/>
          <w:sz w:val="24"/>
          <w:szCs w:val="24"/>
        </w:rPr>
        <w:t xml:space="preserve">. </w:t>
      </w:r>
    </w:p>
    <w:p w:rsidR="00107683" w:rsidRPr="00A057AC" w:rsidRDefault="00254FAB" w:rsidP="002A6579">
      <w:pPr>
        <w:pStyle w:val="ListParagraph"/>
        <w:numPr>
          <w:ilvl w:val="1"/>
          <w:numId w:val="2"/>
        </w:numPr>
        <w:spacing w:before="240" w:after="240" w:line="276" w:lineRule="auto"/>
        <w:contextualSpacing w:val="0"/>
        <w:rPr>
          <w:rFonts w:ascii="Tahoma" w:eastAsia="Times New Roman" w:hAnsi="Tahoma" w:cs="Tahoma"/>
          <w:sz w:val="24"/>
          <w:szCs w:val="24"/>
        </w:rPr>
      </w:pPr>
      <w:r w:rsidRPr="00A057AC">
        <w:rPr>
          <w:rFonts w:ascii="Tahoma" w:eastAsia="Times New Roman" w:hAnsi="Tahoma" w:cs="Tahoma"/>
          <w:sz w:val="24"/>
          <w:szCs w:val="24"/>
        </w:rPr>
        <w:t>Absorbția</w:t>
      </w:r>
      <w:r w:rsidR="00C60107" w:rsidRPr="00A057AC">
        <w:rPr>
          <w:rFonts w:ascii="Tahoma" w:eastAsia="Times New Roman" w:hAnsi="Tahoma" w:cs="Tahoma"/>
          <w:sz w:val="24"/>
          <w:szCs w:val="24"/>
        </w:rPr>
        <w:t xml:space="preserve"> fondurilor externe nerambursabile reprezintă </w:t>
      </w:r>
      <w:r w:rsidR="00E30356" w:rsidRPr="00A057AC">
        <w:rPr>
          <w:rFonts w:ascii="Tahoma" w:eastAsia="Times New Roman" w:hAnsi="Tahoma" w:cs="Tahoma"/>
          <w:sz w:val="24"/>
          <w:szCs w:val="24"/>
        </w:rPr>
        <w:t xml:space="preserve">o prioritate pentru România mai ales în contextul actual generat de pandemia cu </w:t>
      </w:r>
      <w:r w:rsidR="001923CA" w:rsidRPr="00A057AC">
        <w:rPr>
          <w:rFonts w:ascii="Tahoma" w:eastAsia="Times New Roman" w:hAnsi="Tahoma" w:cs="Tahoma"/>
          <w:sz w:val="24"/>
          <w:szCs w:val="24"/>
        </w:rPr>
        <w:t>COVID-19</w:t>
      </w:r>
      <w:r w:rsidR="00E30356" w:rsidRPr="00A057AC">
        <w:rPr>
          <w:rFonts w:ascii="Tahoma" w:eastAsia="Times New Roman" w:hAnsi="Tahoma" w:cs="Tahoma"/>
          <w:sz w:val="24"/>
          <w:szCs w:val="24"/>
        </w:rPr>
        <w:t xml:space="preserve"> și </w:t>
      </w:r>
      <w:r w:rsidR="00107683" w:rsidRPr="00A057AC">
        <w:rPr>
          <w:rFonts w:ascii="Tahoma" w:eastAsia="Times New Roman" w:hAnsi="Tahoma" w:cs="Tahoma"/>
          <w:sz w:val="24"/>
          <w:szCs w:val="24"/>
        </w:rPr>
        <w:t xml:space="preserve">deși sumele din fonduri externe nerambursabile încasate în semestrul I 2021 au fost considerabil mai mari comparativ cu semestrul I 2020 totuși acestea s-au situat la un nivel redus față de cel programat pentru perioada analizată. Ca urmare este necesar ca în partea a doua a anului 2021 să se intensifice eforturile de </w:t>
      </w:r>
      <w:r w:rsidR="00232029" w:rsidRPr="00A057AC">
        <w:rPr>
          <w:rFonts w:ascii="Tahoma" w:eastAsia="Times New Roman" w:hAnsi="Tahoma" w:cs="Tahoma"/>
          <w:sz w:val="24"/>
          <w:szCs w:val="24"/>
        </w:rPr>
        <w:t>absorbție</w:t>
      </w:r>
      <w:r w:rsidR="00107683" w:rsidRPr="00A057AC">
        <w:rPr>
          <w:rFonts w:ascii="Tahoma" w:eastAsia="Times New Roman" w:hAnsi="Tahoma" w:cs="Tahoma"/>
          <w:sz w:val="24"/>
          <w:szCs w:val="24"/>
        </w:rPr>
        <w:t xml:space="preserve"> a acestor fonduri.</w:t>
      </w:r>
    </w:p>
    <w:p w:rsidR="00C60107" w:rsidRPr="00A057AC" w:rsidRDefault="00C60107" w:rsidP="002A6579">
      <w:pPr>
        <w:pStyle w:val="ListParagraph"/>
        <w:numPr>
          <w:ilvl w:val="0"/>
          <w:numId w:val="2"/>
        </w:numPr>
        <w:spacing w:before="240" w:after="240" w:line="276" w:lineRule="auto"/>
        <w:ind w:left="1418" w:hanging="284"/>
        <w:contextualSpacing w:val="0"/>
        <w:rPr>
          <w:rFonts w:ascii="Tahoma" w:hAnsi="Tahoma" w:cs="Tahoma"/>
          <w:sz w:val="24"/>
          <w:szCs w:val="24"/>
        </w:rPr>
      </w:pPr>
      <w:r w:rsidRPr="00A057AC">
        <w:rPr>
          <w:rFonts w:ascii="Tahoma" w:hAnsi="Tahoma" w:cs="Tahoma"/>
          <w:sz w:val="24"/>
          <w:szCs w:val="24"/>
        </w:rPr>
        <w:t xml:space="preserve">Cheltuielile bugetului general consolidat au fost cu </w:t>
      </w:r>
      <w:r w:rsidR="00D90007" w:rsidRPr="00A057AC">
        <w:rPr>
          <w:rFonts w:ascii="Tahoma" w:hAnsi="Tahoma" w:cs="Tahoma"/>
          <w:sz w:val="24"/>
          <w:szCs w:val="24"/>
        </w:rPr>
        <w:t>9,8</w:t>
      </w:r>
      <w:r w:rsidRPr="00A057AC">
        <w:rPr>
          <w:rFonts w:ascii="Tahoma" w:hAnsi="Tahoma" w:cs="Tahoma"/>
          <w:sz w:val="24"/>
          <w:szCs w:val="24"/>
        </w:rPr>
        <w:t>% mai mari comparativ cu aceeași perioadă a anului anterior, situându-se sub nivelul programat.</w:t>
      </w:r>
    </w:p>
    <w:p w:rsidR="00C60107" w:rsidRPr="00A057AC" w:rsidRDefault="00C60107" w:rsidP="002A6579">
      <w:pPr>
        <w:pStyle w:val="ListParagraph"/>
        <w:numPr>
          <w:ilvl w:val="0"/>
          <w:numId w:val="2"/>
        </w:numPr>
        <w:spacing w:before="240" w:after="240" w:line="276" w:lineRule="auto"/>
        <w:ind w:left="1418" w:hanging="284"/>
        <w:contextualSpacing w:val="0"/>
        <w:rPr>
          <w:rFonts w:ascii="Tahoma" w:hAnsi="Tahoma" w:cs="Tahoma"/>
          <w:sz w:val="24"/>
          <w:szCs w:val="24"/>
        </w:rPr>
      </w:pPr>
      <w:r w:rsidRPr="00A057AC">
        <w:rPr>
          <w:rFonts w:ascii="Tahoma" w:hAnsi="Tahoma" w:cs="Tahoma"/>
          <w:sz w:val="24"/>
          <w:szCs w:val="24"/>
        </w:rPr>
        <w:t xml:space="preserve">Cheltuielile efectuate pentru investiții au fost </w:t>
      </w:r>
      <w:r w:rsidRPr="00A057AC">
        <w:rPr>
          <w:rFonts w:ascii="Tahoma" w:hAnsi="Tahoma" w:cs="Tahoma"/>
          <w:bCs/>
          <w:sz w:val="24"/>
          <w:szCs w:val="24"/>
        </w:rPr>
        <w:t xml:space="preserve">cu </w:t>
      </w:r>
      <w:r w:rsidR="00D90007" w:rsidRPr="00A057AC">
        <w:rPr>
          <w:rFonts w:ascii="Tahoma" w:hAnsi="Tahoma" w:cs="Tahoma"/>
          <w:bCs/>
          <w:sz w:val="24"/>
          <w:szCs w:val="24"/>
        </w:rPr>
        <w:t>32,4</w:t>
      </w:r>
      <w:r w:rsidRPr="00A057AC">
        <w:rPr>
          <w:rFonts w:ascii="Tahoma" w:hAnsi="Tahoma" w:cs="Tahoma"/>
          <w:bCs/>
          <w:sz w:val="24"/>
          <w:szCs w:val="24"/>
        </w:rPr>
        <w:t>% mai mari decât cele aferente semestrului I 20</w:t>
      </w:r>
      <w:r w:rsidR="00D90007" w:rsidRPr="00A057AC">
        <w:rPr>
          <w:rFonts w:ascii="Tahoma" w:hAnsi="Tahoma" w:cs="Tahoma"/>
          <w:bCs/>
          <w:sz w:val="24"/>
          <w:szCs w:val="24"/>
        </w:rPr>
        <w:t>20</w:t>
      </w:r>
      <w:r w:rsidRPr="00A057AC">
        <w:rPr>
          <w:rFonts w:ascii="Tahoma" w:hAnsi="Tahoma" w:cs="Tahoma"/>
          <w:bCs/>
          <w:sz w:val="24"/>
          <w:szCs w:val="24"/>
        </w:rPr>
        <w:t>.</w:t>
      </w:r>
      <w:bookmarkEnd w:id="31"/>
      <w:bookmarkEnd w:id="32"/>
      <w:bookmarkEnd w:id="33"/>
      <w:bookmarkEnd w:id="34"/>
      <w:bookmarkEnd w:id="35"/>
    </w:p>
    <w:p w:rsidR="004B7464" w:rsidRPr="00A057AC" w:rsidRDefault="00232029" w:rsidP="00C905EC">
      <w:pPr>
        <w:pStyle w:val="ListParagraph"/>
        <w:numPr>
          <w:ilvl w:val="0"/>
          <w:numId w:val="2"/>
        </w:numPr>
        <w:spacing w:before="240" w:after="240" w:line="276" w:lineRule="auto"/>
        <w:ind w:left="1134" w:firstLine="0"/>
        <w:contextualSpacing w:val="0"/>
        <w:rPr>
          <w:rFonts w:ascii="Tahoma" w:hAnsi="Tahoma" w:cs="Tahoma"/>
          <w:sz w:val="24"/>
          <w:szCs w:val="24"/>
        </w:rPr>
      </w:pPr>
      <w:r w:rsidRPr="00A057AC">
        <w:rPr>
          <w:rFonts w:ascii="Tahoma" w:eastAsia="Arial" w:hAnsi="Tahoma" w:cs="Tahoma"/>
          <w:sz w:val="24"/>
          <w:szCs w:val="24"/>
          <w:shd w:val="clear" w:color="auto" w:fill="FFFFFF"/>
        </w:rPr>
        <w:t xml:space="preserve">Din notele justificative transmise de ordonatorii principali de credite, </w:t>
      </w:r>
      <w:r w:rsidR="00CE2770" w:rsidRPr="00A057AC">
        <w:rPr>
          <w:rFonts w:ascii="Tahoma" w:eastAsia="Arial" w:hAnsi="Tahoma" w:cs="Tahoma"/>
          <w:sz w:val="24"/>
          <w:szCs w:val="24"/>
          <w:shd w:val="clear" w:color="auto" w:fill="FFFFFF"/>
        </w:rPr>
        <w:t xml:space="preserve">sumele neutilizate în semestrul I au fost determinate </w:t>
      </w:r>
      <w:r w:rsidR="004B7464" w:rsidRPr="00A057AC">
        <w:rPr>
          <w:rFonts w:ascii="Tahoma" w:eastAsia="Arial" w:hAnsi="Tahoma" w:cs="Tahoma"/>
          <w:sz w:val="24"/>
          <w:szCs w:val="24"/>
          <w:shd w:val="clear" w:color="auto" w:fill="FFFFFF"/>
        </w:rPr>
        <w:t>în principal de</w:t>
      </w:r>
      <w:r w:rsidR="004B7464" w:rsidRPr="00A057AC">
        <w:rPr>
          <w:rFonts w:ascii="Tahoma" w:eastAsia="Arial" w:hAnsi="Tahoma" w:cs="Tahoma"/>
          <w:sz w:val="24"/>
          <w:szCs w:val="24"/>
          <w:shd w:val="clear" w:color="auto" w:fill="FFFFFF"/>
          <w:lang w:val="en-US"/>
        </w:rPr>
        <w:t xml:space="preserve">: </w:t>
      </w:r>
      <w:r w:rsidR="004B7464" w:rsidRPr="00A057AC">
        <w:rPr>
          <w:rFonts w:ascii="Tahoma" w:eastAsia="Arial" w:hAnsi="Tahoma" w:cs="Tahoma"/>
          <w:sz w:val="24"/>
          <w:szCs w:val="24"/>
          <w:shd w:val="clear" w:color="auto" w:fill="FFFFFF"/>
        </w:rPr>
        <w:t>ritmicitatea</w:t>
      </w:r>
      <w:r w:rsidR="00CE2770" w:rsidRPr="00A057AC">
        <w:rPr>
          <w:rFonts w:ascii="Tahoma" w:eastAsia="Arial" w:hAnsi="Tahoma" w:cs="Tahoma"/>
          <w:sz w:val="24"/>
          <w:szCs w:val="24"/>
          <w:shd w:val="clear" w:color="auto" w:fill="FFFFFF"/>
        </w:rPr>
        <w:t xml:space="preserve"> diferită de emitere a facturilor de către furnizori, de viteza de remitere a acestora, de calitatea documentelor justificative prezentate la plată, lucrări de reparații care nu au putut fi finalizate până la sfârșitul lunii </w:t>
      </w:r>
      <w:r w:rsidR="00CE2770" w:rsidRPr="00A057AC">
        <w:rPr>
          <w:rFonts w:ascii="Tahoma" w:eastAsia="Arial" w:hAnsi="Tahoma" w:cs="Tahoma"/>
          <w:sz w:val="24"/>
          <w:szCs w:val="24"/>
          <w:shd w:val="clear" w:color="auto" w:fill="FFFFFF"/>
        </w:rPr>
        <w:lastRenderedPageBreak/>
        <w:t>iunie din cauza vremii nefavorabile, facturi nerecepționate aferente comenzilor solicitate, termene trimestriale de facturare, fapt ce a dus la emiterea facturilor în luna iulie pentru serviciile prestate în luna iunie precum și emiterea cu întârziere a facturilor de către furnizorii de servicii, declanșarea cu întârziere a unor proceduri de achiziții de bunuri materiale,</w:t>
      </w:r>
      <w:r w:rsidR="00CE2770" w:rsidRPr="00A057AC">
        <w:rPr>
          <w:rFonts w:ascii="Tahoma" w:eastAsia="Calibri" w:hAnsi="Tahoma" w:cs="Tahoma"/>
          <w:sz w:val="20"/>
          <w:szCs w:val="20"/>
          <w:lang w:val="en-US"/>
        </w:rPr>
        <w:t xml:space="preserve"> </w:t>
      </w:r>
      <w:r w:rsidR="00CE2770" w:rsidRPr="00A057AC">
        <w:rPr>
          <w:rFonts w:ascii="Tahoma" w:eastAsia="Arial" w:hAnsi="Tahoma" w:cs="Tahoma"/>
          <w:sz w:val="24"/>
          <w:szCs w:val="24"/>
          <w:shd w:val="clear" w:color="auto" w:fill="FFFFFF"/>
        </w:rPr>
        <w:t xml:space="preserve">fie procedurile de </w:t>
      </w:r>
      <w:r w:rsidRPr="00A057AC">
        <w:rPr>
          <w:rFonts w:ascii="Tahoma" w:eastAsia="Arial" w:hAnsi="Tahoma" w:cs="Tahoma"/>
          <w:sz w:val="24"/>
          <w:szCs w:val="24"/>
          <w:shd w:val="clear" w:color="auto" w:fill="FFFFFF"/>
        </w:rPr>
        <w:t>achiziții</w:t>
      </w:r>
      <w:r w:rsidR="00CE2770" w:rsidRPr="00A057AC">
        <w:rPr>
          <w:rFonts w:ascii="Tahoma" w:eastAsia="Arial" w:hAnsi="Tahoma" w:cs="Tahoma"/>
          <w:sz w:val="24"/>
          <w:szCs w:val="24"/>
          <w:shd w:val="clear" w:color="auto" w:fill="FFFFFF"/>
        </w:rPr>
        <w:t xml:space="preserve"> au fost </w:t>
      </w:r>
      <w:r w:rsidRPr="00A057AC">
        <w:rPr>
          <w:rFonts w:ascii="Tahoma" w:eastAsia="Arial" w:hAnsi="Tahoma" w:cs="Tahoma"/>
          <w:sz w:val="24"/>
          <w:szCs w:val="24"/>
          <w:shd w:val="clear" w:color="auto" w:fill="FFFFFF"/>
        </w:rPr>
        <w:t>îngreunate</w:t>
      </w:r>
      <w:r w:rsidR="00CE2770" w:rsidRPr="00A057AC">
        <w:rPr>
          <w:rFonts w:ascii="Tahoma" w:eastAsia="Arial" w:hAnsi="Tahoma" w:cs="Tahoma"/>
          <w:sz w:val="24"/>
          <w:szCs w:val="24"/>
          <w:shd w:val="clear" w:color="auto" w:fill="FFFFFF"/>
        </w:rPr>
        <w:t xml:space="preserve"> determinate de oferte neconforme, astfel </w:t>
      </w:r>
      <w:r w:rsidRPr="00A057AC">
        <w:rPr>
          <w:rFonts w:ascii="Tahoma" w:eastAsia="Arial" w:hAnsi="Tahoma" w:cs="Tahoma"/>
          <w:sz w:val="24"/>
          <w:szCs w:val="24"/>
          <w:shd w:val="clear" w:color="auto" w:fill="FFFFFF"/>
        </w:rPr>
        <w:t>încât</w:t>
      </w:r>
      <w:r w:rsidR="00CE2770" w:rsidRPr="00A057AC">
        <w:rPr>
          <w:rFonts w:ascii="Tahoma" w:eastAsia="Arial" w:hAnsi="Tahoma" w:cs="Tahoma"/>
          <w:sz w:val="24"/>
          <w:szCs w:val="24"/>
          <w:shd w:val="clear" w:color="auto" w:fill="FFFFFF"/>
        </w:rPr>
        <w:t xml:space="preserve"> </w:t>
      </w:r>
      <w:r w:rsidR="00FA6447" w:rsidRPr="00A057AC">
        <w:rPr>
          <w:rFonts w:ascii="Tahoma" w:eastAsia="Arial" w:hAnsi="Tahoma" w:cs="Tahoma"/>
          <w:sz w:val="24"/>
          <w:szCs w:val="24"/>
          <w:shd w:val="clear" w:color="auto" w:fill="FFFFFF"/>
        </w:rPr>
        <w:t xml:space="preserve">unele </w:t>
      </w:r>
      <w:r w:rsidR="00CE2770" w:rsidRPr="00A057AC">
        <w:rPr>
          <w:rFonts w:ascii="Tahoma" w:eastAsia="Arial" w:hAnsi="Tahoma" w:cs="Tahoma"/>
          <w:sz w:val="24"/>
          <w:szCs w:val="24"/>
          <w:shd w:val="clear" w:color="auto" w:fill="FFFFFF"/>
        </w:rPr>
        <w:t>au trebuit reluate</w:t>
      </w:r>
      <w:r w:rsidR="00FA6447" w:rsidRPr="00A057AC">
        <w:rPr>
          <w:rFonts w:ascii="Tahoma" w:eastAsia="Arial" w:hAnsi="Tahoma" w:cs="Tahoma"/>
          <w:sz w:val="24"/>
          <w:szCs w:val="24"/>
          <w:shd w:val="clear" w:color="auto" w:fill="FFFFFF"/>
        </w:rPr>
        <w:t>.</w:t>
      </w:r>
    </w:p>
    <w:p w:rsidR="009D0A50" w:rsidRPr="00A057AC" w:rsidRDefault="00D90007" w:rsidP="00C905EC">
      <w:pPr>
        <w:pStyle w:val="ListParagraph"/>
        <w:numPr>
          <w:ilvl w:val="0"/>
          <w:numId w:val="2"/>
        </w:numPr>
        <w:spacing w:before="240" w:after="240" w:line="276" w:lineRule="auto"/>
        <w:ind w:left="1134" w:firstLine="0"/>
        <w:contextualSpacing w:val="0"/>
        <w:rPr>
          <w:rFonts w:ascii="Tahoma" w:hAnsi="Tahoma" w:cs="Tahoma"/>
          <w:sz w:val="24"/>
          <w:szCs w:val="24"/>
        </w:rPr>
      </w:pPr>
      <w:r w:rsidRPr="00A057AC">
        <w:rPr>
          <w:rFonts w:ascii="Tahoma" w:hAnsi="Tahoma" w:cs="Tahoma"/>
          <w:bCs/>
          <w:sz w:val="24"/>
          <w:szCs w:val="24"/>
        </w:rPr>
        <w:t>Având în vedere execuția bugetară din primul semestru al anului 2021 și ținând cont de contextul economic și financiar generat de pandemia de C</w:t>
      </w:r>
      <w:r w:rsidR="004B7464" w:rsidRPr="00A057AC">
        <w:rPr>
          <w:rFonts w:ascii="Tahoma" w:hAnsi="Tahoma" w:cs="Tahoma"/>
          <w:bCs/>
          <w:sz w:val="24"/>
          <w:szCs w:val="24"/>
        </w:rPr>
        <w:t>OVID</w:t>
      </w:r>
      <w:r w:rsidRPr="00A057AC">
        <w:rPr>
          <w:rFonts w:ascii="Tahoma" w:hAnsi="Tahoma" w:cs="Tahoma"/>
          <w:bCs/>
          <w:sz w:val="24"/>
          <w:szCs w:val="24"/>
        </w:rPr>
        <w:t xml:space="preserve">-19 apreciem că </w:t>
      </w:r>
      <w:r w:rsidR="00851553" w:rsidRPr="00A057AC">
        <w:rPr>
          <w:rFonts w:ascii="Tahoma" w:hAnsi="Tahoma" w:cs="Tahoma"/>
          <w:bCs/>
          <w:sz w:val="24"/>
          <w:szCs w:val="24"/>
        </w:rPr>
        <w:t xml:space="preserve">la acest moment </w:t>
      </w:r>
      <w:r w:rsidRPr="00A057AC">
        <w:rPr>
          <w:rFonts w:ascii="Tahoma" w:hAnsi="Tahoma" w:cs="Tahoma"/>
          <w:bCs/>
          <w:sz w:val="24"/>
          <w:szCs w:val="24"/>
        </w:rPr>
        <w:t xml:space="preserve">nu sunt </w:t>
      </w:r>
      <w:r w:rsidR="00851553" w:rsidRPr="00A057AC">
        <w:rPr>
          <w:rFonts w:ascii="Tahoma" w:hAnsi="Tahoma" w:cs="Tahoma"/>
          <w:bCs/>
          <w:sz w:val="24"/>
          <w:szCs w:val="24"/>
        </w:rPr>
        <w:t xml:space="preserve">evidente </w:t>
      </w:r>
      <w:r w:rsidRPr="00A057AC">
        <w:rPr>
          <w:rFonts w:ascii="Tahoma" w:hAnsi="Tahoma" w:cs="Tahoma"/>
          <w:bCs/>
          <w:sz w:val="24"/>
          <w:szCs w:val="24"/>
        </w:rPr>
        <w:t>elemente care să conduc</w:t>
      </w:r>
      <w:r w:rsidR="000A5141" w:rsidRPr="00A057AC">
        <w:rPr>
          <w:rFonts w:ascii="Tahoma" w:hAnsi="Tahoma" w:cs="Tahoma"/>
          <w:bCs/>
          <w:sz w:val="24"/>
          <w:szCs w:val="24"/>
        </w:rPr>
        <w:t>ă</w:t>
      </w:r>
      <w:r w:rsidRPr="00A057AC">
        <w:rPr>
          <w:rFonts w:ascii="Tahoma" w:hAnsi="Tahoma" w:cs="Tahoma"/>
          <w:bCs/>
          <w:sz w:val="24"/>
          <w:szCs w:val="24"/>
        </w:rPr>
        <w:t xml:space="preserve"> la depășirea țintei de deficit </w:t>
      </w:r>
      <w:r w:rsidR="00ED58E2">
        <w:rPr>
          <w:rFonts w:ascii="Tahoma" w:hAnsi="Tahoma" w:cs="Tahoma"/>
          <w:bCs/>
          <w:sz w:val="24"/>
          <w:szCs w:val="24"/>
        </w:rPr>
        <w:t>de 7,16% din PIB</w:t>
      </w:r>
      <w:r w:rsidRPr="00A057AC">
        <w:rPr>
          <w:rFonts w:ascii="Tahoma" w:hAnsi="Tahoma" w:cs="Tahoma"/>
          <w:bCs/>
          <w:sz w:val="24"/>
          <w:szCs w:val="24"/>
        </w:rPr>
        <w:t>.</w:t>
      </w:r>
    </w:p>
    <w:sectPr w:rsidR="009D0A50" w:rsidRPr="00A057AC" w:rsidSect="008A700D">
      <w:headerReference w:type="default" r:id="rId20"/>
      <w:footerReference w:type="default" r:id="rId2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0E" w:rsidRDefault="004E4A0E" w:rsidP="007C4F03">
      <w:pPr>
        <w:spacing w:after="0"/>
      </w:pPr>
      <w:r>
        <w:separator/>
      </w:r>
    </w:p>
  </w:endnote>
  <w:endnote w:type="continuationSeparator" w:id="0">
    <w:p w:rsidR="004E4A0E" w:rsidRDefault="004E4A0E"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1A" w:rsidRDefault="0039516A">
    <w:pPr>
      <w:pStyle w:val="Foote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92075</wp:posOffset>
              </wp:positionH>
              <wp:positionV relativeFrom="paragraph">
                <wp:posOffset>-170815</wp:posOffset>
              </wp:positionV>
              <wp:extent cx="5943600" cy="27559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5590"/>
                      </a:xfrm>
                      <a:prstGeom prst="rect">
                        <a:avLst/>
                      </a:prstGeom>
                      <a:noFill/>
                      <a:ln w="6350">
                        <a:noFill/>
                      </a:ln>
                      <a:effectLst/>
                    </wps:spPr>
                    <wps:txbx>
                      <w:txbxContent>
                        <w:p w:rsidR="0056581A" w:rsidRPr="00FA0A4C" w:rsidRDefault="004E4A0E" w:rsidP="00FA0A4C">
                          <w:pPr>
                            <w:pStyle w:val="Header"/>
                            <w:shd w:val="clear" w:color="auto" w:fill="9CC2E5" w:themeFill="accent1" w:themeFillTint="99"/>
                            <w:jc w:val="center"/>
                            <w:rPr>
                              <w:rFonts w:ascii="Tahoma" w:hAnsi="Tahoma" w:cs="Tahoma"/>
                              <w:color w:val="FFFFFF" w:themeColor="background1"/>
                              <w:sz w:val="24"/>
                              <w:szCs w:val="24"/>
                            </w:rPr>
                          </w:pPr>
                          <w:sdt>
                            <w:sdtPr>
                              <w:rPr>
                                <w:rStyle w:val="Emphasis"/>
                                <w:rFonts w:ascii="Tahoma" w:hAnsi="Tahoma" w:cs="Tahoma"/>
                                <w:color w:val="FFFFFF" w:themeColor="background1"/>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56581A" w:rsidRPr="00FA0A4C">
                                <w:rPr>
                                  <w:rStyle w:val="Emphasis"/>
                                  <w:rFonts w:ascii="Tahoma" w:hAnsi="Tahoma" w:cs="Tahoma"/>
                                  <w:color w:val="FFFFFF" w:themeColor="background1"/>
                                  <w:sz w:val="24"/>
                                  <w:szCs w:val="24"/>
                                </w:rPr>
                                <w:t>Raport privind situația economică și bugetară</w:t>
                              </w:r>
                            </w:sdtContent>
                          </w:sdt>
                          <w:r w:rsidR="0056581A" w:rsidRPr="00FA0A4C">
                            <w:rPr>
                              <w:rStyle w:val="Emphasis"/>
                              <w:rFonts w:ascii="Tahoma" w:hAnsi="Tahoma" w:cs="Tahoma"/>
                              <w:color w:val="FFFFFF" w:themeColor="background1"/>
                              <w:sz w:val="24"/>
                              <w:szCs w:val="24"/>
                            </w:rPr>
                            <w:t xml:space="preserve"> pe primele șase luni ale anului 202</w:t>
                          </w:r>
                          <w:r w:rsidR="0056581A">
                            <w:rPr>
                              <w:rStyle w:val="Emphasis"/>
                              <w:rFonts w:ascii="Tahoma" w:hAnsi="Tahoma" w:cs="Tahoma"/>
                              <w:color w:val="FFFFFF" w:themeColor="background1"/>
                              <w:sz w:val="24"/>
                              <w:szCs w:val="24"/>
                            </w:rPr>
                            <w:t>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left:0;text-align:left;margin-left:7.25pt;margin-top:-13.45pt;width:468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" filled="f" stroked="f" strokeweight=".5pt">
              <v:path arrowok="t"/>
              <v:textbox style="mso-fit-shape-to-text:t" inset="0,,0">
                <w:txbxContent>
                  <w:p w:rsidR="0056581A" w:rsidRPr="00FA0A4C" w:rsidRDefault="00C95CDE" w:rsidP="00FA0A4C">
                    <w:pPr>
                      <w:pStyle w:val="Header"/>
                      <w:shd w:val="clear" w:color="auto" w:fill="9CC2E5" w:themeFill="accent1" w:themeFillTint="99"/>
                      <w:jc w:val="center"/>
                      <w:rPr>
                        <w:rFonts w:ascii="Tahoma" w:hAnsi="Tahoma" w:cs="Tahoma"/>
                        <w:color w:val="FFFFFF" w:themeColor="background1"/>
                        <w:sz w:val="24"/>
                        <w:szCs w:val="24"/>
                      </w:rPr>
                    </w:pPr>
                    <w:sdt>
                      <w:sdtPr>
                        <w:rPr>
                          <w:rStyle w:val="Emphasis"/>
                          <w:rFonts w:ascii="Tahoma" w:hAnsi="Tahoma" w:cs="Tahoma"/>
                          <w:color w:val="FFFFFF" w:themeColor="background1"/>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56581A" w:rsidRPr="00FA0A4C">
                          <w:rPr>
                            <w:rStyle w:val="Emphasis"/>
                            <w:rFonts w:ascii="Tahoma" w:hAnsi="Tahoma" w:cs="Tahoma"/>
                            <w:color w:val="FFFFFF" w:themeColor="background1"/>
                            <w:sz w:val="24"/>
                            <w:szCs w:val="24"/>
                          </w:rPr>
                          <w:t>Raport privind situația economică și bugetară</w:t>
                        </w:r>
                      </w:sdtContent>
                    </w:sdt>
                    <w:r w:rsidR="0056581A" w:rsidRPr="00FA0A4C">
                      <w:rPr>
                        <w:rStyle w:val="Emphasis"/>
                        <w:rFonts w:ascii="Tahoma" w:hAnsi="Tahoma" w:cs="Tahoma"/>
                        <w:color w:val="FFFFFF" w:themeColor="background1"/>
                        <w:sz w:val="24"/>
                        <w:szCs w:val="24"/>
                      </w:rPr>
                      <w:t xml:space="preserve"> pe primele șase luni ale anului 202</w:t>
                    </w:r>
                    <w:r w:rsidR="0056581A">
                      <w:rPr>
                        <w:rStyle w:val="Emphasis"/>
                        <w:rFonts w:ascii="Tahoma" w:hAnsi="Tahoma" w:cs="Tahoma"/>
                        <w:color w:val="FFFFFF" w:themeColor="background1"/>
                        <w:sz w:val="24"/>
                        <w:szCs w:val="24"/>
                      </w:rPr>
                      <w:t>1</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720725</wp:posOffset>
              </wp:positionH>
              <wp:positionV relativeFrom="paragraph">
                <wp:posOffset>29845</wp:posOffset>
              </wp:positionV>
              <wp:extent cx="5943600" cy="27432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CEC6B" id="Rectangle 165" o:spid="_x0000_s1026" style="position:absolute;margin-left:56.75pt;margin-top:2.35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" fillcolor="white [3212]" stroked="f" strokeweight="1pt">
              <v:fill opacity="0"/>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0E" w:rsidRDefault="004E4A0E" w:rsidP="007C4F03">
      <w:pPr>
        <w:spacing w:after="0"/>
      </w:pPr>
      <w:r>
        <w:separator/>
      </w:r>
    </w:p>
  </w:footnote>
  <w:footnote w:type="continuationSeparator" w:id="0">
    <w:p w:rsidR="004E4A0E" w:rsidRDefault="004E4A0E" w:rsidP="007C4F03">
      <w:pPr>
        <w:spacing w:after="0"/>
      </w:pPr>
      <w:r>
        <w:continuationSeparator/>
      </w:r>
    </w:p>
  </w:footnote>
  <w:footnote w:id="1">
    <w:p w:rsidR="0056581A" w:rsidRPr="00217E72" w:rsidRDefault="0056581A" w:rsidP="00A7299C">
      <w:pPr>
        <w:pStyle w:val="FootnoteText"/>
      </w:pPr>
      <w:r>
        <w:rPr>
          <w:rStyle w:val="FootnoteReference"/>
        </w:rPr>
        <w:footnoteRef/>
      </w:r>
      <w:r>
        <w:t xml:space="preserve"> OUG nr.48/2020</w:t>
      </w:r>
    </w:p>
  </w:footnote>
  <w:footnote w:id="2">
    <w:p w:rsidR="0056581A" w:rsidRPr="0058067F" w:rsidRDefault="0056581A" w:rsidP="0057284B">
      <w:pPr>
        <w:pStyle w:val="FootnoteText"/>
        <w:spacing w:line="260" w:lineRule="auto"/>
        <w:rPr>
          <w:rFonts w:ascii="Arial" w:eastAsia="Calibri" w:hAnsi="Arial" w:cs="Arial"/>
          <w:sz w:val="16"/>
          <w:szCs w:val="16"/>
        </w:rPr>
      </w:pPr>
      <w:r w:rsidRPr="000D21DF">
        <w:rPr>
          <w:rFonts w:eastAsia="Calibri"/>
          <w:sz w:val="16"/>
          <w:szCs w:val="16"/>
          <w:lang w:val="fr-FR"/>
        </w:rPr>
        <w:footnoteRef/>
      </w:r>
      <w:r w:rsidRPr="000D21DF">
        <w:rPr>
          <w:rFonts w:ascii="Arial" w:eastAsia="Calibri" w:hAnsi="Arial" w:cs="Arial"/>
          <w:sz w:val="16"/>
          <w:szCs w:val="16"/>
          <w:lang w:val="fr-FR"/>
        </w:rPr>
        <w:t xml:space="preserve"> </w:t>
      </w:r>
      <w:r w:rsidRPr="0058067F">
        <w:rPr>
          <w:rFonts w:ascii="Arial" w:eastAsia="Calibri" w:hAnsi="Arial" w:cs="Arial"/>
          <w:sz w:val="16"/>
          <w:szCs w:val="16"/>
        </w:rPr>
        <w:t>Comunicat Eurostat nr. 48/2021 din 22  aprilie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2562821"/>
      <w:docPartObj>
        <w:docPartGallery w:val="Page Numbers (Top of Page)"/>
        <w:docPartUnique/>
      </w:docPartObj>
    </w:sdtPr>
    <w:sdtEndPr>
      <w:rPr>
        <w:b/>
        <w:bCs/>
        <w:noProof/>
        <w:color w:val="auto"/>
        <w:spacing w:val="0"/>
      </w:rPr>
    </w:sdtEndPr>
    <w:sdtContent>
      <w:p w:rsidR="0056581A" w:rsidRDefault="005658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E210A" w:rsidRPr="007E210A">
          <w:rPr>
            <w:b/>
            <w:bCs/>
            <w:noProof/>
          </w:rPr>
          <w:t>15</w:t>
        </w:r>
        <w:r>
          <w:rPr>
            <w:b/>
            <w:bCs/>
            <w:noProof/>
          </w:rPr>
          <w:fldChar w:fldCharType="end"/>
        </w:r>
      </w:p>
    </w:sdtContent>
  </w:sdt>
  <w:p w:rsidR="0056581A" w:rsidRDefault="005658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5E07"/>
      </v:shape>
    </w:pict>
  </w:numPicBullet>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OpenSymbol" w:hint="default"/>
        <w:color w:val="000000"/>
        <w:kern w:val="0"/>
        <w:position w:val="0"/>
        <w:sz w:val="20"/>
        <w:szCs w:val="20"/>
        <w:vertAlign w:val="baseline"/>
        <w:lang w:val="it-IT" w:eastAsia="zh-C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szCs w:val="22"/>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szCs w:val="22"/>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szCs w:val="22"/>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E"/>
    <w:multiLevelType w:val="multilevel"/>
    <w:tmpl w:val="0000000E"/>
    <w:name w:val="WW8Num14"/>
    <w:lvl w:ilvl="0">
      <w:start w:val="1"/>
      <w:numFmt w:val="decimal"/>
      <w:suff w:val="space"/>
      <w:lvlText w:val="%1."/>
      <w:lvlJc w:val="left"/>
      <w:pPr>
        <w:tabs>
          <w:tab w:val="num" w:pos="0"/>
        </w:tabs>
        <w:ind w:left="0" w:firstLine="0"/>
      </w:pPr>
      <w:rPr>
        <w:rFonts w:ascii="Calibri" w:eastAsia="Calibri" w:hAnsi="Calibri" w:cs="Calibri"/>
        <w:b/>
        <w:szCs w:val="22"/>
        <w:lang w:val="ro-RO"/>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10" w15:restartNumberingAfterBreak="0">
    <w:nsid w:val="007A01DE"/>
    <w:multiLevelType w:val="hybridMultilevel"/>
    <w:tmpl w:val="9C5AA078"/>
    <w:lvl w:ilvl="0" w:tplc="A4583D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28B6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0A9D9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2BBA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8B2E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ACFB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CABDB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AA1F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AA9D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29E1BBE"/>
    <w:multiLevelType w:val="hybridMultilevel"/>
    <w:tmpl w:val="DAC4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E50E8"/>
    <w:multiLevelType w:val="hybridMultilevel"/>
    <w:tmpl w:val="89D42280"/>
    <w:lvl w:ilvl="0" w:tplc="EC2E6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F7299"/>
    <w:multiLevelType w:val="hybridMultilevel"/>
    <w:tmpl w:val="214CA4B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63F17"/>
    <w:multiLevelType w:val="multilevel"/>
    <w:tmpl w:val="01A0D6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6" w15:restartNumberingAfterBreak="0">
    <w:nsid w:val="236041A9"/>
    <w:multiLevelType w:val="hybridMultilevel"/>
    <w:tmpl w:val="822C5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7A76"/>
    <w:multiLevelType w:val="hybridMultilevel"/>
    <w:tmpl w:val="5C663990"/>
    <w:lvl w:ilvl="0" w:tplc="B3DEF8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12140"/>
    <w:multiLevelType w:val="hybridMultilevel"/>
    <w:tmpl w:val="9266B81C"/>
    <w:lvl w:ilvl="0" w:tplc="DFE6320A">
      <w:start w:val="1"/>
      <w:numFmt w:val="bullet"/>
      <w:lvlText w:val=""/>
      <w:lvlJc w:val="left"/>
      <w:pPr>
        <w:tabs>
          <w:tab w:val="num" w:pos="1083"/>
        </w:tabs>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9" w15:restartNumberingAfterBreak="0">
    <w:nsid w:val="2B435324"/>
    <w:multiLevelType w:val="hybridMultilevel"/>
    <w:tmpl w:val="01543D1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2E75001E"/>
    <w:multiLevelType w:val="hybridMultilevel"/>
    <w:tmpl w:val="70086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B5490"/>
    <w:multiLevelType w:val="hybridMultilevel"/>
    <w:tmpl w:val="BFDE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24D0D"/>
    <w:multiLevelType w:val="hybridMultilevel"/>
    <w:tmpl w:val="271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23F40"/>
    <w:multiLevelType w:val="hybridMultilevel"/>
    <w:tmpl w:val="0846C178"/>
    <w:lvl w:ilvl="0" w:tplc="53CE5F36">
      <w:start w:val="1"/>
      <w:numFmt w:val="bullet"/>
      <w:lvlText w:val=""/>
      <w:lvlJc w:val="left"/>
      <w:pPr>
        <w:ind w:left="360" w:hanging="360"/>
      </w:pPr>
      <w:rPr>
        <w:rFonts w:ascii="Wingdings" w:hAnsi="Wingdings" w:hint="default"/>
        <w:color w:val="0070C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55461"/>
    <w:multiLevelType w:val="hybridMultilevel"/>
    <w:tmpl w:val="9C9CA68A"/>
    <w:lvl w:ilvl="0" w:tplc="DFE632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E01DD"/>
    <w:multiLevelType w:val="hybridMultilevel"/>
    <w:tmpl w:val="B0F676B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D31EB"/>
    <w:multiLevelType w:val="hybridMultilevel"/>
    <w:tmpl w:val="69766316"/>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4E529B"/>
    <w:multiLevelType w:val="hybridMultilevel"/>
    <w:tmpl w:val="21540D54"/>
    <w:lvl w:ilvl="0" w:tplc="04090001">
      <w:start w:val="1"/>
      <w:numFmt w:val="bullet"/>
      <w:lvlText w:val=""/>
      <w:lvlJc w:val="left"/>
      <w:pPr>
        <w:ind w:left="1440" w:hanging="360"/>
      </w:pPr>
      <w:rPr>
        <w:rFonts w:ascii="Symbol" w:hAnsi="Symbol" w:hint="default"/>
      </w:rPr>
    </w:lvl>
    <w:lvl w:ilvl="1" w:tplc="9D0A28F2">
      <w:numFmt w:val="bullet"/>
      <w:lvlText w:val="-"/>
      <w:lvlJc w:val="left"/>
      <w:pPr>
        <w:ind w:left="2490" w:hanging="690"/>
      </w:pPr>
      <w:rPr>
        <w:rFonts w:ascii="Tahoma" w:eastAsia="Times New Roman" w:hAnsi="Tahoma"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8273E"/>
    <w:multiLevelType w:val="hybridMultilevel"/>
    <w:tmpl w:val="9A6CAE3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12371"/>
    <w:multiLevelType w:val="hybridMultilevel"/>
    <w:tmpl w:val="98F431A0"/>
    <w:lvl w:ilvl="0" w:tplc="04090007">
      <w:start w:val="1"/>
      <w:numFmt w:val="bullet"/>
      <w:lvlText w:val=""/>
      <w:lvlPicBulletId w:val="0"/>
      <w:lvlJc w:val="left"/>
      <w:pPr>
        <w:ind w:left="360" w:hanging="360"/>
      </w:pPr>
      <w:rPr>
        <w:rFonts w:ascii="Symbol" w:hAnsi="Symbol" w:hint="default"/>
        <w:color w:val="0070C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0400E"/>
    <w:multiLevelType w:val="hybridMultilevel"/>
    <w:tmpl w:val="E8A6C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B6C"/>
    <w:multiLevelType w:val="hybridMultilevel"/>
    <w:tmpl w:val="35B84AAE"/>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990FBE"/>
    <w:multiLevelType w:val="hybridMultilevel"/>
    <w:tmpl w:val="F9864184"/>
    <w:lvl w:ilvl="0" w:tplc="9D401336">
      <w:start w:val="1"/>
      <w:numFmt w:val="upperRoman"/>
      <w:lvlText w:val="%1."/>
      <w:lvlJc w:val="right"/>
      <w:pPr>
        <w:ind w:left="720" w:hanging="360"/>
      </w:pPr>
      <w:rPr>
        <w:sz w:val="28"/>
        <w:szCs w:val="28"/>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1825635"/>
    <w:multiLevelType w:val="hybridMultilevel"/>
    <w:tmpl w:val="DE948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16583"/>
    <w:multiLevelType w:val="hybridMultilevel"/>
    <w:tmpl w:val="DCC045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91A1D"/>
    <w:multiLevelType w:val="hybridMultilevel"/>
    <w:tmpl w:val="A112A414"/>
    <w:lvl w:ilvl="0" w:tplc="32D6A768">
      <w:numFmt w:val="bullet"/>
      <w:lvlText w:val="-"/>
      <w:lvlJc w:val="left"/>
      <w:pPr>
        <w:ind w:left="1080" w:hanging="360"/>
      </w:pPr>
      <w:rPr>
        <w:rFonts w:ascii="Arial" w:eastAsia="Calibri"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75640"/>
    <w:multiLevelType w:val="hybridMultilevel"/>
    <w:tmpl w:val="2B5247F4"/>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855DF4"/>
    <w:multiLevelType w:val="hybridMultilevel"/>
    <w:tmpl w:val="2888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F290E"/>
    <w:multiLevelType w:val="hybridMultilevel"/>
    <w:tmpl w:val="7570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9"/>
  </w:num>
  <w:num w:numId="4">
    <w:abstractNumId w:val="14"/>
  </w:num>
  <w:num w:numId="5">
    <w:abstractNumId w:val="15"/>
  </w:num>
  <w:num w:numId="6">
    <w:abstractNumId w:val="31"/>
  </w:num>
  <w:num w:numId="7">
    <w:abstractNumId w:val="26"/>
  </w:num>
  <w:num w:numId="8">
    <w:abstractNumId w:val="37"/>
  </w:num>
  <w:num w:numId="9">
    <w:abstractNumId w:val="24"/>
  </w:num>
  <w:num w:numId="10">
    <w:abstractNumId w:val="18"/>
  </w:num>
  <w:num w:numId="11">
    <w:abstractNumId w:val="30"/>
  </w:num>
  <w:num w:numId="12">
    <w:abstractNumId w:val="10"/>
  </w:num>
  <w:num w:numId="13">
    <w:abstractNumId w:val="34"/>
  </w:num>
  <w:num w:numId="14">
    <w:abstractNumId w:val="13"/>
  </w:num>
  <w:num w:numId="15">
    <w:abstractNumId w:val="29"/>
  </w:num>
  <w:num w:numId="16">
    <w:abstractNumId w:val="23"/>
  </w:num>
  <w:num w:numId="17">
    <w:abstractNumId w:val="20"/>
  </w:num>
  <w:num w:numId="18">
    <w:abstractNumId w:val="25"/>
  </w:num>
  <w:num w:numId="19">
    <w:abstractNumId w:val="28"/>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7"/>
  </w:num>
  <w:num w:numId="28">
    <w:abstractNumId w:val="21"/>
  </w:num>
  <w:num w:numId="29">
    <w:abstractNumId w:val="11"/>
  </w:num>
  <w:num w:numId="30">
    <w:abstractNumId w:val="35"/>
  </w:num>
  <w:num w:numId="31">
    <w:abstractNumId w:val="38"/>
  </w:num>
  <w:num w:numId="32">
    <w:abstractNumId w:val="39"/>
  </w:num>
  <w:num w:numId="33">
    <w:abstractNumId w:val="16"/>
  </w:num>
  <w:num w:numId="34">
    <w:abstractNumId w:val="12"/>
  </w:num>
  <w:num w:numId="35">
    <w:abstractNumId w:val="22"/>
  </w:num>
  <w:num w:numId="36">
    <w:abstractNumId w:val="36"/>
  </w:num>
  <w:num w:numId="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372E"/>
    <w:rsid w:val="00004284"/>
    <w:rsid w:val="000051D6"/>
    <w:rsid w:val="00006DDD"/>
    <w:rsid w:val="00006FE6"/>
    <w:rsid w:val="000104AF"/>
    <w:rsid w:val="000143E5"/>
    <w:rsid w:val="0002178B"/>
    <w:rsid w:val="00022C4B"/>
    <w:rsid w:val="000237D2"/>
    <w:rsid w:val="0002588E"/>
    <w:rsid w:val="00027127"/>
    <w:rsid w:val="00035122"/>
    <w:rsid w:val="00041F1F"/>
    <w:rsid w:val="00041FC6"/>
    <w:rsid w:val="00046193"/>
    <w:rsid w:val="0005391F"/>
    <w:rsid w:val="00060926"/>
    <w:rsid w:val="00060B8F"/>
    <w:rsid w:val="00062C05"/>
    <w:rsid w:val="000651AF"/>
    <w:rsid w:val="0006566D"/>
    <w:rsid w:val="00065E24"/>
    <w:rsid w:val="00065F94"/>
    <w:rsid w:val="00066A53"/>
    <w:rsid w:val="0007115C"/>
    <w:rsid w:val="00072D0B"/>
    <w:rsid w:val="00075D5D"/>
    <w:rsid w:val="000760EA"/>
    <w:rsid w:val="00082A16"/>
    <w:rsid w:val="00083123"/>
    <w:rsid w:val="000875A8"/>
    <w:rsid w:val="00095E25"/>
    <w:rsid w:val="0009615F"/>
    <w:rsid w:val="000A187F"/>
    <w:rsid w:val="000A42BE"/>
    <w:rsid w:val="000A45A8"/>
    <w:rsid w:val="000A467F"/>
    <w:rsid w:val="000A5141"/>
    <w:rsid w:val="000B0BE3"/>
    <w:rsid w:val="000B4020"/>
    <w:rsid w:val="000B4B07"/>
    <w:rsid w:val="000B58BC"/>
    <w:rsid w:val="000B62ED"/>
    <w:rsid w:val="000B6552"/>
    <w:rsid w:val="000C0D1E"/>
    <w:rsid w:val="000C2870"/>
    <w:rsid w:val="000C4F84"/>
    <w:rsid w:val="000C50E2"/>
    <w:rsid w:val="000D2C11"/>
    <w:rsid w:val="000D37E6"/>
    <w:rsid w:val="000D44BC"/>
    <w:rsid w:val="000D46FB"/>
    <w:rsid w:val="000D4824"/>
    <w:rsid w:val="000E2E18"/>
    <w:rsid w:val="000E6911"/>
    <w:rsid w:val="000F1076"/>
    <w:rsid w:val="000F490F"/>
    <w:rsid w:val="000F4C1E"/>
    <w:rsid w:val="00101413"/>
    <w:rsid w:val="00103FD9"/>
    <w:rsid w:val="00105A75"/>
    <w:rsid w:val="001069C2"/>
    <w:rsid w:val="00107683"/>
    <w:rsid w:val="00112846"/>
    <w:rsid w:val="00114DB1"/>
    <w:rsid w:val="00125108"/>
    <w:rsid w:val="0013047C"/>
    <w:rsid w:val="00130B57"/>
    <w:rsid w:val="00135155"/>
    <w:rsid w:val="001353BC"/>
    <w:rsid w:val="0014197B"/>
    <w:rsid w:val="00142048"/>
    <w:rsid w:val="00144AEE"/>
    <w:rsid w:val="001465BE"/>
    <w:rsid w:val="00146B8D"/>
    <w:rsid w:val="00147BBC"/>
    <w:rsid w:val="00152A7A"/>
    <w:rsid w:val="001539BB"/>
    <w:rsid w:val="00154D8A"/>
    <w:rsid w:val="00155877"/>
    <w:rsid w:val="00155F43"/>
    <w:rsid w:val="001560A0"/>
    <w:rsid w:val="00164927"/>
    <w:rsid w:val="001678F2"/>
    <w:rsid w:val="00170CA1"/>
    <w:rsid w:val="00174F48"/>
    <w:rsid w:val="0017578C"/>
    <w:rsid w:val="00175817"/>
    <w:rsid w:val="00176922"/>
    <w:rsid w:val="00180D48"/>
    <w:rsid w:val="00182ADA"/>
    <w:rsid w:val="00183827"/>
    <w:rsid w:val="001854D7"/>
    <w:rsid w:val="00191D8D"/>
    <w:rsid w:val="001923CA"/>
    <w:rsid w:val="00196744"/>
    <w:rsid w:val="001975D6"/>
    <w:rsid w:val="00197AF4"/>
    <w:rsid w:val="001A1773"/>
    <w:rsid w:val="001B0710"/>
    <w:rsid w:val="001B347E"/>
    <w:rsid w:val="001B5B69"/>
    <w:rsid w:val="001B5DB9"/>
    <w:rsid w:val="001B7BED"/>
    <w:rsid w:val="001C38E5"/>
    <w:rsid w:val="001C550F"/>
    <w:rsid w:val="001C7589"/>
    <w:rsid w:val="001D00F4"/>
    <w:rsid w:val="001D0E4D"/>
    <w:rsid w:val="001D1F40"/>
    <w:rsid w:val="001D24F5"/>
    <w:rsid w:val="001D50A8"/>
    <w:rsid w:val="001D6AFE"/>
    <w:rsid w:val="001D7612"/>
    <w:rsid w:val="001E06CD"/>
    <w:rsid w:val="001E0833"/>
    <w:rsid w:val="001E1FAC"/>
    <w:rsid w:val="001E2C30"/>
    <w:rsid w:val="001E319D"/>
    <w:rsid w:val="001E31E7"/>
    <w:rsid w:val="001E5189"/>
    <w:rsid w:val="001E69E1"/>
    <w:rsid w:val="001F084B"/>
    <w:rsid w:val="001F1551"/>
    <w:rsid w:val="001F2287"/>
    <w:rsid w:val="001F31C5"/>
    <w:rsid w:val="001F321D"/>
    <w:rsid w:val="001F32FE"/>
    <w:rsid w:val="001F3C47"/>
    <w:rsid w:val="001F43A9"/>
    <w:rsid w:val="001F48D1"/>
    <w:rsid w:val="001F4C0B"/>
    <w:rsid w:val="001F5A79"/>
    <w:rsid w:val="00203544"/>
    <w:rsid w:val="00203737"/>
    <w:rsid w:val="002041FC"/>
    <w:rsid w:val="00207D12"/>
    <w:rsid w:val="00220441"/>
    <w:rsid w:val="0022310F"/>
    <w:rsid w:val="00223FB5"/>
    <w:rsid w:val="00224048"/>
    <w:rsid w:val="0022607D"/>
    <w:rsid w:val="002272FA"/>
    <w:rsid w:val="0022798C"/>
    <w:rsid w:val="00232029"/>
    <w:rsid w:val="00232B17"/>
    <w:rsid w:val="00232B3C"/>
    <w:rsid w:val="00233ECC"/>
    <w:rsid w:val="002345FB"/>
    <w:rsid w:val="002370C1"/>
    <w:rsid w:val="00240A85"/>
    <w:rsid w:val="00241EAF"/>
    <w:rsid w:val="00243772"/>
    <w:rsid w:val="00243CA2"/>
    <w:rsid w:val="0024450C"/>
    <w:rsid w:val="00245C93"/>
    <w:rsid w:val="00246571"/>
    <w:rsid w:val="00246A95"/>
    <w:rsid w:val="00247A3D"/>
    <w:rsid w:val="00247C20"/>
    <w:rsid w:val="00252971"/>
    <w:rsid w:val="00252A5C"/>
    <w:rsid w:val="002548C2"/>
    <w:rsid w:val="00254FAB"/>
    <w:rsid w:val="00255C16"/>
    <w:rsid w:val="00257DF0"/>
    <w:rsid w:val="00261FFF"/>
    <w:rsid w:val="00262D00"/>
    <w:rsid w:val="00263CFA"/>
    <w:rsid w:val="00267B7C"/>
    <w:rsid w:val="002709B7"/>
    <w:rsid w:val="0028001B"/>
    <w:rsid w:val="00281576"/>
    <w:rsid w:val="0028202A"/>
    <w:rsid w:val="002833B0"/>
    <w:rsid w:val="00287682"/>
    <w:rsid w:val="002906CC"/>
    <w:rsid w:val="0029235E"/>
    <w:rsid w:val="0029705B"/>
    <w:rsid w:val="002A09CE"/>
    <w:rsid w:val="002A0B6B"/>
    <w:rsid w:val="002A5037"/>
    <w:rsid w:val="002A6579"/>
    <w:rsid w:val="002B7453"/>
    <w:rsid w:val="002C20D1"/>
    <w:rsid w:val="002C2A7E"/>
    <w:rsid w:val="002C4907"/>
    <w:rsid w:val="002C4AF9"/>
    <w:rsid w:val="002C5421"/>
    <w:rsid w:val="002C59D7"/>
    <w:rsid w:val="002C7092"/>
    <w:rsid w:val="002C735C"/>
    <w:rsid w:val="002E037D"/>
    <w:rsid w:val="002E0C30"/>
    <w:rsid w:val="002E13BC"/>
    <w:rsid w:val="002E7CD9"/>
    <w:rsid w:val="002F1039"/>
    <w:rsid w:val="002F1D42"/>
    <w:rsid w:val="002F2E52"/>
    <w:rsid w:val="002F6658"/>
    <w:rsid w:val="002F6A9D"/>
    <w:rsid w:val="003058A8"/>
    <w:rsid w:val="00307398"/>
    <w:rsid w:val="00310CE6"/>
    <w:rsid w:val="00314A7F"/>
    <w:rsid w:val="00317481"/>
    <w:rsid w:val="00321DAB"/>
    <w:rsid w:val="00322155"/>
    <w:rsid w:val="00322869"/>
    <w:rsid w:val="00325490"/>
    <w:rsid w:val="003349C9"/>
    <w:rsid w:val="00335B91"/>
    <w:rsid w:val="00336A90"/>
    <w:rsid w:val="003377E8"/>
    <w:rsid w:val="00342188"/>
    <w:rsid w:val="00344701"/>
    <w:rsid w:val="00344803"/>
    <w:rsid w:val="0034492A"/>
    <w:rsid w:val="00346FFE"/>
    <w:rsid w:val="00352140"/>
    <w:rsid w:val="0035238C"/>
    <w:rsid w:val="00354017"/>
    <w:rsid w:val="0035563D"/>
    <w:rsid w:val="003559AB"/>
    <w:rsid w:val="00355DAA"/>
    <w:rsid w:val="0036088B"/>
    <w:rsid w:val="00363BC9"/>
    <w:rsid w:val="00364FD9"/>
    <w:rsid w:val="0037198B"/>
    <w:rsid w:val="00374ADC"/>
    <w:rsid w:val="003756B8"/>
    <w:rsid w:val="0038426B"/>
    <w:rsid w:val="0038491E"/>
    <w:rsid w:val="00384D95"/>
    <w:rsid w:val="003862B4"/>
    <w:rsid w:val="00386E53"/>
    <w:rsid w:val="003939C7"/>
    <w:rsid w:val="0039516A"/>
    <w:rsid w:val="00395E39"/>
    <w:rsid w:val="00395F32"/>
    <w:rsid w:val="00396FCE"/>
    <w:rsid w:val="00397284"/>
    <w:rsid w:val="003A0173"/>
    <w:rsid w:val="003A073E"/>
    <w:rsid w:val="003A3260"/>
    <w:rsid w:val="003A4653"/>
    <w:rsid w:val="003A4DF3"/>
    <w:rsid w:val="003A60AB"/>
    <w:rsid w:val="003B0A83"/>
    <w:rsid w:val="003B21F0"/>
    <w:rsid w:val="003B2CDF"/>
    <w:rsid w:val="003B3BFB"/>
    <w:rsid w:val="003B4BED"/>
    <w:rsid w:val="003B4EA0"/>
    <w:rsid w:val="003B531C"/>
    <w:rsid w:val="003B67BB"/>
    <w:rsid w:val="003C2245"/>
    <w:rsid w:val="003C2741"/>
    <w:rsid w:val="003C3D89"/>
    <w:rsid w:val="003C6123"/>
    <w:rsid w:val="003C6EA0"/>
    <w:rsid w:val="003D0192"/>
    <w:rsid w:val="003D3922"/>
    <w:rsid w:val="003D45EA"/>
    <w:rsid w:val="003D547F"/>
    <w:rsid w:val="003E2B48"/>
    <w:rsid w:val="003E4D3E"/>
    <w:rsid w:val="003E5124"/>
    <w:rsid w:val="003E54CD"/>
    <w:rsid w:val="003E578C"/>
    <w:rsid w:val="003E5810"/>
    <w:rsid w:val="003E5F89"/>
    <w:rsid w:val="003F52E7"/>
    <w:rsid w:val="00406434"/>
    <w:rsid w:val="00406F25"/>
    <w:rsid w:val="00410C9F"/>
    <w:rsid w:val="00417332"/>
    <w:rsid w:val="0042309C"/>
    <w:rsid w:val="00423241"/>
    <w:rsid w:val="00423DE6"/>
    <w:rsid w:val="00424AFB"/>
    <w:rsid w:val="00427577"/>
    <w:rsid w:val="0044034D"/>
    <w:rsid w:val="004403C4"/>
    <w:rsid w:val="00441064"/>
    <w:rsid w:val="00441939"/>
    <w:rsid w:val="004423E3"/>
    <w:rsid w:val="004438F1"/>
    <w:rsid w:val="00446370"/>
    <w:rsid w:val="00446691"/>
    <w:rsid w:val="00446D9C"/>
    <w:rsid w:val="00450537"/>
    <w:rsid w:val="0045273D"/>
    <w:rsid w:val="00452E2C"/>
    <w:rsid w:val="00454FF6"/>
    <w:rsid w:val="00460FE7"/>
    <w:rsid w:val="00461A21"/>
    <w:rsid w:val="00462BD1"/>
    <w:rsid w:val="0046391D"/>
    <w:rsid w:val="004643B9"/>
    <w:rsid w:val="00467C3F"/>
    <w:rsid w:val="004718ED"/>
    <w:rsid w:val="0047248B"/>
    <w:rsid w:val="0047574B"/>
    <w:rsid w:val="0047638C"/>
    <w:rsid w:val="00483010"/>
    <w:rsid w:val="0049243D"/>
    <w:rsid w:val="00493544"/>
    <w:rsid w:val="00493E89"/>
    <w:rsid w:val="004951E1"/>
    <w:rsid w:val="004A08DA"/>
    <w:rsid w:val="004A0EFF"/>
    <w:rsid w:val="004A3C3B"/>
    <w:rsid w:val="004A4210"/>
    <w:rsid w:val="004A771A"/>
    <w:rsid w:val="004B06D1"/>
    <w:rsid w:val="004B1BA4"/>
    <w:rsid w:val="004B29EF"/>
    <w:rsid w:val="004B7464"/>
    <w:rsid w:val="004B7596"/>
    <w:rsid w:val="004C2007"/>
    <w:rsid w:val="004C393E"/>
    <w:rsid w:val="004D011C"/>
    <w:rsid w:val="004D3BAE"/>
    <w:rsid w:val="004D5C98"/>
    <w:rsid w:val="004D5CE1"/>
    <w:rsid w:val="004D6D76"/>
    <w:rsid w:val="004D7BBF"/>
    <w:rsid w:val="004E2452"/>
    <w:rsid w:val="004E406D"/>
    <w:rsid w:val="004E4A0E"/>
    <w:rsid w:val="004E4C99"/>
    <w:rsid w:val="004E6286"/>
    <w:rsid w:val="004E6491"/>
    <w:rsid w:val="004F494F"/>
    <w:rsid w:val="00500555"/>
    <w:rsid w:val="0050101A"/>
    <w:rsid w:val="00503B0B"/>
    <w:rsid w:val="005102E2"/>
    <w:rsid w:val="005125A1"/>
    <w:rsid w:val="00525D24"/>
    <w:rsid w:val="005275F7"/>
    <w:rsid w:val="005310FA"/>
    <w:rsid w:val="00531D75"/>
    <w:rsid w:val="00531E2B"/>
    <w:rsid w:val="00532478"/>
    <w:rsid w:val="00532C95"/>
    <w:rsid w:val="00532D81"/>
    <w:rsid w:val="005364D7"/>
    <w:rsid w:val="00540515"/>
    <w:rsid w:val="00540A55"/>
    <w:rsid w:val="00542B5F"/>
    <w:rsid w:val="00542CC9"/>
    <w:rsid w:val="005476C0"/>
    <w:rsid w:val="0055033A"/>
    <w:rsid w:val="0055194F"/>
    <w:rsid w:val="00552F13"/>
    <w:rsid w:val="00553F89"/>
    <w:rsid w:val="00553FEF"/>
    <w:rsid w:val="0056154D"/>
    <w:rsid w:val="00563406"/>
    <w:rsid w:val="0056394B"/>
    <w:rsid w:val="0056581A"/>
    <w:rsid w:val="00565CBC"/>
    <w:rsid w:val="005663C4"/>
    <w:rsid w:val="00570371"/>
    <w:rsid w:val="00572238"/>
    <w:rsid w:val="0057284B"/>
    <w:rsid w:val="00575968"/>
    <w:rsid w:val="0057610D"/>
    <w:rsid w:val="0058067F"/>
    <w:rsid w:val="005838E1"/>
    <w:rsid w:val="00583D0F"/>
    <w:rsid w:val="00584125"/>
    <w:rsid w:val="00593732"/>
    <w:rsid w:val="0059391B"/>
    <w:rsid w:val="00593AD9"/>
    <w:rsid w:val="00593BF0"/>
    <w:rsid w:val="00593EBF"/>
    <w:rsid w:val="005A11EE"/>
    <w:rsid w:val="005A1564"/>
    <w:rsid w:val="005B6AC1"/>
    <w:rsid w:val="005C0BC2"/>
    <w:rsid w:val="005C110D"/>
    <w:rsid w:val="005C1C87"/>
    <w:rsid w:val="005C6217"/>
    <w:rsid w:val="005D1DFE"/>
    <w:rsid w:val="005D50AA"/>
    <w:rsid w:val="005D7882"/>
    <w:rsid w:val="005D7E97"/>
    <w:rsid w:val="005D7EDA"/>
    <w:rsid w:val="005E1CA4"/>
    <w:rsid w:val="005E75A2"/>
    <w:rsid w:val="005F3D5F"/>
    <w:rsid w:val="005F4FAC"/>
    <w:rsid w:val="005F757C"/>
    <w:rsid w:val="00601209"/>
    <w:rsid w:val="00601CFD"/>
    <w:rsid w:val="00603266"/>
    <w:rsid w:val="00605688"/>
    <w:rsid w:val="006155BE"/>
    <w:rsid w:val="006201A9"/>
    <w:rsid w:val="00625C55"/>
    <w:rsid w:val="006305B7"/>
    <w:rsid w:val="00640213"/>
    <w:rsid w:val="006407D7"/>
    <w:rsid w:val="00641476"/>
    <w:rsid w:val="00642BCD"/>
    <w:rsid w:val="00642CE8"/>
    <w:rsid w:val="00652CF8"/>
    <w:rsid w:val="0066026C"/>
    <w:rsid w:val="0066051B"/>
    <w:rsid w:val="0066166E"/>
    <w:rsid w:val="006662DC"/>
    <w:rsid w:val="00666AAF"/>
    <w:rsid w:val="006719EC"/>
    <w:rsid w:val="0067249A"/>
    <w:rsid w:val="0067614C"/>
    <w:rsid w:val="00683F49"/>
    <w:rsid w:val="00684CFD"/>
    <w:rsid w:val="006877BA"/>
    <w:rsid w:val="00690D36"/>
    <w:rsid w:val="00691938"/>
    <w:rsid w:val="00692CF5"/>
    <w:rsid w:val="006A029E"/>
    <w:rsid w:val="006A1B46"/>
    <w:rsid w:val="006A31C3"/>
    <w:rsid w:val="006A580B"/>
    <w:rsid w:val="006A7316"/>
    <w:rsid w:val="006B1124"/>
    <w:rsid w:val="006B3FB0"/>
    <w:rsid w:val="006B43C4"/>
    <w:rsid w:val="006C1E1F"/>
    <w:rsid w:val="006C2F78"/>
    <w:rsid w:val="006D4230"/>
    <w:rsid w:val="006D599B"/>
    <w:rsid w:val="006D6E71"/>
    <w:rsid w:val="006E1E76"/>
    <w:rsid w:val="006E4607"/>
    <w:rsid w:val="006E5C9D"/>
    <w:rsid w:val="006E60E3"/>
    <w:rsid w:val="006E6C8A"/>
    <w:rsid w:val="006F1516"/>
    <w:rsid w:val="006F1DBF"/>
    <w:rsid w:val="006F3E60"/>
    <w:rsid w:val="006F4BE5"/>
    <w:rsid w:val="006F6943"/>
    <w:rsid w:val="006F7F65"/>
    <w:rsid w:val="00704D34"/>
    <w:rsid w:val="007111AF"/>
    <w:rsid w:val="00711E39"/>
    <w:rsid w:val="007122F6"/>
    <w:rsid w:val="00714936"/>
    <w:rsid w:val="007167DE"/>
    <w:rsid w:val="00717011"/>
    <w:rsid w:val="007207DF"/>
    <w:rsid w:val="00724E48"/>
    <w:rsid w:val="00725544"/>
    <w:rsid w:val="007350FB"/>
    <w:rsid w:val="00736262"/>
    <w:rsid w:val="0074137E"/>
    <w:rsid w:val="007414A5"/>
    <w:rsid w:val="00741CC2"/>
    <w:rsid w:val="00743B20"/>
    <w:rsid w:val="00746146"/>
    <w:rsid w:val="007476A4"/>
    <w:rsid w:val="00752570"/>
    <w:rsid w:val="007530B8"/>
    <w:rsid w:val="007577B2"/>
    <w:rsid w:val="007614E0"/>
    <w:rsid w:val="007679CE"/>
    <w:rsid w:val="00770409"/>
    <w:rsid w:val="007747E1"/>
    <w:rsid w:val="0077567F"/>
    <w:rsid w:val="007773AC"/>
    <w:rsid w:val="00781BE6"/>
    <w:rsid w:val="00782D90"/>
    <w:rsid w:val="007839F1"/>
    <w:rsid w:val="00786028"/>
    <w:rsid w:val="00790092"/>
    <w:rsid w:val="00791E81"/>
    <w:rsid w:val="00795E7B"/>
    <w:rsid w:val="00796829"/>
    <w:rsid w:val="007A127B"/>
    <w:rsid w:val="007A2B25"/>
    <w:rsid w:val="007A351E"/>
    <w:rsid w:val="007B0021"/>
    <w:rsid w:val="007B08BF"/>
    <w:rsid w:val="007B17E9"/>
    <w:rsid w:val="007B1A18"/>
    <w:rsid w:val="007B4527"/>
    <w:rsid w:val="007B4E33"/>
    <w:rsid w:val="007B7DE2"/>
    <w:rsid w:val="007C0390"/>
    <w:rsid w:val="007C4F03"/>
    <w:rsid w:val="007C6588"/>
    <w:rsid w:val="007C683C"/>
    <w:rsid w:val="007D49B8"/>
    <w:rsid w:val="007D65E1"/>
    <w:rsid w:val="007D7ADB"/>
    <w:rsid w:val="007E04FF"/>
    <w:rsid w:val="007E210A"/>
    <w:rsid w:val="007E5C0F"/>
    <w:rsid w:val="007E60D5"/>
    <w:rsid w:val="007F4DCB"/>
    <w:rsid w:val="007F5818"/>
    <w:rsid w:val="007F7878"/>
    <w:rsid w:val="008036B9"/>
    <w:rsid w:val="00807335"/>
    <w:rsid w:val="00811F59"/>
    <w:rsid w:val="00817B53"/>
    <w:rsid w:val="008202F3"/>
    <w:rsid w:val="0082412C"/>
    <w:rsid w:val="00824400"/>
    <w:rsid w:val="00827AEF"/>
    <w:rsid w:val="00830F0D"/>
    <w:rsid w:val="008341A9"/>
    <w:rsid w:val="008412C1"/>
    <w:rsid w:val="00847368"/>
    <w:rsid w:val="00851553"/>
    <w:rsid w:val="00857E54"/>
    <w:rsid w:val="00860E3D"/>
    <w:rsid w:val="00862FCF"/>
    <w:rsid w:val="008643B0"/>
    <w:rsid w:val="0086691C"/>
    <w:rsid w:val="008671A9"/>
    <w:rsid w:val="008710E6"/>
    <w:rsid w:val="008765E8"/>
    <w:rsid w:val="008807C7"/>
    <w:rsid w:val="008850D6"/>
    <w:rsid w:val="0088572D"/>
    <w:rsid w:val="008863DB"/>
    <w:rsid w:val="0088641E"/>
    <w:rsid w:val="00891FD6"/>
    <w:rsid w:val="00896646"/>
    <w:rsid w:val="008A09B8"/>
    <w:rsid w:val="008A303F"/>
    <w:rsid w:val="008A3A90"/>
    <w:rsid w:val="008A3D57"/>
    <w:rsid w:val="008A401A"/>
    <w:rsid w:val="008A5038"/>
    <w:rsid w:val="008A65A5"/>
    <w:rsid w:val="008A6C73"/>
    <w:rsid w:val="008A700D"/>
    <w:rsid w:val="008A7F0F"/>
    <w:rsid w:val="008B3560"/>
    <w:rsid w:val="008B41F6"/>
    <w:rsid w:val="008B4FEA"/>
    <w:rsid w:val="008B509B"/>
    <w:rsid w:val="008B5F61"/>
    <w:rsid w:val="008B66B3"/>
    <w:rsid w:val="008C3835"/>
    <w:rsid w:val="008C70D1"/>
    <w:rsid w:val="008D0A2E"/>
    <w:rsid w:val="008D3109"/>
    <w:rsid w:val="008D4FE6"/>
    <w:rsid w:val="008D6F4B"/>
    <w:rsid w:val="008E3EC0"/>
    <w:rsid w:val="008E4B1D"/>
    <w:rsid w:val="008E79B3"/>
    <w:rsid w:val="008F3967"/>
    <w:rsid w:val="008F794B"/>
    <w:rsid w:val="008F7BBB"/>
    <w:rsid w:val="009015CD"/>
    <w:rsid w:val="009063D5"/>
    <w:rsid w:val="00906A7E"/>
    <w:rsid w:val="00907B10"/>
    <w:rsid w:val="009124C0"/>
    <w:rsid w:val="009125DC"/>
    <w:rsid w:val="0091264D"/>
    <w:rsid w:val="009131FA"/>
    <w:rsid w:val="0091356D"/>
    <w:rsid w:val="009168ED"/>
    <w:rsid w:val="00927413"/>
    <w:rsid w:val="009306D3"/>
    <w:rsid w:val="00932C9E"/>
    <w:rsid w:val="009364F0"/>
    <w:rsid w:val="00937CD4"/>
    <w:rsid w:val="00940BDB"/>
    <w:rsid w:val="009414F6"/>
    <w:rsid w:val="00945CDE"/>
    <w:rsid w:val="009470EB"/>
    <w:rsid w:val="00950E71"/>
    <w:rsid w:val="0095144E"/>
    <w:rsid w:val="009528B3"/>
    <w:rsid w:val="00953D2F"/>
    <w:rsid w:val="0095421F"/>
    <w:rsid w:val="009550A2"/>
    <w:rsid w:val="009563D4"/>
    <w:rsid w:val="00956912"/>
    <w:rsid w:val="00962D99"/>
    <w:rsid w:val="00964748"/>
    <w:rsid w:val="0096611E"/>
    <w:rsid w:val="00966841"/>
    <w:rsid w:val="00966F56"/>
    <w:rsid w:val="00967266"/>
    <w:rsid w:val="00967BE6"/>
    <w:rsid w:val="00967C0E"/>
    <w:rsid w:val="00967D74"/>
    <w:rsid w:val="00967F17"/>
    <w:rsid w:val="00970F67"/>
    <w:rsid w:val="009727CF"/>
    <w:rsid w:val="0097351C"/>
    <w:rsid w:val="0097454A"/>
    <w:rsid w:val="00974E1A"/>
    <w:rsid w:val="009754AE"/>
    <w:rsid w:val="00976EAC"/>
    <w:rsid w:val="00976F3B"/>
    <w:rsid w:val="009774BD"/>
    <w:rsid w:val="009778A4"/>
    <w:rsid w:val="009815B7"/>
    <w:rsid w:val="00987A6E"/>
    <w:rsid w:val="009904E3"/>
    <w:rsid w:val="00992663"/>
    <w:rsid w:val="00992D80"/>
    <w:rsid w:val="00993C27"/>
    <w:rsid w:val="00994357"/>
    <w:rsid w:val="009961AE"/>
    <w:rsid w:val="009A0BD2"/>
    <w:rsid w:val="009A5AAA"/>
    <w:rsid w:val="009A5B3C"/>
    <w:rsid w:val="009B308F"/>
    <w:rsid w:val="009B41A3"/>
    <w:rsid w:val="009B633E"/>
    <w:rsid w:val="009C2A3D"/>
    <w:rsid w:val="009C6832"/>
    <w:rsid w:val="009C6F21"/>
    <w:rsid w:val="009C7DAD"/>
    <w:rsid w:val="009D0987"/>
    <w:rsid w:val="009D0A50"/>
    <w:rsid w:val="009D12F9"/>
    <w:rsid w:val="009D2DDA"/>
    <w:rsid w:val="009D6D45"/>
    <w:rsid w:val="009E25E4"/>
    <w:rsid w:val="009E28CB"/>
    <w:rsid w:val="009E3601"/>
    <w:rsid w:val="009E565A"/>
    <w:rsid w:val="009F4875"/>
    <w:rsid w:val="009F530E"/>
    <w:rsid w:val="009F540F"/>
    <w:rsid w:val="009F58DB"/>
    <w:rsid w:val="009F5991"/>
    <w:rsid w:val="00A04D92"/>
    <w:rsid w:val="00A04E91"/>
    <w:rsid w:val="00A052E0"/>
    <w:rsid w:val="00A057AC"/>
    <w:rsid w:val="00A103CF"/>
    <w:rsid w:val="00A12797"/>
    <w:rsid w:val="00A139E7"/>
    <w:rsid w:val="00A13D67"/>
    <w:rsid w:val="00A16A2C"/>
    <w:rsid w:val="00A218DA"/>
    <w:rsid w:val="00A22653"/>
    <w:rsid w:val="00A249D5"/>
    <w:rsid w:val="00A26E1A"/>
    <w:rsid w:val="00A33947"/>
    <w:rsid w:val="00A344D2"/>
    <w:rsid w:val="00A34C4D"/>
    <w:rsid w:val="00A35247"/>
    <w:rsid w:val="00A35B54"/>
    <w:rsid w:val="00A374E1"/>
    <w:rsid w:val="00A40CBD"/>
    <w:rsid w:val="00A41270"/>
    <w:rsid w:val="00A442C4"/>
    <w:rsid w:val="00A44484"/>
    <w:rsid w:val="00A47438"/>
    <w:rsid w:val="00A5281E"/>
    <w:rsid w:val="00A575FB"/>
    <w:rsid w:val="00A627A5"/>
    <w:rsid w:val="00A627FC"/>
    <w:rsid w:val="00A62D1E"/>
    <w:rsid w:val="00A63A72"/>
    <w:rsid w:val="00A64C15"/>
    <w:rsid w:val="00A7299C"/>
    <w:rsid w:val="00A819FF"/>
    <w:rsid w:val="00A84AAE"/>
    <w:rsid w:val="00A86CA9"/>
    <w:rsid w:val="00A86D78"/>
    <w:rsid w:val="00A86FB2"/>
    <w:rsid w:val="00A90310"/>
    <w:rsid w:val="00A90B77"/>
    <w:rsid w:val="00A92000"/>
    <w:rsid w:val="00A9347D"/>
    <w:rsid w:val="00A9353E"/>
    <w:rsid w:val="00A9590F"/>
    <w:rsid w:val="00A95C7E"/>
    <w:rsid w:val="00AA1EED"/>
    <w:rsid w:val="00AA3311"/>
    <w:rsid w:val="00AA4AEA"/>
    <w:rsid w:val="00AA6F58"/>
    <w:rsid w:val="00AB33F7"/>
    <w:rsid w:val="00AB37A9"/>
    <w:rsid w:val="00AB659D"/>
    <w:rsid w:val="00AC2F73"/>
    <w:rsid w:val="00AC4B34"/>
    <w:rsid w:val="00AC4DFB"/>
    <w:rsid w:val="00AC5A02"/>
    <w:rsid w:val="00AC672E"/>
    <w:rsid w:val="00AC7789"/>
    <w:rsid w:val="00AD228D"/>
    <w:rsid w:val="00AD6713"/>
    <w:rsid w:val="00AD76A1"/>
    <w:rsid w:val="00AE1944"/>
    <w:rsid w:val="00AE3CDA"/>
    <w:rsid w:val="00AE4A80"/>
    <w:rsid w:val="00AF2E60"/>
    <w:rsid w:val="00AF4AA5"/>
    <w:rsid w:val="00AF5CFF"/>
    <w:rsid w:val="00AF6727"/>
    <w:rsid w:val="00AF7D33"/>
    <w:rsid w:val="00B008D3"/>
    <w:rsid w:val="00B04F04"/>
    <w:rsid w:val="00B07B31"/>
    <w:rsid w:val="00B07E4B"/>
    <w:rsid w:val="00B11A59"/>
    <w:rsid w:val="00B148E5"/>
    <w:rsid w:val="00B16822"/>
    <w:rsid w:val="00B16B4E"/>
    <w:rsid w:val="00B21A9C"/>
    <w:rsid w:val="00B2471C"/>
    <w:rsid w:val="00B34009"/>
    <w:rsid w:val="00B435CF"/>
    <w:rsid w:val="00B450D8"/>
    <w:rsid w:val="00B45E6F"/>
    <w:rsid w:val="00B5327A"/>
    <w:rsid w:val="00B53BB3"/>
    <w:rsid w:val="00B541BA"/>
    <w:rsid w:val="00B55097"/>
    <w:rsid w:val="00B56A27"/>
    <w:rsid w:val="00B57278"/>
    <w:rsid w:val="00B573EC"/>
    <w:rsid w:val="00B623BF"/>
    <w:rsid w:val="00B625AC"/>
    <w:rsid w:val="00B6374D"/>
    <w:rsid w:val="00B647C8"/>
    <w:rsid w:val="00B64F48"/>
    <w:rsid w:val="00B65E35"/>
    <w:rsid w:val="00B7596C"/>
    <w:rsid w:val="00B76DC7"/>
    <w:rsid w:val="00B8349F"/>
    <w:rsid w:val="00B83B89"/>
    <w:rsid w:val="00B86007"/>
    <w:rsid w:val="00B8712E"/>
    <w:rsid w:val="00B945E2"/>
    <w:rsid w:val="00B959AD"/>
    <w:rsid w:val="00BA2D78"/>
    <w:rsid w:val="00BA444B"/>
    <w:rsid w:val="00BA56F1"/>
    <w:rsid w:val="00BA6E6C"/>
    <w:rsid w:val="00BA7EC0"/>
    <w:rsid w:val="00BB0851"/>
    <w:rsid w:val="00BB23A6"/>
    <w:rsid w:val="00BB6124"/>
    <w:rsid w:val="00BC1133"/>
    <w:rsid w:val="00BC12CB"/>
    <w:rsid w:val="00BC3785"/>
    <w:rsid w:val="00BC70E3"/>
    <w:rsid w:val="00BD4E32"/>
    <w:rsid w:val="00BD6D46"/>
    <w:rsid w:val="00BD7225"/>
    <w:rsid w:val="00BD7F81"/>
    <w:rsid w:val="00BF4126"/>
    <w:rsid w:val="00BF53AD"/>
    <w:rsid w:val="00BF6126"/>
    <w:rsid w:val="00BF6441"/>
    <w:rsid w:val="00BF6828"/>
    <w:rsid w:val="00C00E3B"/>
    <w:rsid w:val="00C0259A"/>
    <w:rsid w:val="00C133ED"/>
    <w:rsid w:val="00C1502A"/>
    <w:rsid w:val="00C177AA"/>
    <w:rsid w:val="00C17A77"/>
    <w:rsid w:val="00C21D8D"/>
    <w:rsid w:val="00C26256"/>
    <w:rsid w:val="00C265A3"/>
    <w:rsid w:val="00C26D04"/>
    <w:rsid w:val="00C275C5"/>
    <w:rsid w:val="00C27619"/>
    <w:rsid w:val="00C27F72"/>
    <w:rsid w:val="00C3380F"/>
    <w:rsid w:val="00C351B9"/>
    <w:rsid w:val="00C3536F"/>
    <w:rsid w:val="00C36EA2"/>
    <w:rsid w:val="00C375A2"/>
    <w:rsid w:val="00C37CBF"/>
    <w:rsid w:val="00C40A07"/>
    <w:rsid w:val="00C40D75"/>
    <w:rsid w:val="00C410EC"/>
    <w:rsid w:val="00C4132E"/>
    <w:rsid w:val="00C425E2"/>
    <w:rsid w:val="00C426B5"/>
    <w:rsid w:val="00C42E49"/>
    <w:rsid w:val="00C43AD2"/>
    <w:rsid w:val="00C45B65"/>
    <w:rsid w:val="00C52CA7"/>
    <w:rsid w:val="00C60107"/>
    <w:rsid w:val="00C64251"/>
    <w:rsid w:val="00C662AF"/>
    <w:rsid w:val="00C714D4"/>
    <w:rsid w:val="00C75356"/>
    <w:rsid w:val="00C76042"/>
    <w:rsid w:val="00C767FF"/>
    <w:rsid w:val="00C77CAD"/>
    <w:rsid w:val="00C82AAE"/>
    <w:rsid w:val="00C8367B"/>
    <w:rsid w:val="00C83A32"/>
    <w:rsid w:val="00C8524B"/>
    <w:rsid w:val="00C86610"/>
    <w:rsid w:val="00C90D1D"/>
    <w:rsid w:val="00C90ED7"/>
    <w:rsid w:val="00C9249F"/>
    <w:rsid w:val="00C95CDE"/>
    <w:rsid w:val="00CA2597"/>
    <w:rsid w:val="00CA3B04"/>
    <w:rsid w:val="00CA6E98"/>
    <w:rsid w:val="00CB0DBE"/>
    <w:rsid w:val="00CB1A21"/>
    <w:rsid w:val="00CB6389"/>
    <w:rsid w:val="00CB74F0"/>
    <w:rsid w:val="00CC0032"/>
    <w:rsid w:val="00CC4277"/>
    <w:rsid w:val="00CD629E"/>
    <w:rsid w:val="00CD7EDF"/>
    <w:rsid w:val="00CE0651"/>
    <w:rsid w:val="00CE1F98"/>
    <w:rsid w:val="00CE2273"/>
    <w:rsid w:val="00CE22AC"/>
    <w:rsid w:val="00CE2770"/>
    <w:rsid w:val="00CF0E9F"/>
    <w:rsid w:val="00CF2AF0"/>
    <w:rsid w:val="00CF2CD8"/>
    <w:rsid w:val="00CF4AAA"/>
    <w:rsid w:val="00CF5A1F"/>
    <w:rsid w:val="00CF7F6B"/>
    <w:rsid w:val="00D04A87"/>
    <w:rsid w:val="00D10850"/>
    <w:rsid w:val="00D12BA2"/>
    <w:rsid w:val="00D133EF"/>
    <w:rsid w:val="00D14119"/>
    <w:rsid w:val="00D148DD"/>
    <w:rsid w:val="00D21D50"/>
    <w:rsid w:val="00D22C24"/>
    <w:rsid w:val="00D23A20"/>
    <w:rsid w:val="00D246D6"/>
    <w:rsid w:val="00D26276"/>
    <w:rsid w:val="00D26FEC"/>
    <w:rsid w:val="00D3028A"/>
    <w:rsid w:val="00D31CEE"/>
    <w:rsid w:val="00D3288F"/>
    <w:rsid w:val="00D33EB3"/>
    <w:rsid w:val="00D404DE"/>
    <w:rsid w:val="00D44756"/>
    <w:rsid w:val="00D45150"/>
    <w:rsid w:val="00D46822"/>
    <w:rsid w:val="00D47F4F"/>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007"/>
    <w:rsid w:val="00D90243"/>
    <w:rsid w:val="00D908ED"/>
    <w:rsid w:val="00D90927"/>
    <w:rsid w:val="00D920EB"/>
    <w:rsid w:val="00D95A0A"/>
    <w:rsid w:val="00D97300"/>
    <w:rsid w:val="00DA0ACC"/>
    <w:rsid w:val="00DA17B7"/>
    <w:rsid w:val="00DA2DE0"/>
    <w:rsid w:val="00DA2ED4"/>
    <w:rsid w:val="00DA3E29"/>
    <w:rsid w:val="00DA6A3F"/>
    <w:rsid w:val="00DB1400"/>
    <w:rsid w:val="00DB6E88"/>
    <w:rsid w:val="00DB7D0C"/>
    <w:rsid w:val="00DC05C0"/>
    <w:rsid w:val="00DC0ECE"/>
    <w:rsid w:val="00DC146A"/>
    <w:rsid w:val="00DC191D"/>
    <w:rsid w:val="00DC4AB9"/>
    <w:rsid w:val="00DC7F79"/>
    <w:rsid w:val="00DD17E0"/>
    <w:rsid w:val="00DD201B"/>
    <w:rsid w:val="00DD550F"/>
    <w:rsid w:val="00DD7EAE"/>
    <w:rsid w:val="00DE3381"/>
    <w:rsid w:val="00DE5842"/>
    <w:rsid w:val="00DF1038"/>
    <w:rsid w:val="00DF66E3"/>
    <w:rsid w:val="00DF6DC8"/>
    <w:rsid w:val="00DF7267"/>
    <w:rsid w:val="00E01344"/>
    <w:rsid w:val="00E0258E"/>
    <w:rsid w:val="00E040A3"/>
    <w:rsid w:val="00E042CB"/>
    <w:rsid w:val="00E04FC0"/>
    <w:rsid w:val="00E06387"/>
    <w:rsid w:val="00E06F2E"/>
    <w:rsid w:val="00E10878"/>
    <w:rsid w:val="00E123A1"/>
    <w:rsid w:val="00E12457"/>
    <w:rsid w:val="00E20257"/>
    <w:rsid w:val="00E20C19"/>
    <w:rsid w:val="00E21431"/>
    <w:rsid w:val="00E22BD3"/>
    <w:rsid w:val="00E23916"/>
    <w:rsid w:val="00E23E51"/>
    <w:rsid w:val="00E244F3"/>
    <w:rsid w:val="00E25A9F"/>
    <w:rsid w:val="00E30356"/>
    <w:rsid w:val="00E3087D"/>
    <w:rsid w:val="00E31696"/>
    <w:rsid w:val="00E31C56"/>
    <w:rsid w:val="00E3539E"/>
    <w:rsid w:val="00E37BD3"/>
    <w:rsid w:val="00E401A6"/>
    <w:rsid w:val="00E44448"/>
    <w:rsid w:val="00E53CD8"/>
    <w:rsid w:val="00E564EA"/>
    <w:rsid w:val="00E62C1B"/>
    <w:rsid w:val="00E65423"/>
    <w:rsid w:val="00E67765"/>
    <w:rsid w:val="00E67938"/>
    <w:rsid w:val="00E67A5A"/>
    <w:rsid w:val="00E706A0"/>
    <w:rsid w:val="00E707FE"/>
    <w:rsid w:val="00E70CFC"/>
    <w:rsid w:val="00E73EFB"/>
    <w:rsid w:val="00E771E4"/>
    <w:rsid w:val="00E77879"/>
    <w:rsid w:val="00E80EAC"/>
    <w:rsid w:val="00E81785"/>
    <w:rsid w:val="00E82DC4"/>
    <w:rsid w:val="00E834D0"/>
    <w:rsid w:val="00E8551C"/>
    <w:rsid w:val="00E869C0"/>
    <w:rsid w:val="00E93F8A"/>
    <w:rsid w:val="00E95717"/>
    <w:rsid w:val="00EA0607"/>
    <w:rsid w:val="00EA14E7"/>
    <w:rsid w:val="00EA263E"/>
    <w:rsid w:val="00EA36E7"/>
    <w:rsid w:val="00EA3890"/>
    <w:rsid w:val="00EA4AB2"/>
    <w:rsid w:val="00EA4B52"/>
    <w:rsid w:val="00EA67C2"/>
    <w:rsid w:val="00EB000E"/>
    <w:rsid w:val="00EB1916"/>
    <w:rsid w:val="00EB1E40"/>
    <w:rsid w:val="00EB45BC"/>
    <w:rsid w:val="00EC3259"/>
    <w:rsid w:val="00EC3D46"/>
    <w:rsid w:val="00EC46DD"/>
    <w:rsid w:val="00EC4B9E"/>
    <w:rsid w:val="00EC61E9"/>
    <w:rsid w:val="00EC7AA2"/>
    <w:rsid w:val="00ED0F2E"/>
    <w:rsid w:val="00ED17D7"/>
    <w:rsid w:val="00ED2A71"/>
    <w:rsid w:val="00ED58E2"/>
    <w:rsid w:val="00ED5EC5"/>
    <w:rsid w:val="00ED6C33"/>
    <w:rsid w:val="00EE2635"/>
    <w:rsid w:val="00EE2CFD"/>
    <w:rsid w:val="00EE3F8E"/>
    <w:rsid w:val="00EE569F"/>
    <w:rsid w:val="00EF08CA"/>
    <w:rsid w:val="00EF1FD7"/>
    <w:rsid w:val="00EF1FF8"/>
    <w:rsid w:val="00EF4184"/>
    <w:rsid w:val="00EF53A7"/>
    <w:rsid w:val="00EF63CC"/>
    <w:rsid w:val="00F00EB5"/>
    <w:rsid w:val="00F02136"/>
    <w:rsid w:val="00F025AC"/>
    <w:rsid w:val="00F02AD1"/>
    <w:rsid w:val="00F03203"/>
    <w:rsid w:val="00F04FBB"/>
    <w:rsid w:val="00F05D25"/>
    <w:rsid w:val="00F065DE"/>
    <w:rsid w:val="00F06763"/>
    <w:rsid w:val="00F13A40"/>
    <w:rsid w:val="00F1564F"/>
    <w:rsid w:val="00F204DD"/>
    <w:rsid w:val="00F2056F"/>
    <w:rsid w:val="00F213DC"/>
    <w:rsid w:val="00F22950"/>
    <w:rsid w:val="00F248EB"/>
    <w:rsid w:val="00F260A2"/>
    <w:rsid w:val="00F326AB"/>
    <w:rsid w:val="00F362A1"/>
    <w:rsid w:val="00F362EC"/>
    <w:rsid w:val="00F41DA0"/>
    <w:rsid w:val="00F43428"/>
    <w:rsid w:val="00F4460B"/>
    <w:rsid w:val="00F465D6"/>
    <w:rsid w:val="00F51EDE"/>
    <w:rsid w:val="00F5526A"/>
    <w:rsid w:val="00F60C4C"/>
    <w:rsid w:val="00F612FE"/>
    <w:rsid w:val="00F63836"/>
    <w:rsid w:val="00F63CAF"/>
    <w:rsid w:val="00F645D4"/>
    <w:rsid w:val="00F64F4D"/>
    <w:rsid w:val="00F6547E"/>
    <w:rsid w:val="00F65599"/>
    <w:rsid w:val="00F66BFA"/>
    <w:rsid w:val="00F7638E"/>
    <w:rsid w:val="00F77BD7"/>
    <w:rsid w:val="00F80F55"/>
    <w:rsid w:val="00F83D86"/>
    <w:rsid w:val="00F85CDF"/>
    <w:rsid w:val="00F8763B"/>
    <w:rsid w:val="00F91A24"/>
    <w:rsid w:val="00F93CAD"/>
    <w:rsid w:val="00F96228"/>
    <w:rsid w:val="00FA0452"/>
    <w:rsid w:val="00FA0A4C"/>
    <w:rsid w:val="00FA372E"/>
    <w:rsid w:val="00FA554F"/>
    <w:rsid w:val="00FA6447"/>
    <w:rsid w:val="00FA64BD"/>
    <w:rsid w:val="00FA6625"/>
    <w:rsid w:val="00FB0FC8"/>
    <w:rsid w:val="00FB55E8"/>
    <w:rsid w:val="00FC1575"/>
    <w:rsid w:val="00FC465F"/>
    <w:rsid w:val="00FD47E5"/>
    <w:rsid w:val="00FD5E5E"/>
    <w:rsid w:val="00FD6874"/>
    <w:rsid w:val="00FD6879"/>
    <w:rsid w:val="00FD7A40"/>
    <w:rsid w:val="00FD7CCF"/>
    <w:rsid w:val="00FE0BCB"/>
    <w:rsid w:val="00FE0C7D"/>
    <w:rsid w:val="00FE1664"/>
    <w:rsid w:val="00FE274F"/>
    <w:rsid w:val="00FE2F06"/>
    <w:rsid w:val="00FE2F7D"/>
    <w:rsid w:val="00FE3E7F"/>
    <w:rsid w:val="00FF13C9"/>
    <w:rsid w:val="00FF1D0A"/>
    <w:rsid w:val="00FF292C"/>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4D417"/>
  <w15:docId w15:val="{1D7FB8C4-2E74-425D-A3CE-C337054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A5"/>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7C4F03"/>
    <w:pPr>
      <w:ind w:left="720"/>
      <w:contextualSpacing/>
    </w:pPr>
  </w:style>
  <w:style w:type="paragraph" w:styleId="TOC1">
    <w:name w:val="toc 1"/>
    <w:basedOn w:val="Normal"/>
    <w:next w:val="Normal"/>
    <w:autoRedefine/>
    <w:uiPriority w:val="39"/>
    <w:unhideWhenUsed/>
    <w:rsid w:val="00F4460B"/>
    <w:pPr>
      <w:keepNext/>
      <w:keepLines/>
      <w:tabs>
        <w:tab w:val="left" w:pos="426"/>
        <w:tab w:val="right" w:leader="dot" w:pos="9062"/>
      </w:tabs>
      <w:spacing w:after="240"/>
      <w:ind w:left="72" w:hanging="360"/>
    </w:pPr>
    <w:rPr>
      <w:rFonts w:ascii="Arial" w:hAnsi="Arial" w:cs="Arial"/>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semiHidden/>
    <w:unhideWhenUsed/>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 w:type="paragraph" w:customStyle="1" w:styleId="Caracter2CharCharCaracterCharCharCaracterCharCharCaracterCharChar2">
    <w:name w:val="Caracter2 Char Char Caracter Char Char Caracter Char Char Caracter Char Char"/>
    <w:basedOn w:val="Normal"/>
    <w:rsid w:val="00724E48"/>
    <w:pPr>
      <w:spacing w:after="0"/>
      <w:ind w:firstLine="0"/>
      <w:jc w:val="left"/>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69796317">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06051532">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3288468">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08837640">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49690295">
      <w:bodyDiv w:val="1"/>
      <w:marLeft w:val="0"/>
      <w:marRight w:val="0"/>
      <w:marTop w:val="0"/>
      <w:marBottom w:val="0"/>
      <w:divBdr>
        <w:top w:val="none" w:sz="0" w:space="0" w:color="auto"/>
        <w:left w:val="none" w:sz="0" w:space="0" w:color="auto"/>
        <w:bottom w:val="none" w:sz="0" w:space="0" w:color="auto"/>
        <w:right w:val="none" w:sz="0" w:space="0" w:color="auto"/>
      </w:divBdr>
    </w:div>
    <w:div w:id="176773183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56963042">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2777883">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063866809">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377697">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Microsoft\Windows\Temporary%20Internet%20Files\Content.Outlook\NMB3FE90\Grafic%20evolutia%20comertului%20exterior%20ianuarie%20-%20Iunie%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AppData\Local\Microsoft\Windows\Temporary%20Internet%20Files\Content.Outlook\NMB3FE90\Grafic%20contributie%20alim_nealim%20si%20servicii%202015-%202016%2006%2007%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0"/>
      <c:rotY val="0"/>
      <c:rAngAx val="0"/>
      <c:perspective val="0"/>
    </c:view3D>
    <c:floor>
      <c:thickness val="0"/>
      <c:spPr>
        <a:noFill/>
        <a:ln w="15875">
          <a:solidFill>
            <a:schemeClr val="bg1">
              <a:lumMod val="75000"/>
            </a:schemeClr>
          </a:solidFill>
        </a:ln>
        <a:scene3d>
          <a:camera prst="orthographicFront"/>
          <a:lightRig rig="threePt" dir="t"/>
        </a:scene3d>
        <a:sp3d>
          <a:contourClr>
            <a:srgbClr val="000000"/>
          </a:contourClr>
        </a:sp3d>
      </c:spPr>
    </c:floor>
    <c:sideWall>
      <c:thickness val="0"/>
      <c:spPr>
        <a:solidFill>
          <a:srgbClr val="DBE3E9"/>
        </a:solidFill>
        <a:ln w="15875">
          <a:solidFill>
            <a:schemeClr val="bg1">
              <a:lumMod val="75000"/>
            </a:schemeClr>
          </a:solidFill>
        </a:ln>
      </c:spPr>
    </c:sideWall>
    <c:backWall>
      <c:thickness val="0"/>
      <c:spPr>
        <a:solidFill>
          <a:srgbClr val="DBE3E9"/>
        </a:solidFill>
        <a:ln w="15875">
          <a:solidFill>
            <a:schemeClr val="bg1">
              <a:lumMod val="75000"/>
            </a:schemeClr>
          </a:solidFill>
        </a:ln>
      </c:spPr>
    </c:backWall>
    <c:plotArea>
      <c:layout>
        <c:manualLayout>
          <c:layoutTarget val="inner"/>
          <c:xMode val="edge"/>
          <c:yMode val="edge"/>
          <c:x val="0.11317191057253774"/>
          <c:y val="0.12973865016647304"/>
          <c:w val="0.82455630786807566"/>
          <c:h val="0.61991372989462656"/>
        </c:manualLayout>
      </c:layout>
      <c:bar3DChart>
        <c:barDir val="col"/>
        <c:grouping val="clustered"/>
        <c:varyColors val="0"/>
        <c:ser>
          <c:idx val="1"/>
          <c:order val="0"/>
          <c:tx>
            <c:strRef>
              <c:f>'Grafic lunar comert'!$A$9</c:f>
              <c:strCache>
                <c:ptCount val="1"/>
                <c:pt idx="0">
                  <c:v>Export FOB</c:v>
                </c:pt>
              </c:strCache>
            </c:strRef>
          </c:tx>
          <c:spPr>
            <a:solidFill>
              <a:schemeClr val="accent1">
                <a:lumMod val="75000"/>
              </a:schemeClr>
            </a:solidFill>
            <a:ln>
              <a:solidFill>
                <a:srgbClr val="0000FF"/>
              </a:solidFill>
            </a:ln>
            <a:effectLst>
              <a:innerShdw blurRad="63500" dist="50800" dir="5400000">
                <a:prstClr val="black">
                  <a:alpha val="50000"/>
                </a:prstClr>
              </a:innerShdw>
            </a:effectLst>
          </c:spPr>
          <c:invertIfNegative val="0"/>
          <c:dLbls>
            <c:delete val="1"/>
          </c:dLbls>
          <c:cat>
            <c:strRef>
              <c:f>'Grafic lunar comert'!$B$8:$G$8</c:f>
              <c:strCache>
                <c:ptCount val="6"/>
                <c:pt idx="0">
                  <c:v>ian</c:v>
                </c:pt>
                <c:pt idx="1">
                  <c:v>feb</c:v>
                </c:pt>
                <c:pt idx="2">
                  <c:v>mart</c:v>
                </c:pt>
                <c:pt idx="3">
                  <c:v>apr</c:v>
                </c:pt>
                <c:pt idx="4">
                  <c:v>mai</c:v>
                </c:pt>
                <c:pt idx="5">
                  <c:v>iunie</c:v>
                </c:pt>
              </c:strCache>
            </c:strRef>
          </c:cat>
          <c:val>
            <c:numRef>
              <c:f>'Grafic lunar comert'!$B$9:$G$9</c:f>
              <c:numCache>
                <c:formatCode>0.0</c:formatCode>
                <c:ptCount val="6"/>
                <c:pt idx="0">
                  <c:v>5407.9</c:v>
                </c:pt>
                <c:pt idx="1">
                  <c:v>5784.2</c:v>
                </c:pt>
                <c:pt idx="2">
                  <c:v>6526.3</c:v>
                </c:pt>
                <c:pt idx="3">
                  <c:v>6249.2</c:v>
                </c:pt>
                <c:pt idx="4">
                  <c:v>5959.1</c:v>
                </c:pt>
                <c:pt idx="5">
                  <c:v>6242</c:v>
                </c:pt>
              </c:numCache>
            </c:numRef>
          </c:val>
          <c:extLst>
            <c:ext xmlns:c16="http://schemas.microsoft.com/office/drawing/2014/chart" uri="{C3380CC4-5D6E-409C-BE32-E72D297353CC}">
              <c16:uniqueId val="{00000007-23E8-42C4-BDA7-05B7CB727242}"/>
            </c:ext>
          </c:extLst>
        </c:ser>
        <c:ser>
          <c:idx val="2"/>
          <c:order val="1"/>
          <c:tx>
            <c:strRef>
              <c:f>'Grafic lunar comert'!$A$10</c:f>
              <c:strCache>
                <c:ptCount val="1"/>
                <c:pt idx="0">
                  <c:v>Import CIF</c:v>
                </c:pt>
              </c:strCache>
            </c:strRef>
          </c:tx>
          <c:spPr>
            <a:solidFill>
              <a:srgbClr val="9966FF"/>
            </a:solidFill>
            <a:ln>
              <a:solidFill>
                <a:srgbClr val="7030A0"/>
              </a:solidFill>
            </a:ln>
            <a:effectLst>
              <a:innerShdw blurRad="63500" dist="50800" dir="5400000">
                <a:prstClr val="black">
                  <a:alpha val="50000"/>
                </a:prstClr>
              </a:innerShdw>
            </a:effectLst>
          </c:spPr>
          <c:invertIfNegative val="0"/>
          <c:dLbls>
            <c:delete val="1"/>
          </c:dLbls>
          <c:cat>
            <c:strRef>
              <c:f>'Grafic lunar comert'!$B$8:$G$8</c:f>
              <c:strCache>
                <c:ptCount val="6"/>
                <c:pt idx="0">
                  <c:v>ian</c:v>
                </c:pt>
                <c:pt idx="1">
                  <c:v>feb</c:v>
                </c:pt>
                <c:pt idx="2">
                  <c:v>mart</c:v>
                </c:pt>
                <c:pt idx="3">
                  <c:v>apr</c:v>
                </c:pt>
                <c:pt idx="4">
                  <c:v>mai</c:v>
                </c:pt>
                <c:pt idx="5">
                  <c:v>iunie</c:v>
                </c:pt>
              </c:strCache>
            </c:strRef>
          </c:cat>
          <c:val>
            <c:numRef>
              <c:f>'Grafic lunar comert'!$B$10:$G$10</c:f>
              <c:numCache>
                <c:formatCode>0.0</c:formatCode>
                <c:ptCount val="6"/>
                <c:pt idx="0">
                  <c:v>6587.1</c:v>
                </c:pt>
                <c:pt idx="1">
                  <c:v>7678.9</c:v>
                </c:pt>
                <c:pt idx="2">
                  <c:v>8786.2999999999993</c:v>
                </c:pt>
                <c:pt idx="3">
                  <c:v>7969.8</c:v>
                </c:pt>
                <c:pt idx="4">
                  <c:v>7720.5</c:v>
                </c:pt>
                <c:pt idx="5">
                  <c:v>8085.9</c:v>
                </c:pt>
              </c:numCache>
            </c:numRef>
          </c:val>
          <c:extLst>
            <c:ext xmlns:c16="http://schemas.microsoft.com/office/drawing/2014/chart" uri="{C3380CC4-5D6E-409C-BE32-E72D297353CC}">
              <c16:uniqueId val="{00000012-23E8-42C4-BDA7-05B7CB727242}"/>
            </c:ext>
          </c:extLst>
        </c:ser>
        <c:ser>
          <c:idx val="3"/>
          <c:order val="2"/>
          <c:tx>
            <c:strRef>
              <c:f>'Grafic lunar comert'!$A$11</c:f>
              <c:strCache>
                <c:ptCount val="1"/>
                <c:pt idx="0">
                  <c:v>Sold</c:v>
                </c:pt>
              </c:strCache>
            </c:strRef>
          </c:tx>
          <c:spPr>
            <a:solidFill>
              <a:schemeClr val="accent6">
                <a:lumMod val="75000"/>
                <a:alpha val="93000"/>
              </a:schemeClr>
            </a:solidFill>
            <a:ln>
              <a:solidFill>
                <a:schemeClr val="accent3">
                  <a:lumMod val="50000"/>
                </a:schemeClr>
              </a:solidFill>
            </a:ln>
            <a:effectLst>
              <a:innerShdw blurRad="63500" dist="50800" dir="5400000">
                <a:schemeClr val="bg1">
                  <a:lumMod val="95000"/>
                  <a:alpha val="50000"/>
                </a:schemeClr>
              </a:innerShdw>
            </a:effectLst>
          </c:spPr>
          <c:invertIfNegative val="0"/>
          <c:dLbls>
            <c:dLbl>
              <c:idx val="0"/>
              <c:layout>
                <c:manualLayout>
                  <c:x val="0"/>
                  <c:y val="1.0381390048938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FB-44F6-B8DF-AA09B26FCB9F}"/>
                </c:ext>
              </c:extLst>
            </c:dLbl>
            <c:dLbl>
              <c:idx val="1"/>
              <c:layout>
                <c:manualLayout>
                  <c:x val="-3.7166088665703811E-3"/>
                  <c:y val="9.92975008264817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FB-44F6-B8DF-AA09B26FCB9F}"/>
                </c:ext>
              </c:extLst>
            </c:dLbl>
            <c:dLbl>
              <c:idx val="2"/>
              <c:layout>
                <c:manualLayout>
                  <c:x val="0"/>
                  <c:y val="1.3104224198808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FB-44F6-B8DF-AA09B26FCB9F}"/>
                </c:ext>
              </c:extLst>
            </c:dLbl>
            <c:dLbl>
              <c:idx val="3"/>
              <c:layout>
                <c:manualLayout>
                  <c:x val="0"/>
                  <c:y val="5.24160713452907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FB-44F6-B8DF-AA09B26FCB9F}"/>
                </c:ext>
              </c:extLst>
            </c:dLbl>
            <c:dLbl>
              <c:idx val="4"/>
              <c:layout>
                <c:manualLayout>
                  <c:x val="-1.3008131032996325E-2"/>
                  <c:y val="1.3104224198807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FB-44F6-B8DF-AA09B26FCB9F}"/>
                </c:ext>
              </c:extLst>
            </c:dLbl>
            <c:dLbl>
              <c:idx val="5"/>
              <c:layout>
                <c:manualLayout>
                  <c:x val="-1.11498249682332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FB-44F6-B8DF-AA09B26FCB9F}"/>
                </c:ext>
              </c:extLst>
            </c:dLbl>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 lunar comert'!$B$8:$G$8</c:f>
              <c:strCache>
                <c:ptCount val="6"/>
                <c:pt idx="0">
                  <c:v>ian</c:v>
                </c:pt>
                <c:pt idx="1">
                  <c:v>feb</c:v>
                </c:pt>
                <c:pt idx="2">
                  <c:v>mart</c:v>
                </c:pt>
                <c:pt idx="3">
                  <c:v>apr</c:v>
                </c:pt>
                <c:pt idx="4">
                  <c:v>mai</c:v>
                </c:pt>
                <c:pt idx="5">
                  <c:v>iunie</c:v>
                </c:pt>
              </c:strCache>
            </c:strRef>
          </c:cat>
          <c:val>
            <c:numRef>
              <c:f>'Grafic lunar comert'!$B$11:$G$11</c:f>
              <c:numCache>
                <c:formatCode>0.0</c:formatCode>
                <c:ptCount val="6"/>
                <c:pt idx="0">
                  <c:v>-1179.2000000000007</c:v>
                </c:pt>
                <c:pt idx="1">
                  <c:v>-1894.6999999999998</c:v>
                </c:pt>
                <c:pt idx="2">
                  <c:v>-2259.9999999999991</c:v>
                </c:pt>
                <c:pt idx="3">
                  <c:v>-1720.6000000000004</c:v>
                </c:pt>
                <c:pt idx="4">
                  <c:v>-1761.3999999999996</c:v>
                </c:pt>
                <c:pt idx="5">
                  <c:v>-1843.8999999999996</c:v>
                </c:pt>
              </c:numCache>
            </c:numRef>
          </c:val>
          <c:extLst>
            <c:ext xmlns:c16="http://schemas.microsoft.com/office/drawing/2014/chart" uri="{C3380CC4-5D6E-409C-BE32-E72D297353CC}">
              <c16:uniqueId val="{00000015-23E8-42C4-BDA7-05B7CB727242}"/>
            </c:ext>
          </c:extLst>
        </c:ser>
        <c:dLbls>
          <c:showLegendKey val="0"/>
          <c:showVal val="1"/>
          <c:showCatName val="0"/>
          <c:showSerName val="0"/>
          <c:showPercent val="0"/>
          <c:showBubbleSize val="0"/>
        </c:dLbls>
        <c:gapWidth val="33"/>
        <c:gapDepth val="143"/>
        <c:shape val="box"/>
        <c:axId val="125174144"/>
        <c:axId val="125176064"/>
        <c:axId val="0"/>
      </c:bar3DChart>
      <c:catAx>
        <c:axId val="125174144"/>
        <c:scaling>
          <c:orientation val="minMax"/>
        </c:scaling>
        <c:delete val="0"/>
        <c:axPos val="b"/>
        <c:numFmt formatCode="General" sourceLinked="1"/>
        <c:majorTickMark val="none"/>
        <c:minorTickMark val="none"/>
        <c:tickLblPos val="low"/>
        <c:spPr>
          <a:noFill/>
          <a:ln w="0">
            <a:solidFill>
              <a:schemeClr val="bg1">
                <a:lumMod val="65000"/>
              </a:schemeClr>
            </a:solidFill>
          </a:ln>
        </c:spPr>
        <c:txPr>
          <a:bodyPr/>
          <a:lstStyle/>
          <a:p>
            <a:pPr>
              <a:defRPr b="0"/>
            </a:pPr>
            <a:endParaRPr lang="en-US"/>
          </a:p>
        </c:txPr>
        <c:crossAx val="125176064"/>
        <c:crosses val="autoZero"/>
        <c:auto val="1"/>
        <c:lblAlgn val="ctr"/>
        <c:lblOffset val="100"/>
        <c:noMultiLvlLbl val="0"/>
      </c:catAx>
      <c:valAx>
        <c:axId val="125176064"/>
        <c:scaling>
          <c:orientation val="minMax"/>
        </c:scaling>
        <c:delete val="0"/>
        <c:axPos val="l"/>
        <c:title>
          <c:tx>
            <c:rich>
              <a:bodyPr rot="0" vert="horz"/>
              <a:lstStyle/>
              <a:p>
                <a:pPr>
                  <a:defRPr sz="1200"/>
                </a:pPr>
                <a:r>
                  <a:rPr lang="en-US" sz="1200"/>
                  <a:t> - mil. euro -</a:t>
                </a:r>
              </a:p>
            </c:rich>
          </c:tx>
          <c:layout>
            <c:manualLayout>
              <c:xMode val="edge"/>
              <c:yMode val="edge"/>
              <c:x val="0.80115393365147058"/>
              <c:y val="6.647614329857332E-2"/>
            </c:manualLayout>
          </c:layout>
          <c:overlay val="0"/>
        </c:title>
        <c:numFmt formatCode="0" sourceLinked="0"/>
        <c:majorTickMark val="out"/>
        <c:minorTickMark val="none"/>
        <c:tickLblPos val="nextTo"/>
        <c:spPr>
          <a:noFill/>
          <a:ln>
            <a:solidFill>
              <a:sysClr val="windowText" lastClr="000000">
                <a:alpha val="99000"/>
              </a:sysClr>
            </a:solidFill>
          </a:ln>
          <a:effectLst>
            <a:outerShdw blurRad="50800" dist="50800" dir="5400000" algn="ctr" rotWithShape="0">
              <a:schemeClr val="bg1"/>
            </a:outerShdw>
          </a:effectLst>
        </c:spPr>
        <c:txPr>
          <a:bodyPr rot="0"/>
          <a:lstStyle/>
          <a:p>
            <a:pPr algn="ctr">
              <a:defRPr/>
            </a:pPr>
            <a:endParaRPr lang="en-US"/>
          </a:p>
        </c:txPr>
        <c:crossAx val="125174144"/>
        <c:crosses val="autoZero"/>
        <c:crossBetween val="between"/>
      </c:valAx>
      <c:spPr>
        <a:solidFill>
          <a:schemeClr val="accent1">
            <a:lumMod val="20000"/>
            <a:lumOff val="80000"/>
          </a:schemeClr>
        </a:solidFill>
      </c:spPr>
    </c:plotArea>
    <c:legend>
      <c:legendPos val="b"/>
      <c:layout>
        <c:manualLayout>
          <c:xMode val="edge"/>
          <c:yMode val="edge"/>
          <c:x val="0.18360120962449544"/>
          <c:y val="0.89008700655118489"/>
          <c:w val="0.65138062508386163"/>
          <c:h val="6.7378369460174406E-2"/>
        </c:manualLayout>
      </c:layout>
      <c:overlay val="0"/>
      <c:spPr>
        <a:solidFill>
          <a:schemeClr val="bg1">
            <a:lumMod val="95000"/>
            <a:alpha val="1000"/>
          </a:schemeClr>
        </a:solidFill>
        <a:ln>
          <a:noFill/>
        </a:ln>
      </c:spPr>
      <c:txPr>
        <a:bodyPr/>
        <a:lstStyle/>
        <a:p>
          <a:pPr>
            <a:defRPr sz="1200" b="0"/>
          </a:pPr>
          <a:endParaRPr lang="en-US"/>
        </a:p>
      </c:txPr>
    </c:legend>
    <c:plotVisOnly val="1"/>
    <c:dispBlanksAs val="gap"/>
    <c:showDLblsOverMax val="0"/>
  </c:chart>
  <c:spPr>
    <a:solidFill>
      <a:srgbClr val="E0E7EC"/>
    </a:solidFill>
    <a:ln>
      <a:solidFill>
        <a:schemeClr val="bg1">
          <a:lumMod val="75000"/>
        </a:schemeClr>
      </a:solidFill>
    </a:ln>
  </c:spPr>
  <c:txPr>
    <a:bodyPr/>
    <a:lstStyle/>
    <a:p>
      <a:pPr>
        <a:defRPr sz="1100">
          <a:latin typeface="+mn-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8154694111190446E-2"/>
          <c:y val="6.128621866351866E-2"/>
          <c:w val="0.87341779106610917"/>
          <c:h val="0.58796425282075604"/>
        </c:manualLayout>
      </c:layout>
      <c:bar3DChart>
        <c:barDir val="col"/>
        <c:grouping val="stacked"/>
        <c:varyColors val="0"/>
        <c:ser>
          <c:idx val="0"/>
          <c:order val="0"/>
          <c:tx>
            <c:strRef>
              <c:f>grafic!$E$3</c:f>
              <c:strCache>
                <c:ptCount val="1"/>
                <c:pt idx="0">
                  <c:v>alimentare</c:v>
                </c:pt>
              </c:strCache>
            </c:strRef>
          </c:tx>
          <c:invertIfNegative val="0"/>
          <c:cat>
            <c:strRef>
              <c:f>grafic!$D$4:$D$33</c:f>
              <c:strCache>
                <c:ptCount val="30"/>
                <c:pt idx="0">
                  <c:v> ian.2019</c:v>
                </c:pt>
                <c:pt idx="6">
                  <c:v>iulie</c:v>
                </c:pt>
                <c:pt idx="12">
                  <c:v> ian.2020</c:v>
                </c:pt>
                <c:pt idx="18">
                  <c:v>iulie</c:v>
                </c:pt>
                <c:pt idx="24">
                  <c:v> ian.2021</c:v>
                </c:pt>
                <c:pt idx="29">
                  <c:v>iunie</c:v>
                </c:pt>
              </c:strCache>
            </c:strRef>
          </c:cat>
          <c:val>
            <c:numRef>
              <c:f>grafic!$E$4:$E$33</c:f>
              <c:numCache>
                <c:formatCode>0.00</c:formatCode>
                <c:ptCount val="30"/>
                <c:pt idx="0">
                  <c:v>1.2024869143376824</c:v>
                </c:pt>
                <c:pt idx="1">
                  <c:v>1.4214961162289703</c:v>
                </c:pt>
                <c:pt idx="2">
                  <c:v>1.4190805599053071</c:v>
                </c:pt>
                <c:pt idx="3">
                  <c:v>1.5872114063681799</c:v>
                </c:pt>
                <c:pt idx="4">
                  <c:v>1.6710495124464426</c:v>
                </c:pt>
                <c:pt idx="5">
                  <c:v>1.5949147960910239</c:v>
                </c:pt>
                <c:pt idx="6">
                  <c:v>1.6414990094107689</c:v>
                </c:pt>
                <c:pt idx="7">
                  <c:v>1.5994799336950027</c:v>
                </c:pt>
                <c:pt idx="8">
                  <c:v>1.2966836524780838</c:v>
                </c:pt>
                <c:pt idx="9">
                  <c:v>1.3253446440111236</c:v>
                </c:pt>
                <c:pt idx="10">
                  <c:v>1.5609374567085865</c:v>
                </c:pt>
                <c:pt idx="11">
                  <c:v>1.6174350234012949</c:v>
                </c:pt>
                <c:pt idx="12">
                  <c:v>1.4873741804585996</c:v>
                </c:pt>
                <c:pt idx="13">
                  <c:v>1.2803000003794087</c:v>
                </c:pt>
                <c:pt idx="14">
                  <c:v>1.5990701605114572</c:v>
                </c:pt>
                <c:pt idx="15">
                  <c:v>1.7921599868356817</c:v>
                </c:pt>
                <c:pt idx="16">
                  <c:v>1.6439735746931303</c:v>
                </c:pt>
                <c:pt idx="17">
                  <c:v>1.6749644449415879</c:v>
                </c:pt>
                <c:pt idx="18">
                  <c:v>1.7458302444838085</c:v>
                </c:pt>
                <c:pt idx="19">
                  <c:v>1.706591043899039</c:v>
                </c:pt>
                <c:pt idx="20">
                  <c:v>1.5528571850781616</c:v>
                </c:pt>
                <c:pt idx="21">
                  <c:v>1.3598807739177248</c:v>
                </c:pt>
                <c:pt idx="22">
                  <c:v>1.1927936755142741</c:v>
                </c:pt>
                <c:pt idx="23">
                  <c:v>1.015226764325172</c:v>
                </c:pt>
                <c:pt idx="24">
                  <c:v>0.8829938783190896</c:v>
                </c:pt>
                <c:pt idx="25">
                  <c:v>0.82744227372370671</c:v>
                </c:pt>
                <c:pt idx="26">
                  <c:v>0.48789190889348277</c:v>
                </c:pt>
                <c:pt idx="27">
                  <c:v>0.23380440605372535</c:v>
                </c:pt>
                <c:pt idx="28">
                  <c:v>0.46779286540396425</c:v>
                </c:pt>
                <c:pt idx="29">
                  <c:v>0.66472244086185595</c:v>
                </c:pt>
              </c:numCache>
            </c:numRef>
          </c:val>
          <c:extLst>
            <c:ext xmlns:c16="http://schemas.microsoft.com/office/drawing/2014/chart" uri="{C3380CC4-5D6E-409C-BE32-E72D297353CC}">
              <c16:uniqueId val="{00000000-0075-4140-82B6-BA9938DF2744}"/>
            </c:ext>
          </c:extLst>
        </c:ser>
        <c:ser>
          <c:idx val="1"/>
          <c:order val="1"/>
          <c:tx>
            <c:strRef>
              <c:f>grafic!$F$3</c:f>
              <c:strCache>
                <c:ptCount val="1"/>
                <c:pt idx="0">
                  <c:v>nealimentare</c:v>
                </c:pt>
              </c:strCache>
            </c:strRef>
          </c:tx>
          <c:spPr>
            <a:solidFill>
              <a:srgbClr val="008000"/>
            </a:solidFill>
          </c:spPr>
          <c:invertIfNegative val="0"/>
          <c:cat>
            <c:strRef>
              <c:f>grafic!$D$4:$D$33</c:f>
              <c:strCache>
                <c:ptCount val="30"/>
                <c:pt idx="0">
                  <c:v> ian.2019</c:v>
                </c:pt>
                <c:pt idx="6">
                  <c:v>iulie</c:v>
                </c:pt>
                <c:pt idx="12">
                  <c:v> ian.2020</c:v>
                </c:pt>
                <c:pt idx="18">
                  <c:v>iulie</c:v>
                </c:pt>
                <c:pt idx="24">
                  <c:v> ian.2021</c:v>
                </c:pt>
                <c:pt idx="29">
                  <c:v>iunie</c:v>
                </c:pt>
              </c:strCache>
            </c:strRef>
          </c:cat>
          <c:val>
            <c:numRef>
              <c:f>grafic!$F$4:$F$33</c:f>
              <c:numCache>
                <c:formatCode>0.00</c:formatCode>
                <c:ptCount val="30"/>
                <c:pt idx="0">
                  <c:v>1.5757507144704725</c:v>
                </c:pt>
                <c:pt idx="1">
                  <c:v>1.7930444633161438</c:v>
                </c:pt>
                <c:pt idx="2">
                  <c:v>1.9884156610115387</c:v>
                </c:pt>
                <c:pt idx="3">
                  <c:v>1.755577730650306</c:v>
                </c:pt>
                <c:pt idx="4">
                  <c:v>1.5683403173115662</c:v>
                </c:pt>
                <c:pt idx="5">
                  <c:v>1.3834363012188333</c:v>
                </c:pt>
                <c:pt idx="6">
                  <c:v>1.6478896102946377</c:v>
                </c:pt>
                <c:pt idx="7">
                  <c:v>1.4274652681421418</c:v>
                </c:pt>
                <c:pt idx="8">
                  <c:v>1.3316512094555721</c:v>
                </c:pt>
                <c:pt idx="9">
                  <c:v>1.233230890011715</c:v>
                </c:pt>
                <c:pt idx="10">
                  <c:v>1.3560636245227216</c:v>
                </c:pt>
                <c:pt idx="11">
                  <c:v>1.5839484275723159</c:v>
                </c:pt>
                <c:pt idx="12">
                  <c:v>1.2943527392488086</c:v>
                </c:pt>
                <c:pt idx="13">
                  <c:v>0.98463708209140743</c:v>
                </c:pt>
                <c:pt idx="14">
                  <c:v>0.67364144708534857</c:v>
                </c:pt>
                <c:pt idx="15">
                  <c:v>0.25817708825419905</c:v>
                </c:pt>
                <c:pt idx="16">
                  <c:v>7.3415225377800153E-2</c:v>
                </c:pt>
                <c:pt idx="17">
                  <c:v>0.32708273519537195</c:v>
                </c:pt>
                <c:pt idx="18">
                  <c:v>0.42715020738244214</c:v>
                </c:pt>
                <c:pt idx="19">
                  <c:v>0.36258418860362884</c:v>
                </c:pt>
                <c:pt idx="20">
                  <c:v>0.29812596144775155</c:v>
                </c:pt>
                <c:pt idx="21">
                  <c:v>0.29165728141744113</c:v>
                </c:pt>
                <c:pt idx="22">
                  <c:v>0.37537978762340735</c:v>
                </c:pt>
                <c:pt idx="23">
                  <c:v>0.48997037396026843</c:v>
                </c:pt>
                <c:pt idx="24">
                  <c:v>1.5870689936964488</c:v>
                </c:pt>
                <c:pt idx="25">
                  <c:v>1.8555283867069645</c:v>
                </c:pt>
                <c:pt idx="26">
                  <c:v>2.1322982708023832</c:v>
                </c:pt>
                <c:pt idx="27">
                  <c:v>2.5408936470933359</c:v>
                </c:pt>
                <c:pt idx="28">
                  <c:v>2.7815766173624672</c:v>
                </c:pt>
                <c:pt idx="29">
                  <c:v>2.7845696332675494</c:v>
                </c:pt>
              </c:numCache>
            </c:numRef>
          </c:val>
          <c:extLst>
            <c:ext xmlns:c16="http://schemas.microsoft.com/office/drawing/2014/chart" uri="{C3380CC4-5D6E-409C-BE32-E72D297353CC}">
              <c16:uniqueId val="{00000001-0075-4140-82B6-BA9938DF2744}"/>
            </c:ext>
          </c:extLst>
        </c:ser>
        <c:ser>
          <c:idx val="2"/>
          <c:order val="2"/>
          <c:tx>
            <c:strRef>
              <c:f>grafic!$G$3</c:f>
              <c:strCache>
                <c:ptCount val="1"/>
                <c:pt idx="0">
                  <c:v>servicii</c:v>
                </c:pt>
              </c:strCache>
            </c:strRef>
          </c:tx>
          <c:spPr>
            <a:solidFill>
              <a:srgbClr val="9933FF"/>
            </a:solidFill>
          </c:spPr>
          <c:invertIfNegative val="0"/>
          <c:cat>
            <c:strRef>
              <c:f>grafic!$D$4:$D$33</c:f>
              <c:strCache>
                <c:ptCount val="30"/>
                <c:pt idx="0">
                  <c:v> ian.2019</c:v>
                </c:pt>
                <c:pt idx="6">
                  <c:v>iulie</c:v>
                </c:pt>
                <c:pt idx="12">
                  <c:v> ian.2020</c:v>
                </c:pt>
                <c:pt idx="18">
                  <c:v>iulie</c:v>
                </c:pt>
                <c:pt idx="24">
                  <c:v> ian.2021</c:v>
                </c:pt>
                <c:pt idx="29">
                  <c:v>iunie</c:v>
                </c:pt>
              </c:strCache>
            </c:strRef>
          </c:cat>
          <c:val>
            <c:numRef>
              <c:f>grafic!$G$4:$G$33</c:f>
              <c:numCache>
                <c:formatCode>0.00</c:formatCode>
                <c:ptCount val="30"/>
                <c:pt idx="0">
                  <c:v>0.54747991557102393</c:v>
                </c:pt>
                <c:pt idx="1">
                  <c:v>0.62293582975992146</c:v>
                </c:pt>
                <c:pt idx="2">
                  <c:v>0.64288578625534931</c:v>
                </c:pt>
                <c:pt idx="3">
                  <c:v>0.7743423756833121</c:v>
                </c:pt>
                <c:pt idx="4">
                  <c:v>0.86859495085195892</c:v>
                </c:pt>
                <c:pt idx="5">
                  <c:v>0.86105300564464238</c:v>
                </c:pt>
                <c:pt idx="6">
                  <c:v>0.83174057557296122</c:v>
                </c:pt>
                <c:pt idx="7">
                  <c:v>0.85557244134356025</c:v>
                </c:pt>
                <c:pt idx="8">
                  <c:v>0.85829177945958379</c:v>
                </c:pt>
                <c:pt idx="9">
                  <c:v>0.83771911755149087</c:v>
                </c:pt>
                <c:pt idx="10">
                  <c:v>0.84717818154871949</c:v>
                </c:pt>
                <c:pt idx="11">
                  <c:v>0.841181131664819</c:v>
                </c:pt>
                <c:pt idx="12">
                  <c:v>0.81471893330484846</c:v>
                </c:pt>
                <c:pt idx="13">
                  <c:v>0.78090672741915379</c:v>
                </c:pt>
                <c:pt idx="14">
                  <c:v>0.77133199579216771</c:v>
                </c:pt>
                <c:pt idx="15">
                  <c:v>0.6211405117971035</c:v>
                </c:pt>
                <c:pt idx="16">
                  <c:v>0.52870534449005702</c:v>
                </c:pt>
                <c:pt idx="17">
                  <c:v>0.56506600292415166</c:v>
                </c:pt>
                <c:pt idx="18">
                  <c:v>0.61012041025016617</c:v>
                </c:pt>
                <c:pt idx="19">
                  <c:v>0.60292198973828448</c:v>
                </c:pt>
                <c:pt idx="20">
                  <c:v>0.58756189576939244</c:v>
                </c:pt>
                <c:pt idx="21">
                  <c:v>0.57969281979678622</c:v>
                </c:pt>
                <c:pt idx="22">
                  <c:v>0.56302642606177966</c:v>
                </c:pt>
                <c:pt idx="23">
                  <c:v>0.54672401367259582</c:v>
                </c:pt>
                <c:pt idx="24">
                  <c:v>0.51419615793890405</c:v>
                </c:pt>
                <c:pt idx="25">
                  <c:v>0.47618826291291882</c:v>
                </c:pt>
                <c:pt idx="26">
                  <c:v>0.45309475898863699</c:v>
                </c:pt>
                <c:pt idx="27">
                  <c:v>0.53625470157578714</c:v>
                </c:pt>
                <c:pt idx="28">
                  <c:v>0.57018886448902406</c:v>
                </c:pt>
                <c:pt idx="29">
                  <c:v>0.54610536372925833</c:v>
                </c:pt>
              </c:numCache>
            </c:numRef>
          </c:val>
          <c:extLst>
            <c:ext xmlns:c16="http://schemas.microsoft.com/office/drawing/2014/chart" uri="{C3380CC4-5D6E-409C-BE32-E72D297353CC}">
              <c16:uniqueId val="{00000002-0075-4140-82B6-BA9938DF2744}"/>
            </c:ext>
          </c:extLst>
        </c:ser>
        <c:dLbls>
          <c:showLegendKey val="0"/>
          <c:showVal val="0"/>
          <c:showCatName val="0"/>
          <c:showSerName val="0"/>
          <c:showPercent val="0"/>
          <c:showBubbleSize val="0"/>
        </c:dLbls>
        <c:gapWidth val="150"/>
        <c:shape val="box"/>
        <c:axId val="115301760"/>
        <c:axId val="115319168"/>
        <c:axId val="0"/>
      </c:bar3DChart>
      <c:catAx>
        <c:axId val="115301760"/>
        <c:scaling>
          <c:orientation val="minMax"/>
        </c:scaling>
        <c:delete val="0"/>
        <c:axPos val="b"/>
        <c:numFmt formatCode="General" sourceLinked="0"/>
        <c:majorTickMark val="out"/>
        <c:minorTickMark val="none"/>
        <c:tickLblPos val="nextTo"/>
        <c:txPr>
          <a:bodyPr anchor="ctr" anchorCtr="0"/>
          <a:lstStyle/>
          <a:p>
            <a:pPr>
              <a:defRPr sz="800" baseline="0"/>
            </a:pPr>
            <a:endParaRPr lang="en-US"/>
          </a:p>
        </c:txPr>
        <c:crossAx val="115319168"/>
        <c:crosses val="autoZero"/>
        <c:auto val="1"/>
        <c:lblAlgn val="ctr"/>
        <c:lblOffset val="100"/>
        <c:noMultiLvlLbl val="0"/>
      </c:catAx>
      <c:valAx>
        <c:axId val="115319168"/>
        <c:scaling>
          <c:orientation val="minMax"/>
        </c:scaling>
        <c:delete val="0"/>
        <c:axPos val="l"/>
        <c:majorGridlines/>
        <c:numFmt formatCode="0.00" sourceLinked="1"/>
        <c:majorTickMark val="out"/>
        <c:minorTickMark val="none"/>
        <c:tickLblPos val="nextTo"/>
        <c:crossAx val="115301760"/>
        <c:crosses val="autoZero"/>
        <c:crossBetween val="between"/>
      </c:valAx>
    </c:plotArea>
    <c:legend>
      <c:legendPos val="b"/>
      <c:layout>
        <c:manualLayout>
          <c:xMode val="edge"/>
          <c:yMode val="edge"/>
          <c:x val="0.25255109983144947"/>
          <c:y val="0.83946150606355507"/>
          <c:w val="0.49489759684737439"/>
          <c:h val="0.1550184660146659"/>
        </c:manualLayout>
      </c:layout>
      <c:overlay val="0"/>
    </c:legend>
    <c:plotVisOnly val="1"/>
    <c:dispBlanksAs val="gap"/>
    <c:showDLblsOverMax val="0"/>
  </c:chart>
  <c:spPr>
    <a:solidFill>
      <a:schemeClr val="accent1">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98F3-1D3C-49D5-9A2A-7E23D613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10509</Words>
  <Characters>59905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70274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IOANA-ALINA BURLA</cp:lastModifiedBy>
  <cp:revision>15</cp:revision>
  <cp:lastPrinted>2020-09-15T08:20:00Z</cp:lastPrinted>
  <dcterms:created xsi:type="dcterms:W3CDTF">2021-08-13T12:50:00Z</dcterms:created>
  <dcterms:modified xsi:type="dcterms:W3CDTF">2021-08-13T15:36:00Z</dcterms:modified>
</cp:coreProperties>
</file>