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eastAsiaTheme="minorHAnsi" w:hAnsi="Tahoma" w:cs="Tahoma"/>
          <w:b/>
          <w:noProof/>
          <w:color w:val="auto"/>
          <w:sz w:val="24"/>
          <w:szCs w:val="24"/>
          <w:lang w:val="ro-RO"/>
        </w:rPr>
        <w:id w:val="-413402210"/>
        <w:docPartObj>
          <w:docPartGallery w:val="Table of Contents"/>
          <w:docPartUnique/>
        </w:docPartObj>
      </w:sdtPr>
      <w:sdtEndPr>
        <w:rPr>
          <w:bCs/>
        </w:rPr>
      </w:sdtEndPr>
      <w:sdtContent>
        <w:p w:rsidR="00787C70" w:rsidRDefault="00787C70" w:rsidP="00787C70">
          <w:pPr>
            <w:pStyle w:val="TOCHeading"/>
            <w:shd w:val="clear" w:color="auto" w:fill="E2EFD9" w:themeFill="accent6" w:themeFillTint="33"/>
            <w:spacing w:before="1320" w:after="240" w:line="276" w:lineRule="auto"/>
            <w:ind w:firstLine="0"/>
            <w:rPr>
              <w:rFonts w:ascii="Tahoma" w:eastAsiaTheme="minorHAnsi" w:hAnsi="Tahoma" w:cs="Tahoma"/>
              <w:b/>
              <w:noProof/>
              <w:color w:val="auto"/>
              <w:sz w:val="24"/>
              <w:szCs w:val="24"/>
              <w:lang w:val="ro-RO"/>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jc w:val="center"/>
            <w:rPr>
              <w:rFonts w:ascii="Arial" w:hAnsi="Arial" w:cs="Arial"/>
              <w:b/>
              <w:bCs/>
              <w:sz w:val="32"/>
              <w:szCs w:val="32"/>
            </w:rPr>
          </w:pPr>
          <w:r>
            <w:rPr>
              <w:rFonts w:ascii="Arial" w:hAnsi="Arial" w:cs="Arial"/>
              <w:b/>
              <w:bCs/>
              <w:sz w:val="32"/>
              <w:szCs w:val="32"/>
            </w:rPr>
            <w:t>MINISTERUL FINANŢELOR PUBLICE</w:t>
          </w: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276" w:lineRule="auto"/>
            <w:ind w:left="357"/>
            <w:rPr>
              <w:rFonts w:ascii="Arial" w:hAnsi="Arial" w:cs="Arial"/>
              <w:b/>
              <w:bCs/>
              <w:sz w:val="28"/>
              <w:szCs w:val="28"/>
            </w:rPr>
          </w:pPr>
        </w:p>
        <w:p w:rsidR="00787C70" w:rsidRDefault="00787C70" w:rsidP="00787C70">
          <w:pPr>
            <w:keepNext/>
            <w:spacing w:line="480" w:lineRule="auto"/>
            <w:ind w:left="357"/>
            <w:jc w:val="center"/>
            <w:rPr>
              <w:rFonts w:ascii="Arial" w:hAnsi="Arial" w:cs="Arial"/>
              <w:b/>
              <w:bCs/>
              <w:sz w:val="32"/>
              <w:szCs w:val="32"/>
            </w:rPr>
          </w:pPr>
          <w:r>
            <w:rPr>
              <w:rFonts w:ascii="Arial" w:hAnsi="Arial" w:cs="Arial"/>
              <w:b/>
              <w:bCs/>
              <w:sz w:val="32"/>
              <w:szCs w:val="32"/>
            </w:rPr>
            <w:t>Raport privind situația economică şi bugetară</w:t>
          </w:r>
        </w:p>
        <w:p w:rsidR="00787C70" w:rsidRDefault="00787C70" w:rsidP="00787C70">
          <w:pPr>
            <w:keepNext/>
            <w:spacing w:line="480" w:lineRule="auto"/>
            <w:ind w:left="1260" w:hanging="1260"/>
            <w:jc w:val="center"/>
            <w:rPr>
              <w:rFonts w:ascii="Arial" w:hAnsi="Arial" w:cs="Arial"/>
              <w:b/>
              <w:bCs/>
              <w:sz w:val="32"/>
              <w:szCs w:val="32"/>
            </w:rPr>
          </w:pPr>
          <w:r>
            <w:rPr>
              <w:rFonts w:ascii="Arial" w:hAnsi="Arial" w:cs="Arial"/>
              <w:b/>
              <w:bCs/>
              <w:sz w:val="32"/>
              <w:szCs w:val="32"/>
            </w:rPr>
            <w:t>pe primul semestru al anului 2022</w:t>
          </w:r>
        </w:p>
        <w:p w:rsidR="00787C70" w:rsidRPr="00A60A65" w:rsidRDefault="00787C70" w:rsidP="00787C70">
          <w:pPr>
            <w:pStyle w:val="TOCHeading"/>
            <w:shd w:val="clear" w:color="auto" w:fill="E2EFD9" w:themeFill="accent6" w:themeFillTint="33"/>
            <w:spacing w:before="1320" w:after="240" w:line="276" w:lineRule="auto"/>
            <w:ind w:firstLine="0"/>
            <w:rPr>
              <w:rFonts w:ascii="Tahoma" w:eastAsiaTheme="minorHAnsi" w:hAnsi="Tahoma" w:cs="Tahoma"/>
              <w:b/>
              <w:noProof/>
              <w:color w:val="auto"/>
              <w:sz w:val="24"/>
              <w:szCs w:val="24"/>
              <w:lang w:val="ro-RO"/>
            </w:rPr>
          </w:pPr>
        </w:p>
        <w:p w:rsidR="00787C70" w:rsidRPr="00A60A65" w:rsidRDefault="00787C70" w:rsidP="00787C70">
          <w:pPr>
            <w:pStyle w:val="TOCHeading"/>
            <w:shd w:val="clear" w:color="auto" w:fill="E2EFD9" w:themeFill="accent6" w:themeFillTint="33"/>
            <w:spacing w:before="1320" w:after="240" w:line="276" w:lineRule="auto"/>
            <w:ind w:firstLine="0"/>
            <w:rPr>
              <w:rFonts w:ascii="Tahoma" w:eastAsiaTheme="minorHAnsi" w:hAnsi="Tahoma" w:cs="Tahoma"/>
              <w:b/>
              <w:noProof/>
              <w:color w:val="auto"/>
              <w:sz w:val="24"/>
              <w:szCs w:val="24"/>
              <w:lang w:val="ro-RO"/>
            </w:rPr>
          </w:pPr>
          <w:bookmarkStart w:id="0" w:name="_GoBack"/>
        </w:p>
        <w:bookmarkEnd w:id="0"/>
        <w:p w:rsidR="00787C70" w:rsidRPr="00A60A65" w:rsidRDefault="00787C70" w:rsidP="00787C70">
          <w:pPr>
            <w:pStyle w:val="TOCHeading"/>
            <w:shd w:val="clear" w:color="auto" w:fill="E2EFD9" w:themeFill="accent6" w:themeFillTint="33"/>
            <w:spacing w:before="1320" w:after="240" w:line="276" w:lineRule="auto"/>
            <w:ind w:firstLine="0"/>
            <w:rPr>
              <w:noProof/>
              <w:color w:val="auto"/>
            </w:rPr>
          </w:pPr>
          <w:r w:rsidRPr="00A60A65">
            <w:rPr>
              <w:rFonts w:eastAsiaTheme="minorHAnsi"/>
              <w:noProof/>
              <w:color w:val="auto"/>
            </w:rPr>
            <w:br w:type="page"/>
          </w:r>
        </w:p>
        <w:p w:rsidR="00787C70" w:rsidRDefault="00787C70" w:rsidP="001F252C">
          <w:pPr>
            <w:pStyle w:val="TOCHeading"/>
            <w:shd w:val="clear" w:color="auto" w:fill="E2EFD9" w:themeFill="accent6" w:themeFillTint="33"/>
            <w:spacing w:before="1320" w:after="240" w:line="276" w:lineRule="auto"/>
            <w:ind w:firstLine="0"/>
            <w:rPr>
              <w:rFonts w:ascii="Tahoma" w:eastAsiaTheme="minorHAnsi" w:hAnsi="Tahoma" w:cs="Tahoma"/>
              <w:b/>
              <w:noProof/>
              <w:color w:val="auto"/>
              <w:sz w:val="24"/>
              <w:szCs w:val="24"/>
              <w:lang w:val="ro-RO"/>
            </w:rPr>
          </w:pPr>
        </w:p>
        <w:p w:rsidR="00787C70" w:rsidRDefault="00787C70" w:rsidP="001F252C">
          <w:pPr>
            <w:pStyle w:val="TOCHeading"/>
            <w:shd w:val="clear" w:color="auto" w:fill="E2EFD9" w:themeFill="accent6" w:themeFillTint="33"/>
            <w:spacing w:before="1320" w:after="240" w:line="276" w:lineRule="auto"/>
            <w:ind w:firstLine="0"/>
            <w:rPr>
              <w:rFonts w:ascii="Tahoma" w:eastAsiaTheme="minorHAnsi" w:hAnsi="Tahoma" w:cs="Tahoma"/>
              <w:b/>
              <w:noProof/>
              <w:color w:val="auto"/>
              <w:sz w:val="24"/>
              <w:szCs w:val="24"/>
              <w:lang w:val="ro-RO"/>
            </w:rPr>
          </w:pPr>
        </w:p>
        <w:p w:rsidR="00C43AD2" w:rsidRDefault="00C43AD2" w:rsidP="001F252C">
          <w:pPr>
            <w:pStyle w:val="TOCHeading"/>
            <w:shd w:val="clear" w:color="auto" w:fill="E2EFD9" w:themeFill="accent6" w:themeFillTint="33"/>
            <w:spacing w:before="1320" w:after="240" w:line="276" w:lineRule="auto"/>
            <w:ind w:firstLine="0"/>
            <w:rPr>
              <w:rFonts w:ascii="Tahoma" w:hAnsi="Tahoma" w:cs="Tahoma"/>
              <w:b/>
              <w:color w:val="auto"/>
              <w:sz w:val="28"/>
              <w:szCs w:val="28"/>
              <w:lang w:val="ro-RO"/>
            </w:rPr>
          </w:pPr>
          <w:r w:rsidRPr="007403CD">
            <w:rPr>
              <w:rFonts w:ascii="Tahoma" w:hAnsi="Tahoma" w:cs="Tahoma"/>
              <w:b/>
              <w:color w:val="auto"/>
              <w:sz w:val="28"/>
              <w:szCs w:val="28"/>
              <w:lang w:val="ro-RO"/>
            </w:rPr>
            <w:t>Cuprins</w:t>
          </w:r>
        </w:p>
        <w:p w:rsidR="006F7E8D" w:rsidRPr="007403CD" w:rsidRDefault="001D24F5" w:rsidP="004B1B43">
          <w:pPr>
            <w:pStyle w:val="TOC1"/>
            <w:numPr>
              <w:ilvl w:val="0"/>
              <w:numId w:val="48"/>
            </w:numPr>
            <w:shd w:val="clear" w:color="auto" w:fill="E2EFD9" w:themeFill="accent6" w:themeFillTint="33"/>
            <w:rPr>
              <w:rFonts w:asciiTheme="minorHAnsi" w:eastAsiaTheme="minorEastAsia" w:hAnsiTheme="minorHAnsi" w:cstheme="minorBidi"/>
              <w:b w:val="0"/>
              <w:sz w:val="22"/>
              <w:szCs w:val="22"/>
            </w:rPr>
          </w:pPr>
          <w:r w:rsidRPr="007403CD">
            <w:rPr>
              <w:rFonts w:ascii="Tahoma" w:hAnsi="Tahoma" w:cs="Tahoma"/>
              <w:sz w:val="28"/>
              <w:szCs w:val="28"/>
            </w:rPr>
            <w:fldChar w:fldCharType="begin"/>
          </w:r>
          <w:r w:rsidR="00C43AD2" w:rsidRPr="007403CD">
            <w:rPr>
              <w:rFonts w:ascii="Tahoma" w:hAnsi="Tahoma" w:cs="Tahoma"/>
              <w:sz w:val="28"/>
              <w:szCs w:val="28"/>
            </w:rPr>
            <w:instrText xml:space="preserve"> TOC \o "1-3" \h \z \u </w:instrText>
          </w:r>
          <w:r w:rsidRPr="007403CD">
            <w:rPr>
              <w:rFonts w:ascii="Tahoma" w:hAnsi="Tahoma" w:cs="Tahoma"/>
              <w:sz w:val="28"/>
              <w:szCs w:val="28"/>
            </w:rPr>
            <w:fldChar w:fldCharType="separate"/>
          </w:r>
          <w:hyperlink w:anchor="_Toc109657572" w:history="1">
            <w:r w:rsidR="006F7E8D" w:rsidRPr="007403CD">
              <w:rPr>
                <w:rFonts w:asciiTheme="minorHAnsi" w:eastAsiaTheme="minorEastAsia" w:hAnsiTheme="minorHAnsi" w:cstheme="minorBidi"/>
                <w:b w:val="0"/>
                <w:sz w:val="22"/>
                <w:szCs w:val="22"/>
              </w:rPr>
              <w:t xml:space="preserve"> </w:t>
            </w:r>
            <w:r w:rsidR="006F7E8D" w:rsidRPr="007403CD">
              <w:rPr>
                <w:rStyle w:val="Hyperlink"/>
                <w:rFonts w:ascii="Tahoma" w:hAnsi="Tahoma" w:cs="Tahoma"/>
              </w:rPr>
              <w:t>Evoluții macroeconomice recente ale economiei românești</w:t>
            </w:r>
            <w:r w:rsidR="006F7E8D" w:rsidRPr="007403CD">
              <w:rPr>
                <w:webHidden/>
              </w:rPr>
              <w:tab/>
            </w:r>
            <w:r w:rsidR="006F7E8D" w:rsidRPr="007403CD">
              <w:rPr>
                <w:webHidden/>
              </w:rPr>
              <w:fldChar w:fldCharType="begin"/>
            </w:r>
            <w:r w:rsidR="006F7E8D" w:rsidRPr="007403CD">
              <w:rPr>
                <w:webHidden/>
              </w:rPr>
              <w:instrText xml:space="preserve"> PAGEREF _Toc109657572 \h </w:instrText>
            </w:r>
            <w:r w:rsidR="006F7E8D" w:rsidRPr="007403CD">
              <w:rPr>
                <w:webHidden/>
              </w:rPr>
            </w:r>
            <w:r w:rsidR="006F7E8D" w:rsidRPr="007403CD">
              <w:rPr>
                <w:webHidden/>
              </w:rPr>
              <w:fldChar w:fldCharType="separate"/>
            </w:r>
            <w:r w:rsidR="00AE72B6" w:rsidRPr="007403CD">
              <w:rPr>
                <w:webHidden/>
              </w:rPr>
              <w:t>1</w:t>
            </w:r>
            <w:r w:rsidR="006F7E8D" w:rsidRPr="007403CD">
              <w:rPr>
                <w:webHidden/>
              </w:rPr>
              <w:fldChar w:fldCharType="end"/>
            </w:r>
          </w:hyperlink>
        </w:p>
        <w:p w:rsidR="006F7E8D" w:rsidRPr="007403CD" w:rsidRDefault="00454372" w:rsidP="001F252C">
          <w:pPr>
            <w:pStyle w:val="TOC1"/>
            <w:shd w:val="clear" w:color="auto" w:fill="E2EFD9" w:themeFill="accent6" w:themeFillTint="33"/>
            <w:rPr>
              <w:rFonts w:asciiTheme="minorHAnsi" w:eastAsiaTheme="minorEastAsia" w:hAnsiTheme="minorHAnsi" w:cstheme="minorBidi"/>
              <w:b w:val="0"/>
              <w:sz w:val="22"/>
              <w:szCs w:val="22"/>
            </w:rPr>
          </w:pPr>
          <w:hyperlink w:anchor="_Toc109657573" w:history="1">
            <w:r w:rsidR="006F7E8D" w:rsidRPr="007403CD">
              <w:rPr>
                <w:rStyle w:val="Hyperlink"/>
                <w:rFonts w:ascii="Tahoma" w:hAnsi="Tahoma" w:cs="Tahoma"/>
              </w:rPr>
              <w:t>II.</w:t>
            </w:r>
            <w:r w:rsidR="006F7E8D" w:rsidRPr="007403CD">
              <w:rPr>
                <w:rFonts w:asciiTheme="minorHAnsi" w:eastAsiaTheme="minorEastAsia" w:hAnsiTheme="minorHAnsi" w:cstheme="minorBidi"/>
                <w:b w:val="0"/>
                <w:sz w:val="22"/>
                <w:szCs w:val="22"/>
              </w:rPr>
              <w:tab/>
            </w:r>
            <w:r w:rsidR="004B1B43" w:rsidRPr="007403CD">
              <w:rPr>
                <w:rFonts w:asciiTheme="minorHAnsi" w:eastAsiaTheme="minorEastAsia" w:hAnsiTheme="minorHAnsi" w:cstheme="minorBidi"/>
                <w:b w:val="0"/>
                <w:sz w:val="22"/>
                <w:szCs w:val="22"/>
              </w:rPr>
              <w:tab/>
            </w:r>
            <w:r w:rsidR="006F7E8D" w:rsidRPr="007403CD">
              <w:rPr>
                <w:rStyle w:val="Hyperlink"/>
                <w:rFonts w:ascii="Tahoma" w:hAnsi="Tahoma" w:cs="Tahoma"/>
              </w:rPr>
              <w:t>Politica fiscal-bugetară aferentă anului 2022</w:t>
            </w:r>
            <w:r w:rsidR="006F7E8D" w:rsidRPr="007403CD">
              <w:rPr>
                <w:webHidden/>
              </w:rPr>
              <w:tab/>
            </w:r>
            <w:r w:rsidR="006F7E8D" w:rsidRPr="007403CD">
              <w:rPr>
                <w:webHidden/>
              </w:rPr>
              <w:fldChar w:fldCharType="begin"/>
            </w:r>
            <w:r w:rsidR="006F7E8D" w:rsidRPr="007403CD">
              <w:rPr>
                <w:webHidden/>
              </w:rPr>
              <w:instrText xml:space="preserve"> PAGEREF _Toc109657573 \h </w:instrText>
            </w:r>
            <w:r w:rsidR="006F7E8D" w:rsidRPr="007403CD">
              <w:rPr>
                <w:webHidden/>
              </w:rPr>
            </w:r>
            <w:r w:rsidR="006F7E8D" w:rsidRPr="007403CD">
              <w:rPr>
                <w:webHidden/>
              </w:rPr>
              <w:fldChar w:fldCharType="separate"/>
            </w:r>
            <w:r w:rsidR="00AE72B6" w:rsidRPr="007403CD">
              <w:rPr>
                <w:webHidden/>
              </w:rPr>
              <w:t>12</w:t>
            </w:r>
            <w:r w:rsidR="006F7E8D" w:rsidRPr="007403CD">
              <w:rPr>
                <w:webHidden/>
              </w:rPr>
              <w:fldChar w:fldCharType="end"/>
            </w:r>
          </w:hyperlink>
        </w:p>
        <w:p w:rsidR="006F7E8D" w:rsidRPr="007403CD" w:rsidRDefault="00454372" w:rsidP="001F252C">
          <w:pPr>
            <w:pStyle w:val="TOC1"/>
            <w:shd w:val="clear" w:color="auto" w:fill="E2EFD9" w:themeFill="accent6" w:themeFillTint="33"/>
            <w:rPr>
              <w:rFonts w:asciiTheme="minorHAnsi" w:eastAsiaTheme="minorEastAsia" w:hAnsiTheme="minorHAnsi" w:cstheme="minorBidi"/>
              <w:b w:val="0"/>
              <w:sz w:val="22"/>
              <w:szCs w:val="22"/>
            </w:rPr>
          </w:pPr>
          <w:hyperlink w:anchor="_Toc109657574" w:history="1">
            <w:r w:rsidR="006F7E8D" w:rsidRPr="007403CD">
              <w:rPr>
                <w:rStyle w:val="Hyperlink"/>
                <w:rFonts w:ascii="Tahoma" w:hAnsi="Tahoma" w:cs="Tahoma"/>
              </w:rPr>
              <w:t>III.</w:t>
            </w:r>
            <w:r w:rsidR="006F7E8D" w:rsidRPr="007403CD">
              <w:rPr>
                <w:rFonts w:asciiTheme="minorHAnsi" w:eastAsiaTheme="minorEastAsia" w:hAnsiTheme="minorHAnsi" w:cstheme="minorBidi"/>
                <w:b w:val="0"/>
                <w:sz w:val="22"/>
                <w:szCs w:val="22"/>
              </w:rPr>
              <w:tab/>
            </w:r>
            <w:r w:rsidR="006F7E8D" w:rsidRPr="007403CD">
              <w:rPr>
                <w:rStyle w:val="Hyperlink"/>
                <w:rFonts w:ascii="Tahoma" w:hAnsi="Tahoma" w:cs="Tahoma"/>
              </w:rPr>
              <w:t>Execuția bugetară pe primul semestru al anului202</w:t>
            </w:r>
            <w:r w:rsidR="004B1B43" w:rsidRPr="007403CD">
              <w:rPr>
                <w:rStyle w:val="Hyperlink"/>
                <w:rFonts w:ascii="Tahoma" w:hAnsi="Tahoma" w:cs="Tahoma"/>
              </w:rPr>
              <w:t>2</w:t>
            </w:r>
            <w:r w:rsidR="006F7E8D" w:rsidRPr="007403CD">
              <w:rPr>
                <w:webHidden/>
              </w:rPr>
              <w:tab/>
            </w:r>
            <w:r w:rsidR="006F7E8D" w:rsidRPr="007403CD">
              <w:rPr>
                <w:webHidden/>
              </w:rPr>
              <w:fldChar w:fldCharType="begin"/>
            </w:r>
            <w:r w:rsidR="006F7E8D" w:rsidRPr="007403CD">
              <w:rPr>
                <w:webHidden/>
              </w:rPr>
              <w:instrText xml:space="preserve"> PAGEREF _Toc109657574 \h </w:instrText>
            </w:r>
            <w:r w:rsidR="006F7E8D" w:rsidRPr="007403CD">
              <w:rPr>
                <w:webHidden/>
              </w:rPr>
            </w:r>
            <w:r w:rsidR="006F7E8D" w:rsidRPr="007403CD">
              <w:rPr>
                <w:webHidden/>
              </w:rPr>
              <w:fldChar w:fldCharType="separate"/>
            </w:r>
            <w:r w:rsidR="00AE72B6" w:rsidRPr="007403CD">
              <w:rPr>
                <w:webHidden/>
              </w:rPr>
              <w:t>17</w:t>
            </w:r>
            <w:r w:rsidR="006F7E8D" w:rsidRPr="007403CD">
              <w:rPr>
                <w:webHidden/>
              </w:rPr>
              <w:fldChar w:fldCharType="end"/>
            </w:r>
          </w:hyperlink>
        </w:p>
        <w:p w:rsidR="006F7E8D" w:rsidRPr="007403CD" w:rsidRDefault="00454372" w:rsidP="001F252C">
          <w:pPr>
            <w:pStyle w:val="TOC1"/>
            <w:shd w:val="clear" w:color="auto" w:fill="E2EFD9" w:themeFill="accent6" w:themeFillTint="33"/>
            <w:rPr>
              <w:rFonts w:asciiTheme="minorHAnsi" w:eastAsiaTheme="minorEastAsia" w:hAnsiTheme="minorHAnsi" w:cstheme="minorBidi"/>
              <w:b w:val="0"/>
              <w:sz w:val="22"/>
              <w:szCs w:val="22"/>
            </w:rPr>
          </w:pPr>
          <w:hyperlink w:anchor="_Toc109657575" w:history="1">
            <w:r w:rsidR="006F7E8D" w:rsidRPr="007403CD">
              <w:rPr>
                <w:rStyle w:val="Hyperlink"/>
                <w:rFonts w:ascii="Tahoma" w:hAnsi="Tahoma" w:cs="Tahoma"/>
              </w:rPr>
              <w:t xml:space="preserve">IV. </w:t>
            </w:r>
            <w:r w:rsidR="004B1B43" w:rsidRPr="007403CD">
              <w:rPr>
                <w:rStyle w:val="Hyperlink"/>
                <w:rFonts w:ascii="Tahoma" w:hAnsi="Tahoma" w:cs="Tahoma"/>
              </w:rPr>
              <w:tab/>
            </w:r>
            <w:r w:rsidR="006F7E8D" w:rsidRPr="007403CD">
              <w:rPr>
                <w:rStyle w:val="Hyperlink"/>
                <w:rFonts w:ascii="Tahoma" w:hAnsi="Tahoma" w:cs="Tahoma"/>
              </w:rPr>
              <w:t>Finanțarea deficitului bugetar și datoria publică</w:t>
            </w:r>
            <w:r w:rsidR="006F7E8D" w:rsidRPr="007403CD">
              <w:rPr>
                <w:webHidden/>
              </w:rPr>
              <w:tab/>
            </w:r>
            <w:r w:rsidR="006F7E8D" w:rsidRPr="007403CD">
              <w:rPr>
                <w:webHidden/>
              </w:rPr>
              <w:fldChar w:fldCharType="begin"/>
            </w:r>
            <w:r w:rsidR="006F7E8D" w:rsidRPr="007403CD">
              <w:rPr>
                <w:webHidden/>
              </w:rPr>
              <w:instrText xml:space="preserve"> PAGEREF _Toc109657575 \h </w:instrText>
            </w:r>
            <w:r w:rsidR="006F7E8D" w:rsidRPr="007403CD">
              <w:rPr>
                <w:webHidden/>
              </w:rPr>
            </w:r>
            <w:r w:rsidR="006F7E8D" w:rsidRPr="007403CD">
              <w:rPr>
                <w:webHidden/>
              </w:rPr>
              <w:fldChar w:fldCharType="separate"/>
            </w:r>
            <w:r w:rsidR="00AE72B6" w:rsidRPr="007403CD">
              <w:rPr>
                <w:webHidden/>
              </w:rPr>
              <w:t>30</w:t>
            </w:r>
            <w:r w:rsidR="006F7E8D" w:rsidRPr="007403CD">
              <w:rPr>
                <w:webHidden/>
              </w:rPr>
              <w:fldChar w:fldCharType="end"/>
            </w:r>
          </w:hyperlink>
        </w:p>
        <w:p w:rsidR="006F7E8D" w:rsidRPr="007403CD" w:rsidRDefault="00454372" w:rsidP="001F252C">
          <w:pPr>
            <w:pStyle w:val="TOC1"/>
            <w:shd w:val="clear" w:color="auto" w:fill="E2EFD9" w:themeFill="accent6" w:themeFillTint="33"/>
            <w:rPr>
              <w:rFonts w:asciiTheme="minorHAnsi" w:eastAsiaTheme="minorEastAsia" w:hAnsiTheme="minorHAnsi" w:cstheme="minorBidi"/>
              <w:b w:val="0"/>
              <w:sz w:val="22"/>
              <w:szCs w:val="22"/>
            </w:rPr>
          </w:pPr>
          <w:hyperlink w:anchor="_Toc109657576" w:history="1">
            <w:r w:rsidR="006F7E8D" w:rsidRPr="007403CD">
              <w:rPr>
                <w:rStyle w:val="Hyperlink"/>
                <w:rFonts w:ascii="Tahoma" w:eastAsia="MS Mincho" w:hAnsi="Tahoma" w:cs="Tahoma"/>
                <w:lang w:eastAsia="ja-JP"/>
              </w:rPr>
              <w:t xml:space="preserve">V. </w:t>
            </w:r>
            <w:r w:rsidR="004B1B43" w:rsidRPr="007403CD">
              <w:rPr>
                <w:rStyle w:val="Hyperlink"/>
                <w:rFonts w:ascii="Tahoma" w:eastAsia="MS Mincho" w:hAnsi="Tahoma" w:cs="Tahoma"/>
                <w:lang w:eastAsia="ja-JP"/>
              </w:rPr>
              <w:tab/>
            </w:r>
            <w:r w:rsidR="004B1B43" w:rsidRPr="007403CD">
              <w:rPr>
                <w:rStyle w:val="Hyperlink"/>
                <w:rFonts w:ascii="Tahoma" w:eastAsia="MS Mincho" w:hAnsi="Tahoma" w:cs="Tahoma"/>
                <w:lang w:eastAsia="ja-JP"/>
              </w:rPr>
              <w:tab/>
            </w:r>
            <w:r w:rsidR="006F7E8D" w:rsidRPr="007403CD">
              <w:rPr>
                <w:rStyle w:val="Hyperlink"/>
                <w:rFonts w:ascii="Tahoma" w:eastAsia="MS Mincho" w:hAnsi="Tahoma" w:cs="Tahoma"/>
                <w:lang w:eastAsia="ja-JP"/>
              </w:rPr>
              <w:t>Absorbția fondurilor externe nerambursabile</w:t>
            </w:r>
            <w:r w:rsidR="006F7E8D" w:rsidRPr="007403CD">
              <w:rPr>
                <w:webHidden/>
              </w:rPr>
              <w:tab/>
            </w:r>
            <w:r w:rsidR="006F7E8D" w:rsidRPr="007403CD">
              <w:rPr>
                <w:webHidden/>
              </w:rPr>
              <w:fldChar w:fldCharType="begin"/>
            </w:r>
            <w:r w:rsidR="006F7E8D" w:rsidRPr="007403CD">
              <w:rPr>
                <w:webHidden/>
              </w:rPr>
              <w:instrText xml:space="preserve"> PAGEREF _Toc109657576 \h </w:instrText>
            </w:r>
            <w:r w:rsidR="006F7E8D" w:rsidRPr="007403CD">
              <w:rPr>
                <w:webHidden/>
              </w:rPr>
            </w:r>
            <w:r w:rsidR="006F7E8D" w:rsidRPr="007403CD">
              <w:rPr>
                <w:webHidden/>
              </w:rPr>
              <w:fldChar w:fldCharType="separate"/>
            </w:r>
            <w:r w:rsidR="00AE72B6" w:rsidRPr="007403CD">
              <w:rPr>
                <w:webHidden/>
              </w:rPr>
              <w:t>33</w:t>
            </w:r>
            <w:r w:rsidR="006F7E8D" w:rsidRPr="007403CD">
              <w:rPr>
                <w:webHidden/>
              </w:rPr>
              <w:fldChar w:fldCharType="end"/>
            </w:r>
          </w:hyperlink>
        </w:p>
        <w:p w:rsidR="00C43AD2" w:rsidRPr="007403CD" w:rsidRDefault="006F7E8D" w:rsidP="001F252C">
          <w:pPr>
            <w:pStyle w:val="TOC1"/>
            <w:shd w:val="clear" w:color="auto" w:fill="E2EFD9" w:themeFill="accent6" w:themeFillTint="33"/>
            <w:rPr>
              <w:rFonts w:ascii="Tahoma" w:hAnsi="Tahoma" w:cs="Tahoma"/>
              <w:b w:val="0"/>
              <w:bCs/>
            </w:rPr>
          </w:pPr>
          <w:r w:rsidRPr="007403CD">
            <w:rPr>
              <w:rStyle w:val="Hyperlink"/>
            </w:rPr>
            <w:t xml:space="preserve">       </w:t>
          </w:r>
          <w:hyperlink w:anchor="_Toc109657577" w:history="1">
            <w:r w:rsidRPr="007403CD">
              <w:rPr>
                <w:rStyle w:val="Hyperlink"/>
                <w:rFonts w:ascii="Tahoma" w:hAnsi="Tahoma" w:cs="Tahoma"/>
              </w:rPr>
              <w:t>Concluzii</w:t>
            </w:r>
            <w:r w:rsidRPr="007403CD">
              <w:rPr>
                <w:webHidden/>
              </w:rPr>
              <w:tab/>
            </w:r>
            <w:r w:rsidRPr="007403CD">
              <w:rPr>
                <w:webHidden/>
              </w:rPr>
              <w:fldChar w:fldCharType="begin"/>
            </w:r>
            <w:r w:rsidRPr="007403CD">
              <w:rPr>
                <w:webHidden/>
              </w:rPr>
              <w:instrText xml:space="preserve"> PAGEREF _Toc109657577 \h </w:instrText>
            </w:r>
            <w:r w:rsidRPr="007403CD">
              <w:rPr>
                <w:webHidden/>
              </w:rPr>
            </w:r>
            <w:r w:rsidRPr="007403CD">
              <w:rPr>
                <w:webHidden/>
              </w:rPr>
              <w:fldChar w:fldCharType="separate"/>
            </w:r>
            <w:r w:rsidR="00AE72B6" w:rsidRPr="007403CD">
              <w:rPr>
                <w:webHidden/>
              </w:rPr>
              <w:t>35</w:t>
            </w:r>
            <w:r w:rsidRPr="007403CD">
              <w:rPr>
                <w:webHidden/>
              </w:rPr>
              <w:fldChar w:fldCharType="end"/>
            </w:r>
          </w:hyperlink>
          <w:r w:rsidR="001D24F5" w:rsidRPr="007403CD">
            <w:rPr>
              <w:rFonts w:ascii="Tahoma" w:hAnsi="Tahoma" w:cs="Tahoma"/>
              <w:b w:val="0"/>
              <w:bCs/>
              <w:sz w:val="28"/>
              <w:szCs w:val="28"/>
            </w:rPr>
            <w:fldChar w:fldCharType="end"/>
          </w:r>
        </w:p>
      </w:sdtContent>
    </w:sdt>
    <w:p w:rsidR="001E5189" w:rsidRPr="007403CD" w:rsidRDefault="001E5189" w:rsidP="002A6579">
      <w:pPr>
        <w:spacing w:line="276" w:lineRule="auto"/>
        <w:rPr>
          <w:rFonts w:ascii="Tahoma" w:hAnsi="Tahoma" w:cs="Tahoma"/>
          <w:sz w:val="24"/>
          <w:szCs w:val="24"/>
        </w:rPr>
      </w:pPr>
    </w:p>
    <w:p w:rsidR="00FB0FC8" w:rsidRPr="007403CD" w:rsidRDefault="00FB0FC8" w:rsidP="002A6579">
      <w:pPr>
        <w:keepNext/>
        <w:keepLines/>
        <w:spacing w:line="276" w:lineRule="auto"/>
        <w:rPr>
          <w:rFonts w:ascii="Tahoma" w:hAnsi="Tahoma" w:cs="Tahoma"/>
          <w:b/>
          <w:sz w:val="24"/>
          <w:szCs w:val="24"/>
        </w:rPr>
      </w:pPr>
    </w:p>
    <w:p w:rsidR="00FB0FC8" w:rsidRPr="007403CD" w:rsidRDefault="00FB0FC8" w:rsidP="002A6579">
      <w:pPr>
        <w:keepNext/>
        <w:keepLines/>
        <w:spacing w:line="276" w:lineRule="auto"/>
        <w:rPr>
          <w:rFonts w:ascii="Tahoma" w:hAnsi="Tahoma" w:cs="Tahoma"/>
          <w:b/>
          <w:sz w:val="24"/>
          <w:szCs w:val="24"/>
        </w:rPr>
      </w:pPr>
    </w:p>
    <w:p w:rsidR="007C4F03" w:rsidRPr="007403CD" w:rsidRDefault="007C4F03" w:rsidP="002A6579">
      <w:pPr>
        <w:keepNext/>
        <w:keepLines/>
        <w:spacing w:line="276" w:lineRule="auto"/>
        <w:rPr>
          <w:rFonts w:ascii="Tahoma" w:hAnsi="Tahoma" w:cs="Tahoma"/>
          <w:sz w:val="24"/>
          <w:szCs w:val="24"/>
        </w:rPr>
      </w:pPr>
    </w:p>
    <w:p w:rsidR="007C4F03" w:rsidRPr="007403CD" w:rsidRDefault="007C4F03" w:rsidP="002A6579">
      <w:pPr>
        <w:keepNext/>
        <w:keepLines/>
        <w:spacing w:line="276" w:lineRule="auto"/>
        <w:rPr>
          <w:rFonts w:ascii="Tahoma" w:hAnsi="Tahoma" w:cs="Tahoma"/>
          <w:sz w:val="24"/>
          <w:szCs w:val="24"/>
        </w:rPr>
      </w:pPr>
    </w:p>
    <w:p w:rsidR="006407D7" w:rsidRPr="007403CD" w:rsidRDefault="006407D7" w:rsidP="002A6579">
      <w:pPr>
        <w:keepNext/>
        <w:keepLines/>
        <w:spacing w:line="276" w:lineRule="auto"/>
        <w:rPr>
          <w:rFonts w:ascii="Tahoma" w:hAnsi="Tahoma" w:cs="Tahoma"/>
          <w:sz w:val="24"/>
          <w:szCs w:val="24"/>
        </w:rPr>
      </w:pPr>
    </w:p>
    <w:p w:rsidR="007C4F03" w:rsidRPr="007403CD" w:rsidRDefault="007C4F03"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51EDE" w:rsidRPr="007403CD" w:rsidRDefault="00F51EDE" w:rsidP="002A6579">
      <w:pPr>
        <w:keepNext/>
        <w:keepLines/>
        <w:spacing w:line="276" w:lineRule="auto"/>
        <w:rPr>
          <w:rFonts w:ascii="Tahoma" w:hAnsi="Tahoma" w:cs="Tahoma"/>
          <w:sz w:val="24"/>
          <w:szCs w:val="24"/>
        </w:rPr>
      </w:pPr>
    </w:p>
    <w:p w:rsidR="00F96228" w:rsidRPr="007403CD" w:rsidRDefault="00F96228" w:rsidP="002A6579">
      <w:pPr>
        <w:keepNext/>
        <w:keepLines/>
        <w:spacing w:line="276" w:lineRule="auto"/>
        <w:rPr>
          <w:rFonts w:ascii="Tahoma" w:hAnsi="Tahoma" w:cs="Tahoma"/>
          <w:sz w:val="24"/>
          <w:szCs w:val="24"/>
        </w:rPr>
      </w:pPr>
      <w:r w:rsidRPr="007403CD">
        <w:rPr>
          <w:rFonts w:ascii="Tahoma" w:hAnsi="Tahoma" w:cs="Tahoma"/>
          <w:sz w:val="24"/>
          <w:szCs w:val="24"/>
        </w:rPr>
        <w:br w:type="page"/>
      </w:r>
    </w:p>
    <w:p w:rsidR="007C4F03" w:rsidRPr="007403CD" w:rsidRDefault="00EE2635" w:rsidP="00444C93">
      <w:pPr>
        <w:pStyle w:val="ListParagraph"/>
        <w:keepNext/>
        <w:keepLines/>
        <w:numPr>
          <w:ilvl w:val="0"/>
          <w:numId w:val="1"/>
        </w:numPr>
        <w:spacing w:after="240" w:line="276" w:lineRule="auto"/>
        <w:ind w:left="0" w:firstLine="629"/>
        <w:contextualSpacing w:val="0"/>
        <w:outlineLvl w:val="0"/>
        <w:rPr>
          <w:rFonts w:ascii="Tahoma" w:hAnsi="Tahoma" w:cs="Tahoma"/>
          <w:b/>
          <w:sz w:val="24"/>
          <w:szCs w:val="24"/>
        </w:rPr>
      </w:pPr>
      <w:bookmarkStart w:id="1" w:name="_Toc299543078"/>
      <w:bookmarkStart w:id="2" w:name="_Toc425320856"/>
      <w:bookmarkStart w:id="3" w:name="_Toc456256932"/>
      <w:bookmarkStart w:id="4" w:name="_Toc456257456"/>
      <w:bookmarkStart w:id="5" w:name="_Toc456258314"/>
      <w:bookmarkStart w:id="6" w:name="_Toc456258418"/>
      <w:bookmarkStart w:id="7" w:name="_Toc109657572"/>
      <w:r w:rsidRPr="007403CD">
        <w:rPr>
          <w:rFonts w:ascii="Tahoma" w:hAnsi="Tahoma" w:cs="Tahoma"/>
          <w:b/>
          <w:sz w:val="24"/>
          <w:szCs w:val="24"/>
        </w:rPr>
        <w:lastRenderedPageBreak/>
        <w:t>Evoluții</w:t>
      </w:r>
      <w:r w:rsidR="007C4F03" w:rsidRPr="007403CD">
        <w:rPr>
          <w:rFonts w:ascii="Tahoma" w:hAnsi="Tahoma" w:cs="Tahoma"/>
          <w:b/>
          <w:sz w:val="24"/>
          <w:szCs w:val="24"/>
        </w:rPr>
        <w:t xml:space="preserve"> macroeconomice recente ale economiei </w:t>
      </w:r>
      <w:bookmarkEnd w:id="1"/>
      <w:bookmarkEnd w:id="2"/>
      <w:bookmarkEnd w:id="3"/>
      <w:bookmarkEnd w:id="4"/>
      <w:bookmarkEnd w:id="5"/>
      <w:bookmarkEnd w:id="6"/>
      <w:r w:rsidRPr="007403CD">
        <w:rPr>
          <w:rFonts w:ascii="Tahoma" w:hAnsi="Tahoma" w:cs="Tahoma"/>
          <w:b/>
          <w:sz w:val="24"/>
          <w:szCs w:val="24"/>
        </w:rPr>
        <w:t>românești</w:t>
      </w:r>
      <w:bookmarkEnd w:id="7"/>
    </w:p>
    <w:p w:rsidR="00444C93" w:rsidRPr="007403CD" w:rsidRDefault="00444C93" w:rsidP="004B1B43">
      <w:pPr>
        <w:keepNext/>
        <w:spacing w:after="120" w:line="276" w:lineRule="auto"/>
        <w:ind w:firstLine="0"/>
        <w:rPr>
          <w:rFonts w:ascii="Tahoma" w:hAnsi="Tahoma" w:cs="Tahoma"/>
          <w:sz w:val="24"/>
          <w:szCs w:val="24"/>
        </w:rPr>
      </w:pPr>
      <w:r w:rsidRPr="007403CD">
        <w:rPr>
          <w:rFonts w:ascii="Tahoma" w:hAnsi="Tahoma" w:cs="Tahoma"/>
          <w:b/>
          <w:sz w:val="24"/>
          <w:szCs w:val="24"/>
        </w:rPr>
        <w:t>În primele 3 luni ale anului 2022</w:t>
      </w:r>
      <w:r w:rsidRPr="007403CD">
        <w:rPr>
          <w:rFonts w:ascii="Tahoma" w:hAnsi="Tahoma" w:cs="Tahoma"/>
          <w:sz w:val="24"/>
          <w:szCs w:val="24"/>
        </w:rPr>
        <w:t xml:space="preserve"> economia românească s-a confruntat cu numeroase provocări. Pe de o parte criza sanitară care s-a prelungit şi în perioada ianuarie-februarie cu </w:t>
      </w:r>
      <w:r w:rsidR="007403CD" w:rsidRPr="007403CD">
        <w:rPr>
          <w:rFonts w:ascii="Tahoma" w:hAnsi="Tahoma" w:cs="Tahoma"/>
          <w:sz w:val="24"/>
          <w:szCs w:val="24"/>
        </w:rPr>
        <w:t>menținerea</w:t>
      </w:r>
      <w:r w:rsidRPr="007403CD">
        <w:rPr>
          <w:rFonts w:ascii="Tahoma" w:hAnsi="Tahoma" w:cs="Tahoma"/>
          <w:sz w:val="24"/>
          <w:szCs w:val="24"/>
        </w:rPr>
        <w:t xml:space="preserve"> a numeroase </w:t>
      </w:r>
      <w:r w:rsidR="007403CD" w:rsidRPr="007403CD">
        <w:rPr>
          <w:rFonts w:ascii="Tahoma" w:hAnsi="Tahoma" w:cs="Tahoma"/>
          <w:sz w:val="24"/>
          <w:szCs w:val="24"/>
        </w:rPr>
        <w:t>restricții</w:t>
      </w:r>
      <w:r w:rsidRPr="007403CD">
        <w:rPr>
          <w:rFonts w:ascii="Tahoma" w:hAnsi="Tahoma" w:cs="Tahoma"/>
          <w:sz w:val="24"/>
          <w:szCs w:val="24"/>
        </w:rPr>
        <w:t>, iar pe de altă parte, în a doua jumătate a lunii februarie a început conflictul ruso-ucrainean ceea ce a condus la accentuarea unor fenomene care deja se manifestau încă din anul 2021 (</w:t>
      </w:r>
      <w:r w:rsidR="007403CD" w:rsidRPr="007403CD">
        <w:rPr>
          <w:rFonts w:ascii="Tahoma" w:hAnsi="Tahoma" w:cs="Tahoma"/>
          <w:sz w:val="24"/>
          <w:szCs w:val="24"/>
        </w:rPr>
        <w:t>dificultăți</w:t>
      </w:r>
      <w:r w:rsidRPr="007403CD">
        <w:rPr>
          <w:rFonts w:ascii="Tahoma" w:hAnsi="Tahoma" w:cs="Tahoma"/>
          <w:sz w:val="24"/>
          <w:szCs w:val="24"/>
        </w:rPr>
        <w:t xml:space="preserve"> în </w:t>
      </w:r>
      <w:r w:rsidR="007403CD" w:rsidRPr="007403CD">
        <w:rPr>
          <w:rFonts w:ascii="Tahoma" w:hAnsi="Tahoma" w:cs="Tahoma"/>
          <w:sz w:val="24"/>
          <w:szCs w:val="24"/>
        </w:rPr>
        <w:t>lanțurile</w:t>
      </w:r>
      <w:r w:rsidRPr="007403CD">
        <w:rPr>
          <w:rFonts w:ascii="Tahoma" w:hAnsi="Tahoma" w:cs="Tahoma"/>
          <w:sz w:val="24"/>
          <w:szCs w:val="24"/>
        </w:rPr>
        <w:t xml:space="preserve"> de aprovizionare, </w:t>
      </w:r>
      <w:r w:rsidR="007403CD" w:rsidRPr="007403CD">
        <w:rPr>
          <w:rFonts w:ascii="Tahoma" w:hAnsi="Tahoma" w:cs="Tahoma"/>
          <w:sz w:val="24"/>
          <w:szCs w:val="24"/>
        </w:rPr>
        <w:t>creșterea</w:t>
      </w:r>
      <w:r w:rsidRPr="007403CD">
        <w:rPr>
          <w:rFonts w:ascii="Tahoma" w:hAnsi="Tahoma" w:cs="Tahoma"/>
          <w:sz w:val="24"/>
          <w:szCs w:val="24"/>
        </w:rPr>
        <w:t xml:space="preserve"> </w:t>
      </w:r>
      <w:r w:rsidR="007403CD" w:rsidRPr="007403CD">
        <w:rPr>
          <w:rFonts w:ascii="Tahoma" w:hAnsi="Tahoma" w:cs="Tahoma"/>
          <w:sz w:val="24"/>
          <w:szCs w:val="24"/>
        </w:rPr>
        <w:t>prețurilor</w:t>
      </w:r>
      <w:r w:rsidRPr="007403CD">
        <w:rPr>
          <w:rFonts w:ascii="Tahoma" w:hAnsi="Tahoma" w:cs="Tahoma"/>
          <w:sz w:val="24"/>
          <w:szCs w:val="24"/>
        </w:rPr>
        <w:t xml:space="preserve"> produselor energetice, etc.) şi </w:t>
      </w:r>
      <w:r w:rsidR="007403CD" w:rsidRPr="007403CD">
        <w:rPr>
          <w:rFonts w:ascii="Tahoma" w:hAnsi="Tahoma" w:cs="Tahoma"/>
          <w:sz w:val="24"/>
          <w:szCs w:val="24"/>
        </w:rPr>
        <w:t>apariția</w:t>
      </w:r>
      <w:r w:rsidRPr="007403CD">
        <w:rPr>
          <w:rFonts w:ascii="Tahoma" w:hAnsi="Tahoma" w:cs="Tahoma"/>
          <w:sz w:val="24"/>
          <w:szCs w:val="24"/>
        </w:rPr>
        <w:t xml:space="preserve"> altora noi (</w:t>
      </w:r>
      <w:r w:rsidR="007403CD" w:rsidRPr="007403CD">
        <w:rPr>
          <w:rFonts w:ascii="Tahoma" w:hAnsi="Tahoma" w:cs="Tahoma"/>
          <w:sz w:val="24"/>
          <w:szCs w:val="24"/>
        </w:rPr>
        <w:t>restricțiile</w:t>
      </w:r>
      <w:r w:rsidRPr="007403CD">
        <w:rPr>
          <w:rFonts w:ascii="Tahoma" w:hAnsi="Tahoma" w:cs="Tahoma"/>
          <w:sz w:val="24"/>
          <w:szCs w:val="24"/>
        </w:rPr>
        <w:t xml:space="preserve"> impuse Rusiei, valul de </w:t>
      </w:r>
      <w:r w:rsidR="007403CD" w:rsidRPr="007403CD">
        <w:rPr>
          <w:rFonts w:ascii="Tahoma" w:hAnsi="Tahoma" w:cs="Tahoma"/>
          <w:sz w:val="24"/>
          <w:szCs w:val="24"/>
        </w:rPr>
        <w:t>refugiați</w:t>
      </w:r>
      <w:r w:rsidRPr="007403CD">
        <w:rPr>
          <w:rFonts w:ascii="Tahoma" w:hAnsi="Tahoma" w:cs="Tahoma"/>
          <w:sz w:val="24"/>
          <w:szCs w:val="24"/>
        </w:rPr>
        <w:t xml:space="preserve">, etc.). Îmbucurător a fost faptul că la începutul lunii martie, pe fondul scăderii semnificative a numărului de cazuri, starea de alertă nu a mai fost prelungită, iar </w:t>
      </w:r>
      <w:r w:rsidR="007403CD" w:rsidRPr="007403CD">
        <w:rPr>
          <w:rFonts w:ascii="Tahoma" w:hAnsi="Tahoma" w:cs="Tahoma"/>
          <w:sz w:val="24"/>
          <w:szCs w:val="24"/>
        </w:rPr>
        <w:t>restricțiile</w:t>
      </w:r>
      <w:r w:rsidRPr="007403CD">
        <w:rPr>
          <w:rFonts w:ascii="Tahoma" w:hAnsi="Tahoma" w:cs="Tahoma"/>
          <w:sz w:val="24"/>
          <w:szCs w:val="24"/>
        </w:rPr>
        <w:t xml:space="preserve"> au fost ridicate, ceea ce a permis </w:t>
      </w:r>
      <w:r w:rsidR="007403CD" w:rsidRPr="007403CD">
        <w:rPr>
          <w:rFonts w:ascii="Tahoma" w:hAnsi="Tahoma" w:cs="Tahoma"/>
          <w:sz w:val="24"/>
          <w:szCs w:val="24"/>
        </w:rPr>
        <w:t>desfășurarea</w:t>
      </w:r>
      <w:r w:rsidRPr="007403CD">
        <w:rPr>
          <w:rFonts w:ascii="Tahoma" w:hAnsi="Tahoma" w:cs="Tahoma"/>
          <w:sz w:val="24"/>
          <w:szCs w:val="24"/>
        </w:rPr>
        <w:t xml:space="preserve"> tuturor </w:t>
      </w:r>
      <w:r w:rsidR="007403CD" w:rsidRPr="007403CD">
        <w:rPr>
          <w:rFonts w:ascii="Tahoma" w:hAnsi="Tahoma" w:cs="Tahoma"/>
          <w:sz w:val="24"/>
          <w:szCs w:val="24"/>
        </w:rPr>
        <w:t>activităților</w:t>
      </w:r>
      <w:r w:rsidRPr="007403CD">
        <w:rPr>
          <w:rFonts w:ascii="Tahoma" w:hAnsi="Tahoma" w:cs="Tahoma"/>
          <w:sz w:val="24"/>
          <w:szCs w:val="24"/>
        </w:rPr>
        <w:t xml:space="preserve"> în </w:t>
      </w:r>
      <w:r w:rsidR="007403CD" w:rsidRPr="007403CD">
        <w:rPr>
          <w:rFonts w:ascii="Tahoma" w:hAnsi="Tahoma" w:cs="Tahoma"/>
          <w:sz w:val="24"/>
          <w:szCs w:val="24"/>
        </w:rPr>
        <w:t>condiții</w:t>
      </w:r>
      <w:r w:rsidRPr="007403CD">
        <w:rPr>
          <w:rFonts w:ascii="Tahoma" w:hAnsi="Tahoma" w:cs="Tahoma"/>
          <w:sz w:val="24"/>
          <w:szCs w:val="24"/>
        </w:rPr>
        <w:t xml:space="preserve"> normale.</w:t>
      </w:r>
    </w:p>
    <w:p w:rsidR="00444C93" w:rsidRPr="007403CD" w:rsidRDefault="00444C93" w:rsidP="004B1B43">
      <w:pPr>
        <w:pStyle w:val="ListParagraph"/>
        <w:keepNext/>
        <w:spacing w:after="120" w:line="276" w:lineRule="auto"/>
        <w:ind w:left="0" w:firstLine="0"/>
        <w:contextualSpacing w:val="0"/>
        <w:rPr>
          <w:rFonts w:ascii="Tahoma" w:hAnsi="Tahoma" w:cs="Tahoma"/>
          <w:sz w:val="24"/>
          <w:szCs w:val="24"/>
        </w:rPr>
      </w:pPr>
      <w:r w:rsidRPr="007403CD">
        <w:rPr>
          <w:rFonts w:ascii="Tahoma" w:hAnsi="Tahoma" w:cs="Tahoma"/>
          <w:sz w:val="24"/>
          <w:szCs w:val="24"/>
        </w:rPr>
        <w:t xml:space="preserve">Pe fondul acestei conjuncturi economice, </w:t>
      </w:r>
      <w:r w:rsidRPr="007403CD">
        <w:rPr>
          <w:rFonts w:ascii="Tahoma" w:hAnsi="Tahoma" w:cs="Tahoma"/>
          <w:b/>
          <w:sz w:val="24"/>
          <w:szCs w:val="24"/>
        </w:rPr>
        <w:t>în primul trimestru al anului 2022,</w:t>
      </w:r>
      <w:r w:rsidRPr="007403CD">
        <w:rPr>
          <w:rFonts w:ascii="Tahoma" w:hAnsi="Tahoma" w:cs="Tahoma"/>
          <w:sz w:val="24"/>
          <w:szCs w:val="24"/>
        </w:rPr>
        <w:t xml:space="preserve"> produsul intern brut s-a majorat cu 6,4% comparativ cu perioada similară din 2021 (atât pe serie brută, cât </w:t>
      </w:r>
      <w:r w:rsidR="007403CD" w:rsidRPr="007403CD">
        <w:rPr>
          <w:rFonts w:ascii="Tahoma" w:hAnsi="Tahoma" w:cs="Tahoma"/>
          <w:sz w:val="24"/>
          <w:szCs w:val="24"/>
        </w:rPr>
        <w:t>și</w:t>
      </w:r>
      <w:r w:rsidRPr="007403CD">
        <w:rPr>
          <w:rFonts w:ascii="Tahoma" w:hAnsi="Tahoma" w:cs="Tahoma"/>
          <w:sz w:val="24"/>
          <w:szCs w:val="24"/>
        </w:rPr>
        <w:t xml:space="preserve"> pe serie ajustată sezonier). Această </w:t>
      </w:r>
      <w:r w:rsidR="007403CD" w:rsidRPr="007403CD">
        <w:rPr>
          <w:rFonts w:ascii="Tahoma" w:hAnsi="Tahoma" w:cs="Tahoma"/>
          <w:sz w:val="24"/>
          <w:szCs w:val="24"/>
        </w:rPr>
        <w:t>creștere</w:t>
      </w:r>
      <w:r w:rsidRPr="007403CD">
        <w:rPr>
          <w:rFonts w:ascii="Tahoma" w:hAnsi="Tahoma" w:cs="Tahoma"/>
          <w:sz w:val="24"/>
          <w:szCs w:val="24"/>
        </w:rPr>
        <w:t xml:space="preserve"> a condus la </w:t>
      </w:r>
      <w:r w:rsidR="007403CD" w:rsidRPr="007403CD">
        <w:rPr>
          <w:rFonts w:ascii="Tahoma" w:hAnsi="Tahoma" w:cs="Tahoma"/>
          <w:sz w:val="24"/>
          <w:szCs w:val="24"/>
        </w:rPr>
        <w:t>depășirea</w:t>
      </w:r>
      <w:r w:rsidRPr="007403CD">
        <w:rPr>
          <w:rFonts w:ascii="Tahoma" w:hAnsi="Tahoma" w:cs="Tahoma"/>
          <w:sz w:val="24"/>
          <w:szCs w:val="24"/>
        </w:rPr>
        <w:t xml:space="preserve"> cu 9,1% a nivelului produsului intern brut din trimestrul I 2019 (an pre-pandemic). </w:t>
      </w:r>
      <w:r w:rsidRPr="007403CD">
        <w:rPr>
          <w:rFonts w:ascii="Tahoma" w:eastAsia="Calibri" w:hAnsi="Tahoma" w:cs="Tahoma"/>
          <w:bCs/>
          <w:sz w:val="24"/>
          <w:szCs w:val="24"/>
        </w:rPr>
        <w:t xml:space="preserve">Pe ansamblul UE, în primul trimestru din 2022 </w:t>
      </w:r>
      <w:r w:rsidR="007403CD" w:rsidRPr="007403CD">
        <w:rPr>
          <w:rFonts w:ascii="Tahoma" w:eastAsia="Calibri" w:hAnsi="Tahoma" w:cs="Tahoma"/>
          <w:bCs/>
          <w:sz w:val="24"/>
          <w:szCs w:val="24"/>
        </w:rPr>
        <w:t>față</w:t>
      </w:r>
      <w:r w:rsidRPr="007403CD">
        <w:rPr>
          <w:rFonts w:ascii="Tahoma" w:eastAsia="Calibri" w:hAnsi="Tahoma" w:cs="Tahoma"/>
          <w:bCs/>
          <w:sz w:val="24"/>
          <w:szCs w:val="24"/>
        </w:rPr>
        <w:t xml:space="preserve"> de trimestrul I 2021, produsul intern brut s-a majorat cu 5,5%, iar în zona euro cu 5,4% (serie ajustată sezonier). </w:t>
      </w:r>
    </w:p>
    <w:p w:rsidR="00444C93" w:rsidRPr="007403CD" w:rsidRDefault="00444C93" w:rsidP="00444C93">
      <w:pPr>
        <w:keepNext/>
        <w:keepLines/>
        <w:widowControl w:val="0"/>
        <w:spacing w:before="120" w:after="120"/>
        <w:ind w:firstLine="0"/>
        <w:jc w:val="center"/>
        <w:rPr>
          <w:rFonts w:ascii="Arial" w:hAnsi="Arial" w:cs="Arial"/>
          <w:b/>
          <w:bCs/>
          <w:sz w:val="24"/>
          <w:szCs w:val="24"/>
        </w:rPr>
      </w:pPr>
      <w:r w:rsidRPr="007403CD">
        <w:rPr>
          <w:rFonts w:ascii="Arial" w:hAnsi="Arial" w:cs="Arial"/>
          <w:b/>
          <w:bCs/>
          <w:sz w:val="24"/>
          <w:szCs w:val="24"/>
        </w:rPr>
        <w:t>Contribuția la creșterea reală a PIB a elementelor de cheltuieli</w:t>
      </w:r>
    </w:p>
    <w:p w:rsidR="00444C93" w:rsidRPr="007403CD" w:rsidRDefault="00444C93" w:rsidP="00444C93">
      <w:pPr>
        <w:keepNext/>
        <w:keepLines/>
        <w:widowControl w:val="0"/>
        <w:spacing w:before="120" w:after="120"/>
        <w:ind w:firstLine="0"/>
        <w:jc w:val="center"/>
        <w:rPr>
          <w:rFonts w:ascii="Arial" w:hAnsi="Arial" w:cs="Arial"/>
          <w:b/>
          <w:bCs/>
          <w:color w:val="2E74B5" w:themeColor="accent1" w:themeShade="BF"/>
          <w:sz w:val="24"/>
          <w:szCs w:val="24"/>
        </w:rPr>
      </w:pPr>
      <w:r w:rsidRPr="007403CD">
        <w:rPr>
          <w:rFonts w:ascii="Arial" w:hAnsi="Arial" w:cs="Arial"/>
          <w:b/>
          <w:bCs/>
          <w:noProof/>
          <w:color w:val="2E74B5" w:themeColor="accent1" w:themeShade="BF"/>
          <w:sz w:val="24"/>
          <w:szCs w:val="24"/>
          <w:shd w:val="clear" w:color="auto" w:fill="E2EFD9" w:themeFill="accent6" w:themeFillTint="33"/>
          <w:lang w:val="en-US"/>
        </w:rPr>
        <w:drawing>
          <wp:inline distT="0" distB="0" distL="0" distR="0" wp14:anchorId="0A4ECE14" wp14:editId="0C448227">
            <wp:extent cx="5745480" cy="2798445"/>
            <wp:effectExtent l="0" t="0" r="7620" b="1905"/>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44C93" w:rsidRPr="007403CD" w:rsidRDefault="00444C93" w:rsidP="004B1B43">
      <w:pPr>
        <w:keepNext/>
        <w:keepLines/>
        <w:widowControl w:val="0"/>
        <w:spacing w:before="120" w:after="120" w:line="276" w:lineRule="auto"/>
        <w:ind w:firstLine="0"/>
        <w:jc w:val="center"/>
        <w:rPr>
          <w:rFonts w:ascii="Tahoma" w:hAnsi="Tahoma" w:cs="Tahoma"/>
          <w:b/>
          <w:bCs/>
          <w:color w:val="2E74B5" w:themeColor="accent1" w:themeShade="BF"/>
          <w:sz w:val="24"/>
          <w:szCs w:val="24"/>
        </w:rPr>
      </w:pPr>
    </w:p>
    <w:p w:rsidR="00444C93" w:rsidRPr="007403CD" w:rsidRDefault="00444C93" w:rsidP="004B1B43">
      <w:pPr>
        <w:pStyle w:val="ListParagraph"/>
        <w:spacing w:after="120" w:line="276" w:lineRule="auto"/>
        <w:ind w:left="0" w:firstLine="0"/>
        <w:contextualSpacing w:val="0"/>
        <w:rPr>
          <w:rFonts w:ascii="Tahoma" w:eastAsia="Calibri" w:hAnsi="Tahoma" w:cs="Tahoma"/>
          <w:bCs/>
          <w:sz w:val="24"/>
          <w:szCs w:val="24"/>
        </w:rPr>
      </w:pPr>
      <w:r w:rsidRPr="007403CD">
        <w:rPr>
          <w:rFonts w:ascii="Tahoma" w:hAnsi="Tahoma" w:cs="Tahoma"/>
          <w:b/>
          <w:sz w:val="24"/>
          <w:szCs w:val="24"/>
        </w:rPr>
        <w:t>Pe latura cererii</w:t>
      </w:r>
      <w:r w:rsidRPr="007403CD">
        <w:rPr>
          <w:rFonts w:ascii="Tahoma" w:hAnsi="Tahoma" w:cs="Tahoma"/>
          <w:sz w:val="24"/>
          <w:szCs w:val="24"/>
        </w:rPr>
        <w:t xml:space="preserve">, </w:t>
      </w:r>
      <w:r w:rsidR="007403CD" w:rsidRPr="007403CD">
        <w:rPr>
          <w:rFonts w:ascii="Tahoma" w:hAnsi="Tahoma" w:cs="Tahoma"/>
          <w:sz w:val="24"/>
          <w:szCs w:val="24"/>
        </w:rPr>
        <w:t>creșterea</w:t>
      </w:r>
      <w:r w:rsidRPr="007403CD">
        <w:rPr>
          <w:rFonts w:ascii="Tahoma" w:hAnsi="Tahoma" w:cs="Tahoma"/>
          <w:sz w:val="24"/>
          <w:szCs w:val="24"/>
        </w:rPr>
        <w:t xml:space="preserve">  economică din primul trimestru al acestui an se datorează sporului înregistrat de cererea internă (5,7%), </w:t>
      </w:r>
      <w:r w:rsidR="007403CD" w:rsidRPr="007403CD">
        <w:rPr>
          <w:rFonts w:ascii="Tahoma" w:hAnsi="Tahoma" w:cs="Tahoma"/>
          <w:sz w:val="24"/>
          <w:szCs w:val="24"/>
        </w:rPr>
        <w:t>susținută</w:t>
      </w:r>
      <w:r w:rsidRPr="007403CD">
        <w:rPr>
          <w:rFonts w:ascii="Tahoma" w:hAnsi="Tahoma" w:cs="Tahoma"/>
          <w:sz w:val="24"/>
          <w:szCs w:val="24"/>
        </w:rPr>
        <w:t>, în principal, de avansul înregistrat de componentele consumului.</w:t>
      </w:r>
      <w:r w:rsidRPr="007403CD">
        <w:rPr>
          <w:rFonts w:ascii="Tahoma" w:eastAsia="Calibri" w:hAnsi="Tahoma" w:cs="Tahoma"/>
          <w:bCs/>
          <w:sz w:val="24"/>
          <w:szCs w:val="24"/>
        </w:rPr>
        <w:t xml:space="preserve"> </w:t>
      </w:r>
      <w:r w:rsidRPr="007403CD">
        <w:rPr>
          <w:rFonts w:ascii="Tahoma" w:eastAsia="Calibri" w:hAnsi="Tahoma" w:cs="Tahoma"/>
          <w:b/>
          <w:bCs/>
          <w:sz w:val="24"/>
          <w:szCs w:val="24"/>
        </w:rPr>
        <w:t>Consumul privat</w:t>
      </w:r>
      <w:r w:rsidRPr="007403CD">
        <w:rPr>
          <w:rFonts w:ascii="Tahoma" w:eastAsia="Calibri" w:hAnsi="Tahoma" w:cs="Tahoma"/>
          <w:bCs/>
          <w:sz w:val="24"/>
          <w:szCs w:val="24"/>
        </w:rPr>
        <w:t xml:space="preserve"> s-a majorat cu 7,2%, un aport semnificativ avându-l serviciile pentru </w:t>
      </w:r>
      <w:r w:rsidR="007403CD" w:rsidRPr="007403CD">
        <w:rPr>
          <w:rFonts w:ascii="Tahoma" w:eastAsia="Calibri" w:hAnsi="Tahoma" w:cs="Tahoma"/>
          <w:bCs/>
          <w:sz w:val="24"/>
          <w:szCs w:val="24"/>
        </w:rPr>
        <w:t>populație</w:t>
      </w:r>
      <w:r w:rsidRPr="007403CD">
        <w:rPr>
          <w:rFonts w:ascii="Tahoma" w:eastAsia="Calibri" w:hAnsi="Tahoma" w:cs="Tahoma"/>
          <w:bCs/>
          <w:sz w:val="24"/>
          <w:szCs w:val="24"/>
        </w:rPr>
        <w:t xml:space="preserve"> care au avansat cu 16,2%. </w:t>
      </w:r>
      <w:r w:rsidR="007403CD" w:rsidRPr="007403CD">
        <w:rPr>
          <w:rFonts w:ascii="Tahoma" w:eastAsia="Calibri" w:hAnsi="Tahoma" w:cs="Tahoma"/>
          <w:bCs/>
          <w:sz w:val="24"/>
          <w:szCs w:val="24"/>
        </w:rPr>
        <w:t>Contribuția</w:t>
      </w:r>
      <w:r w:rsidRPr="007403CD">
        <w:rPr>
          <w:rFonts w:ascii="Tahoma" w:eastAsia="Calibri" w:hAnsi="Tahoma" w:cs="Tahoma"/>
          <w:bCs/>
          <w:sz w:val="24"/>
          <w:szCs w:val="24"/>
        </w:rPr>
        <w:t xml:space="preserve"> la </w:t>
      </w:r>
      <w:r w:rsidR="007403CD" w:rsidRPr="007403CD">
        <w:rPr>
          <w:rFonts w:ascii="Tahoma" w:eastAsia="Calibri" w:hAnsi="Tahoma" w:cs="Tahoma"/>
          <w:bCs/>
          <w:sz w:val="24"/>
          <w:szCs w:val="24"/>
        </w:rPr>
        <w:t>creșterea</w:t>
      </w:r>
      <w:r w:rsidRPr="007403CD">
        <w:rPr>
          <w:rFonts w:ascii="Tahoma" w:eastAsia="Calibri" w:hAnsi="Tahoma" w:cs="Tahoma"/>
          <w:bCs/>
          <w:sz w:val="24"/>
          <w:szCs w:val="24"/>
        </w:rPr>
        <w:t xml:space="preserve"> produsului intern brut de 4,6 puncte procentuale a consumului privat s-a datorat accentuării </w:t>
      </w:r>
      <w:r w:rsidR="007403CD" w:rsidRPr="007403CD">
        <w:rPr>
          <w:rFonts w:ascii="Tahoma" w:eastAsia="Calibri" w:hAnsi="Tahoma" w:cs="Tahoma"/>
          <w:bCs/>
          <w:sz w:val="24"/>
          <w:szCs w:val="24"/>
        </w:rPr>
        <w:t>înclinației</w:t>
      </w:r>
      <w:r w:rsidRPr="007403CD">
        <w:rPr>
          <w:rFonts w:ascii="Tahoma" w:eastAsia="Calibri" w:hAnsi="Tahoma" w:cs="Tahoma"/>
          <w:bCs/>
          <w:sz w:val="24"/>
          <w:szCs w:val="24"/>
        </w:rPr>
        <w:t xml:space="preserve"> spre consum a </w:t>
      </w:r>
      <w:r w:rsidR="007403CD" w:rsidRPr="007403CD">
        <w:rPr>
          <w:rFonts w:ascii="Tahoma" w:eastAsia="Calibri" w:hAnsi="Tahoma" w:cs="Tahoma"/>
          <w:bCs/>
          <w:sz w:val="24"/>
          <w:szCs w:val="24"/>
        </w:rPr>
        <w:t>populației</w:t>
      </w:r>
      <w:r w:rsidRPr="007403CD">
        <w:rPr>
          <w:rFonts w:ascii="Tahoma" w:eastAsia="Calibri" w:hAnsi="Tahoma" w:cs="Tahoma"/>
          <w:bCs/>
          <w:sz w:val="24"/>
          <w:szCs w:val="24"/>
        </w:rPr>
        <w:t xml:space="preserve">, </w:t>
      </w:r>
      <w:r w:rsidRPr="007403CD">
        <w:rPr>
          <w:rFonts w:ascii="Tahoma" w:eastAsia="Calibri" w:hAnsi="Tahoma" w:cs="Tahoma"/>
          <w:bCs/>
          <w:sz w:val="24"/>
          <w:szCs w:val="24"/>
        </w:rPr>
        <w:lastRenderedPageBreak/>
        <w:t xml:space="preserve">alimentată de îngrijorarea privind continuarea </w:t>
      </w:r>
      <w:r w:rsidR="007403CD" w:rsidRPr="007403CD">
        <w:rPr>
          <w:rFonts w:ascii="Tahoma" w:eastAsia="Calibri" w:hAnsi="Tahoma" w:cs="Tahoma"/>
          <w:bCs/>
          <w:sz w:val="24"/>
          <w:szCs w:val="24"/>
        </w:rPr>
        <w:t>tendințelor</w:t>
      </w:r>
      <w:r w:rsidRPr="007403CD">
        <w:rPr>
          <w:rFonts w:ascii="Tahoma" w:eastAsia="Calibri" w:hAnsi="Tahoma" w:cs="Tahoma"/>
          <w:bCs/>
          <w:sz w:val="24"/>
          <w:szCs w:val="24"/>
        </w:rPr>
        <w:t xml:space="preserve"> </w:t>
      </w:r>
      <w:r w:rsidR="007403CD" w:rsidRPr="007403CD">
        <w:rPr>
          <w:rFonts w:ascii="Tahoma" w:eastAsia="Calibri" w:hAnsi="Tahoma" w:cs="Tahoma"/>
          <w:bCs/>
          <w:sz w:val="24"/>
          <w:szCs w:val="24"/>
        </w:rPr>
        <w:t>inflaționiste</w:t>
      </w:r>
      <w:r w:rsidRPr="007403CD">
        <w:rPr>
          <w:rFonts w:ascii="Tahoma" w:eastAsia="Calibri" w:hAnsi="Tahoma" w:cs="Tahoma"/>
          <w:bCs/>
          <w:sz w:val="24"/>
          <w:szCs w:val="24"/>
        </w:rPr>
        <w:t xml:space="preserve">, cât </w:t>
      </w:r>
      <w:r w:rsidR="007403CD" w:rsidRPr="007403CD">
        <w:rPr>
          <w:rFonts w:ascii="Tahoma" w:eastAsia="Calibri" w:hAnsi="Tahoma" w:cs="Tahoma"/>
          <w:bCs/>
          <w:sz w:val="24"/>
          <w:szCs w:val="24"/>
        </w:rPr>
        <w:t>și</w:t>
      </w:r>
      <w:r w:rsidRPr="007403CD">
        <w:rPr>
          <w:rFonts w:ascii="Tahoma" w:eastAsia="Calibri" w:hAnsi="Tahoma" w:cs="Tahoma"/>
          <w:bCs/>
          <w:sz w:val="24"/>
          <w:szCs w:val="24"/>
        </w:rPr>
        <w:t xml:space="preserve"> faptului că puterea de cumpărare a veniturilor </w:t>
      </w:r>
      <w:r w:rsidR="007403CD" w:rsidRPr="007403CD">
        <w:rPr>
          <w:rFonts w:ascii="Tahoma" w:eastAsia="Calibri" w:hAnsi="Tahoma" w:cs="Tahoma"/>
          <w:bCs/>
          <w:sz w:val="24"/>
          <w:szCs w:val="24"/>
        </w:rPr>
        <w:t>populației</w:t>
      </w:r>
      <w:r w:rsidRPr="007403CD">
        <w:rPr>
          <w:rFonts w:ascii="Tahoma" w:eastAsia="Calibri" w:hAnsi="Tahoma" w:cs="Tahoma"/>
          <w:bCs/>
          <w:sz w:val="24"/>
          <w:szCs w:val="24"/>
        </w:rPr>
        <w:t xml:space="preserve"> a avut o dinamică pozitivă (1,1% în </w:t>
      </w:r>
      <w:r w:rsidRPr="007403CD">
        <w:rPr>
          <w:rFonts w:ascii="Tahoma" w:hAnsi="Tahoma" w:cs="Tahoma"/>
          <w:sz w:val="24"/>
          <w:szCs w:val="24"/>
        </w:rPr>
        <w:t xml:space="preserve">trimestrul I 2022 </w:t>
      </w:r>
      <w:r w:rsidR="007403CD" w:rsidRPr="007403CD">
        <w:rPr>
          <w:rFonts w:ascii="Tahoma" w:hAnsi="Tahoma" w:cs="Tahoma"/>
          <w:sz w:val="24"/>
          <w:szCs w:val="24"/>
        </w:rPr>
        <w:t>față</w:t>
      </w:r>
      <w:r w:rsidRPr="007403CD">
        <w:rPr>
          <w:rFonts w:ascii="Tahoma" w:hAnsi="Tahoma" w:cs="Tahoma"/>
          <w:sz w:val="24"/>
          <w:szCs w:val="24"/>
        </w:rPr>
        <w:t xml:space="preserve"> de trimestrul I 2021)</w:t>
      </w:r>
      <w:r w:rsidRPr="007403CD">
        <w:rPr>
          <w:rFonts w:ascii="Tahoma" w:eastAsia="Calibri" w:hAnsi="Tahoma" w:cs="Tahoma"/>
          <w:bCs/>
          <w:sz w:val="24"/>
          <w:szCs w:val="24"/>
        </w:rPr>
        <w:t xml:space="preserve">. </w:t>
      </w:r>
    </w:p>
    <w:p w:rsidR="00444C93" w:rsidRPr="007403CD" w:rsidRDefault="00444C93" w:rsidP="004B1B43">
      <w:pPr>
        <w:pStyle w:val="ListParagraph"/>
        <w:spacing w:after="120" w:line="276" w:lineRule="auto"/>
        <w:ind w:left="0" w:firstLine="0"/>
        <w:contextualSpacing w:val="0"/>
        <w:rPr>
          <w:rFonts w:ascii="Tahoma" w:eastAsia="Calibri" w:hAnsi="Tahoma" w:cs="Tahoma"/>
          <w:bCs/>
          <w:sz w:val="24"/>
          <w:szCs w:val="24"/>
        </w:rPr>
      </w:pPr>
      <w:r w:rsidRPr="007403CD">
        <w:rPr>
          <w:rFonts w:ascii="Tahoma" w:eastAsia="Calibri" w:hAnsi="Tahoma" w:cs="Tahoma"/>
          <w:bCs/>
          <w:sz w:val="24"/>
          <w:szCs w:val="24"/>
        </w:rPr>
        <w:t xml:space="preserve">Ca urmare a </w:t>
      </w:r>
      <w:r w:rsidR="007403CD" w:rsidRPr="007403CD">
        <w:rPr>
          <w:rFonts w:ascii="Tahoma" w:eastAsia="Calibri" w:hAnsi="Tahoma" w:cs="Tahoma"/>
          <w:bCs/>
          <w:sz w:val="24"/>
          <w:szCs w:val="24"/>
        </w:rPr>
        <w:t>situației</w:t>
      </w:r>
      <w:r w:rsidRPr="007403CD">
        <w:rPr>
          <w:rFonts w:ascii="Tahoma" w:eastAsia="Calibri" w:hAnsi="Tahoma" w:cs="Tahoma"/>
          <w:bCs/>
          <w:sz w:val="24"/>
          <w:szCs w:val="24"/>
        </w:rPr>
        <w:t xml:space="preserve"> economice interne - care a necesitat luarea unor măsuri de sprijin al </w:t>
      </w:r>
      <w:r w:rsidR="007403CD" w:rsidRPr="007403CD">
        <w:rPr>
          <w:rFonts w:ascii="Tahoma" w:eastAsia="Calibri" w:hAnsi="Tahoma" w:cs="Tahoma"/>
          <w:bCs/>
          <w:sz w:val="24"/>
          <w:szCs w:val="24"/>
        </w:rPr>
        <w:t>populației</w:t>
      </w:r>
      <w:r w:rsidRPr="007403CD">
        <w:rPr>
          <w:rFonts w:ascii="Tahoma" w:eastAsia="Calibri" w:hAnsi="Tahoma" w:cs="Tahoma"/>
          <w:bCs/>
          <w:sz w:val="24"/>
          <w:szCs w:val="24"/>
        </w:rPr>
        <w:t xml:space="preserve">, dar </w:t>
      </w:r>
      <w:r w:rsidR="007403CD" w:rsidRPr="007403CD">
        <w:rPr>
          <w:rFonts w:ascii="Tahoma" w:eastAsia="Calibri" w:hAnsi="Tahoma" w:cs="Tahoma"/>
          <w:bCs/>
          <w:sz w:val="24"/>
          <w:szCs w:val="24"/>
        </w:rPr>
        <w:t>și</w:t>
      </w:r>
      <w:r w:rsidRPr="007403CD">
        <w:rPr>
          <w:rFonts w:ascii="Tahoma" w:eastAsia="Calibri" w:hAnsi="Tahoma" w:cs="Tahoma"/>
          <w:bCs/>
          <w:sz w:val="24"/>
          <w:szCs w:val="24"/>
        </w:rPr>
        <w:t xml:space="preserve"> a crizei externe - provocate de conflictul de la </w:t>
      </w:r>
      <w:r w:rsidR="007403CD" w:rsidRPr="007403CD">
        <w:rPr>
          <w:rFonts w:ascii="Tahoma" w:eastAsia="Calibri" w:hAnsi="Tahoma" w:cs="Tahoma"/>
          <w:bCs/>
          <w:sz w:val="24"/>
          <w:szCs w:val="24"/>
        </w:rPr>
        <w:t>granița</w:t>
      </w:r>
      <w:r w:rsidRPr="007403CD">
        <w:rPr>
          <w:rFonts w:ascii="Tahoma" w:eastAsia="Calibri" w:hAnsi="Tahoma" w:cs="Tahoma"/>
          <w:bCs/>
          <w:sz w:val="24"/>
          <w:szCs w:val="24"/>
        </w:rPr>
        <w:t xml:space="preserve"> </w:t>
      </w:r>
      <w:r w:rsidR="007403CD" w:rsidRPr="007403CD">
        <w:rPr>
          <w:rFonts w:ascii="Tahoma" w:eastAsia="Calibri" w:hAnsi="Tahoma" w:cs="Tahoma"/>
          <w:bCs/>
          <w:sz w:val="24"/>
          <w:szCs w:val="24"/>
        </w:rPr>
        <w:t>țării</w:t>
      </w:r>
      <w:r w:rsidRPr="007403CD">
        <w:rPr>
          <w:rFonts w:ascii="Tahoma" w:eastAsia="Calibri" w:hAnsi="Tahoma" w:cs="Tahoma"/>
          <w:bCs/>
          <w:sz w:val="24"/>
          <w:szCs w:val="24"/>
        </w:rPr>
        <w:t xml:space="preserve">, </w:t>
      </w:r>
      <w:r w:rsidRPr="007403CD">
        <w:rPr>
          <w:rFonts w:ascii="Tahoma" w:eastAsia="Calibri" w:hAnsi="Tahoma" w:cs="Tahoma"/>
          <w:b/>
          <w:bCs/>
          <w:sz w:val="24"/>
          <w:szCs w:val="24"/>
        </w:rPr>
        <w:t xml:space="preserve">consumul guvernamental </w:t>
      </w:r>
      <w:r w:rsidRPr="007403CD">
        <w:rPr>
          <w:rFonts w:ascii="Tahoma" w:eastAsia="Calibri" w:hAnsi="Tahoma" w:cs="Tahoma"/>
          <w:bCs/>
          <w:sz w:val="24"/>
          <w:szCs w:val="24"/>
        </w:rPr>
        <w:t xml:space="preserve">s-a majorat cu 3,9%, contribuind cu 0,8 puncte procentuale la </w:t>
      </w:r>
      <w:r w:rsidR="007403CD" w:rsidRPr="007403CD">
        <w:rPr>
          <w:rFonts w:ascii="Tahoma" w:eastAsia="Calibri" w:hAnsi="Tahoma" w:cs="Tahoma"/>
          <w:bCs/>
          <w:sz w:val="24"/>
          <w:szCs w:val="24"/>
        </w:rPr>
        <w:t>creșterea</w:t>
      </w:r>
      <w:r w:rsidRPr="007403CD">
        <w:rPr>
          <w:rFonts w:ascii="Tahoma" w:eastAsia="Calibri" w:hAnsi="Tahoma" w:cs="Tahoma"/>
          <w:bCs/>
          <w:sz w:val="24"/>
          <w:szCs w:val="24"/>
        </w:rPr>
        <w:t xml:space="preserve"> economică.</w:t>
      </w:r>
    </w:p>
    <w:p w:rsidR="00444C93" w:rsidRPr="007403CD" w:rsidRDefault="007403CD" w:rsidP="004B1B43">
      <w:pPr>
        <w:keepNext/>
        <w:spacing w:after="120" w:line="276" w:lineRule="auto"/>
        <w:ind w:firstLine="0"/>
        <w:rPr>
          <w:rFonts w:ascii="Tahoma" w:eastAsia="Calibri" w:hAnsi="Tahoma" w:cs="Tahoma"/>
          <w:bCs/>
          <w:sz w:val="24"/>
          <w:szCs w:val="24"/>
        </w:rPr>
      </w:pPr>
      <w:r w:rsidRPr="007403CD">
        <w:rPr>
          <w:rFonts w:ascii="Tahoma" w:eastAsia="Calibri" w:hAnsi="Tahoma" w:cs="Tahoma"/>
          <w:b/>
          <w:bCs/>
          <w:sz w:val="24"/>
          <w:szCs w:val="24"/>
        </w:rPr>
        <w:t>Investițiile</w:t>
      </w:r>
      <w:r w:rsidR="00444C93" w:rsidRPr="007403CD">
        <w:rPr>
          <w:rFonts w:ascii="Tahoma" w:eastAsia="Calibri" w:hAnsi="Tahoma" w:cs="Tahoma"/>
          <w:b/>
          <w:bCs/>
          <w:sz w:val="24"/>
          <w:szCs w:val="24"/>
        </w:rPr>
        <w:t xml:space="preserve"> brute </w:t>
      </w:r>
      <w:r w:rsidR="00444C93" w:rsidRPr="007403CD">
        <w:rPr>
          <w:rFonts w:ascii="Tahoma" w:eastAsia="Calibri" w:hAnsi="Tahoma" w:cs="Tahoma"/>
          <w:bCs/>
          <w:sz w:val="24"/>
          <w:szCs w:val="24"/>
        </w:rPr>
        <w:t xml:space="preserve">au înregistrat o dinamică de 1,7%, contribuind cu doar 0,3 puncte procentuale la </w:t>
      </w:r>
      <w:r w:rsidRPr="007403CD">
        <w:rPr>
          <w:rFonts w:ascii="Tahoma" w:eastAsia="Calibri" w:hAnsi="Tahoma" w:cs="Tahoma"/>
          <w:bCs/>
          <w:sz w:val="24"/>
          <w:szCs w:val="24"/>
        </w:rPr>
        <w:t>creșterea</w:t>
      </w:r>
      <w:r w:rsidR="00444C93" w:rsidRPr="007403CD">
        <w:rPr>
          <w:rFonts w:ascii="Tahoma" w:eastAsia="Calibri" w:hAnsi="Tahoma" w:cs="Tahoma"/>
          <w:bCs/>
          <w:sz w:val="24"/>
          <w:szCs w:val="24"/>
        </w:rPr>
        <w:t xml:space="preserve"> reală a PIB, criza </w:t>
      </w:r>
      <w:r w:rsidRPr="007403CD">
        <w:rPr>
          <w:rFonts w:ascii="Tahoma" w:eastAsia="Calibri" w:hAnsi="Tahoma" w:cs="Tahoma"/>
          <w:bCs/>
          <w:sz w:val="24"/>
          <w:szCs w:val="24"/>
        </w:rPr>
        <w:t>inflaționistă</w:t>
      </w:r>
      <w:r w:rsidR="00444C93" w:rsidRPr="007403CD">
        <w:rPr>
          <w:rFonts w:ascii="Tahoma" w:eastAsia="Calibri" w:hAnsi="Tahoma" w:cs="Tahoma"/>
          <w:bCs/>
          <w:sz w:val="24"/>
          <w:szCs w:val="24"/>
        </w:rPr>
        <w:t xml:space="preserve"> care a afectat inclusiv </w:t>
      </w:r>
      <w:r w:rsidRPr="007403CD">
        <w:rPr>
          <w:rFonts w:ascii="Tahoma" w:eastAsia="Calibri" w:hAnsi="Tahoma" w:cs="Tahoma"/>
          <w:bCs/>
          <w:sz w:val="24"/>
          <w:szCs w:val="24"/>
        </w:rPr>
        <w:t>piața</w:t>
      </w:r>
      <w:r w:rsidR="00444C93" w:rsidRPr="007403CD">
        <w:rPr>
          <w:rFonts w:ascii="Tahoma" w:eastAsia="Calibri" w:hAnsi="Tahoma" w:cs="Tahoma"/>
          <w:bCs/>
          <w:sz w:val="24"/>
          <w:szCs w:val="24"/>
        </w:rPr>
        <w:t xml:space="preserve"> materialelor de </w:t>
      </w:r>
      <w:r w:rsidRPr="007403CD">
        <w:rPr>
          <w:rFonts w:ascii="Tahoma" w:eastAsia="Calibri" w:hAnsi="Tahoma" w:cs="Tahoma"/>
          <w:bCs/>
          <w:sz w:val="24"/>
          <w:szCs w:val="24"/>
        </w:rPr>
        <w:t>construcții</w:t>
      </w:r>
      <w:r w:rsidR="00444C93" w:rsidRPr="007403CD">
        <w:rPr>
          <w:rFonts w:ascii="Tahoma" w:eastAsia="Calibri" w:hAnsi="Tahoma" w:cs="Tahoma"/>
          <w:bCs/>
          <w:sz w:val="24"/>
          <w:szCs w:val="24"/>
        </w:rPr>
        <w:t xml:space="preserve"> întârziind decizia de a investi. Pe de altă parte, acumularea brută a sporit cu 3,1%, </w:t>
      </w:r>
      <w:r w:rsidRPr="007403CD">
        <w:rPr>
          <w:rFonts w:ascii="Tahoma" w:eastAsia="Calibri" w:hAnsi="Tahoma" w:cs="Tahoma"/>
          <w:bCs/>
          <w:sz w:val="24"/>
          <w:szCs w:val="24"/>
        </w:rPr>
        <w:t>contribuția</w:t>
      </w:r>
      <w:r w:rsidR="00444C93" w:rsidRPr="007403CD">
        <w:rPr>
          <w:rFonts w:ascii="Tahoma" w:eastAsia="Calibri" w:hAnsi="Tahoma" w:cs="Tahoma"/>
          <w:bCs/>
          <w:sz w:val="24"/>
          <w:szCs w:val="24"/>
        </w:rPr>
        <w:t xml:space="preserve"> stocurilor la </w:t>
      </w:r>
      <w:r w:rsidRPr="007403CD">
        <w:rPr>
          <w:rFonts w:ascii="Tahoma" w:eastAsia="Calibri" w:hAnsi="Tahoma" w:cs="Tahoma"/>
          <w:bCs/>
          <w:sz w:val="24"/>
          <w:szCs w:val="24"/>
        </w:rPr>
        <w:t>creșterea</w:t>
      </w:r>
      <w:r w:rsidR="00444C93" w:rsidRPr="007403CD">
        <w:rPr>
          <w:rFonts w:ascii="Tahoma" w:eastAsia="Calibri" w:hAnsi="Tahoma" w:cs="Tahoma"/>
          <w:bCs/>
          <w:sz w:val="24"/>
          <w:szCs w:val="24"/>
        </w:rPr>
        <w:t xml:space="preserve"> produsului intern brut fiind de 0,4 puncte procentuale.</w:t>
      </w:r>
    </w:p>
    <w:p w:rsidR="00444C93" w:rsidRPr="007403CD" w:rsidRDefault="00444C93" w:rsidP="004B1B43">
      <w:pPr>
        <w:keepNext/>
        <w:spacing w:after="120" w:line="276" w:lineRule="auto"/>
        <w:ind w:firstLine="0"/>
        <w:rPr>
          <w:rFonts w:ascii="Tahoma" w:eastAsia="Calibri" w:hAnsi="Tahoma" w:cs="Tahoma"/>
          <w:bCs/>
          <w:sz w:val="24"/>
          <w:szCs w:val="24"/>
        </w:rPr>
      </w:pPr>
      <w:r w:rsidRPr="007403CD">
        <w:rPr>
          <w:rFonts w:ascii="Tahoma" w:eastAsia="Calibri" w:hAnsi="Tahoma" w:cs="Tahoma"/>
          <w:bCs/>
          <w:sz w:val="24"/>
          <w:szCs w:val="24"/>
        </w:rPr>
        <w:t xml:space="preserve">Pe latura externă, exporturile de bunuri </w:t>
      </w:r>
      <w:r w:rsidR="007403CD" w:rsidRPr="007403CD">
        <w:rPr>
          <w:rFonts w:ascii="Tahoma" w:eastAsia="Calibri" w:hAnsi="Tahoma" w:cs="Tahoma"/>
          <w:bCs/>
          <w:sz w:val="24"/>
          <w:szCs w:val="24"/>
        </w:rPr>
        <w:t>și</w:t>
      </w:r>
      <w:r w:rsidRPr="007403CD">
        <w:rPr>
          <w:rFonts w:ascii="Tahoma" w:eastAsia="Calibri" w:hAnsi="Tahoma" w:cs="Tahoma"/>
          <w:bCs/>
          <w:sz w:val="24"/>
          <w:szCs w:val="24"/>
        </w:rPr>
        <w:t xml:space="preserve"> servicii au înregistrat, în termeni reali, o </w:t>
      </w:r>
      <w:r w:rsidR="007403CD" w:rsidRPr="007403CD">
        <w:rPr>
          <w:rFonts w:ascii="Tahoma" w:eastAsia="Calibri" w:hAnsi="Tahoma" w:cs="Tahoma"/>
          <w:bCs/>
          <w:sz w:val="24"/>
          <w:szCs w:val="24"/>
        </w:rPr>
        <w:t>creștere</w:t>
      </w:r>
      <w:r w:rsidRPr="007403CD">
        <w:rPr>
          <w:rFonts w:ascii="Tahoma" w:eastAsia="Calibri" w:hAnsi="Tahoma" w:cs="Tahoma"/>
          <w:bCs/>
          <w:sz w:val="24"/>
          <w:szCs w:val="24"/>
        </w:rPr>
        <w:t xml:space="preserve"> cu 10,6%, </w:t>
      </w:r>
      <w:r w:rsidR="007403CD" w:rsidRPr="007403CD">
        <w:rPr>
          <w:rFonts w:ascii="Tahoma" w:eastAsia="Calibri" w:hAnsi="Tahoma" w:cs="Tahoma"/>
          <w:bCs/>
          <w:sz w:val="24"/>
          <w:szCs w:val="24"/>
        </w:rPr>
        <w:t>depășind</w:t>
      </w:r>
      <w:r w:rsidRPr="007403CD">
        <w:rPr>
          <w:rFonts w:ascii="Tahoma" w:eastAsia="Calibri" w:hAnsi="Tahoma" w:cs="Tahoma"/>
          <w:bCs/>
          <w:sz w:val="24"/>
          <w:szCs w:val="24"/>
        </w:rPr>
        <w:t xml:space="preserve"> majorarea importurilor de bunuri </w:t>
      </w:r>
      <w:r w:rsidR="007403CD" w:rsidRPr="007403CD">
        <w:rPr>
          <w:rFonts w:ascii="Tahoma" w:eastAsia="Calibri" w:hAnsi="Tahoma" w:cs="Tahoma"/>
          <w:bCs/>
          <w:sz w:val="24"/>
          <w:szCs w:val="24"/>
        </w:rPr>
        <w:t>și</w:t>
      </w:r>
      <w:r w:rsidRPr="007403CD">
        <w:rPr>
          <w:rFonts w:ascii="Tahoma" w:eastAsia="Calibri" w:hAnsi="Tahoma" w:cs="Tahoma"/>
          <w:bCs/>
          <w:sz w:val="24"/>
          <w:szCs w:val="24"/>
        </w:rPr>
        <w:t xml:space="preserve"> servicii (8,8%), conducând astfel la o </w:t>
      </w:r>
      <w:r w:rsidR="007403CD" w:rsidRPr="007403CD">
        <w:rPr>
          <w:rFonts w:ascii="Tahoma" w:eastAsia="Calibri" w:hAnsi="Tahoma" w:cs="Tahoma"/>
          <w:bCs/>
          <w:sz w:val="24"/>
          <w:szCs w:val="24"/>
        </w:rPr>
        <w:t>contribuție</w:t>
      </w:r>
      <w:r w:rsidRPr="007403CD">
        <w:rPr>
          <w:rFonts w:ascii="Tahoma" w:eastAsia="Calibri" w:hAnsi="Tahoma" w:cs="Tahoma"/>
          <w:bCs/>
          <w:sz w:val="24"/>
          <w:szCs w:val="24"/>
        </w:rPr>
        <w:t xml:space="preserve"> pozitivă a </w:t>
      </w:r>
      <w:r w:rsidRPr="007403CD">
        <w:rPr>
          <w:rFonts w:ascii="Tahoma" w:eastAsia="Calibri" w:hAnsi="Tahoma" w:cs="Tahoma"/>
          <w:b/>
          <w:bCs/>
          <w:sz w:val="24"/>
          <w:szCs w:val="24"/>
        </w:rPr>
        <w:t>exportului net</w:t>
      </w:r>
      <w:r w:rsidRPr="007403CD">
        <w:rPr>
          <w:rFonts w:ascii="Tahoma" w:eastAsia="Calibri" w:hAnsi="Tahoma" w:cs="Tahoma"/>
          <w:bCs/>
          <w:sz w:val="24"/>
          <w:szCs w:val="24"/>
        </w:rPr>
        <w:t xml:space="preserve"> la </w:t>
      </w:r>
      <w:r w:rsidR="007403CD" w:rsidRPr="007403CD">
        <w:rPr>
          <w:rFonts w:ascii="Tahoma" w:eastAsia="Calibri" w:hAnsi="Tahoma" w:cs="Tahoma"/>
          <w:bCs/>
          <w:sz w:val="24"/>
          <w:szCs w:val="24"/>
        </w:rPr>
        <w:t>creșterea</w:t>
      </w:r>
      <w:r w:rsidRPr="007403CD">
        <w:rPr>
          <w:rFonts w:ascii="Tahoma" w:eastAsia="Calibri" w:hAnsi="Tahoma" w:cs="Tahoma"/>
          <w:bCs/>
          <w:sz w:val="24"/>
          <w:szCs w:val="24"/>
        </w:rPr>
        <w:t xml:space="preserve"> economică, respectiv cu 0,3 puncte procentuale. </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b/>
          <w:sz w:val="24"/>
          <w:szCs w:val="24"/>
        </w:rPr>
        <w:t>Pe partea ofertei</w:t>
      </w:r>
      <w:r w:rsidRPr="007403CD">
        <w:rPr>
          <w:rFonts w:ascii="Tahoma" w:hAnsi="Tahoma" w:cs="Tahoma"/>
          <w:i/>
          <w:sz w:val="24"/>
          <w:szCs w:val="24"/>
        </w:rPr>
        <w:t>,</w:t>
      </w:r>
      <w:r w:rsidRPr="007403CD">
        <w:rPr>
          <w:rFonts w:ascii="Tahoma" w:hAnsi="Tahoma" w:cs="Tahoma"/>
          <w:sz w:val="24"/>
          <w:szCs w:val="24"/>
        </w:rPr>
        <w:t xml:space="preserve"> principalul </w:t>
      </w:r>
      <w:r w:rsidR="007403CD" w:rsidRPr="007403CD">
        <w:rPr>
          <w:rFonts w:ascii="Tahoma" w:hAnsi="Tahoma" w:cs="Tahoma"/>
          <w:sz w:val="24"/>
          <w:szCs w:val="24"/>
        </w:rPr>
        <w:t>susținător</w:t>
      </w:r>
      <w:r w:rsidRPr="007403CD">
        <w:rPr>
          <w:rFonts w:ascii="Tahoma" w:hAnsi="Tahoma" w:cs="Tahoma"/>
          <w:sz w:val="24"/>
          <w:szCs w:val="24"/>
        </w:rPr>
        <w:t xml:space="preserve"> al avansului economiei a fost </w:t>
      </w:r>
      <w:r w:rsidRPr="007403CD">
        <w:rPr>
          <w:rFonts w:ascii="Tahoma" w:hAnsi="Tahoma" w:cs="Tahoma"/>
          <w:b/>
          <w:sz w:val="24"/>
          <w:szCs w:val="24"/>
        </w:rPr>
        <w:t>sectorul serviciilor</w:t>
      </w:r>
      <w:r w:rsidRPr="007403CD">
        <w:rPr>
          <w:rFonts w:ascii="Tahoma" w:hAnsi="Tahoma" w:cs="Tahoma"/>
          <w:bCs/>
          <w:sz w:val="24"/>
          <w:szCs w:val="24"/>
        </w:rPr>
        <w:t xml:space="preserve"> </w:t>
      </w:r>
      <w:r w:rsidRPr="007403CD">
        <w:rPr>
          <w:rFonts w:ascii="Tahoma" w:hAnsi="Tahoma" w:cs="Tahoma"/>
          <w:sz w:val="24"/>
          <w:szCs w:val="24"/>
        </w:rPr>
        <w:t xml:space="preserve">care, pe fondul revenirii la normal a tuturor </w:t>
      </w:r>
      <w:r w:rsidR="007403CD" w:rsidRPr="007403CD">
        <w:rPr>
          <w:rFonts w:ascii="Tahoma" w:hAnsi="Tahoma" w:cs="Tahoma"/>
          <w:sz w:val="24"/>
          <w:szCs w:val="24"/>
        </w:rPr>
        <w:t>activităților</w:t>
      </w:r>
      <w:r w:rsidRPr="007403CD">
        <w:rPr>
          <w:rFonts w:ascii="Tahoma" w:hAnsi="Tahoma" w:cs="Tahoma"/>
          <w:sz w:val="24"/>
          <w:szCs w:val="24"/>
        </w:rPr>
        <w:t xml:space="preserve"> economice, dar </w:t>
      </w:r>
      <w:r w:rsidR="007403CD" w:rsidRPr="007403CD">
        <w:rPr>
          <w:rFonts w:ascii="Tahoma" w:hAnsi="Tahoma" w:cs="Tahoma"/>
          <w:sz w:val="24"/>
          <w:szCs w:val="24"/>
        </w:rPr>
        <w:t>și</w:t>
      </w:r>
      <w:r w:rsidRPr="007403CD">
        <w:rPr>
          <w:rFonts w:ascii="Tahoma" w:hAnsi="Tahoma" w:cs="Tahoma"/>
          <w:sz w:val="24"/>
          <w:szCs w:val="24"/>
        </w:rPr>
        <w:t xml:space="preserve"> a </w:t>
      </w:r>
      <w:r w:rsidR="007403CD" w:rsidRPr="007403CD">
        <w:rPr>
          <w:rFonts w:ascii="Tahoma" w:hAnsi="Tahoma" w:cs="Tahoma"/>
          <w:sz w:val="24"/>
          <w:szCs w:val="24"/>
        </w:rPr>
        <w:t>performanțelor</w:t>
      </w:r>
      <w:r w:rsidRPr="007403CD">
        <w:rPr>
          <w:rFonts w:ascii="Tahoma" w:hAnsi="Tahoma" w:cs="Tahoma"/>
          <w:sz w:val="24"/>
          <w:szCs w:val="24"/>
        </w:rPr>
        <w:t xml:space="preserve"> considerabile înregistrate în domenii cu aport sporit de valoare adăugată (cum sunt cele din sectorul IT), a înregistrat </w:t>
      </w:r>
      <w:r w:rsidRPr="007403CD">
        <w:rPr>
          <w:rFonts w:ascii="Tahoma" w:hAnsi="Tahoma" w:cs="Tahoma"/>
          <w:b/>
          <w:bCs/>
          <w:sz w:val="24"/>
          <w:szCs w:val="24"/>
        </w:rPr>
        <w:t>o majorare de 8,3%</w:t>
      </w:r>
      <w:r w:rsidRPr="007403CD">
        <w:rPr>
          <w:rFonts w:ascii="Tahoma" w:hAnsi="Tahoma" w:cs="Tahoma"/>
          <w:sz w:val="24"/>
          <w:szCs w:val="24"/>
        </w:rPr>
        <w:t xml:space="preserve">, ceea ce s-a concretizat într-o </w:t>
      </w:r>
      <w:r w:rsidR="007403CD" w:rsidRPr="007403CD">
        <w:rPr>
          <w:rFonts w:ascii="Tahoma" w:hAnsi="Tahoma" w:cs="Tahoma"/>
          <w:sz w:val="24"/>
          <w:szCs w:val="24"/>
        </w:rPr>
        <w:t>contribuție</w:t>
      </w:r>
      <w:r w:rsidRPr="007403CD">
        <w:rPr>
          <w:rFonts w:ascii="Tahoma" w:hAnsi="Tahoma" w:cs="Tahoma"/>
          <w:sz w:val="24"/>
          <w:szCs w:val="24"/>
        </w:rPr>
        <w:t xml:space="preserve"> de 5,5 puncte procentuale la dinamica PIB, reprezentând </w:t>
      </w:r>
      <w:r w:rsidRPr="007403CD">
        <w:rPr>
          <w:rFonts w:ascii="Tahoma" w:hAnsi="Tahoma" w:cs="Tahoma"/>
          <w:b/>
          <w:bCs/>
          <w:sz w:val="24"/>
          <w:szCs w:val="24"/>
        </w:rPr>
        <w:t xml:space="preserve">circa 85% din totalul </w:t>
      </w:r>
      <w:r w:rsidR="007403CD" w:rsidRPr="007403CD">
        <w:rPr>
          <w:rFonts w:ascii="Tahoma" w:hAnsi="Tahoma" w:cs="Tahoma"/>
          <w:b/>
          <w:bCs/>
          <w:sz w:val="24"/>
          <w:szCs w:val="24"/>
        </w:rPr>
        <w:t>creșterii</w:t>
      </w:r>
      <w:r w:rsidRPr="007403CD">
        <w:rPr>
          <w:rFonts w:ascii="Tahoma" w:hAnsi="Tahoma" w:cs="Tahoma"/>
          <w:b/>
          <w:bCs/>
          <w:sz w:val="24"/>
          <w:szCs w:val="24"/>
        </w:rPr>
        <w:t xml:space="preserve"> economice</w:t>
      </w:r>
      <w:r w:rsidRPr="007403CD">
        <w:rPr>
          <w:rFonts w:ascii="Tahoma" w:hAnsi="Tahoma" w:cs="Tahoma"/>
          <w:sz w:val="24"/>
          <w:szCs w:val="24"/>
        </w:rPr>
        <w:t xml:space="preserve">. În cadrul serviciilor este de </w:t>
      </w:r>
      <w:r w:rsidR="007403CD" w:rsidRPr="007403CD">
        <w:rPr>
          <w:rFonts w:ascii="Tahoma" w:hAnsi="Tahoma" w:cs="Tahoma"/>
          <w:sz w:val="24"/>
          <w:szCs w:val="24"/>
        </w:rPr>
        <w:t>evidențiat</w:t>
      </w:r>
      <w:r w:rsidRPr="007403CD">
        <w:rPr>
          <w:rFonts w:ascii="Tahoma" w:hAnsi="Tahoma" w:cs="Tahoma"/>
          <w:sz w:val="24"/>
          <w:szCs w:val="24"/>
        </w:rPr>
        <w:t xml:space="preserve"> realizarea deosebită din ramura </w:t>
      </w:r>
      <w:r w:rsidR="007403CD" w:rsidRPr="007403CD">
        <w:rPr>
          <w:rFonts w:ascii="Tahoma" w:hAnsi="Tahoma" w:cs="Tahoma"/>
          <w:b/>
          <w:bCs/>
          <w:sz w:val="24"/>
          <w:szCs w:val="24"/>
        </w:rPr>
        <w:t>informații</w:t>
      </w:r>
      <w:r w:rsidRPr="007403CD">
        <w:rPr>
          <w:rFonts w:ascii="Tahoma" w:hAnsi="Tahoma" w:cs="Tahoma"/>
          <w:b/>
          <w:bCs/>
          <w:sz w:val="24"/>
          <w:szCs w:val="24"/>
        </w:rPr>
        <w:t xml:space="preserve"> </w:t>
      </w:r>
      <w:r w:rsidR="007403CD" w:rsidRPr="007403CD">
        <w:rPr>
          <w:rFonts w:ascii="Tahoma" w:hAnsi="Tahoma" w:cs="Tahoma"/>
          <w:b/>
          <w:bCs/>
          <w:sz w:val="24"/>
          <w:szCs w:val="24"/>
        </w:rPr>
        <w:t>și</w:t>
      </w:r>
      <w:r w:rsidRPr="007403CD">
        <w:rPr>
          <w:rFonts w:ascii="Tahoma" w:hAnsi="Tahoma" w:cs="Tahoma"/>
          <w:b/>
          <w:bCs/>
          <w:sz w:val="24"/>
          <w:szCs w:val="24"/>
        </w:rPr>
        <w:t xml:space="preserve"> </w:t>
      </w:r>
      <w:r w:rsidR="007403CD" w:rsidRPr="007403CD">
        <w:rPr>
          <w:rFonts w:ascii="Tahoma" w:hAnsi="Tahoma" w:cs="Tahoma"/>
          <w:b/>
          <w:bCs/>
          <w:sz w:val="24"/>
          <w:szCs w:val="24"/>
        </w:rPr>
        <w:t>comunicații</w:t>
      </w:r>
      <w:r w:rsidRPr="007403CD">
        <w:rPr>
          <w:rFonts w:ascii="Tahoma" w:hAnsi="Tahoma" w:cs="Tahoma"/>
          <w:sz w:val="24"/>
          <w:szCs w:val="24"/>
        </w:rPr>
        <w:t xml:space="preserve"> care a continuat evoluţiile bune din ultima perioadă </w:t>
      </w:r>
      <w:r w:rsidR="007403CD" w:rsidRPr="007403CD">
        <w:rPr>
          <w:rFonts w:ascii="Tahoma" w:hAnsi="Tahoma" w:cs="Tahoma"/>
          <w:sz w:val="24"/>
          <w:szCs w:val="24"/>
        </w:rPr>
        <w:t>și</w:t>
      </w:r>
      <w:r w:rsidRPr="007403CD">
        <w:rPr>
          <w:rFonts w:ascii="Tahoma" w:hAnsi="Tahoma" w:cs="Tahoma"/>
          <w:sz w:val="24"/>
          <w:szCs w:val="24"/>
        </w:rPr>
        <w:t xml:space="preserve"> a înregistrat o </w:t>
      </w:r>
      <w:r w:rsidRPr="007403CD">
        <w:rPr>
          <w:rFonts w:ascii="Tahoma" w:hAnsi="Tahoma" w:cs="Tahoma"/>
          <w:b/>
          <w:bCs/>
          <w:sz w:val="24"/>
          <w:szCs w:val="24"/>
        </w:rPr>
        <w:t>majorare a valorii adăugate brute cu 23,6%</w:t>
      </w:r>
      <w:r w:rsidRPr="007403CD">
        <w:rPr>
          <w:rFonts w:ascii="Tahoma" w:hAnsi="Tahoma" w:cs="Tahoma"/>
          <w:sz w:val="24"/>
          <w:szCs w:val="24"/>
        </w:rPr>
        <w:t xml:space="preserve"> </w:t>
      </w:r>
      <w:r w:rsidR="007403CD" w:rsidRPr="007403CD">
        <w:rPr>
          <w:rFonts w:ascii="Tahoma" w:hAnsi="Tahoma" w:cs="Tahoma"/>
          <w:sz w:val="24"/>
          <w:szCs w:val="24"/>
        </w:rPr>
        <w:t>susținând</w:t>
      </w:r>
      <w:r w:rsidRPr="007403CD">
        <w:rPr>
          <w:rFonts w:ascii="Tahoma" w:hAnsi="Tahoma" w:cs="Tahoma"/>
          <w:sz w:val="24"/>
          <w:szCs w:val="24"/>
        </w:rPr>
        <w:t xml:space="preserve"> </w:t>
      </w:r>
      <w:r w:rsidR="007403CD" w:rsidRPr="007403CD">
        <w:rPr>
          <w:rFonts w:ascii="Tahoma" w:hAnsi="Tahoma" w:cs="Tahoma"/>
          <w:sz w:val="24"/>
          <w:szCs w:val="24"/>
        </w:rPr>
        <w:t>creșterea</w:t>
      </w:r>
      <w:r w:rsidRPr="007403CD">
        <w:rPr>
          <w:rFonts w:ascii="Tahoma" w:hAnsi="Tahoma" w:cs="Tahoma"/>
          <w:sz w:val="24"/>
          <w:szCs w:val="24"/>
        </w:rPr>
        <w:t xml:space="preserve"> economică cu 1,9 puncte procentuale. O altă ramură care a </w:t>
      </w:r>
      <w:r w:rsidR="007403CD" w:rsidRPr="007403CD">
        <w:rPr>
          <w:rFonts w:ascii="Tahoma" w:hAnsi="Tahoma" w:cs="Tahoma"/>
          <w:sz w:val="24"/>
          <w:szCs w:val="24"/>
        </w:rPr>
        <w:t>obținut</w:t>
      </w:r>
      <w:r w:rsidRPr="007403CD">
        <w:rPr>
          <w:rFonts w:ascii="Tahoma" w:hAnsi="Tahoma" w:cs="Tahoma"/>
          <w:sz w:val="24"/>
          <w:szCs w:val="24"/>
        </w:rPr>
        <w:t xml:space="preserve"> un rezultat semnificativ este cea care include </w:t>
      </w:r>
      <w:r w:rsidR="007403CD" w:rsidRPr="007403CD">
        <w:rPr>
          <w:rFonts w:ascii="Tahoma" w:hAnsi="Tahoma" w:cs="Tahoma"/>
          <w:sz w:val="24"/>
          <w:szCs w:val="24"/>
        </w:rPr>
        <w:t>activitățile</w:t>
      </w:r>
      <w:r w:rsidRPr="007403CD">
        <w:rPr>
          <w:rFonts w:ascii="Tahoma" w:hAnsi="Tahoma" w:cs="Tahoma"/>
          <w:sz w:val="24"/>
          <w:szCs w:val="24"/>
        </w:rPr>
        <w:t xml:space="preserve"> </w:t>
      </w:r>
      <w:r w:rsidR="007403CD" w:rsidRPr="007403CD">
        <w:rPr>
          <w:rFonts w:ascii="Tahoma" w:hAnsi="Tahoma" w:cs="Tahoma"/>
          <w:b/>
          <w:bCs/>
          <w:sz w:val="24"/>
          <w:szCs w:val="24"/>
        </w:rPr>
        <w:t>comerț</w:t>
      </w:r>
      <w:r w:rsidRPr="007403CD">
        <w:rPr>
          <w:rFonts w:ascii="Tahoma" w:hAnsi="Tahoma" w:cs="Tahoma"/>
          <w:b/>
          <w:bCs/>
          <w:sz w:val="24"/>
          <w:szCs w:val="24"/>
        </w:rPr>
        <w:t xml:space="preserve">, transport, hoteluri </w:t>
      </w:r>
      <w:r w:rsidR="007403CD" w:rsidRPr="007403CD">
        <w:rPr>
          <w:rFonts w:ascii="Tahoma" w:hAnsi="Tahoma" w:cs="Tahoma"/>
          <w:b/>
          <w:bCs/>
          <w:sz w:val="24"/>
          <w:szCs w:val="24"/>
        </w:rPr>
        <w:t>și</w:t>
      </w:r>
      <w:r w:rsidRPr="007403CD">
        <w:rPr>
          <w:rFonts w:ascii="Tahoma" w:hAnsi="Tahoma" w:cs="Tahoma"/>
          <w:b/>
          <w:bCs/>
          <w:sz w:val="24"/>
          <w:szCs w:val="24"/>
        </w:rPr>
        <w:t xml:space="preserve"> restaurante</w:t>
      </w:r>
      <w:r w:rsidRPr="007403CD">
        <w:rPr>
          <w:rFonts w:ascii="Tahoma" w:hAnsi="Tahoma" w:cs="Tahoma"/>
          <w:sz w:val="24"/>
          <w:szCs w:val="24"/>
        </w:rPr>
        <w:t xml:space="preserve"> cu </w:t>
      </w:r>
      <w:r w:rsidRPr="007403CD">
        <w:rPr>
          <w:rFonts w:ascii="Tahoma" w:hAnsi="Tahoma" w:cs="Tahoma"/>
          <w:b/>
          <w:bCs/>
          <w:sz w:val="24"/>
          <w:szCs w:val="24"/>
        </w:rPr>
        <w:t>un spor al VAB cu 9,2%</w:t>
      </w:r>
      <w:r w:rsidRPr="007403CD">
        <w:rPr>
          <w:rFonts w:ascii="Tahoma" w:hAnsi="Tahoma" w:cs="Tahoma"/>
          <w:sz w:val="24"/>
          <w:szCs w:val="24"/>
        </w:rPr>
        <w:t xml:space="preserve"> şi o </w:t>
      </w:r>
      <w:r w:rsidR="007403CD" w:rsidRPr="007403CD">
        <w:rPr>
          <w:rFonts w:ascii="Tahoma" w:hAnsi="Tahoma" w:cs="Tahoma"/>
          <w:sz w:val="24"/>
          <w:szCs w:val="24"/>
        </w:rPr>
        <w:t>susținere</w:t>
      </w:r>
      <w:r w:rsidRPr="007403CD">
        <w:rPr>
          <w:rFonts w:ascii="Tahoma" w:hAnsi="Tahoma" w:cs="Tahoma"/>
          <w:sz w:val="24"/>
          <w:szCs w:val="24"/>
        </w:rPr>
        <w:t xml:space="preserve"> a </w:t>
      </w:r>
      <w:r w:rsidR="007403CD" w:rsidRPr="007403CD">
        <w:rPr>
          <w:rFonts w:ascii="Tahoma" w:hAnsi="Tahoma" w:cs="Tahoma"/>
          <w:sz w:val="24"/>
          <w:szCs w:val="24"/>
        </w:rPr>
        <w:t>creșterii</w:t>
      </w:r>
      <w:r w:rsidRPr="007403CD">
        <w:rPr>
          <w:rFonts w:ascii="Tahoma" w:hAnsi="Tahoma" w:cs="Tahoma"/>
          <w:sz w:val="24"/>
          <w:szCs w:val="24"/>
        </w:rPr>
        <w:t xml:space="preserve"> reale a PIB cu 1,9 puncte procentuale. Această </w:t>
      </w:r>
      <w:r w:rsidR="007403CD" w:rsidRPr="007403CD">
        <w:rPr>
          <w:rFonts w:ascii="Tahoma" w:hAnsi="Tahoma" w:cs="Tahoma"/>
          <w:sz w:val="24"/>
          <w:szCs w:val="24"/>
        </w:rPr>
        <w:t>evoluție</w:t>
      </w:r>
      <w:r w:rsidRPr="007403CD">
        <w:rPr>
          <w:rFonts w:ascii="Tahoma" w:hAnsi="Tahoma" w:cs="Tahoma"/>
          <w:sz w:val="24"/>
          <w:szCs w:val="24"/>
        </w:rPr>
        <w:t xml:space="preserve"> a fost favorizată de ridicarea </w:t>
      </w:r>
      <w:r w:rsidR="007403CD" w:rsidRPr="007403CD">
        <w:rPr>
          <w:rFonts w:ascii="Tahoma" w:hAnsi="Tahoma" w:cs="Tahoma"/>
          <w:sz w:val="24"/>
          <w:szCs w:val="24"/>
        </w:rPr>
        <w:t>restricțiilor</w:t>
      </w:r>
      <w:r w:rsidRPr="007403CD">
        <w:rPr>
          <w:rFonts w:ascii="Tahoma" w:hAnsi="Tahoma" w:cs="Tahoma"/>
          <w:sz w:val="24"/>
          <w:szCs w:val="24"/>
        </w:rPr>
        <w:t xml:space="preserve"> în domeniul HoReCa, dar şi de </w:t>
      </w:r>
      <w:r w:rsidR="007403CD" w:rsidRPr="007403CD">
        <w:rPr>
          <w:rFonts w:ascii="Tahoma" w:hAnsi="Tahoma" w:cs="Tahoma"/>
          <w:sz w:val="24"/>
          <w:szCs w:val="24"/>
        </w:rPr>
        <w:t>înclinația</w:t>
      </w:r>
      <w:r w:rsidRPr="007403CD">
        <w:rPr>
          <w:rFonts w:ascii="Tahoma" w:hAnsi="Tahoma" w:cs="Tahoma"/>
          <w:sz w:val="24"/>
          <w:szCs w:val="24"/>
        </w:rPr>
        <w:t xml:space="preserve"> spre consum manifestată de </w:t>
      </w:r>
      <w:r w:rsidR="007403CD" w:rsidRPr="007403CD">
        <w:rPr>
          <w:rFonts w:ascii="Tahoma" w:hAnsi="Tahoma" w:cs="Tahoma"/>
          <w:sz w:val="24"/>
          <w:szCs w:val="24"/>
        </w:rPr>
        <w:t>populație</w:t>
      </w:r>
      <w:r w:rsidRPr="007403CD">
        <w:rPr>
          <w:rFonts w:ascii="Tahoma" w:hAnsi="Tahoma" w:cs="Tahoma"/>
          <w:sz w:val="24"/>
          <w:szCs w:val="24"/>
        </w:rPr>
        <w:t>.</w:t>
      </w:r>
    </w:p>
    <w:p w:rsidR="00444C93" w:rsidRPr="007403CD" w:rsidRDefault="00444C93" w:rsidP="004B1B43">
      <w:pPr>
        <w:keepNext/>
        <w:spacing w:after="120" w:line="276" w:lineRule="auto"/>
        <w:ind w:firstLine="0"/>
        <w:rPr>
          <w:rFonts w:ascii="Tahoma" w:hAnsi="Tahoma" w:cs="Tahoma"/>
          <w:sz w:val="24"/>
          <w:szCs w:val="24"/>
        </w:rPr>
      </w:pPr>
      <w:r w:rsidRPr="007403CD">
        <w:rPr>
          <w:rFonts w:ascii="Tahoma" w:hAnsi="Tahoma" w:cs="Tahoma"/>
          <w:b/>
          <w:sz w:val="24"/>
          <w:szCs w:val="24"/>
        </w:rPr>
        <w:t xml:space="preserve">Sectorul </w:t>
      </w:r>
      <w:r w:rsidR="007403CD" w:rsidRPr="007403CD">
        <w:rPr>
          <w:rFonts w:ascii="Tahoma" w:hAnsi="Tahoma" w:cs="Tahoma"/>
          <w:b/>
          <w:sz w:val="24"/>
          <w:szCs w:val="24"/>
        </w:rPr>
        <w:t>construcțiilor</w:t>
      </w:r>
      <w:r w:rsidRPr="007403CD">
        <w:rPr>
          <w:rFonts w:ascii="Tahoma" w:hAnsi="Tahoma" w:cs="Tahoma"/>
          <w:sz w:val="24"/>
          <w:szCs w:val="24"/>
        </w:rPr>
        <w:t xml:space="preserve"> a înregistrat o </w:t>
      </w:r>
      <w:r w:rsidRPr="007403CD">
        <w:rPr>
          <w:rFonts w:ascii="Tahoma" w:hAnsi="Tahoma" w:cs="Tahoma"/>
          <w:b/>
          <w:bCs/>
          <w:sz w:val="24"/>
          <w:szCs w:val="24"/>
        </w:rPr>
        <w:t>majorare a valorii adăugate brute cu 4,4%</w:t>
      </w:r>
      <w:r w:rsidRPr="007403CD">
        <w:rPr>
          <w:rFonts w:ascii="Tahoma" w:hAnsi="Tahoma" w:cs="Tahoma"/>
          <w:sz w:val="24"/>
          <w:szCs w:val="24"/>
        </w:rPr>
        <w:t xml:space="preserve">, un salt important în </w:t>
      </w:r>
      <w:r w:rsidR="007403CD" w:rsidRPr="007403CD">
        <w:rPr>
          <w:rFonts w:ascii="Tahoma" w:hAnsi="Tahoma" w:cs="Tahoma"/>
          <w:sz w:val="24"/>
          <w:szCs w:val="24"/>
        </w:rPr>
        <w:t>condițiile</w:t>
      </w:r>
      <w:r w:rsidRPr="007403CD">
        <w:rPr>
          <w:rFonts w:ascii="Tahoma" w:hAnsi="Tahoma" w:cs="Tahoma"/>
          <w:sz w:val="24"/>
          <w:szCs w:val="24"/>
        </w:rPr>
        <w:t xml:space="preserve"> în care acest domeniu continuă, ca şi în anul anterior, să se confrunte cu problema </w:t>
      </w:r>
      <w:r w:rsidR="007403CD" w:rsidRPr="007403CD">
        <w:rPr>
          <w:rFonts w:ascii="Tahoma" w:hAnsi="Tahoma" w:cs="Tahoma"/>
          <w:sz w:val="24"/>
          <w:szCs w:val="24"/>
        </w:rPr>
        <w:t>creșterii</w:t>
      </w:r>
      <w:r w:rsidRPr="007403CD">
        <w:rPr>
          <w:rFonts w:ascii="Tahoma" w:hAnsi="Tahoma" w:cs="Tahoma"/>
          <w:sz w:val="24"/>
          <w:szCs w:val="24"/>
        </w:rPr>
        <w:t xml:space="preserve"> semnificative a </w:t>
      </w:r>
      <w:r w:rsidR="007403CD" w:rsidRPr="007403CD">
        <w:rPr>
          <w:rFonts w:ascii="Tahoma" w:hAnsi="Tahoma" w:cs="Tahoma"/>
          <w:sz w:val="24"/>
          <w:szCs w:val="24"/>
        </w:rPr>
        <w:t>prețurilor</w:t>
      </w:r>
      <w:r w:rsidRPr="007403CD">
        <w:rPr>
          <w:rFonts w:ascii="Tahoma" w:hAnsi="Tahoma" w:cs="Tahoma"/>
          <w:sz w:val="24"/>
          <w:szCs w:val="24"/>
        </w:rPr>
        <w:t xml:space="preserve"> materialelor.</w:t>
      </w:r>
    </w:p>
    <w:p w:rsidR="00444C93" w:rsidRPr="007403CD" w:rsidRDefault="00444C93" w:rsidP="004B1B43">
      <w:pPr>
        <w:keepNext/>
        <w:spacing w:after="120" w:line="276" w:lineRule="auto"/>
        <w:ind w:firstLine="0"/>
        <w:rPr>
          <w:rFonts w:ascii="Tahoma" w:hAnsi="Tahoma" w:cs="Tahoma"/>
          <w:sz w:val="24"/>
          <w:szCs w:val="24"/>
        </w:rPr>
      </w:pPr>
      <w:r w:rsidRPr="007403CD">
        <w:rPr>
          <w:rFonts w:ascii="Tahoma" w:hAnsi="Tahoma" w:cs="Tahoma"/>
          <w:sz w:val="24"/>
          <w:szCs w:val="24"/>
        </w:rPr>
        <w:t xml:space="preserve">Activitatea în </w:t>
      </w:r>
      <w:r w:rsidRPr="007403CD">
        <w:rPr>
          <w:rFonts w:ascii="Tahoma" w:hAnsi="Tahoma" w:cs="Tahoma"/>
          <w:b/>
          <w:sz w:val="24"/>
          <w:szCs w:val="24"/>
        </w:rPr>
        <w:t>industrie</w:t>
      </w:r>
      <w:r w:rsidRPr="007403CD">
        <w:rPr>
          <w:rFonts w:ascii="Tahoma" w:hAnsi="Tahoma" w:cs="Tahoma"/>
          <w:sz w:val="24"/>
          <w:szCs w:val="24"/>
        </w:rPr>
        <w:t xml:space="preserve"> a continuat să resimtă accentuarea problemelor legate de aprovizionare, dar şi </w:t>
      </w:r>
      <w:r w:rsidR="007403CD" w:rsidRPr="007403CD">
        <w:rPr>
          <w:rFonts w:ascii="Tahoma" w:hAnsi="Tahoma" w:cs="Tahoma"/>
          <w:sz w:val="24"/>
          <w:szCs w:val="24"/>
        </w:rPr>
        <w:t>creșterea</w:t>
      </w:r>
      <w:r w:rsidRPr="007403CD">
        <w:rPr>
          <w:rFonts w:ascii="Tahoma" w:hAnsi="Tahoma" w:cs="Tahoma"/>
          <w:sz w:val="24"/>
          <w:szCs w:val="24"/>
        </w:rPr>
        <w:t xml:space="preserve"> </w:t>
      </w:r>
      <w:r w:rsidR="007403CD" w:rsidRPr="007403CD">
        <w:rPr>
          <w:rFonts w:ascii="Tahoma" w:hAnsi="Tahoma" w:cs="Tahoma"/>
          <w:sz w:val="24"/>
          <w:szCs w:val="24"/>
        </w:rPr>
        <w:t>prețurilor</w:t>
      </w:r>
      <w:r w:rsidRPr="007403CD">
        <w:rPr>
          <w:rFonts w:ascii="Tahoma" w:hAnsi="Tahoma" w:cs="Tahoma"/>
          <w:sz w:val="24"/>
          <w:szCs w:val="24"/>
        </w:rPr>
        <w:t xml:space="preserve"> produselor energetice. Astfel pe primul trimestru </w:t>
      </w:r>
      <w:r w:rsidRPr="007403CD">
        <w:rPr>
          <w:rFonts w:ascii="Tahoma" w:hAnsi="Tahoma" w:cs="Tahoma"/>
          <w:b/>
          <w:bCs/>
          <w:sz w:val="24"/>
          <w:szCs w:val="24"/>
        </w:rPr>
        <w:t xml:space="preserve">valoarea adăugată brută în industrie s-a contractat </w:t>
      </w:r>
      <w:r w:rsidR="007403CD" w:rsidRPr="007403CD">
        <w:rPr>
          <w:rFonts w:ascii="Tahoma" w:hAnsi="Tahoma" w:cs="Tahoma"/>
          <w:b/>
          <w:bCs/>
          <w:sz w:val="24"/>
          <w:szCs w:val="24"/>
        </w:rPr>
        <w:t>ușor</w:t>
      </w:r>
      <w:r w:rsidRPr="007403CD">
        <w:rPr>
          <w:rFonts w:ascii="Tahoma" w:hAnsi="Tahoma" w:cs="Tahoma"/>
          <w:b/>
          <w:bCs/>
          <w:sz w:val="24"/>
          <w:szCs w:val="24"/>
        </w:rPr>
        <w:t>, respectiv cu 0,3%</w:t>
      </w:r>
      <w:r w:rsidRPr="007403CD">
        <w:rPr>
          <w:rFonts w:ascii="Tahoma" w:hAnsi="Tahoma" w:cs="Tahoma"/>
          <w:sz w:val="24"/>
          <w:szCs w:val="24"/>
        </w:rPr>
        <w:t>.</w:t>
      </w:r>
    </w:p>
    <w:p w:rsidR="00444C93" w:rsidRPr="007403CD" w:rsidRDefault="00444C93" w:rsidP="004B1B43">
      <w:pPr>
        <w:spacing w:before="120" w:after="120" w:line="276" w:lineRule="auto"/>
        <w:ind w:firstLine="0"/>
        <w:rPr>
          <w:rFonts w:ascii="Tahoma" w:hAnsi="Tahoma" w:cs="Tahoma"/>
          <w:color w:val="C494CC"/>
          <w:sz w:val="24"/>
          <w:szCs w:val="24"/>
        </w:rPr>
      </w:pPr>
    </w:p>
    <w:p w:rsidR="00444C93" w:rsidRPr="007403CD" w:rsidRDefault="00444C93" w:rsidP="00444C93">
      <w:pPr>
        <w:keepNext/>
        <w:keepLines/>
        <w:widowControl w:val="0"/>
        <w:spacing w:before="120" w:after="120"/>
        <w:jc w:val="center"/>
        <w:rPr>
          <w:rFonts w:ascii="Arial" w:hAnsi="Arial" w:cs="Arial"/>
          <w:sz w:val="24"/>
          <w:szCs w:val="24"/>
        </w:rPr>
      </w:pPr>
      <w:r w:rsidRPr="007403CD">
        <w:rPr>
          <w:rFonts w:ascii="Arial" w:hAnsi="Arial" w:cs="Arial"/>
          <w:b/>
          <w:bCs/>
          <w:sz w:val="24"/>
          <w:szCs w:val="24"/>
        </w:rPr>
        <w:lastRenderedPageBreak/>
        <w:t>Contribuția la creșterea reală a PIB a elementelor de creare</w:t>
      </w:r>
    </w:p>
    <w:p w:rsidR="00444C93" w:rsidRPr="007403CD" w:rsidRDefault="009306A6" w:rsidP="00444C93">
      <w:pPr>
        <w:spacing w:before="120" w:after="0"/>
        <w:ind w:firstLine="0"/>
        <w:jc w:val="center"/>
        <w:rPr>
          <w:rFonts w:ascii="Arial" w:hAnsi="Arial" w:cs="Arial"/>
          <w:color w:val="FF0000"/>
          <w:sz w:val="24"/>
          <w:szCs w:val="24"/>
        </w:rPr>
      </w:pPr>
      <w:r w:rsidRPr="007403CD">
        <w:rPr>
          <w:rFonts w:ascii="Arial" w:hAnsi="Arial" w:cs="Arial"/>
          <w:color w:val="FF0000"/>
          <w:sz w:val="24"/>
          <w:szCs w:val="24"/>
        </w:rPr>
        <w:object w:dxaOrig="8031" w:dyaOrig="4088">
          <v:shape id="_x0000_i1026" type="#_x0000_t75" style="width:461.4pt;height:229.35pt" o:ole="">
            <v:imagedata r:id="rId9" o:title=""/>
          </v:shape>
          <o:OLEObject Type="Embed" ProgID="Excel.Sheet.12" ShapeID="_x0000_i1026" DrawAspect="Content" ObjectID="_1721742378" r:id="rId10"/>
        </w:object>
      </w:r>
    </w:p>
    <w:p w:rsidR="00444C93" w:rsidRPr="007403CD" w:rsidRDefault="00444C93" w:rsidP="00444C93">
      <w:pPr>
        <w:spacing w:before="120" w:after="0"/>
        <w:ind w:firstLine="0"/>
        <w:jc w:val="center"/>
        <w:rPr>
          <w:rFonts w:ascii="Arial" w:hAnsi="Arial" w:cs="Arial"/>
          <w:color w:val="FF0000"/>
          <w:sz w:val="24"/>
          <w:szCs w:val="24"/>
        </w:rPr>
      </w:pP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sz w:val="24"/>
          <w:szCs w:val="24"/>
        </w:rPr>
        <w:t xml:space="preserve">Valoarea de 273,8 miliarde </w:t>
      </w:r>
      <w:r w:rsidR="003A634F">
        <w:rPr>
          <w:rFonts w:ascii="Tahoma" w:hAnsi="Tahoma" w:cs="Tahoma"/>
          <w:sz w:val="24"/>
          <w:szCs w:val="24"/>
        </w:rPr>
        <w:t>lei</w:t>
      </w:r>
      <w:r w:rsidRPr="007403CD">
        <w:rPr>
          <w:rFonts w:ascii="Tahoma" w:hAnsi="Tahoma" w:cs="Tahoma"/>
          <w:sz w:val="24"/>
          <w:szCs w:val="24"/>
        </w:rPr>
        <w:t xml:space="preserve"> a produsului intern brut, realizat în trimestrul I 2022, a fost rezultatul unei </w:t>
      </w:r>
      <w:r w:rsidR="00AD795D" w:rsidRPr="007403CD">
        <w:rPr>
          <w:rFonts w:ascii="Tahoma" w:hAnsi="Tahoma" w:cs="Tahoma"/>
          <w:sz w:val="24"/>
          <w:szCs w:val="24"/>
        </w:rPr>
        <w:t>creșteri</w:t>
      </w:r>
      <w:r w:rsidRPr="007403CD">
        <w:rPr>
          <w:rFonts w:ascii="Tahoma" w:hAnsi="Tahoma" w:cs="Tahoma"/>
          <w:sz w:val="24"/>
          <w:szCs w:val="24"/>
        </w:rPr>
        <w:t xml:space="preserve"> cu 6,4%, în termeni reali şi a unui deflator de 12,8%, ceea ce a condus la o </w:t>
      </w:r>
      <w:r w:rsidR="00AD795D" w:rsidRPr="007403CD">
        <w:rPr>
          <w:rFonts w:ascii="Tahoma" w:hAnsi="Tahoma" w:cs="Tahoma"/>
          <w:sz w:val="24"/>
          <w:szCs w:val="24"/>
        </w:rPr>
        <w:t>creștere</w:t>
      </w:r>
      <w:r w:rsidRPr="007403CD">
        <w:rPr>
          <w:rFonts w:ascii="Tahoma" w:hAnsi="Tahoma" w:cs="Tahoma"/>
          <w:sz w:val="24"/>
          <w:szCs w:val="24"/>
        </w:rPr>
        <w:t xml:space="preserve"> nominală de 20,1%.</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b/>
          <w:sz w:val="24"/>
          <w:szCs w:val="24"/>
        </w:rPr>
        <w:t>V</w:t>
      </w:r>
      <w:r w:rsidRPr="007403CD">
        <w:rPr>
          <w:rFonts w:ascii="Tahoma" w:hAnsi="Tahoma" w:cs="Tahoma"/>
          <w:b/>
          <w:bCs/>
          <w:sz w:val="24"/>
          <w:szCs w:val="24"/>
        </w:rPr>
        <w:t xml:space="preserve">olumul </w:t>
      </w:r>
      <w:r w:rsidR="00AD795D" w:rsidRPr="007403CD">
        <w:rPr>
          <w:rFonts w:ascii="Tahoma" w:hAnsi="Tahoma" w:cs="Tahoma"/>
          <w:b/>
          <w:bCs/>
          <w:sz w:val="24"/>
          <w:szCs w:val="24"/>
        </w:rPr>
        <w:t>producției</w:t>
      </w:r>
      <w:r w:rsidRPr="007403CD">
        <w:rPr>
          <w:rFonts w:ascii="Tahoma" w:hAnsi="Tahoma" w:cs="Tahoma"/>
          <w:b/>
          <w:bCs/>
          <w:sz w:val="24"/>
          <w:szCs w:val="24"/>
        </w:rPr>
        <w:t xml:space="preserve"> industriale</w:t>
      </w:r>
      <w:r w:rsidRPr="007403CD">
        <w:rPr>
          <w:rFonts w:ascii="Tahoma" w:hAnsi="Tahoma" w:cs="Tahoma"/>
          <w:sz w:val="24"/>
          <w:szCs w:val="24"/>
        </w:rPr>
        <w:t xml:space="preserve"> a scăzut cu 0,8% în primele cinci luni ale anului 2022, </w:t>
      </w:r>
      <w:r w:rsidR="00AD795D" w:rsidRPr="007403CD">
        <w:rPr>
          <w:rFonts w:ascii="Tahoma" w:hAnsi="Tahoma" w:cs="Tahoma"/>
          <w:sz w:val="24"/>
          <w:szCs w:val="24"/>
        </w:rPr>
        <w:t>față</w:t>
      </w:r>
      <w:r w:rsidRPr="007403CD">
        <w:rPr>
          <w:rFonts w:ascii="Tahoma" w:hAnsi="Tahoma" w:cs="Tahoma"/>
          <w:sz w:val="24"/>
          <w:szCs w:val="24"/>
        </w:rPr>
        <w:t xml:space="preserve"> de </w:t>
      </w:r>
      <w:r w:rsidR="00AD795D" w:rsidRPr="007403CD">
        <w:rPr>
          <w:rFonts w:ascii="Tahoma" w:hAnsi="Tahoma" w:cs="Tahoma"/>
          <w:sz w:val="24"/>
          <w:szCs w:val="24"/>
        </w:rPr>
        <w:t>aceeași</w:t>
      </w:r>
      <w:r w:rsidRPr="007403CD">
        <w:rPr>
          <w:rFonts w:ascii="Tahoma" w:hAnsi="Tahoma" w:cs="Tahoma"/>
          <w:sz w:val="24"/>
          <w:szCs w:val="24"/>
        </w:rPr>
        <w:t xml:space="preserve"> perioadă a anului anterior, pe fondul diminuării cu 6,1% a producției și furnizării de energie electrică și termică, gaze, apă caldă și aer condiționat și cu 4,4% a industriei extractive. Industria prelucrătoare a înregistrat un avans ușor de 0,3%, </w:t>
      </w:r>
      <w:r w:rsidR="00AD795D" w:rsidRPr="007403CD">
        <w:rPr>
          <w:rFonts w:ascii="Tahoma" w:hAnsi="Tahoma" w:cs="Tahoma"/>
          <w:sz w:val="24"/>
          <w:szCs w:val="24"/>
        </w:rPr>
        <w:t>susținut</w:t>
      </w:r>
      <w:r w:rsidRPr="007403CD">
        <w:rPr>
          <w:rFonts w:ascii="Tahoma" w:hAnsi="Tahoma" w:cs="Tahoma"/>
          <w:sz w:val="24"/>
          <w:szCs w:val="24"/>
        </w:rPr>
        <w:t xml:space="preserve"> de revenirea peste </w:t>
      </w:r>
      <w:r w:rsidR="00AD795D" w:rsidRPr="007403CD">
        <w:rPr>
          <w:rFonts w:ascii="Tahoma" w:hAnsi="Tahoma" w:cs="Tahoma"/>
          <w:sz w:val="24"/>
          <w:szCs w:val="24"/>
        </w:rPr>
        <w:t>așteptări</w:t>
      </w:r>
      <w:r w:rsidRPr="007403CD">
        <w:rPr>
          <w:rFonts w:ascii="Tahoma" w:hAnsi="Tahoma" w:cs="Tahoma"/>
          <w:sz w:val="24"/>
          <w:szCs w:val="24"/>
        </w:rPr>
        <w:t xml:space="preserve"> a </w:t>
      </w:r>
      <w:r w:rsidR="00AD795D" w:rsidRPr="007403CD">
        <w:rPr>
          <w:rFonts w:ascii="Tahoma" w:hAnsi="Tahoma" w:cs="Tahoma"/>
          <w:sz w:val="24"/>
          <w:szCs w:val="24"/>
        </w:rPr>
        <w:t>producției</w:t>
      </w:r>
      <w:r w:rsidRPr="007403CD">
        <w:rPr>
          <w:rFonts w:ascii="Tahoma" w:hAnsi="Tahoma" w:cs="Tahoma"/>
          <w:sz w:val="24"/>
          <w:szCs w:val="24"/>
        </w:rPr>
        <w:t xml:space="preserve"> din luna mai. </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sz w:val="24"/>
          <w:szCs w:val="24"/>
        </w:rPr>
        <w:t xml:space="preserve">În cazul mai multor ramuri </w:t>
      </w:r>
      <w:r w:rsidR="00AD795D" w:rsidRPr="007403CD">
        <w:rPr>
          <w:rFonts w:ascii="Tahoma" w:hAnsi="Tahoma" w:cs="Tahoma"/>
          <w:sz w:val="24"/>
          <w:szCs w:val="24"/>
        </w:rPr>
        <w:t>creșterile</w:t>
      </w:r>
      <w:r w:rsidRPr="007403CD">
        <w:rPr>
          <w:rFonts w:ascii="Tahoma" w:hAnsi="Tahoma" w:cs="Tahoma"/>
          <w:sz w:val="24"/>
          <w:szCs w:val="24"/>
        </w:rPr>
        <w:t xml:space="preserve"> de 2 cifre din luna mai au determinat, pe de o parte, revigorarea dinamicii modeste din primele 4 luni (fabricarea băuturilor, fabricarea produselor de tutun, fabricarea produselor farmaceutice sau, fabricarea hârtiei şi a produselor din hârtie), iar pe de altă parte temperarea trendului descendent (fabricarea produselor de cocserie sau fabricarea autovehiculelor de transport rutier). Cu toate acestea, se constată că sunt ramuri care continuă să înregistreze scăderi de </w:t>
      </w:r>
      <w:r w:rsidR="00AD795D" w:rsidRPr="007403CD">
        <w:rPr>
          <w:rFonts w:ascii="Tahoma" w:hAnsi="Tahoma" w:cs="Tahoma"/>
          <w:sz w:val="24"/>
          <w:szCs w:val="24"/>
        </w:rPr>
        <w:t>producție</w:t>
      </w:r>
      <w:r w:rsidRPr="007403CD">
        <w:rPr>
          <w:rFonts w:ascii="Tahoma" w:hAnsi="Tahoma" w:cs="Tahoma"/>
          <w:sz w:val="24"/>
          <w:szCs w:val="24"/>
        </w:rPr>
        <w:t xml:space="preserve"> de peste 5%, comparativ cu primele 5 luni din 2021, precum: fabricarea substanțelor și a produselor chimice (-21,1%), </w:t>
      </w:r>
      <w:r w:rsidRPr="007403CD">
        <w:rPr>
          <w:rFonts w:ascii="Tahoma" w:hAnsi="Tahoma" w:cs="Tahoma"/>
          <w:bCs/>
          <w:sz w:val="24"/>
          <w:szCs w:val="24"/>
        </w:rPr>
        <w:t xml:space="preserve">ramură afectată de costurile ridicate la gaze, dar și de oprirea temporară a </w:t>
      </w:r>
      <w:r w:rsidR="00AD795D" w:rsidRPr="007403CD">
        <w:rPr>
          <w:rFonts w:ascii="Tahoma" w:hAnsi="Tahoma" w:cs="Tahoma"/>
          <w:bCs/>
          <w:sz w:val="24"/>
          <w:szCs w:val="24"/>
        </w:rPr>
        <w:t>producției</w:t>
      </w:r>
      <w:r w:rsidRPr="007403CD">
        <w:rPr>
          <w:rFonts w:ascii="Tahoma" w:hAnsi="Tahoma" w:cs="Tahoma"/>
          <w:bCs/>
          <w:sz w:val="24"/>
          <w:szCs w:val="24"/>
        </w:rPr>
        <w:t xml:space="preserve"> în cazul </w:t>
      </w:r>
      <w:r w:rsidR="00AD795D" w:rsidRPr="007403CD">
        <w:rPr>
          <w:rFonts w:ascii="Tahoma" w:hAnsi="Tahoma" w:cs="Tahoma"/>
          <w:bCs/>
          <w:sz w:val="24"/>
          <w:szCs w:val="24"/>
        </w:rPr>
        <w:t>societății</w:t>
      </w:r>
      <w:r w:rsidRPr="007403CD">
        <w:rPr>
          <w:rFonts w:ascii="Tahoma" w:hAnsi="Tahoma" w:cs="Tahoma"/>
          <w:bCs/>
          <w:sz w:val="24"/>
          <w:szCs w:val="24"/>
        </w:rPr>
        <w:t xml:space="preserve"> Azomureș,</w:t>
      </w:r>
      <w:r w:rsidRPr="007403CD">
        <w:rPr>
          <w:rFonts w:ascii="Tahoma" w:hAnsi="Tahoma" w:cs="Tahoma"/>
          <w:sz w:val="24"/>
          <w:szCs w:val="24"/>
        </w:rPr>
        <w:t xml:space="preserve"> fabricarea autovehiculelor de transport rutier (-9,8%), </w:t>
      </w:r>
      <w:r w:rsidRPr="007403CD">
        <w:rPr>
          <w:rFonts w:ascii="Tahoma" w:hAnsi="Tahoma" w:cs="Tahoma"/>
          <w:bCs/>
          <w:sz w:val="24"/>
          <w:szCs w:val="24"/>
        </w:rPr>
        <w:t xml:space="preserve">scădere provenită din dezechilibrele din lanțurile de aprovizionare cu semiconductori, </w:t>
      </w:r>
      <w:r w:rsidRPr="007403CD">
        <w:rPr>
          <w:rFonts w:ascii="Tahoma" w:hAnsi="Tahoma" w:cs="Tahoma"/>
          <w:sz w:val="24"/>
          <w:szCs w:val="24"/>
        </w:rPr>
        <w:t>prelucrarea lemnului, fabricarea produselor din lemn şi plută (-7,8%) și fabricarea produselor de cocserie și a produselor obținute din prelucrarea țițeiului (-6%).</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Orientarea populaţiei către bunurile de uz curent a condus la o majorare de 8,9% pe această componentă, în primele 5 luni din 2022, comparativ cu aceeași perioadă a anului anterior. In restul grupelor industriale mari </w:t>
      </w:r>
      <w:r w:rsidR="00AD795D" w:rsidRPr="007403CD">
        <w:rPr>
          <w:rFonts w:ascii="Tahoma" w:eastAsia="Times New Roman" w:hAnsi="Tahoma" w:cs="Tahoma"/>
          <w:sz w:val="24"/>
          <w:szCs w:val="24"/>
        </w:rPr>
        <w:t>producția</w:t>
      </w:r>
      <w:r w:rsidRPr="007403CD">
        <w:rPr>
          <w:rFonts w:ascii="Tahoma" w:eastAsia="Times New Roman" w:hAnsi="Tahoma" w:cs="Tahoma"/>
          <w:sz w:val="24"/>
          <w:szCs w:val="24"/>
        </w:rPr>
        <w:t xml:space="preserve"> s-a redus, cel mai </w:t>
      </w:r>
      <w:r w:rsidR="00AD795D" w:rsidRPr="007403CD">
        <w:rPr>
          <w:rFonts w:ascii="Tahoma" w:eastAsia="Times New Roman" w:hAnsi="Tahoma" w:cs="Tahoma"/>
          <w:sz w:val="24"/>
          <w:szCs w:val="24"/>
        </w:rPr>
        <w:t>p</w:t>
      </w:r>
      <w:r w:rsidR="003A634F">
        <w:rPr>
          <w:rFonts w:ascii="Tahoma" w:eastAsia="Times New Roman" w:hAnsi="Tahoma" w:cs="Tahoma"/>
          <w:sz w:val="24"/>
          <w:szCs w:val="24"/>
        </w:rPr>
        <w:t>lei</w:t>
      </w:r>
      <w:r w:rsidR="00AD795D" w:rsidRPr="007403CD">
        <w:rPr>
          <w:rFonts w:ascii="Tahoma" w:eastAsia="Times New Roman" w:hAnsi="Tahoma" w:cs="Tahoma"/>
          <w:sz w:val="24"/>
          <w:szCs w:val="24"/>
        </w:rPr>
        <w:t>unțat</w:t>
      </w:r>
      <w:r w:rsidRPr="007403CD">
        <w:rPr>
          <w:rFonts w:ascii="Tahoma" w:eastAsia="Times New Roman" w:hAnsi="Tahoma" w:cs="Tahoma"/>
          <w:sz w:val="24"/>
          <w:szCs w:val="24"/>
        </w:rPr>
        <w:t xml:space="preserve"> </w:t>
      </w:r>
      <w:r w:rsidRPr="007403CD">
        <w:rPr>
          <w:rFonts w:ascii="Tahoma" w:eastAsia="Times New Roman" w:hAnsi="Tahoma" w:cs="Tahoma"/>
          <w:sz w:val="24"/>
          <w:szCs w:val="24"/>
        </w:rPr>
        <w:lastRenderedPageBreak/>
        <w:t>declin înregistrându-se în industria energetică (-6%).</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În primul trimestru din 2022, </w:t>
      </w:r>
      <w:r w:rsidRPr="007403CD">
        <w:rPr>
          <w:rFonts w:ascii="Tahoma" w:eastAsia="Times New Roman" w:hAnsi="Tahoma" w:cs="Tahoma"/>
          <w:b/>
          <w:sz w:val="24"/>
          <w:szCs w:val="24"/>
        </w:rPr>
        <w:t>investițiile nete</w:t>
      </w:r>
      <w:r w:rsidRPr="007403CD">
        <w:rPr>
          <w:rFonts w:ascii="Tahoma" w:eastAsia="Times New Roman" w:hAnsi="Tahoma" w:cs="Tahoma"/>
          <w:sz w:val="24"/>
          <w:szCs w:val="24"/>
        </w:rPr>
        <w:t xml:space="preserve"> au crescut în termeni reali cu 1,2% comparativ cu trimestrul I 2021 fiind </w:t>
      </w:r>
      <w:r w:rsidR="00AD795D" w:rsidRPr="007403CD">
        <w:rPr>
          <w:rFonts w:ascii="Tahoma" w:eastAsia="Times New Roman" w:hAnsi="Tahoma" w:cs="Tahoma"/>
          <w:sz w:val="24"/>
          <w:szCs w:val="24"/>
        </w:rPr>
        <w:t>susținute</w:t>
      </w:r>
      <w:r w:rsidRPr="007403CD">
        <w:rPr>
          <w:rFonts w:ascii="Tahoma" w:eastAsia="Times New Roman" w:hAnsi="Tahoma" w:cs="Tahoma"/>
          <w:sz w:val="24"/>
          <w:szCs w:val="24"/>
        </w:rPr>
        <w:t xml:space="preserve"> de lucrările de </w:t>
      </w:r>
      <w:r w:rsidR="00AD795D" w:rsidRPr="007403CD">
        <w:rPr>
          <w:rFonts w:ascii="Tahoma" w:eastAsia="Times New Roman" w:hAnsi="Tahoma" w:cs="Tahoma"/>
          <w:sz w:val="24"/>
          <w:szCs w:val="24"/>
        </w:rPr>
        <w:t>construcții</w:t>
      </w:r>
      <w:r w:rsidRPr="007403CD">
        <w:rPr>
          <w:rFonts w:ascii="Tahoma" w:eastAsia="Times New Roman" w:hAnsi="Tahoma" w:cs="Tahoma"/>
          <w:sz w:val="24"/>
          <w:szCs w:val="24"/>
        </w:rPr>
        <w:t xml:space="preserve"> noi (+4,5%), ramura predominantă în structura </w:t>
      </w:r>
      <w:r w:rsidR="00AD795D" w:rsidRPr="007403CD">
        <w:rPr>
          <w:rFonts w:ascii="Tahoma" w:eastAsia="Times New Roman" w:hAnsi="Tahoma" w:cs="Tahoma"/>
          <w:sz w:val="24"/>
          <w:szCs w:val="24"/>
        </w:rPr>
        <w:t>investițiilor</w:t>
      </w:r>
      <w:r w:rsidRPr="007403CD">
        <w:rPr>
          <w:rFonts w:ascii="Tahoma" w:eastAsia="Times New Roman" w:hAnsi="Tahoma" w:cs="Tahoma"/>
          <w:sz w:val="24"/>
          <w:szCs w:val="24"/>
        </w:rPr>
        <w:t xml:space="preserve"> (58% din total). </w:t>
      </w:r>
      <w:r w:rsidRPr="007403CD">
        <w:rPr>
          <w:rFonts w:ascii="Tahoma" w:eastAsia="Times New Roman" w:hAnsi="Tahoma" w:cs="Tahoma"/>
          <w:b/>
          <w:sz w:val="24"/>
          <w:szCs w:val="24"/>
        </w:rPr>
        <w:t>Investițiile nete</w:t>
      </w:r>
      <w:r w:rsidRPr="007403CD">
        <w:rPr>
          <w:rFonts w:ascii="Tahoma" w:eastAsia="Times New Roman" w:hAnsi="Tahoma" w:cs="Tahoma"/>
          <w:sz w:val="24"/>
          <w:szCs w:val="24"/>
        </w:rPr>
        <w:t xml:space="preserve"> în utilaje s-au majorat cu numai 0,3% reprezentând 33,4% din total, în timp ce alte cheltuieli s-au diminuat cu 14%.</w:t>
      </w:r>
    </w:p>
    <w:p w:rsidR="00444C93" w:rsidRPr="007403CD" w:rsidRDefault="0016355C" w:rsidP="004B1B43">
      <w:pPr>
        <w:spacing w:after="120" w:line="276" w:lineRule="auto"/>
        <w:ind w:firstLine="0"/>
        <w:rPr>
          <w:rFonts w:ascii="Tahoma" w:hAnsi="Tahoma" w:cs="Tahoma"/>
          <w:sz w:val="24"/>
          <w:szCs w:val="24"/>
        </w:rPr>
      </w:pPr>
      <w:r w:rsidRPr="007403CD">
        <w:rPr>
          <w:rFonts w:ascii="Tahoma" w:hAnsi="Tahoma" w:cs="Tahoma"/>
          <w:b/>
          <w:sz w:val="24"/>
          <w:szCs w:val="24"/>
        </w:rPr>
        <w:t>Evoluția</w:t>
      </w:r>
      <w:r w:rsidR="00444C93" w:rsidRPr="007403CD">
        <w:rPr>
          <w:rFonts w:ascii="Tahoma" w:hAnsi="Tahoma" w:cs="Tahoma"/>
          <w:b/>
          <w:sz w:val="24"/>
          <w:szCs w:val="24"/>
        </w:rPr>
        <w:t xml:space="preserve"> peste </w:t>
      </w:r>
      <w:r w:rsidRPr="007403CD">
        <w:rPr>
          <w:rFonts w:ascii="Tahoma" w:hAnsi="Tahoma" w:cs="Tahoma"/>
          <w:b/>
          <w:sz w:val="24"/>
          <w:szCs w:val="24"/>
        </w:rPr>
        <w:t>așteptări</w:t>
      </w:r>
      <w:r w:rsidR="00444C93" w:rsidRPr="007403CD">
        <w:rPr>
          <w:rFonts w:ascii="Tahoma" w:hAnsi="Tahoma" w:cs="Tahoma"/>
          <w:b/>
          <w:sz w:val="24"/>
          <w:szCs w:val="24"/>
        </w:rPr>
        <w:t xml:space="preserve"> din luna mai a condus la o majorare a volumului lucrărilor de </w:t>
      </w:r>
      <w:r w:rsidRPr="007403CD">
        <w:rPr>
          <w:rFonts w:ascii="Tahoma" w:hAnsi="Tahoma" w:cs="Tahoma"/>
          <w:b/>
          <w:sz w:val="24"/>
          <w:szCs w:val="24"/>
        </w:rPr>
        <w:t>construcții</w:t>
      </w:r>
      <w:r w:rsidR="00444C93" w:rsidRPr="007403CD">
        <w:rPr>
          <w:rFonts w:ascii="Tahoma" w:hAnsi="Tahoma" w:cs="Tahoma"/>
          <w:b/>
          <w:sz w:val="24"/>
          <w:szCs w:val="24"/>
        </w:rPr>
        <w:t xml:space="preserve"> de 3,2% </w:t>
      </w:r>
      <w:r w:rsidR="00444C93" w:rsidRPr="007403CD">
        <w:rPr>
          <w:rFonts w:ascii="Tahoma" w:hAnsi="Tahoma" w:cs="Tahoma"/>
          <w:sz w:val="24"/>
          <w:szCs w:val="24"/>
        </w:rPr>
        <w:t xml:space="preserve">în primele 5 luni ale anului 2022 </w:t>
      </w:r>
      <w:r w:rsidRPr="007403CD">
        <w:rPr>
          <w:rFonts w:ascii="Tahoma" w:hAnsi="Tahoma" w:cs="Tahoma"/>
          <w:sz w:val="24"/>
          <w:szCs w:val="24"/>
        </w:rPr>
        <w:t>față</w:t>
      </w:r>
      <w:r w:rsidR="00444C93" w:rsidRPr="007403CD">
        <w:rPr>
          <w:rFonts w:ascii="Tahoma" w:hAnsi="Tahoma" w:cs="Tahoma"/>
          <w:sz w:val="24"/>
          <w:szCs w:val="24"/>
        </w:rPr>
        <w:t xml:space="preserve"> de perioada corespunzătoare din anul anterior. Pe elemente de structură, lucrările de </w:t>
      </w:r>
      <w:r w:rsidRPr="007403CD">
        <w:rPr>
          <w:rFonts w:ascii="Tahoma" w:hAnsi="Tahoma" w:cs="Tahoma"/>
          <w:sz w:val="24"/>
          <w:szCs w:val="24"/>
        </w:rPr>
        <w:t>întreținere</w:t>
      </w:r>
      <w:r w:rsidR="00444C93" w:rsidRPr="007403CD">
        <w:rPr>
          <w:rFonts w:ascii="Tahoma" w:hAnsi="Tahoma" w:cs="Tahoma"/>
          <w:sz w:val="24"/>
          <w:szCs w:val="24"/>
        </w:rPr>
        <w:t xml:space="preserve"> </w:t>
      </w:r>
      <w:r w:rsidRPr="007403CD">
        <w:rPr>
          <w:rFonts w:ascii="Tahoma" w:hAnsi="Tahoma" w:cs="Tahoma"/>
          <w:sz w:val="24"/>
          <w:szCs w:val="24"/>
        </w:rPr>
        <w:t>și</w:t>
      </w:r>
      <w:r w:rsidR="00444C93" w:rsidRPr="007403CD">
        <w:rPr>
          <w:rFonts w:ascii="Tahoma" w:hAnsi="Tahoma" w:cs="Tahoma"/>
          <w:sz w:val="24"/>
          <w:szCs w:val="24"/>
        </w:rPr>
        <w:t xml:space="preserve"> </w:t>
      </w:r>
      <w:r w:rsidRPr="007403CD">
        <w:rPr>
          <w:rFonts w:ascii="Tahoma" w:hAnsi="Tahoma" w:cs="Tahoma"/>
          <w:sz w:val="24"/>
          <w:szCs w:val="24"/>
        </w:rPr>
        <w:t>reparații</w:t>
      </w:r>
      <w:r w:rsidR="00444C93" w:rsidRPr="007403CD">
        <w:rPr>
          <w:rFonts w:ascii="Tahoma" w:hAnsi="Tahoma" w:cs="Tahoma"/>
          <w:sz w:val="24"/>
          <w:szCs w:val="24"/>
        </w:rPr>
        <w:t xml:space="preserve"> curente au avut o </w:t>
      </w:r>
      <w:r w:rsidRPr="007403CD">
        <w:rPr>
          <w:rFonts w:ascii="Tahoma" w:hAnsi="Tahoma" w:cs="Tahoma"/>
          <w:sz w:val="24"/>
          <w:szCs w:val="24"/>
        </w:rPr>
        <w:t>evoluție</w:t>
      </w:r>
      <w:r w:rsidR="00444C93" w:rsidRPr="007403CD">
        <w:rPr>
          <w:rFonts w:ascii="Tahoma" w:hAnsi="Tahoma" w:cs="Tahoma"/>
          <w:sz w:val="24"/>
          <w:szCs w:val="24"/>
        </w:rPr>
        <w:t xml:space="preserve"> solidă (10,4%), urmate de </w:t>
      </w:r>
      <w:r w:rsidRPr="007403CD">
        <w:rPr>
          <w:rFonts w:ascii="Tahoma" w:hAnsi="Tahoma" w:cs="Tahoma"/>
          <w:sz w:val="24"/>
          <w:szCs w:val="24"/>
        </w:rPr>
        <w:t>construcțiile</w:t>
      </w:r>
      <w:r w:rsidR="00444C93" w:rsidRPr="007403CD">
        <w:rPr>
          <w:rFonts w:ascii="Tahoma" w:hAnsi="Tahoma" w:cs="Tahoma"/>
          <w:sz w:val="24"/>
          <w:szCs w:val="24"/>
        </w:rPr>
        <w:t xml:space="preserve"> noi (1,8%), care au revenit în teritoriul pozitiv după avansul de 8,8% din luna mai,  în timp ce </w:t>
      </w:r>
      <w:r w:rsidRPr="007403CD">
        <w:rPr>
          <w:rFonts w:ascii="Tahoma" w:hAnsi="Tahoma" w:cs="Tahoma"/>
          <w:sz w:val="24"/>
          <w:szCs w:val="24"/>
        </w:rPr>
        <w:t>reparațiile</w:t>
      </w:r>
      <w:r w:rsidR="00444C93" w:rsidRPr="007403CD">
        <w:rPr>
          <w:rFonts w:ascii="Tahoma" w:hAnsi="Tahoma" w:cs="Tahoma"/>
          <w:sz w:val="24"/>
          <w:szCs w:val="24"/>
        </w:rPr>
        <w:t xml:space="preserve"> capitale au scăzut 3,6%. Pe obiecte de </w:t>
      </w:r>
      <w:r w:rsidRPr="007403CD">
        <w:rPr>
          <w:rFonts w:ascii="Tahoma" w:hAnsi="Tahoma" w:cs="Tahoma"/>
          <w:sz w:val="24"/>
          <w:szCs w:val="24"/>
        </w:rPr>
        <w:t>construcții</w:t>
      </w:r>
      <w:r w:rsidR="00444C93" w:rsidRPr="007403CD">
        <w:rPr>
          <w:rFonts w:ascii="Tahoma" w:hAnsi="Tahoma" w:cs="Tahoma"/>
          <w:sz w:val="24"/>
          <w:szCs w:val="24"/>
        </w:rPr>
        <w:t xml:space="preserve">, atât clădirile </w:t>
      </w:r>
      <w:r w:rsidRPr="007403CD">
        <w:rPr>
          <w:rFonts w:ascii="Tahoma" w:hAnsi="Tahoma" w:cs="Tahoma"/>
          <w:sz w:val="24"/>
          <w:szCs w:val="24"/>
        </w:rPr>
        <w:t>nerezidențiale</w:t>
      </w:r>
      <w:r w:rsidR="00444C93" w:rsidRPr="007403CD">
        <w:rPr>
          <w:rFonts w:ascii="Tahoma" w:hAnsi="Tahoma" w:cs="Tahoma"/>
          <w:sz w:val="24"/>
          <w:szCs w:val="24"/>
        </w:rPr>
        <w:t xml:space="preserve"> cât </w:t>
      </w:r>
      <w:r w:rsidRPr="007403CD">
        <w:rPr>
          <w:rFonts w:ascii="Tahoma" w:hAnsi="Tahoma" w:cs="Tahoma"/>
          <w:sz w:val="24"/>
          <w:szCs w:val="24"/>
        </w:rPr>
        <w:t>și</w:t>
      </w:r>
      <w:r w:rsidR="00444C93" w:rsidRPr="007403CD">
        <w:rPr>
          <w:rFonts w:ascii="Tahoma" w:hAnsi="Tahoma" w:cs="Tahoma"/>
          <w:sz w:val="24"/>
          <w:szCs w:val="24"/>
        </w:rPr>
        <w:t xml:space="preserve"> clădirile </w:t>
      </w:r>
      <w:r w:rsidRPr="007403CD">
        <w:rPr>
          <w:rFonts w:ascii="Tahoma" w:hAnsi="Tahoma" w:cs="Tahoma"/>
          <w:sz w:val="24"/>
          <w:szCs w:val="24"/>
        </w:rPr>
        <w:t>rezidențiale</w:t>
      </w:r>
      <w:r w:rsidR="00444C93" w:rsidRPr="007403CD">
        <w:rPr>
          <w:rFonts w:ascii="Tahoma" w:hAnsi="Tahoma" w:cs="Tahoma"/>
          <w:sz w:val="24"/>
          <w:szCs w:val="24"/>
        </w:rPr>
        <w:t xml:space="preserve"> s-au majorat cu 16,2% respectiv 6,6%, în primele 5 luni ale anului 2022 comparativ cu </w:t>
      </w:r>
      <w:r w:rsidRPr="007403CD">
        <w:rPr>
          <w:rFonts w:ascii="Tahoma" w:hAnsi="Tahoma" w:cs="Tahoma"/>
          <w:sz w:val="24"/>
          <w:szCs w:val="24"/>
        </w:rPr>
        <w:t>aceeași</w:t>
      </w:r>
      <w:r w:rsidR="00444C93" w:rsidRPr="007403CD">
        <w:rPr>
          <w:rFonts w:ascii="Tahoma" w:hAnsi="Tahoma" w:cs="Tahoma"/>
          <w:sz w:val="24"/>
          <w:szCs w:val="24"/>
        </w:rPr>
        <w:t xml:space="preserve"> perioadă a anului precedent. Cu toate că luna mai a fost prima lună din acest an în care </w:t>
      </w:r>
      <w:r w:rsidRPr="007403CD">
        <w:rPr>
          <w:rFonts w:ascii="Tahoma" w:hAnsi="Tahoma" w:cs="Tahoma"/>
          <w:sz w:val="24"/>
          <w:szCs w:val="24"/>
        </w:rPr>
        <w:t>construcțiile</w:t>
      </w:r>
      <w:r w:rsidR="00444C93" w:rsidRPr="007403CD">
        <w:rPr>
          <w:rFonts w:ascii="Tahoma" w:hAnsi="Tahoma" w:cs="Tahoma"/>
          <w:sz w:val="24"/>
          <w:szCs w:val="24"/>
        </w:rPr>
        <w:t xml:space="preserve"> </w:t>
      </w:r>
      <w:r w:rsidRPr="007403CD">
        <w:rPr>
          <w:rFonts w:ascii="Tahoma" w:hAnsi="Tahoma" w:cs="Tahoma"/>
          <w:sz w:val="24"/>
          <w:szCs w:val="24"/>
        </w:rPr>
        <w:t>inginerești</w:t>
      </w:r>
      <w:r w:rsidR="00444C93" w:rsidRPr="007403CD">
        <w:rPr>
          <w:rFonts w:ascii="Tahoma" w:hAnsi="Tahoma" w:cs="Tahoma"/>
          <w:sz w:val="24"/>
          <w:szCs w:val="24"/>
        </w:rPr>
        <w:t xml:space="preserve"> s-au majorat (1,0% </w:t>
      </w:r>
      <w:r w:rsidRPr="007403CD">
        <w:rPr>
          <w:rFonts w:ascii="Tahoma" w:hAnsi="Tahoma" w:cs="Tahoma"/>
          <w:sz w:val="24"/>
          <w:szCs w:val="24"/>
        </w:rPr>
        <w:t>față</w:t>
      </w:r>
      <w:r w:rsidR="00444C93" w:rsidRPr="007403CD">
        <w:rPr>
          <w:rFonts w:ascii="Tahoma" w:hAnsi="Tahoma" w:cs="Tahoma"/>
          <w:sz w:val="24"/>
          <w:szCs w:val="24"/>
        </w:rPr>
        <w:t xml:space="preserve"> de mai 2021), la nivelul primelor 5 luni scăderea a atins 7%, diminuând avansul volumului lucrărilor de </w:t>
      </w:r>
      <w:r w:rsidRPr="007403CD">
        <w:rPr>
          <w:rFonts w:ascii="Tahoma" w:hAnsi="Tahoma" w:cs="Tahoma"/>
          <w:sz w:val="24"/>
          <w:szCs w:val="24"/>
        </w:rPr>
        <w:t>construcții</w:t>
      </w:r>
      <w:r w:rsidR="00444C93" w:rsidRPr="007403CD">
        <w:rPr>
          <w:rFonts w:ascii="Tahoma" w:hAnsi="Tahoma" w:cs="Tahoma"/>
          <w:sz w:val="24"/>
          <w:szCs w:val="24"/>
        </w:rPr>
        <w:t xml:space="preserve"> pe total.</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b/>
          <w:sz w:val="24"/>
          <w:szCs w:val="24"/>
        </w:rPr>
        <w:t xml:space="preserve">Volumul cifrei de afaceri din </w:t>
      </w:r>
      <w:r w:rsidR="0016355C" w:rsidRPr="007403CD">
        <w:rPr>
          <w:rFonts w:ascii="Tahoma" w:hAnsi="Tahoma" w:cs="Tahoma"/>
          <w:b/>
          <w:sz w:val="24"/>
          <w:szCs w:val="24"/>
        </w:rPr>
        <w:t>comerțul</w:t>
      </w:r>
      <w:r w:rsidRPr="007403CD">
        <w:rPr>
          <w:rFonts w:ascii="Tahoma" w:hAnsi="Tahoma" w:cs="Tahoma"/>
          <w:b/>
          <w:sz w:val="24"/>
          <w:szCs w:val="24"/>
        </w:rPr>
        <w:t xml:space="preserve"> cu amănuntul</w:t>
      </w:r>
      <w:r w:rsidRPr="007403CD">
        <w:rPr>
          <w:rFonts w:ascii="Tahoma" w:hAnsi="Tahoma" w:cs="Tahoma"/>
          <w:sz w:val="24"/>
          <w:szCs w:val="24"/>
        </w:rPr>
        <w:t xml:space="preserve"> </w:t>
      </w:r>
      <w:r w:rsidRPr="007403CD">
        <w:rPr>
          <w:rFonts w:ascii="Tahoma" w:hAnsi="Tahoma" w:cs="Tahoma"/>
          <w:sz w:val="24"/>
          <w:szCs w:val="24"/>
          <w:shd w:val="clear" w:color="auto" w:fill="FFFFFF"/>
        </w:rPr>
        <w:t xml:space="preserve">(cu </w:t>
      </w:r>
      <w:r w:rsidR="0016355C" w:rsidRPr="007403CD">
        <w:rPr>
          <w:rFonts w:ascii="Tahoma" w:hAnsi="Tahoma" w:cs="Tahoma"/>
          <w:sz w:val="24"/>
          <w:szCs w:val="24"/>
          <w:shd w:val="clear" w:color="auto" w:fill="FFFFFF"/>
        </w:rPr>
        <w:t>excepția</w:t>
      </w:r>
      <w:r w:rsidRPr="007403CD">
        <w:rPr>
          <w:rFonts w:ascii="Tahoma" w:hAnsi="Tahoma" w:cs="Tahoma"/>
          <w:sz w:val="24"/>
          <w:szCs w:val="24"/>
          <w:shd w:val="clear" w:color="auto" w:fill="FFFFFF"/>
        </w:rPr>
        <w:t xml:space="preserve"> </w:t>
      </w:r>
      <w:r w:rsidR="0016355C" w:rsidRPr="007403CD">
        <w:rPr>
          <w:rFonts w:ascii="Tahoma" w:hAnsi="Tahoma" w:cs="Tahoma"/>
          <w:sz w:val="24"/>
          <w:szCs w:val="24"/>
          <w:shd w:val="clear" w:color="auto" w:fill="FFFFFF"/>
        </w:rPr>
        <w:t>comerțului</w:t>
      </w:r>
      <w:r w:rsidRPr="007403CD">
        <w:rPr>
          <w:rFonts w:ascii="Tahoma" w:hAnsi="Tahoma" w:cs="Tahoma"/>
          <w:sz w:val="24"/>
          <w:szCs w:val="24"/>
          <w:shd w:val="clear" w:color="auto" w:fill="FFFFFF"/>
        </w:rPr>
        <w:t xml:space="preserve"> cu autovehicule şi motociclete) s-a majorat cu 5,7% în primele cinci luni ale anului 2022 </w:t>
      </w:r>
      <w:r w:rsidRPr="007403CD">
        <w:rPr>
          <w:rFonts w:ascii="Tahoma" w:hAnsi="Tahoma" w:cs="Tahoma"/>
          <w:sz w:val="24"/>
          <w:szCs w:val="24"/>
        </w:rPr>
        <w:t xml:space="preserve">comparativ cu perioada </w:t>
      </w:r>
      <w:r w:rsidR="0016355C" w:rsidRPr="007403CD">
        <w:rPr>
          <w:rFonts w:ascii="Tahoma" w:hAnsi="Tahoma" w:cs="Tahoma"/>
          <w:sz w:val="24"/>
          <w:szCs w:val="24"/>
        </w:rPr>
        <w:t>corespunzătoare</w:t>
      </w:r>
      <w:r w:rsidRPr="007403CD">
        <w:rPr>
          <w:rFonts w:ascii="Tahoma" w:hAnsi="Tahoma" w:cs="Tahoma"/>
          <w:sz w:val="24"/>
          <w:szCs w:val="24"/>
        </w:rPr>
        <w:t xml:space="preserve"> a anului anterior Comparativ cu primul trimestru din acest an (5,5% T1 2022/T12021), în perioada aprilie-mai (</w:t>
      </w:r>
      <w:r w:rsidR="0016355C" w:rsidRPr="007403CD">
        <w:rPr>
          <w:rFonts w:ascii="Tahoma" w:hAnsi="Tahoma" w:cs="Tahoma"/>
          <w:sz w:val="24"/>
          <w:szCs w:val="24"/>
        </w:rPr>
        <w:t>față</w:t>
      </w:r>
      <w:r w:rsidRPr="007403CD">
        <w:rPr>
          <w:rFonts w:ascii="Tahoma" w:hAnsi="Tahoma" w:cs="Tahoma"/>
          <w:sz w:val="24"/>
          <w:szCs w:val="24"/>
        </w:rPr>
        <w:t xml:space="preserve"> de perioada corespunzătoare din 2021) </w:t>
      </w:r>
      <w:r w:rsidR="0016355C" w:rsidRPr="007403CD">
        <w:rPr>
          <w:rFonts w:ascii="Tahoma" w:hAnsi="Tahoma" w:cs="Tahoma"/>
          <w:sz w:val="24"/>
          <w:szCs w:val="24"/>
        </w:rPr>
        <w:t>comerțul</w:t>
      </w:r>
      <w:r w:rsidRPr="007403CD">
        <w:rPr>
          <w:rFonts w:ascii="Tahoma" w:hAnsi="Tahoma" w:cs="Tahoma"/>
          <w:sz w:val="24"/>
          <w:szCs w:val="24"/>
        </w:rPr>
        <w:t xml:space="preserve"> cu amănuntul a avansat cu 5,8% pe seama vânzărilor de </w:t>
      </w:r>
      <w:r w:rsidR="0016355C" w:rsidRPr="007403CD">
        <w:rPr>
          <w:rFonts w:ascii="Tahoma" w:hAnsi="Tahoma" w:cs="Tahoma"/>
          <w:sz w:val="24"/>
          <w:szCs w:val="24"/>
        </w:rPr>
        <w:t>carburanți</w:t>
      </w:r>
      <w:r w:rsidRPr="007403CD">
        <w:rPr>
          <w:rFonts w:ascii="Tahoma" w:hAnsi="Tahoma" w:cs="Tahoma"/>
          <w:sz w:val="24"/>
          <w:szCs w:val="24"/>
        </w:rPr>
        <w:t xml:space="preserve"> (10,5%), ca urmare a intensificării deplasărilor în interes profesional sau în </w:t>
      </w:r>
      <w:r w:rsidR="0016355C" w:rsidRPr="007403CD">
        <w:rPr>
          <w:rFonts w:ascii="Tahoma" w:hAnsi="Tahoma" w:cs="Tahoma"/>
          <w:sz w:val="24"/>
          <w:szCs w:val="24"/>
        </w:rPr>
        <w:t>vacanță</w:t>
      </w:r>
      <w:r w:rsidRPr="007403CD">
        <w:rPr>
          <w:rFonts w:ascii="Tahoma" w:hAnsi="Tahoma" w:cs="Tahoma"/>
          <w:sz w:val="24"/>
          <w:szCs w:val="24"/>
        </w:rPr>
        <w:t xml:space="preserve"> </w:t>
      </w:r>
      <w:r w:rsidR="0016355C" w:rsidRPr="007403CD">
        <w:rPr>
          <w:rFonts w:ascii="Tahoma" w:hAnsi="Tahoma" w:cs="Tahoma"/>
          <w:sz w:val="24"/>
          <w:szCs w:val="24"/>
        </w:rPr>
        <w:t>și</w:t>
      </w:r>
      <w:r w:rsidRPr="007403CD">
        <w:rPr>
          <w:rFonts w:ascii="Tahoma" w:hAnsi="Tahoma" w:cs="Tahoma"/>
          <w:sz w:val="24"/>
          <w:szCs w:val="24"/>
        </w:rPr>
        <w:t xml:space="preserve"> de produse nealimentare (6,8%), fiind preferată </w:t>
      </w:r>
      <w:r w:rsidR="0016355C" w:rsidRPr="007403CD">
        <w:rPr>
          <w:rFonts w:ascii="Tahoma" w:hAnsi="Tahoma" w:cs="Tahoma"/>
          <w:sz w:val="24"/>
          <w:szCs w:val="24"/>
        </w:rPr>
        <w:t>achiziționarea</w:t>
      </w:r>
      <w:r w:rsidRPr="007403CD">
        <w:rPr>
          <w:rFonts w:ascii="Tahoma" w:hAnsi="Tahoma" w:cs="Tahoma"/>
          <w:sz w:val="24"/>
          <w:szCs w:val="24"/>
        </w:rPr>
        <w:t xml:space="preserve"> de produse farmaceutice şi cosmetice şi articolele de îmbrăcăminte.</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sz w:val="24"/>
          <w:szCs w:val="24"/>
        </w:rPr>
        <w:t>Vânzările de mărfuri alimentare s-au majorat cu 1,9% în primele 5 luni (cu 1,2 p.p peste dinamica înregistrată la 4 luni). După o perioadă îndelungată, când au fost preferate în context pandemic, comenzile prin internet s-au diminuat cu 2,4%. Vânzările de carburanți au continuat să crească şi în luna mai (9,7% comparativ cu mai 2021), astfel încât după 5 luni avansul a fost de 10,1%.</w:t>
      </w:r>
    </w:p>
    <w:p w:rsidR="00444C93" w:rsidRPr="007403CD" w:rsidRDefault="00444C93" w:rsidP="004B1B43">
      <w:pPr>
        <w:keepNext/>
        <w:snapToGrid w:val="0"/>
        <w:spacing w:after="120" w:line="276" w:lineRule="auto"/>
        <w:ind w:firstLine="0"/>
        <w:rPr>
          <w:rFonts w:ascii="Tahoma" w:hAnsi="Tahoma" w:cs="Tahoma"/>
          <w:sz w:val="24"/>
          <w:szCs w:val="24"/>
        </w:rPr>
      </w:pPr>
      <w:r w:rsidRPr="007403CD">
        <w:rPr>
          <w:rFonts w:ascii="Tahoma" w:hAnsi="Tahoma" w:cs="Tahoma"/>
          <w:b/>
          <w:sz w:val="24"/>
          <w:szCs w:val="24"/>
        </w:rPr>
        <w:t xml:space="preserve">Volumul total al cifrei de afaceri pentru servicii de </w:t>
      </w:r>
      <w:r w:rsidR="0016355C" w:rsidRPr="007403CD">
        <w:rPr>
          <w:rFonts w:ascii="Tahoma" w:hAnsi="Tahoma" w:cs="Tahoma"/>
          <w:b/>
          <w:sz w:val="24"/>
          <w:szCs w:val="24"/>
        </w:rPr>
        <w:t>piață</w:t>
      </w:r>
      <w:r w:rsidRPr="007403CD">
        <w:rPr>
          <w:rFonts w:ascii="Tahoma" w:hAnsi="Tahoma" w:cs="Tahoma"/>
          <w:b/>
          <w:sz w:val="24"/>
          <w:szCs w:val="24"/>
        </w:rPr>
        <w:t xml:space="preserve"> prestate </w:t>
      </w:r>
      <w:r w:rsidR="0016355C" w:rsidRPr="007403CD">
        <w:rPr>
          <w:rFonts w:ascii="Tahoma" w:hAnsi="Tahoma" w:cs="Tahoma"/>
          <w:b/>
          <w:sz w:val="24"/>
          <w:szCs w:val="24"/>
        </w:rPr>
        <w:t>populației</w:t>
      </w:r>
      <w:r w:rsidRPr="007403CD">
        <w:rPr>
          <w:rFonts w:ascii="Tahoma" w:hAnsi="Tahoma" w:cs="Tahoma"/>
          <w:b/>
          <w:sz w:val="24"/>
          <w:szCs w:val="24"/>
        </w:rPr>
        <w:t xml:space="preserve"> </w:t>
      </w:r>
      <w:r w:rsidRPr="007403CD">
        <w:rPr>
          <w:rFonts w:ascii="Tahoma" w:hAnsi="Tahoma" w:cs="Tahoma"/>
          <w:sz w:val="24"/>
          <w:szCs w:val="24"/>
        </w:rPr>
        <w:t xml:space="preserve">s-a majorat cu 39,5% în primele cinci luni ale anului 2022, pe seama avansului robust, de peste 40% a </w:t>
      </w:r>
      <w:r w:rsidR="0016355C" w:rsidRPr="007403CD">
        <w:rPr>
          <w:rFonts w:ascii="Tahoma" w:hAnsi="Tahoma" w:cs="Tahoma"/>
          <w:sz w:val="24"/>
          <w:szCs w:val="24"/>
        </w:rPr>
        <w:t>activității</w:t>
      </w:r>
      <w:r w:rsidRPr="007403CD">
        <w:rPr>
          <w:rFonts w:ascii="Tahoma" w:hAnsi="Tahoma" w:cs="Tahoma"/>
          <w:sz w:val="24"/>
          <w:szCs w:val="24"/>
        </w:rPr>
        <w:t xml:space="preserve"> din hoteluri și restaurante (41,6%), dar şi a activităților </w:t>
      </w:r>
      <w:r w:rsidR="0016355C" w:rsidRPr="007403CD">
        <w:rPr>
          <w:rFonts w:ascii="Tahoma" w:hAnsi="Tahoma" w:cs="Tahoma"/>
          <w:sz w:val="24"/>
          <w:szCs w:val="24"/>
        </w:rPr>
        <w:t>agențiilor</w:t>
      </w:r>
      <w:r w:rsidRPr="007403CD">
        <w:rPr>
          <w:rFonts w:ascii="Tahoma" w:hAnsi="Tahoma" w:cs="Tahoma"/>
          <w:sz w:val="24"/>
          <w:szCs w:val="24"/>
        </w:rPr>
        <w:t xml:space="preserve"> turistice (40,2%). </w:t>
      </w:r>
      <w:r w:rsidR="0016355C" w:rsidRPr="007403CD">
        <w:rPr>
          <w:rFonts w:ascii="Tahoma" w:hAnsi="Tahoma" w:cs="Tahoma"/>
          <w:sz w:val="24"/>
          <w:szCs w:val="24"/>
        </w:rPr>
        <w:t>Aceleași</w:t>
      </w:r>
      <w:r w:rsidRPr="007403CD">
        <w:rPr>
          <w:rFonts w:ascii="Tahoma" w:hAnsi="Tahoma" w:cs="Tahoma"/>
          <w:sz w:val="24"/>
          <w:szCs w:val="24"/>
        </w:rPr>
        <w:t xml:space="preserve"> ramuri au </w:t>
      </w:r>
      <w:r w:rsidR="0016355C" w:rsidRPr="007403CD">
        <w:rPr>
          <w:rFonts w:ascii="Tahoma" w:hAnsi="Tahoma" w:cs="Tahoma"/>
          <w:sz w:val="24"/>
          <w:szCs w:val="24"/>
        </w:rPr>
        <w:t>susținut</w:t>
      </w:r>
      <w:r w:rsidRPr="007403CD">
        <w:rPr>
          <w:rFonts w:ascii="Tahoma" w:hAnsi="Tahoma" w:cs="Tahoma"/>
          <w:sz w:val="24"/>
          <w:szCs w:val="24"/>
        </w:rPr>
        <w:t xml:space="preserve"> şi </w:t>
      </w:r>
      <w:r w:rsidR="0016355C" w:rsidRPr="007403CD">
        <w:rPr>
          <w:rFonts w:ascii="Tahoma" w:hAnsi="Tahoma" w:cs="Tahoma"/>
          <w:sz w:val="24"/>
          <w:szCs w:val="24"/>
        </w:rPr>
        <w:t>creșterea</w:t>
      </w:r>
      <w:r w:rsidRPr="007403CD">
        <w:rPr>
          <w:rFonts w:ascii="Tahoma" w:hAnsi="Tahoma" w:cs="Tahoma"/>
          <w:sz w:val="24"/>
          <w:szCs w:val="24"/>
        </w:rPr>
        <w:t xml:space="preserve"> de peste 35% a cifrei de afaceri din luna mai 2022 comparativ cu luna corespunzătoare din 2021. Astfel, majorarea cifrei de afaceri pentru serviciile prestate </w:t>
      </w:r>
      <w:r w:rsidR="0016355C" w:rsidRPr="007403CD">
        <w:rPr>
          <w:rFonts w:ascii="Tahoma" w:hAnsi="Tahoma" w:cs="Tahoma"/>
          <w:sz w:val="24"/>
          <w:szCs w:val="24"/>
        </w:rPr>
        <w:t>populației</w:t>
      </w:r>
      <w:r w:rsidRPr="007403CD">
        <w:rPr>
          <w:rFonts w:ascii="Tahoma" w:hAnsi="Tahoma" w:cs="Tahoma"/>
          <w:sz w:val="24"/>
          <w:szCs w:val="24"/>
        </w:rPr>
        <w:t xml:space="preserve"> din perioada  aprilie - </w:t>
      </w:r>
      <w:r w:rsidRPr="007403CD">
        <w:rPr>
          <w:rFonts w:ascii="Tahoma" w:hAnsi="Tahoma" w:cs="Tahoma"/>
          <w:sz w:val="24"/>
          <w:szCs w:val="24"/>
        </w:rPr>
        <w:lastRenderedPageBreak/>
        <w:t xml:space="preserve">mai (43,1%) a </w:t>
      </w:r>
      <w:r w:rsidR="0016355C" w:rsidRPr="007403CD">
        <w:rPr>
          <w:rFonts w:ascii="Tahoma" w:hAnsi="Tahoma" w:cs="Tahoma"/>
          <w:sz w:val="24"/>
          <w:szCs w:val="24"/>
        </w:rPr>
        <w:t>depășit</w:t>
      </w:r>
      <w:r w:rsidRPr="007403CD">
        <w:rPr>
          <w:rFonts w:ascii="Tahoma" w:hAnsi="Tahoma" w:cs="Tahoma"/>
          <w:sz w:val="24"/>
          <w:szCs w:val="24"/>
        </w:rPr>
        <w:t xml:space="preserve"> cu peste 6 p.p. rezultatele din primul trimestru, cel mai mare aport avându-l </w:t>
      </w:r>
      <w:r w:rsidR="0016355C" w:rsidRPr="007403CD">
        <w:rPr>
          <w:rFonts w:ascii="Tahoma" w:hAnsi="Tahoma" w:cs="Tahoma"/>
          <w:sz w:val="24"/>
          <w:szCs w:val="24"/>
        </w:rPr>
        <w:t>activitățile</w:t>
      </w:r>
      <w:r w:rsidRPr="007403CD">
        <w:rPr>
          <w:rFonts w:ascii="Tahoma" w:hAnsi="Tahoma" w:cs="Tahoma"/>
          <w:sz w:val="24"/>
          <w:szCs w:val="24"/>
        </w:rPr>
        <w:t xml:space="preserve"> </w:t>
      </w:r>
      <w:r w:rsidR="0016355C" w:rsidRPr="007403CD">
        <w:rPr>
          <w:rFonts w:ascii="Tahoma" w:hAnsi="Tahoma" w:cs="Tahoma"/>
          <w:sz w:val="24"/>
          <w:szCs w:val="24"/>
        </w:rPr>
        <w:t>agențiilor</w:t>
      </w:r>
      <w:r w:rsidRPr="007403CD">
        <w:rPr>
          <w:rFonts w:ascii="Tahoma" w:hAnsi="Tahoma" w:cs="Tahoma"/>
          <w:sz w:val="24"/>
          <w:szCs w:val="24"/>
        </w:rPr>
        <w:t xml:space="preserve"> turistice. </w:t>
      </w:r>
    </w:p>
    <w:p w:rsidR="00444C93" w:rsidRPr="007403CD" w:rsidRDefault="00444C93" w:rsidP="004B1B43">
      <w:pPr>
        <w:keepNext/>
        <w:snapToGrid w:val="0"/>
        <w:spacing w:after="120" w:line="276" w:lineRule="auto"/>
        <w:ind w:firstLine="0"/>
        <w:rPr>
          <w:rFonts w:ascii="Tahoma" w:hAnsi="Tahoma" w:cs="Tahoma"/>
          <w:sz w:val="24"/>
          <w:szCs w:val="24"/>
        </w:rPr>
      </w:pPr>
      <w:r w:rsidRPr="007403CD">
        <w:rPr>
          <w:rFonts w:ascii="Tahoma" w:hAnsi="Tahoma" w:cs="Tahoma"/>
          <w:b/>
          <w:sz w:val="24"/>
          <w:szCs w:val="24"/>
        </w:rPr>
        <w:t xml:space="preserve">Valoarea cifrei de afaceri în serviciile prestate în principal întreprinderilor </w:t>
      </w:r>
      <w:r w:rsidRPr="007403CD">
        <w:rPr>
          <w:rFonts w:ascii="Tahoma" w:hAnsi="Tahoma" w:cs="Tahoma"/>
          <w:sz w:val="24"/>
          <w:szCs w:val="24"/>
        </w:rPr>
        <w:t xml:space="preserve">a menţinut ritmul de creştere de două cifre de la începutul anului 2022, înregistrând </w:t>
      </w:r>
      <w:r w:rsidRPr="007403CD">
        <w:rPr>
          <w:rFonts w:ascii="Tahoma" w:eastAsia="Times New Roman" w:hAnsi="Tahoma" w:cs="Tahoma"/>
          <w:sz w:val="24"/>
          <w:szCs w:val="24"/>
        </w:rPr>
        <w:t xml:space="preserve">în primele 5 luni ale anului 2022 un </w:t>
      </w:r>
      <w:r w:rsidRPr="007403CD">
        <w:rPr>
          <w:rFonts w:ascii="Tahoma" w:hAnsi="Tahoma" w:cs="Tahoma"/>
          <w:sz w:val="24"/>
          <w:szCs w:val="24"/>
        </w:rPr>
        <w:t>avans important, de 25,1% faţă de perioada similară a anului 2021. Această evoluţie a fost influenţată în special, de creşterile de peste 40% înregistrate în următoarele sectoare: transporturi aeriene (87,0%), depozitare şi activităţi auxiliare pentru transporturi (46,2%), tranzacţii imobiliare (45,5%), servicii de tehnologia informaţiei (44,4%). În cazul activităţilor de producţie cinematografică deşi creşterea din primele 5 luni este robustă (41,3%), scăderea activităţii din luna mai (-26,2% faţă de aprilie 2022) a încetinit avansul comparativ cu primele 4 luni.</w:t>
      </w:r>
    </w:p>
    <w:p w:rsidR="00444C93" w:rsidRPr="007403CD" w:rsidRDefault="00444C93" w:rsidP="004B1B43">
      <w:pPr>
        <w:widowControl w:val="0"/>
        <w:suppressAutoHyphens/>
        <w:spacing w:after="120" w:line="276" w:lineRule="auto"/>
        <w:ind w:firstLine="0"/>
        <w:rPr>
          <w:rFonts w:ascii="Tahoma" w:hAnsi="Tahoma" w:cs="Tahoma"/>
          <w:sz w:val="24"/>
          <w:szCs w:val="24"/>
        </w:rPr>
      </w:pPr>
      <w:r w:rsidRPr="007403CD">
        <w:rPr>
          <w:rFonts w:ascii="Tahoma" w:eastAsia="Times New Roman" w:hAnsi="Tahoma" w:cs="Tahoma"/>
          <w:b/>
          <w:sz w:val="24"/>
          <w:szCs w:val="24"/>
        </w:rPr>
        <w:t>Exporturile de bunuri</w:t>
      </w:r>
      <w:r w:rsidRPr="007403CD">
        <w:rPr>
          <w:rFonts w:ascii="Tahoma" w:eastAsia="Times New Roman" w:hAnsi="Tahoma" w:cs="Tahoma"/>
          <w:sz w:val="24"/>
          <w:szCs w:val="24"/>
        </w:rPr>
        <w:t xml:space="preserve"> au totalizat în primele 5 luni ale anului 2022, valoarea de 36,9 miliarde euro, înregistrând o dinamică pozitivă de 23,5% față de perioada similară a anului precedent (+7,0 miliarde euro), </w:t>
      </w:r>
      <w:r w:rsidRPr="007403CD">
        <w:rPr>
          <w:rFonts w:ascii="Tahoma" w:hAnsi="Tahoma" w:cs="Tahoma"/>
          <w:sz w:val="24"/>
          <w:szCs w:val="24"/>
        </w:rPr>
        <w:t>creşterile valorilor exprimate în euro având o componentă importantă de preţuri.</w:t>
      </w:r>
      <w:r w:rsidRPr="007403CD">
        <w:rPr>
          <w:rFonts w:ascii="Tahoma" w:eastAsia="Times New Roman" w:hAnsi="Tahoma" w:cs="Tahoma"/>
          <w:sz w:val="24"/>
          <w:szCs w:val="24"/>
        </w:rPr>
        <w:t xml:space="preserve"> </w:t>
      </w:r>
      <w:r w:rsidRPr="007403CD">
        <w:rPr>
          <w:rFonts w:ascii="Tahoma" w:hAnsi="Tahoma" w:cs="Tahoma"/>
          <w:sz w:val="24"/>
          <w:szCs w:val="24"/>
        </w:rPr>
        <w:t>În structura exporturilor, expedierile intra-comunitare au reprezentat 73,2% din total, majorându-se cu 21,8%, iar exporturile destinate statelor extra UE au înregistrat o dinamică superioară de 28,1%, fiind susţinută de livrările de produse agroalimentare.</w:t>
      </w:r>
    </w:p>
    <w:p w:rsidR="00444C93" w:rsidRPr="007403CD" w:rsidRDefault="00444C93" w:rsidP="004B1B43">
      <w:pPr>
        <w:widowControl w:val="0"/>
        <w:suppressAutoHyphens/>
        <w:spacing w:after="120" w:line="276" w:lineRule="auto"/>
        <w:ind w:firstLine="0"/>
        <w:rPr>
          <w:rFonts w:ascii="Tahoma" w:hAnsi="Tahoma" w:cs="Tahoma"/>
          <w:sz w:val="24"/>
          <w:szCs w:val="24"/>
        </w:rPr>
      </w:pPr>
      <w:r w:rsidRPr="007403CD">
        <w:rPr>
          <w:rFonts w:ascii="Tahoma" w:hAnsi="Tahoma" w:cs="Tahoma"/>
          <w:sz w:val="24"/>
          <w:szCs w:val="24"/>
        </w:rPr>
        <w:t>Structura exporturilor din primele cinci luni ale anului 2022 a fost constituită în proporție de 42,7% din maşini şi echipamente pentru transport care au înregistrat o creştere cu 9,3% faţă de perioada de comparaţie a anului precedent. Menţionăm faptul că cealaltă categorie importantă, respectiv livrările de mărfuri manufacturate, clasificate în principal după materia primă (fier, oţel, cauciuc, metal, lemn-exclusiv mobilă etc.) s-au majorat cu 33,4%. Valoarea totală a exporturilor industriei manufacturiere, în care se regăsesc şi articole de îmbrăcăminte şi accesorii, încălţăminte, mobilă şi părțile ei, aparatură de măsură şi control etc., a constituit 31,3% din totalul bunurilor livrate pe pieţele externe, pe ansamblul primelor cinci luni ale anului 2022.</w:t>
      </w:r>
    </w:p>
    <w:p w:rsidR="00444C93" w:rsidRPr="007403CD" w:rsidRDefault="00444C93" w:rsidP="004B1B43">
      <w:pPr>
        <w:widowControl w:val="0"/>
        <w:suppressAutoHyphens/>
        <w:spacing w:after="120" w:line="276" w:lineRule="auto"/>
        <w:ind w:firstLine="0"/>
        <w:rPr>
          <w:rFonts w:ascii="Tahoma" w:hAnsi="Tahoma" w:cs="Tahoma"/>
          <w:sz w:val="24"/>
          <w:szCs w:val="24"/>
        </w:rPr>
      </w:pPr>
      <w:r w:rsidRPr="007403CD">
        <w:rPr>
          <w:rFonts w:ascii="Tahoma" w:eastAsia="Times New Roman" w:hAnsi="Tahoma" w:cs="Tahoma"/>
          <w:b/>
          <w:sz w:val="24"/>
          <w:szCs w:val="24"/>
        </w:rPr>
        <w:t>Importurile de bunuri</w:t>
      </w:r>
      <w:r w:rsidRPr="007403CD">
        <w:rPr>
          <w:rFonts w:ascii="Tahoma" w:eastAsia="Times New Roman" w:hAnsi="Tahoma" w:cs="Tahoma"/>
          <w:sz w:val="24"/>
          <w:szCs w:val="24"/>
        </w:rPr>
        <w:t xml:space="preserve"> s-au majorat în primele 5 luni ale anului 2022 cu 28,1%, ajungând la valoarea de 49,7 miliarde euro, </w:t>
      </w:r>
      <w:r w:rsidRPr="007403CD">
        <w:rPr>
          <w:rFonts w:ascii="Tahoma" w:hAnsi="Tahoma" w:cs="Tahoma"/>
          <w:sz w:val="24"/>
          <w:szCs w:val="24"/>
        </w:rPr>
        <w:t>creşterile valorilor exprimate în euro având o componentă importantă de preţuri, chiar mai accentuată decât cea a exporturilor.</w:t>
      </w:r>
      <w:r w:rsidRPr="007403CD">
        <w:rPr>
          <w:rFonts w:ascii="Tahoma" w:eastAsia="Times New Roman" w:hAnsi="Tahoma" w:cs="Tahoma"/>
          <w:sz w:val="24"/>
          <w:szCs w:val="24"/>
        </w:rPr>
        <w:t xml:space="preserve"> </w:t>
      </w:r>
      <w:r w:rsidRPr="007403CD">
        <w:rPr>
          <w:rFonts w:ascii="Tahoma" w:hAnsi="Tahoma" w:cs="Tahoma"/>
          <w:sz w:val="24"/>
          <w:szCs w:val="24"/>
        </w:rPr>
        <w:t>În cazul importurilor, pe zona intra UE de provenien</w:t>
      </w:r>
      <w:bookmarkStart w:id="8" w:name="_Hlk58488073"/>
      <w:r w:rsidRPr="007403CD">
        <w:rPr>
          <w:rFonts w:ascii="Tahoma" w:hAnsi="Tahoma" w:cs="Tahoma"/>
          <w:sz w:val="24"/>
          <w:szCs w:val="24"/>
        </w:rPr>
        <w:t>ţă</w:t>
      </w:r>
      <w:bookmarkEnd w:id="8"/>
      <w:r w:rsidRPr="007403CD">
        <w:rPr>
          <w:rFonts w:ascii="Tahoma" w:hAnsi="Tahoma" w:cs="Tahoma"/>
          <w:sz w:val="24"/>
          <w:szCs w:val="24"/>
        </w:rPr>
        <w:t>, valoarea introducerilor de bunuri s-a majorat cu 24,1%, reprezentând 71,1% din totalul achiziţiilor, în timp ce importurile provenite din afara spaţiului UE au fost cu 39,5% mai mari decât în primele cinci luni ale anului 2021.</w:t>
      </w:r>
    </w:p>
    <w:p w:rsidR="00444C93" w:rsidRPr="007403CD" w:rsidRDefault="00444C93" w:rsidP="004B1B43">
      <w:pPr>
        <w:keepNext/>
        <w:spacing w:after="120" w:line="276" w:lineRule="auto"/>
        <w:ind w:firstLine="0"/>
        <w:rPr>
          <w:rFonts w:ascii="Tahoma" w:hAnsi="Tahoma" w:cs="Tahoma"/>
          <w:sz w:val="24"/>
          <w:szCs w:val="24"/>
        </w:rPr>
      </w:pPr>
      <w:r w:rsidRPr="007403CD">
        <w:rPr>
          <w:rFonts w:ascii="Tahoma" w:hAnsi="Tahoma" w:cs="Tahoma"/>
          <w:sz w:val="24"/>
          <w:szCs w:val="24"/>
        </w:rPr>
        <w:t xml:space="preserve">Structura importurilor de bunuri a fost dominată, ca şi în cazul exporturilor, de grupele de produse maşini şi echipamente pentru transport (32,5%) şi mărfuri manufacturate, clasificate în principal după materia primă (19,6%) cele două grupe înregistrând creşteri valorice cu 13,2% respectiv 35,3% în ianuarie-mai 2022 faţă de intervalul corespunzător din 2021. De </w:t>
      </w:r>
      <w:r w:rsidR="00305729" w:rsidRPr="007403CD">
        <w:rPr>
          <w:rFonts w:ascii="Tahoma" w:hAnsi="Tahoma" w:cs="Tahoma"/>
          <w:sz w:val="24"/>
          <w:szCs w:val="24"/>
        </w:rPr>
        <w:t>menționat</w:t>
      </w:r>
      <w:r w:rsidRPr="007403CD">
        <w:rPr>
          <w:rFonts w:ascii="Tahoma" w:hAnsi="Tahoma" w:cs="Tahoma"/>
          <w:sz w:val="24"/>
          <w:szCs w:val="24"/>
        </w:rPr>
        <w:t xml:space="preserve"> faptul că în această perioadă grupa </w:t>
      </w:r>
      <w:r w:rsidRPr="007403CD">
        <w:rPr>
          <w:rFonts w:ascii="Tahoma" w:hAnsi="Tahoma" w:cs="Tahoma"/>
          <w:sz w:val="24"/>
          <w:szCs w:val="24"/>
        </w:rPr>
        <w:lastRenderedPageBreak/>
        <w:t xml:space="preserve">combustibililor minerali, </w:t>
      </w:r>
      <w:r w:rsidR="00305729" w:rsidRPr="007403CD">
        <w:rPr>
          <w:rFonts w:ascii="Tahoma" w:hAnsi="Tahoma" w:cs="Tahoma"/>
          <w:sz w:val="24"/>
          <w:szCs w:val="24"/>
        </w:rPr>
        <w:t>lubrifianți</w:t>
      </w:r>
      <w:r w:rsidRPr="007403CD">
        <w:rPr>
          <w:rFonts w:ascii="Tahoma" w:hAnsi="Tahoma" w:cs="Tahoma"/>
          <w:sz w:val="24"/>
          <w:szCs w:val="24"/>
        </w:rPr>
        <w:t xml:space="preserve"> şi materiale conexe, constituită din: petrol şi produse petroliere; gaz şi produse industriale din gaz; energie electrică şi cărbune, cocs şi brichete şi-a dublat valoarea </w:t>
      </w:r>
      <w:r w:rsidR="00305729" w:rsidRPr="007403CD">
        <w:rPr>
          <w:rFonts w:ascii="Tahoma" w:hAnsi="Tahoma" w:cs="Tahoma"/>
          <w:sz w:val="24"/>
          <w:szCs w:val="24"/>
        </w:rPr>
        <w:t>achizițiilor</w:t>
      </w:r>
      <w:r w:rsidRPr="007403CD">
        <w:rPr>
          <w:rFonts w:ascii="Tahoma" w:hAnsi="Tahoma" w:cs="Tahoma"/>
          <w:sz w:val="24"/>
          <w:szCs w:val="24"/>
        </w:rPr>
        <w:t xml:space="preserve"> </w:t>
      </w:r>
      <w:r w:rsidR="00305729" w:rsidRPr="007403CD">
        <w:rPr>
          <w:rFonts w:ascii="Tahoma" w:hAnsi="Tahoma" w:cs="Tahoma"/>
          <w:sz w:val="24"/>
          <w:szCs w:val="24"/>
        </w:rPr>
        <w:t>față</w:t>
      </w:r>
      <w:r w:rsidRPr="007403CD">
        <w:rPr>
          <w:rFonts w:ascii="Tahoma" w:hAnsi="Tahoma" w:cs="Tahoma"/>
          <w:sz w:val="24"/>
          <w:szCs w:val="24"/>
        </w:rPr>
        <w:t xml:space="preserve"> de perioada similară a anului 2021 (116,5%), reprezentând 10,3% din importurile totale. </w:t>
      </w:r>
    </w:p>
    <w:p w:rsidR="00444C93" w:rsidRPr="007403CD" w:rsidRDefault="00444C93" w:rsidP="00444C93">
      <w:pPr>
        <w:widowControl w:val="0"/>
        <w:suppressAutoHyphens/>
        <w:spacing w:before="120" w:after="120" w:line="276" w:lineRule="auto"/>
        <w:ind w:firstLine="0"/>
        <w:rPr>
          <w:rFonts w:ascii="Tahoma" w:eastAsia="Times New Roman" w:hAnsi="Tahoma" w:cs="Tahoma"/>
          <w:b/>
          <w:bCs/>
          <w:sz w:val="24"/>
          <w:szCs w:val="24"/>
        </w:rPr>
      </w:pPr>
    </w:p>
    <w:p w:rsidR="00EB02F2" w:rsidRPr="007403CD" w:rsidRDefault="00EB02F2" w:rsidP="00444C93">
      <w:pPr>
        <w:widowControl w:val="0"/>
        <w:suppressAutoHyphens/>
        <w:spacing w:before="120" w:after="120" w:line="276" w:lineRule="auto"/>
        <w:ind w:firstLine="0"/>
        <w:jc w:val="center"/>
        <w:rPr>
          <w:rFonts w:ascii="Arial" w:eastAsia="Times New Roman" w:hAnsi="Arial" w:cs="Arial"/>
          <w:b/>
          <w:bCs/>
          <w:sz w:val="24"/>
          <w:szCs w:val="24"/>
        </w:rPr>
      </w:pPr>
    </w:p>
    <w:p w:rsidR="00444C93" w:rsidRPr="007403CD" w:rsidRDefault="00444C93" w:rsidP="00444C93">
      <w:pPr>
        <w:widowControl w:val="0"/>
        <w:suppressAutoHyphens/>
        <w:spacing w:before="120" w:after="120" w:line="276" w:lineRule="auto"/>
        <w:ind w:firstLine="0"/>
        <w:jc w:val="center"/>
        <w:rPr>
          <w:rFonts w:ascii="Arial" w:eastAsia="Times New Roman" w:hAnsi="Arial" w:cs="Arial"/>
          <w:b/>
          <w:bCs/>
          <w:sz w:val="24"/>
          <w:szCs w:val="24"/>
        </w:rPr>
      </w:pPr>
      <w:r w:rsidRPr="007403CD">
        <w:rPr>
          <w:rFonts w:ascii="Arial" w:eastAsia="Times New Roman" w:hAnsi="Arial" w:cs="Arial"/>
          <w:b/>
          <w:bCs/>
          <w:sz w:val="24"/>
          <w:szCs w:val="24"/>
        </w:rPr>
        <w:t>Evoluția Comerțului Exterior ianuarie - mai 2022</w:t>
      </w:r>
    </w:p>
    <w:p w:rsidR="00444C93" w:rsidRPr="007403CD" w:rsidRDefault="00444C93" w:rsidP="00444C93">
      <w:pPr>
        <w:widowControl w:val="0"/>
        <w:suppressAutoHyphens/>
        <w:spacing w:before="120" w:after="120" w:line="276" w:lineRule="auto"/>
        <w:ind w:firstLine="0"/>
        <w:rPr>
          <w:rFonts w:ascii="Tahoma" w:eastAsia="Times New Roman" w:hAnsi="Tahoma" w:cs="Tahoma"/>
          <w:b/>
          <w:bCs/>
          <w:color w:val="00B050"/>
          <w:sz w:val="24"/>
          <w:szCs w:val="24"/>
        </w:rPr>
      </w:pPr>
      <w:r w:rsidRPr="007403CD">
        <w:rPr>
          <w:rFonts w:ascii="Tahoma" w:eastAsia="Times New Roman" w:hAnsi="Tahoma" w:cs="Tahoma"/>
          <w:b/>
          <w:bCs/>
          <w:noProof/>
          <w:color w:val="00B050"/>
          <w:sz w:val="24"/>
          <w:szCs w:val="24"/>
          <w:lang w:val="en-US"/>
        </w:rPr>
        <w:drawing>
          <wp:inline distT="0" distB="0" distL="0" distR="0" wp14:anchorId="3B41BE14" wp14:editId="6425C9AC">
            <wp:extent cx="5643777" cy="2895600"/>
            <wp:effectExtent l="57150" t="57150" r="52705" b="38100"/>
            <wp:docPr id="10" name="Chart 2">
              <a:extLst xmlns:a="http://schemas.openxmlformats.org/drawingml/2006/main">
                <a:ext uri="{FF2B5EF4-FFF2-40B4-BE49-F238E27FC236}">
                  <a16:creationId xmlns:a16="http://schemas.microsoft.com/office/drawing/2014/main" id="{EDF500F3-B1CC-4A38-9AC6-FA7FE8B8D6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4C93" w:rsidRPr="007403CD" w:rsidRDefault="00444C93" w:rsidP="004B1B43">
      <w:pPr>
        <w:suppressAutoHyphens/>
        <w:spacing w:after="120" w:line="276" w:lineRule="auto"/>
        <w:ind w:firstLine="0"/>
        <w:rPr>
          <w:rFonts w:ascii="Tahoma" w:hAnsi="Tahoma" w:cs="Tahoma"/>
          <w:sz w:val="24"/>
          <w:szCs w:val="24"/>
        </w:rPr>
      </w:pPr>
      <w:r w:rsidRPr="007403CD">
        <w:rPr>
          <w:rFonts w:ascii="Tahoma" w:eastAsia="Times New Roman" w:hAnsi="Tahoma" w:cs="Tahoma"/>
          <w:b/>
          <w:sz w:val="24"/>
          <w:szCs w:val="24"/>
        </w:rPr>
        <w:t>Balanța comercială a României</w:t>
      </w:r>
      <w:r w:rsidRPr="007403CD">
        <w:rPr>
          <w:rFonts w:ascii="Tahoma" w:eastAsia="Times New Roman" w:hAnsi="Tahoma" w:cs="Tahoma"/>
          <w:sz w:val="24"/>
          <w:szCs w:val="24"/>
        </w:rPr>
        <w:t xml:space="preserve"> s-a închis, în primele 5 luni ale anului 2022, cu un deficit FOB-CIF în valoare de 12,7 miliarde euro (generat în proporție de 65,0% de către zona intra a schimburilor de bunuri) și a </w:t>
      </w:r>
      <w:r w:rsidRPr="007403CD">
        <w:rPr>
          <w:rFonts w:ascii="Tahoma" w:hAnsi="Tahoma" w:cs="Tahoma"/>
          <w:sz w:val="24"/>
          <w:szCs w:val="24"/>
        </w:rPr>
        <w:t xml:space="preserve">depășit cu 3,9 mld. euro nivelul din primele cinci luni ale anului 2021. </w:t>
      </w:r>
    </w:p>
    <w:p w:rsidR="00444C93" w:rsidRPr="007403CD" w:rsidRDefault="00444C93" w:rsidP="004B1B43">
      <w:pPr>
        <w:suppressAutoHyphens/>
        <w:spacing w:after="120" w:line="276" w:lineRule="auto"/>
        <w:ind w:firstLine="0"/>
        <w:rPr>
          <w:rFonts w:ascii="Tahoma" w:hAnsi="Tahoma" w:cs="Tahoma"/>
          <w:sz w:val="24"/>
          <w:szCs w:val="24"/>
        </w:rPr>
      </w:pPr>
      <w:r w:rsidRPr="007403CD">
        <w:rPr>
          <w:rFonts w:ascii="Tahoma" w:hAnsi="Tahoma" w:cs="Tahoma"/>
          <w:sz w:val="24"/>
          <w:szCs w:val="24"/>
        </w:rPr>
        <w:t xml:space="preserve">Zona de petrochimie (produse farmaceutice, </w:t>
      </w:r>
      <w:r w:rsidR="00305729" w:rsidRPr="007403CD">
        <w:rPr>
          <w:rFonts w:ascii="Tahoma" w:hAnsi="Tahoma" w:cs="Tahoma"/>
          <w:sz w:val="24"/>
          <w:szCs w:val="24"/>
        </w:rPr>
        <w:t>îngrășăminte</w:t>
      </w:r>
      <w:r w:rsidRPr="007403CD">
        <w:rPr>
          <w:rFonts w:ascii="Tahoma" w:hAnsi="Tahoma" w:cs="Tahoma"/>
          <w:sz w:val="24"/>
          <w:szCs w:val="24"/>
        </w:rPr>
        <w:t xml:space="preserve">, materiale plastice etc.) a generat aproape 46% din nivelul deficitului extern, cu o pierdere de 5,8 mld. euro. Este de menționat faptul că la categoria combustibili și lubrifianți deficitul comercial a atins valoarea de 3,2 mld. euro, ca urmare a dublării importurilor față de primele 5 luni ale anului 2021 (5,1 mld. euro față de 2,4 mld. euro), sub presiunea creșterii cotațiilor internaționale ale petrolului și a crizei provocate de războiul ruso-ucrainean. Totodată, </w:t>
      </w:r>
      <w:r w:rsidR="00305729" w:rsidRPr="007403CD">
        <w:rPr>
          <w:rFonts w:ascii="Tahoma" w:hAnsi="Tahoma" w:cs="Tahoma"/>
          <w:sz w:val="24"/>
          <w:szCs w:val="24"/>
        </w:rPr>
        <w:t>creșterea</w:t>
      </w:r>
      <w:r w:rsidRPr="007403CD">
        <w:rPr>
          <w:rFonts w:ascii="Tahoma" w:hAnsi="Tahoma" w:cs="Tahoma"/>
          <w:sz w:val="24"/>
          <w:szCs w:val="24"/>
        </w:rPr>
        <w:t xml:space="preserve"> valorii importurilor la categoria mărfurilor manufacturate clasificate în principal după materia primă (35,3%), sub impactul ascensiunii </w:t>
      </w:r>
      <w:r w:rsidR="00305729" w:rsidRPr="007403CD">
        <w:rPr>
          <w:rFonts w:ascii="Tahoma" w:hAnsi="Tahoma" w:cs="Tahoma"/>
          <w:sz w:val="24"/>
          <w:szCs w:val="24"/>
        </w:rPr>
        <w:t>prețurilor</w:t>
      </w:r>
      <w:r w:rsidRPr="007403CD">
        <w:rPr>
          <w:rFonts w:ascii="Tahoma" w:hAnsi="Tahoma" w:cs="Tahoma"/>
          <w:sz w:val="24"/>
          <w:szCs w:val="24"/>
        </w:rPr>
        <w:t xml:space="preserve"> </w:t>
      </w:r>
      <w:r w:rsidR="00305729" w:rsidRPr="007403CD">
        <w:rPr>
          <w:rFonts w:ascii="Tahoma" w:hAnsi="Tahoma" w:cs="Tahoma"/>
          <w:sz w:val="24"/>
          <w:szCs w:val="24"/>
        </w:rPr>
        <w:t>internaționale</w:t>
      </w:r>
      <w:r w:rsidRPr="007403CD">
        <w:rPr>
          <w:rFonts w:ascii="Tahoma" w:hAnsi="Tahoma" w:cs="Tahoma"/>
          <w:sz w:val="24"/>
          <w:szCs w:val="24"/>
        </w:rPr>
        <w:t xml:space="preserve"> ale materiilor prime, a generat un deficit</w:t>
      </w:r>
      <w:r w:rsidRPr="007403CD">
        <w:rPr>
          <w:rFonts w:ascii="Tahoma" w:hAnsi="Tahoma" w:cs="Tahoma"/>
          <w:color w:val="00B050"/>
          <w:sz w:val="24"/>
          <w:szCs w:val="24"/>
        </w:rPr>
        <w:t xml:space="preserve"> </w:t>
      </w:r>
      <w:r w:rsidRPr="007403CD">
        <w:rPr>
          <w:rFonts w:ascii="Tahoma" w:hAnsi="Tahoma" w:cs="Tahoma"/>
          <w:sz w:val="24"/>
          <w:szCs w:val="24"/>
        </w:rPr>
        <w:t>comercial pe acest segment de 2,8 mld. Euro. Este de remarcat faptul că deficitul de alimente şi animale vii s-a redus cu 501,2 mil.</w:t>
      </w:r>
      <w:r w:rsidR="00305729">
        <w:rPr>
          <w:rFonts w:ascii="Tahoma" w:hAnsi="Tahoma" w:cs="Tahoma"/>
          <w:sz w:val="24"/>
          <w:szCs w:val="24"/>
        </w:rPr>
        <w:t xml:space="preserve"> </w:t>
      </w:r>
      <w:r w:rsidRPr="007403CD">
        <w:rPr>
          <w:rFonts w:ascii="Tahoma" w:hAnsi="Tahoma" w:cs="Tahoma"/>
          <w:sz w:val="24"/>
          <w:szCs w:val="24"/>
        </w:rPr>
        <w:t>euro în primele cinci luni ale anului 2022 comparativ cu aceeași perioadă din 2021 (de la 1218,8 mil.</w:t>
      </w:r>
      <w:r w:rsidR="00305729">
        <w:rPr>
          <w:rFonts w:ascii="Tahoma" w:hAnsi="Tahoma" w:cs="Tahoma"/>
          <w:sz w:val="24"/>
          <w:szCs w:val="24"/>
        </w:rPr>
        <w:t xml:space="preserve"> </w:t>
      </w:r>
      <w:r w:rsidRPr="007403CD">
        <w:rPr>
          <w:rFonts w:ascii="Tahoma" w:hAnsi="Tahoma" w:cs="Tahoma"/>
          <w:sz w:val="24"/>
          <w:szCs w:val="24"/>
        </w:rPr>
        <w:t>euro până la 717,6 mil.</w:t>
      </w:r>
      <w:r w:rsidR="00305729">
        <w:rPr>
          <w:rFonts w:ascii="Tahoma" w:hAnsi="Tahoma" w:cs="Tahoma"/>
          <w:sz w:val="24"/>
          <w:szCs w:val="24"/>
        </w:rPr>
        <w:t xml:space="preserve"> </w:t>
      </w:r>
      <w:r w:rsidRPr="007403CD">
        <w:rPr>
          <w:rFonts w:ascii="Tahoma" w:hAnsi="Tahoma" w:cs="Tahoma"/>
          <w:sz w:val="24"/>
          <w:szCs w:val="24"/>
        </w:rPr>
        <w:t>euro), ceea ce reprezintă o scădere cu peste 41%. Soldul negativ al balanței cu produse alimentare şi animale vii a provenit în totalitate din comerțul cu statele UE.</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b/>
          <w:sz w:val="24"/>
          <w:szCs w:val="24"/>
        </w:rPr>
        <w:lastRenderedPageBreak/>
        <w:t>Contul curent al balanței de plăți</w:t>
      </w:r>
      <w:r w:rsidRPr="007403CD">
        <w:rPr>
          <w:rFonts w:ascii="Tahoma" w:eastAsia="Times New Roman" w:hAnsi="Tahoma" w:cs="Tahoma"/>
          <w:sz w:val="24"/>
          <w:szCs w:val="24"/>
        </w:rPr>
        <w:t xml:space="preserve"> a înregistrat, în primele cinci luni ale anului 2022, un deficit de 10,24 mld. euro, în creștere cu aproape 80% față de perioada similară din anul 2021, când valoarea deficitului a fost de 5,7 mld. euro. Deprecierea soldului contului curent în această perioadă a fost determinată, în principal, de creșterea cu 40,8% a deficitului comercial (de la -8,46 mld. euro în primele cinci luni ale anului 2021 la -11,9 mld. euro în primele cinci luni ale anului 2022), atenuată de majorarea cu 14,5% a excedentului la categoria servicii (3,98 mld. euro în perioada ianuarie-mai 2022 față de 3,47 mld. euro în aceeași perioadă din 2021).</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În primele cinci luni ale anului 2022, excedentul balanței serviciilor s-a majorat cu 14,5% ajungând la 3,98 mld. euro, pe fondul intensificării activității în sectorul terțiar, ca urmare a ridicării definitive a măsurilor de prevenire a extinderii co</w:t>
      </w:r>
      <w:r w:rsidR="003A634F">
        <w:rPr>
          <w:rFonts w:ascii="Tahoma" w:eastAsia="Times New Roman" w:hAnsi="Tahoma" w:cs="Tahoma"/>
          <w:sz w:val="24"/>
          <w:szCs w:val="24"/>
        </w:rPr>
        <w:t>lei</w:t>
      </w:r>
      <w:r w:rsidRPr="007403CD">
        <w:rPr>
          <w:rFonts w:ascii="Tahoma" w:eastAsia="Times New Roman" w:hAnsi="Tahoma" w:cs="Tahoma"/>
          <w:sz w:val="24"/>
          <w:szCs w:val="24"/>
        </w:rPr>
        <w:t xml:space="preserve">avirusului și a </w:t>
      </w:r>
      <w:r w:rsidR="00305729" w:rsidRPr="007403CD">
        <w:rPr>
          <w:rFonts w:ascii="Tahoma" w:eastAsia="Times New Roman" w:hAnsi="Tahoma" w:cs="Tahoma"/>
          <w:sz w:val="24"/>
          <w:szCs w:val="24"/>
        </w:rPr>
        <w:t>tendinței</w:t>
      </w:r>
      <w:r w:rsidRPr="007403CD">
        <w:rPr>
          <w:rFonts w:ascii="Tahoma" w:eastAsia="Times New Roman" w:hAnsi="Tahoma" w:cs="Tahoma"/>
          <w:sz w:val="24"/>
          <w:szCs w:val="24"/>
        </w:rPr>
        <w:t xml:space="preserve"> de a se reveni la o viață normală.</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În perioada analizată, soldurile pozitive ale serviciilor de telecomunicații, informatice și informaționale (+1,99 mld. euro) şi de transport (+1,92 mld. euro) au fost contrabalansate de evoluția negativă a serviciilor de turism-călătorii, deficitul înregistrat de această componentă depășind de aproape 2 ori nivelul din primele 5 luni ale anului 2021 (-1,16 mld. euro </w:t>
      </w:r>
      <w:r w:rsidR="00305729" w:rsidRPr="007403CD">
        <w:rPr>
          <w:rFonts w:ascii="Tahoma" w:eastAsia="Times New Roman" w:hAnsi="Tahoma" w:cs="Tahoma"/>
          <w:sz w:val="24"/>
          <w:szCs w:val="24"/>
        </w:rPr>
        <w:t>față</w:t>
      </w:r>
      <w:r w:rsidRPr="007403CD">
        <w:rPr>
          <w:rFonts w:ascii="Tahoma" w:eastAsia="Times New Roman" w:hAnsi="Tahoma" w:cs="Tahoma"/>
          <w:sz w:val="24"/>
          <w:szCs w:val="24"/>
        </w:rPr>
        <w:t xml:space="preserve"> de -0,65 mld. euro).</w:t>
      </w:r>
    </w:p>
    <w:p w:rsidR="00444C93" w:rsidRPr="007403CD" w:rsidRDefault="00444C93" w:rsidP="004B1B43">
      <w:pPr>
        <w:widowControl w:val="0"/>
        <w:suppressAutoHyphens/>
        <w:spacing w:after="120" w:line="276" w:lineRule="auto"/>
        <w:ind w:firstLine="0"/>
        <w:rPr>
          <w:rFonts w:ascii="Tahoma" w:hAnsi="Tahoma" w:cs="Tahoma"/>
          <w:sz w:val="24"/>
          <w:szCs w:val="24"/>
        </w:rPr>
      </w:pPr>
      <w:r w:rsidRPr="007403CD">
        <w:rPr>
          <w:rFonts w:ascii="Tahoma" w:eastAsia="Times New Roman" w:hAnsi="Tahoma" w:cs="Tahoma"/>
          <w:sz w:val="24"/>
          <w:szCs w:val="24"/>
        </w:rPr>
        <w:t xml:space="preserve">Un alt factor care a condus suplimentar la </w:t>
      </w:r>
      <w:r w:rsidR="00305729" w:rsidRPr="007403CD">
        <w:rPr>
          <w:rFonts w:ascii="Tahoma" w:eastAsia="Times New Roman" w:hAnsi="Tahoma" w:cs="Tahoma"/>
          <w:sz w:val="24"/>
          <w:szCs w:val="24"/>
        </w:rPr>
        <w:t>creșterea</w:t>
      </w:r>
      <w:r w:rsidRPr="007403CD">
        <w:rPr>
          <w:rFonts w:ascii="Tahoma" w:eastAsia="Times New Roman" w:hAnsi="Tahoma" w:cs="Tahoma"/>
          <w:sz w:val="24"/>
          <w:szCs w:val="24"/>
        </w:rPr>
        <w:t xml:space="preserve"> deficitului de cont curent pentru primele cinci luni din 2022 a fost deprecierea cu 1,6 mil. euro a soldului veniturilor primare, acesta înregistrând o majorare a deficitului de la 1,03 mld. euro în primele cinci luni din 2021 la 2,60 mld. euro în aceeași perioadă a anului 2022. Această depreciere a fost influențată în mare măsură de majorarea deficitului din investiții directe cu 1,37 mld. euro (respectiv o creștere de 37,7%) și a fost determinată, în principal, de </w:t>
      </w:r>
      <w:r w:rsidR="00305729" w:rsidRPr="007403CD">
        <w:rPr>
          <w:rFonts w:ascii="Tahoma" w:eastAsia="Times New Roman" w:hAnsi="Tahoma" w:cs="Tahoma"/>
          <w:sz w:val="24"/>
          <w:szCs w:val="24"/>
        </w:rPr>
        <w:t>creșterea</w:t>
      </w:r>
      <w:r w:rsidRPr="007403CD">
        <w:rPr>
          <w:rFonts w:ascii="Tahoma" w:eastAsia="Times New Roman" w:hAnsi="Tahoma" w:cs="Tahoma"/>
          <w:sz w:val="24"/>
          <w:szCs w:val="24"/>
        </w:rPr>
        <w:t xml:space="preserve"> </w:t>
      </w:r>
      <w:r w:rsidR="00305729" w:rsidRPr="007403CD">
        <w:rPr>
          <w:rFonts w:ascii="Tahoma" w:eastAsia="Times New Roman" w:hAnsi="Tahoma" w:cs="Tahoma"/>
          <w:sz w:val="24"/>
          <w:szCs w:val="24"/>
        </w:rPr>
        <w:t>ieșirilor</w:t>
      </w:r>
      <w:r w:rsidRPr="007403CD">
        <w:rPr>
          <w:rFonts w:ascii="Tahoma" w:eastAsia="Times New Roman" w:hAnsi="Tahoma" w:cs="Tahoma"/>
          <w:sz w:val="24"/>
          <w:szCs w:val="24"/>
        </w:rPr>
        <w:t xml:space="preserve"> sub forma profiturilor reinvestite</w:t>
      </w:r>
      <w:r w:rsidRPr="007403CD">
        <w:rPr>
          <w:rFonts w:ascii="Tahoma" w:hAnsi="Tahoma" w:cs="Tahoma"/>
          <w:sz w:val="24"/>
          <w:szCs w:val="24"/>
        </w:rPr>
        <w:t>.</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b/>
          <w:sz w:val="24"/>
          <w:szCs w:val="24"/>
        </w:rPr>
        <w:t xml:space="preserve">Investițiile străine directe </w:t>
      </w:r>
      <w:r w:rsidRPr="007403CD">
        <w:rPr>
          <w:rFonts w:ascii="Tahoma" w:eastAsia="Times New Roman" w:hAnsi="Tahoma" w:cs="Tahoma"/>
          <w:sz w:val="24"/>
          <w:szCs w:val="24"/>
        </w:rPr>
        <w:t>au însumat, în perioada ianuarie-mai 2022, o valoare de 3.787 milioane euro, comparativ cu 2.471 milioane euro în aceeași perioadă a anului anterior. Nivelul investițiilor reale în economie (participații la capital și profit reinvestit) a fost de 3.610 milioane euro, în timp ce pentru creditele intragrup a fost consemnată o valoare netă de 177 milioane euro.</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Creșterea </w:t>
      </w:r>
      <w:r w:rsidRPr="007403CD">
        <w:rPr>
          <w:rFonts w:ascii="Tahoma" w:eastAsia="Times New Roman" w:hAnsi="Tahoma" w:cs="Tahoma"/>
          <w:b/>
          <w:sz w:val="24"/>
          <w:szCs w:val="24"/>
        </w:rPr>
        <w:t xml:space="preserve">prețurilor de consum </w:t>
      </w:r>
      <w:r w:rsidRPr="007403CD">
        <w:rPr>
          <w:rFonts w:ascii="Tahoma" w:eastAsia="Times New Roman" w:hAnsi="Tahoma" w:cs="Tahoma"/>
          <w:sz w:val="24"/>
          <w:szCs w:val="24"/>
        </w:rPr>
        <w:t xml:space="preserve">și-a continuat traiectoria ascendentă manifestată încă din prima parte a anului, inflația anuală ajungând în luna iunie la un nou maxim de 15,05%, cu 6,7 puncte procentuale mai mult decât în luna ianuarie 2022. </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Pe medie, în primul semestru al anului 2022 prețurile de consum au crescut cu 11,74%. Creșterile cele mai p</w:t>
      </w:r>
      <w:r w:rsidR="003A634F">
        <w:rPr>
          <w:rFonts w:ascii="Tahoma" w:eastAsia="Times New Roman" w:hAnsi="Tahoma" w:cs="Tahoma"/>
          <w:sz w:val="24"/>
          <w:szCs w:val="24"/>
        </w:rPr>
        <w:t>lei</w:t>
      </w:r>
      <w:r w:rsidRPr="007403CD">
        <w:rPr>
          <w:rFonts w:ascii="Tahoma" w:eastAsia="Times New Roman" w:hAnsi="Tahoma" w:cs="Tahoma"/>
          <w:sz w:val="24"/>
          <w:szCs w:val="24"/>
        </w:rPr>
        <w:t xml:space="preserve">unțate s-au înregistrat la mărfurile nealimentare (13,66%), urmate de mărfurile alimentare (11,65%), în timp ce tarifele la servicii (6,78%) au avut un ritm de </w:t>
      </w:r>
      <w:r w:rsidR="00305729" w:rsidRPr="007403CD">
        <w:rPr>
          <w:rFonts w:ascii="Tahoma" w:eastAsia="Times New Roman" w:hAnsi="Tahoma" w:cs="Tahoma"/>
          <w:sz w:val="24"/>
          <w:szCs w:val="24"/>
        </w:rPr>
        <w:t>creștere</w:t>
      </w:r>
      <w:r w:rsidRPr="007403CD">
        <w:rPr>
          <w:rFonts w:ascii="Tahoma" w:eastAsia="Times New Roman" w:hAnsi="Tahoma" w:cs="Tahoma"/>
          <w:sz w:val="24"/>
          <w:szCs w:val="24"/>
        </w:rPr>
        <w:t xml:space="preserve"> mai moderat. </w:t>
      </w:r>
    </w:p>
    <w:p w:rsidR="00444C93" w:rsidRPr="007403CD" w:rsidRDefault="00444C93" w:rsidP="004B1B43">
      <w:pPr>
        <w:widowControl w:val="0"/>
        <w:suppressAutoHyphens/>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Ascensiunea continuă a prețurilor la gaze naturale începând cu a doua jumătate a anului trecut, precum și prețurile ridicate la combustibili, în </w:t>
      </w:r>
      <w:r w:rsidR="00305729" w:rsidRPr="007403CD">
        <w:rPr>
          <w:rFonts w:ascii="Tahoma" w:eastAsia="Times New Roman" w:hAnsi="Tahoma" w:cs="Tahoma"/>
          <w:sz w:val="24"/>
          <w:szCs w:val="24"/>
        </w:rPr>
        <w:t>concordanță</w:t>
      </w:r>
      <w:r w:rsidRPr="007403CD">
        <w:rPr>
          <w:rFonts w:ascii="Tahoma" w:eastAsia="Times New Roman" w:hAnsi="Tahoma" w:cs="Tahoma"/>
          <w:sz w:val="24"/>
          <w:szCs w:val="24"/>
        </w:rPr>
        <w:t xml:space="preserve"> cu cotațiile în </w:t>
      </w:r>
      <w:r w:rsidR="00305729" w:rsidRPr="007403CD">
        <w:rPr>
          <w:rFonts w:ascii="Tahoma" w:eastAsia="Times New Roman" w:hAnsi="Tahoma" w:cs="Tahoma"/>
          <w:sz w:val="24"/>
          <w:szCs w:val="24"/>
        </w:rPr>
        <w:t>creștere</w:t>
      </w:r>
      <w:r w:rsidRPr="007403CD">
        <w:rPr>
          <w:rFonts w:ascii="Tahoma" w:eastAsia="Times New Roman" w:hAnsi="Tahoma" w:cs="Tahoma"/>
          <w:sz w:val="24"/>
          <w:szCs w:val="24"/>
        </w:rPr>
        <w:t xml:space="preserve"> ale barilului de petrol din prima parte a anului 2022, au influențat semnificativ </w:t>
      </w:r>
      <w:r w:rsidRPr="007403CD">
        <w:rPr>
          <w:rFonts w:ascii="Tahoma" w:eastAsia="Times New Roman" w:hAnsi="Tahoma" w:cs="Tahoma"/>
          <w:sz w:val="24"/>
          <w:szCs w:val="24"/>
        </w:rPr>
        <w:lastRenderedPageBreak/>
        <w:t xml:space="preserve">evoluția prețurilor în cazul bunurilor nealimentare. </w:t>
      </w:r>
    </w:p>
    <w:p w:rsidR="00444C93" w:rsidRPr="007403CD" w:rsidRDefault="00444C93" w:rsidP="004B1B43">
      <w:pPr>
        <w:widowControl w:val="0"/>
        <w:suppressAutoHyphens/>
        <w:spacing w:after="24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Totodată, contextul geopolitic din Ucraina suprapus peste criza resurselor energetice, criza din transporturi şi perturbările </w:t>
      </w:r>
      <w:r w:rsidR="00305729" w:rsidRPr="007403CD">
        <w:rPr>
          <w:rFonts w:ascii="Tahoma" w:eastAsia="Times New Roman" w:hAnsi="Tahoma" w:cs="Tahoma"/>
          <w:sz w:val="24"/>
          <w:szCs w:val="24"/>
        </w:rPr>
        <w:t>lanțurilor</w:t>
      </w:r>
      <w:r w:rsidRPr="007403CD">
        <w:rPr>
          <w:rFonts w:ascii="Tahoma" w:eastAsia="Times New Roman" w:hAnsi="Tahoma" w:cs="Tahoma"/>
          <w:sz w:val="24"/>
          <w:szCs w:val="24"/>
        </w:rPr>
        <w:t xml:space="preserve"> de </w:t>
      </w:r>
      <w:r w:rsidR="00305729" w:rsidRPr="007403CD">
        <w:rPr>
          <w:rFonts w:ascii="Tahoma" w:eastAsia="Times New Roman" w:hAnsi="Tahoma" w:cs="Tahoma"/>
          <w:sz w:val="24"/>
          <w:szCs w:val="24"/>
        </w:rPr>
        <w:t>distribuție</w:t>
      </w:r>
      <w:r w:rsidRPr="007403CD">
        <w:rPr>
          <w:rFonts w:ascii="Tahoma" w:eastAsia="Times New Roman" w:hAnsi="Tahoma" w:cs="Tahoma"/>
          <w:sz w:val="24"/>
          <w:szCs w:val="24"/>
        </w:rPr>
        <w:t xml:space="preserve"> </w:t>
      </w:r>
      <w:r w:rsidR="00305729" w:rsidRPr="007403CD">
        <w:rPr>
          <w:rFonts w:ascii="Tahoma" w:eastAsia="Times New Roman" w:hAnsi="Tahoma" w:cs="Tahoma"/>
          <w:sz w:val="24"/>
          <w:szCs w:val="24"/>
        </w:rPr>
        <w:t>și</w:t>
      </w:r>
      <w:r w:rsidRPr="007403CD">
        <w:rPr>
          <w:rFonts w:ascii="Tahoma" w:eastAsia="Times New Roman" w:hAnsi="Tahoma" w:cs="Tahoma"/>
          <w:sz w:val="24"/>
          <w:szCs w:val="24"/>
        </w:rPr>
        <w:t xml:space="preserve"> aprovizionare au condus la accelerarea prețurilor şi în cazul mărfurilor alimentare. </w:t>
      </w:r>
    </w:p>
    <w:p w:rsidR="00444C93" w:rsidRPr="007403CD" w:rsidRDefault="00444C93" w:rsidP="00444C93">
      <w:pPr>
        <w:widowControl w:val="0"/>
        <w:suppressAutoHyphens/>
        <w:spacing w:after="120" w:line="276" w:lineRule="auto"/>
        <w:ind w:hanging="360"/>
        <w:jc w:val="center"/>
        <w:rPr>
          <w:rFonts w:ascii="Arial" w:eastAsia="Times New Roman" w:hAnsi="Arial" w:cs="Arial"/>
          <w:b/>
          <w:bCs/>
          <w:sz w:val="24"/>
          <w:szCs w:val="24"/>
        </w:rPr>
      </w:pPr>
      <w:r w:rsidRPr="007403CD">
        <w:rPr>
          <w:rFonts w:ascii="Arial" w:eastAsia="Times New Roman" w:hAnsi="Arial" w:cs="Arial"/>
          <w:b/>
          <w:bCs/>
          <w:sz w:val="24"/>
          <w:szCs w:val="24"/>
        </w:rPr>
        <w:t>Contribuții la rata anuală a inflației (%)</w:t>
      </w:r>
    </w:p>
    <w:p w:rsidR="00444C93" w:rsidRPr="007403CD" w:rsidRDefault="00444C93" w:rsidP="00444C93">
      <w:pPr>
        <w:widowControl w:val="0"/>
        <w:suppressAutoHyphens/>
        <w:spacing w:line="276" w:lineRule="auto"/>
        <w:ind w:firstLine="0"/>
        <w:rPr>
          <w:rFonts w:ascii="Tahoma" w:eastAsia="Times New Roman" w:hAnsi="Tahoma" w:cs="Tahoma"/>
          <w:b/>
          <w:noProof/>
          <w:color w:val="00B050"/>
          <w:sz w:val="24"/>
          <w:szCs w:val="24"/>
        </w:rPr>
      </w:pPr>
      <w:r w:rsidRPr="007403CD">
        <w:rPr>
          <w:rFonts w:ascii="Tahoma" w:eastAsia="Times New Roman" w:hAnsi="Tahoma" w:cs="Tahoma"/>
          <w:b/>
          <w:noProof/>
          <w:color w:val="00B050"/>
          <w:sz w:val="24"/>
          <w:szCs w:val="24"/>
          <w:lang w:val="en-US"/>
        </w:rPr>
        <w:drawing>
          <wp:inline distT="0" distB="0" distL="0" distR="0" wp14:anchorId="18B6C578" wp14:editId="36C25B58">
            <wp:extent cx="5754035" cy="2656936"/>
            <wp:effectExtent l="19050" t="0" r="18115"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4C93" w:rsidRPr="007403CD" w:rsidRDefault="00444C93" w:rsidP="004B1B43">
      <w:pPr>
        <w:widowControl w:val="0"/>
        <w:suppressAutoHyphens/>
        <w:spacing w:before="120" w:after="120" w:line="276" w:lineRule="auto"/>
        <w:ind w:firstLine="0"/>
        <w:rPr>
          <w:rFonts w:ascii="Tahoma" w:eastAsia="Times New Roman" w:hAnsi="Tahoma" w:cs="Tahoma"/>
          <w:sz w:val="24"/>
          <w:szCs w:val="24"/>
        </w:rPr>
      </w:pPr>
      <w:r w:rsidRPr="007403CD">
        <w:rPr>
          <w:rFonts w:ascii="Tahoma" w:eastAsia="Times New Roman" w:hAnsi="Tahoma" w:cs="Tahoma"/>
          <w:b/>
          <w:sz w:val="24"/>
          <w:szCs w:val="24"/>
        </w:rPr>
        <w:t>Cursul mediu de schimb leu/euro</w:t>
      </w:r>
      <w:r w:rsidRPr="007403CD">
        <w:rPr>
          <w:rFonts w:ascii="Tahoma" w:eastAsia="Times New Roman" w:hAnsi="Tahoma" w:cs="Tahoma"/>
          <w:sz w:val="24"/>
          <w:szCs w:val="24"/>
        </w:rPr>
        <w:t xml:space="preserve"> s-a situat, în primele 6 luni ale anului curent, la valoarea de 4,9455 </w:t>
      </w:r>
      <w:r w:rsidR="003A634F">
        <w:rPr>
          <w:rFonts w:ascii="Tahoma" w:eastAsia="Times New Roman" w:hAnsi="Tahoma" w:cs="Tahoma"/>
          <w:sz w:val="24"/>
          <w:szCs w:val="24"/>
        </w:rPr>
        <w:t>lei</w:t>
      </w:r>
      <w:r w:rsidRPr="007403CD">
        <w:rPr>
          <w:rFonts w:ascii="Tahoma" w:eastAsia="Times New Roman" w:hAnsi="Tahoma" w:cs="Tahoma"/>
          <w:sz w:val="24"/>
          <w:szCs w:val="24"/>
        </w:rPr>
        <w:t>/euro, moneda națională înregistrând o depreciere în termeni nominali de 0,90%, față de perioada corespunzătoare din 2021, în timp ce în termeni reali aceasta s-a apreciat cu 10,73%. În perioada ianuarie - iunie 2022 raportul euro/dolar a fost de 1,09, în ultima perioadă fiind înregistrată însă o apreciere consistentă a dolarului american faţă de moneda europeană.</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b/>
          <w:sz w:val="24"/>
          <w:szCs w:val="24"/>
        </w:rPr>
        <w:t>Efectivul salariaților</w:t>
      </w:r>
      <w:r w:rsidRPr="007403CD">
        <w:rPr>
          <w:rFonts w:ascii="Tahoma" w:hAnsi="Tahoma" w:cs="Tahoma"/>
          <w:sz w:val="24"/>
          <w:szCs w:val="24"/>
        </w:rPr>
        <w:t xml:space="preserve"> s-a majorat începând cu luna ianuarie 2022 faţă de luna anterioară, şi s-a înscris pe un trend ușor crescător comparativ cu traiectoria din perioada corespunzătoare din 2021. Acesta a ajuns la sfârșitul lunii mai la 5054,4 mii persoane. Față de efectivul salariaților înregistrat la sfârșitul lunii mai din anul 2021 </w:t>
      </w:r>
      <w:r w:rsidR="00305729" w:rsidRPr="007403CD">
        <w:rPr>
          <w:rFonts w:ascii="Tahoma" w:hAnsi="Tahoma" w:cs="Tahoma"/>
          <w:sz w:val="24"/>
          <w:szCs w:val="24"/>
        </w:rPr>
        <w:t>creșterea</w:t>
      </w:r>
      <w:r w:rsidRPr="007403CD">
        <w:rPr>
          <w:rFonts w:ascii="Tahoma" w:hAnsi="Tahoma" w:cs="Tahoma"/>
          <w:sz w:val="24"/>
          <w:szCs w:val="24"/>
        </w:rPr>
        <w:t xml:space="preserve"> a fost de 1,8%.</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b/>
          <w:sz w:val="24"/>
          <w:szCs w:val="24"/>
        </w:rPr>
        <w:t>Numărul mediu al salariaților</w:t>
      </w:r>
      <w:r w:rsidRPr="007403CD">
        <w:rPr>
          <w:rFonts w:ascii="Tahoma" w:hAnsi="Tahoma" w:cs="Tahoma"/>
          <w:sz w:val="24"/>
          <w:szCs w:val="24"/>
        </w:rPr>
        <w:t xml:space="preserve"> (calculat ca medie aritmetică a efectivelor lunare) în primele 5 luni ale anului 2022 a fost de 5036,2 mii persoane, în creștere cu 1,8% față de aceeași perioadă a anului 2021. Pe sectoare, evoluția a fost următoarea: sectorul bugetar a avut o creștere de 1,4%, iar în sectorul concurențial  de 1,9% față de aceeași perioadă a anului 2021. În structură, distribuția a fost următoarea: salariații din sectorul bugetar reprezentau 19,8% din totalul salariaților din economie, iar cei din sectorul concurențial 80,2%.</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sz w:val="24"/>
          <w:szCs w:val="24"/>
        </w:rPr>
        <w:t xml:space="preserve">În primele 5 luni din acest an, </w:t>
      </w:r>
      <w:r w:rsidRPr="007403CD">
        <w:rPr>
          <w:rFonts w:ascii="Tahoma" w:hAnsi="Tahoma" w:cs="Tahoma"/>
          <w:b/>
          <w:sz w:val="24"/>
          <w:szCs w:val="24"/>
        </w:rPr>
        <w:t>în sectorul bugetar</w:t>
      </w:r>
      <w:r w:rsidRPr="007403CD">
        <w:rPr>
          <w:rFonts w:ascii="Tahoma" w:hAnsi="Tahoma" w:cs="Tahoma"/>
          <w:sz w:val="24"/>
          <w:szCs w:val="24"/>
        </w:rPr>
        <w:t xml:space="preserve">, s-a înregistrat o creștere cu 1,4%, iar în cadrul acestuia s-a observat o </w:t>
      </w:r>
      <w:r w:rsidR="00305729" w:rsidRPr="007403CD">
        <w:rPr>
          <w:rFonts w:ascii="Tahoma" w:hAnsi="Tahoma" w:cs="Tahoma"/>
          <w:sz w:val="24"/>
          <w:szCs w:val="24"/>
        </w:rPr>
        <w:t>creștere</w:t>
      </w:r>
      <w:r w:rsidRPr="007403CD">
        <w:rPr>
          <w:rFonts w:ascii="Tahoma" w:hAnsi="Tahoma" w:cs="Tahoma"/>
          <w:sz w:val="24"/>
          <w:szCs w:val="24"/>
        </w:rPr>
        <w:t xml:space="preserve"> de 2,6% în sănătate </w:t>
      </w:r>
      <w:r w:rsidR="00305729" w:rsidRPr="007403CD">
        <w:rPr>
          <w:rFonts w:ascii="Tahoma" w:hAnsi="Tahoma" w:cs="Tahoma"/>
          <w:sz w:val="24"/>
          <w:szCs w:val="24"/>
        </w:rPr>
        <w:t>și</w:t>
      </w:r>
      <w:r w:rsidRPr="007403CD">
        <w:rPr>
          <w:rFonts w:ascii="Tahoma" w:hAnsi="Tahoma" w:cs="Tahoma"/>
          <w:sz w:val="24"/>
          <w:szCs w:val="24"/>
        </w:rPr>
        <w:t xml:space="preserve"> asistență socială iar în administrația publică de 1,4%. Salariații din sectorul bugetar au fost distribuiți </w:t>
      </w:r>
      <w:r w:rsidRPr="007403CD">
        <w:rPr>
          <w:rFonts w:ascii="Tahoma" w:hAnsi="Tahoma" w:cs="Tahoma"/>
          <w:sz w:val="24"/>
          <w:szCs w:val="24"/>
        </w:rPr>
        <w:lastRenderedPageBreak/>
        <w:t>astfel: 43,5% în sănătate şi asistență socială; 35,3% în activitățile de învățământ şi 21,2% în administrația publică.</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b/>
          <w:sz w:val="24"/>
          <w:szCs w:val="24"/>
        </w:rPr>
        <w:t>În sectorul concurențial</w:t>
      </w:r>
      <w:r w:rsidRPr="007403CD">
        <w:rPr>
          <w:rFonts w:ascii="Tahoma" w:hAnsi="Tahoma" w:cs="Tahoma"/>
          <w:sz w:val="24"/>
          <w:szCs w:val="24"/>
        </w:rPr>
        <w:t xml:space="preserve">, s-a înregistrat o scădere a numărului de salariați în industrie cu 0,3%, în agricultură s-a majorat ușor cu 0,8%, iar în construcții a fost un spor de 2,2%. </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sz w:val="24"/>
          <w:szCs w:val="24"/>
        </w:rPr>
        <w:t xml:space="preserve">Distribuția </w:t>
      </w:r>
      <w:r w:rsidRPr="007403CD">
        <w:rPr>
          <w:rFonts w:ascii="Tahoma" w:hAnsi="Tahoma" w:cs="Tahoma"/>
          <w:b/>
          <w:sz w:val="24"/>
          <w:szCs w:val="24"/>
        </w:rPr>
        <w:t xml:space="preserve">salariaților pe activități economice </w:t>
      </w:r>
      <w:r w:rsidRPr="007403CD">
        <w:rPr>
          <w:rFonts w:ascii="Tahoma" w:hAnsi="Tahoma" w:cs="Tahoma"/>
          <w:sz w:val="24"/>
          <w:szCs w:val="24"/>
        </w:rPr>
        <w:t xml:space="preserve">la sfârșitul lunii mai 2022 arată că: 25,5% din totalul salariaților din economie şi 31,7% din numărul </w:t>
      </w:r>
      <w:r w:rsidR="00305729" w:rsidRPr="007403CD">
        <w:rPr>
          <w:rFonts w:ascii="Tahoma" w:hAnsi="Tahoma" w:cs="Tahoma"/>
          <w:sz w:val="24"/>
          <w:szCs w:val="24"/>
        </w:rPr>
        <w:t>salariaților</w:t>
      </w:r>
      <w:r w:rsidRPr="007403CD">
        <w:rPr>
          <w:rFonts w:ascii="Tahoma" w:hAnsi="Tahoma" w:cs="Tahoma"/>
          <w:sz w:val="24"/>
          <w:szCs w:val="24"/>
        </w:rPr>
        <w:t xml:space="preserve"> din sectorul </w:t>
      </w:r>
      <w:r w:rsidR="00305729" w:rsidRPr="007403CD">
        <w:rPr>
          <w:rFonts w:ascii="Tahoma" w:hAnsi="Tahoma" w:cs="Tahoma"/>
          <w:sz w:val="24"/>
          <w:szCs w:val="24"/>
        </w:rPr>
        <w:t>concurențial</w:t>
      </w:r>
      <w:r w:rsidRPr="007403CD">
        <w:rPr>
          <w:rFonts w:ascii="Tahoma" w:hAnsi="Tahoma" w:cs="Tahoma"/>
          <w:sz w:val="24"/>
          <w:szCs w:val="24"/>
        </w:rPr>
        <w:t xml:space="preserve"> erau în industrie (din care 21,5% în total economie erau în industria prelucrătoare); 16,2% în comerț; 8,7% în construcții; 8,6% în sănătate şi asistență socială; 7,0% în învățământ; 5,3% în transport şi depozitare; 4,5% în hoteluri şi restaurante; 4,2% în administrația publică; 1,7% în agricultură, silvicultură şi pescuit.</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b/>
          <w:sz w:val="24"/>
          <w:szCs w:val="24"/>
        </w:rPr>
        <w:t>Creșteri semnificative ale numărului de salariați</w:t>
      </w:r>
      <w:r w:rsidRPr="007403CD">
        <w:rPr>
          <w:rFonts w:ascii="Tahoma" w:hAnsi="Tahoma" w:cs="Tahoma"/>
          <w:sz w:val="24"/>
          <w:szCs w:val="24"/>
        </w:rPr>
        <w:t>, în primele 5 luni ale anului 2022, s-au înregistrat în următoarele activități economice: activități de servicii în tehnologia informației 15,5%; informații și comunicații 9,7%, transporturi pe apă 9,3%, activități de editare 8,4%, hoteluri și restaurante 7,2%, fabricarea echipamentelor electrice 5,9%; activități de spectacole, culturale și recreative 4,8%, fabricarea produselor din tutun 3,8%; activități profesionale, științifice și tehnice 3,8%, activități de servicii administrative și activități de servicii suport 3,4%, fabricarea produselor farmaceutice de bază și a preparatelor farmaceutice 2,8%, sănătate și asistență socială 2,6%.</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sz w:val="24"/>
          <w:szCs w:val="24"/>
        </w:rPr>
        <w:t xml:space="preserve">În perioada ianuarie – mai 2022 comparativ cu aceeași perioadă din 2021 numărul locurilor de muncă a crescut cu </w:t>
      </w:r>
      <w:r w:rsidRPr="007403CD">
        <w:rPr>
          <w:rFonts w:ascii="Tahoma" w:hAnsi="Tahoma" w:cs="Tahoma"/>
          <w:b/>
          <w:sz w:val="24"/>
          <w:szCs w:val="24"/>
        </w:rPr>
        <w:t>90,2 mii (locuri de muncă în regim salarial</w:t>
      </w:r>
      <w:r w:rsidRPr="007403CD">
        <w:rPr>
          <w:rFonts w:ascii="Tahoma" w:hAnsi="Tahoma" w:cs="Tahoma"/>
          <w:sz w:val="24"/>
          <w:szCs w:val="24"/>
        </w:rPr>
        <w:t>).</w:t>
      </w:r>
    </w:p>
    <w:p w:rsidR="00444C93" w:rsidRPr="007403CD" w:rsidRDefault="00444C93" w:rsidP="004B1B43">
      <w:pPr>
        <w:spacing w:before="120" w:after="120" w:line="276" w:lineRule="auto"/>
        <w:ind w:firstLine="0"/>
        <w:rPr>
          <w:rFonts w:ascii="Tahoma" w:hAnsi="Tahoma" w:cs="Tahoma"/>
          <w:sz w:val="24"/>
          <w:szCs w:val="24"/>
        </w:rPr>
      </w:pPr>
      <w:r w:rsidRPr="007403CD">
        <w:rPr>
          <w:rFonts w:ascii="Tahoma" w:hAnsi="Tahoma" w:cs="Tahoma"/>
          <w:sz w:val="24"/>
          <w:szCs w:val="24"/>
        </w:rPr>
        <w:t xml:space="preserve"> Industria a cunoscut o diminuare a locurilor de muncă  cu 3,9 mii  pe total, din care industria prelucrătoare cu 2,2 mii locuri de muncă. În hoteluri şi restaurante una dintre cele mai afectate activități pe perioada pandemiei, numărul de salariați a crescut cu 7,2%, respectiv 14,8 mii persoane, acest lucru datorându-se măsurilor de sprijin adoptate de guvern prin OUG nr. 30/2020. În același timp, au existat şi ramuri care nu au fost afectate de criza sanitară şi care şi-au extins personalul în primele 5 luni ale anului 2022: informații și comunicații 19,8 mii persoane (9,7%), urmat de activități de servicii în tehnologia informației;</w:t>
      </w:r>
      <w:r w:rsidR="00305729">
        <w:rPr>
          <w:rFonts w:ascii="Tahoma" w:hAnsi="Tahoma" w:cs="Tahoma"/>
          <w:sz w:val="24"/>
          <w:szCs w:val="24"/>
        </w:rPr>
        <w:t xml:space="preserve"> </w:t>
      </w:r>
      <w:r w:rsidRPr="007403CD">
        <w:rPr>
          <w:rFonts w:ascii="Tahoma" w:hAnsi="Tahoma" w:cs="Tahoma"/>
          <w:sz w:val="24"/>
          <w:szCs w:val="24"/>
        </w:rPr>
        <w:t>activități de servicii informatice 17,4 mii persoane (15,5%), comerț cu ridicata și cu amănuntul 12,6 mii persoane (1,6%), sănătate și asistență socială 11,0 mii persoane (2,6%).</w:t>
      </w:r>
    </w:p>
    <w:p w:rsidR="00444C93" w:rsidRPr="007403CD" w:rsidRDefault="00305729" w:rsidP="004B1B43">
      <w:pPr>
        <w:spacing w:before="120" w:after="120" w:line="276" w:lineRule="auto"/>
        <w:ind w:firstLine="0"/>
        <w:rPr>
          <w:rFonts w:ascii="Tahoma" w:hAnsi="Tahoma" w:cs="Tahoma"/>
          <w:sz w:val="24"/>
          <w:szCs w:val="24"/>
        </w:rPr>
      </w:pPr>
      <w:r w:rsidRPr="007403CD">
        <w:rPr>
          <w:rFonts w:ascii="Tahoma" w:hAnsi="Tahoma" w:cs="Tahoma"/>
          <w:sz w:val="24"/>
          <w:szCs w:val="24"/>
        </w:rPr>
        <w:t>Câștigul</w:t>
      </w:r>
      <w:r w:rsidR="00444C93" w:rsidRPr="007403CD">
        <w:rPr>
          <w:rFonts w:ascii="Tahoma" w:hAnsi="Tahoma" w:cs="Tahoma"/>
          <w:sz w:val="24"/>
          <w:szCs w:val="24"/>
        </w:rPr>
        <w:t xml:space="preserve"> salarial mediu brut pe total economie, a fost în primele 5 luni ale anului 2022 de 6258 </w:t>
      </w:r>
      <w:r w:rsidR="003A634F">
        <w:rPr>
          <w:rFonts w:ascii="Tahoma" w:hAnsi="Tahoma" w:cs="Tahoma"/>
          <w:sz w:val="24"/>
          <w:szCs w:val="24"/>
        </w:rPr>
        <w:t>lei</w:t>
      </w:r>
      <w:r w:rsidR="00444C93" w:rsidRPr="007403CD">
        <w:rPr>
          <w:rFonts w:ascii="Tahoma" w:hAnsi="Tahoma" w:cs="Tahoma"/>
          <w:sz w:val="24"/>
          <w:szCs w:val="24"/>
        </w:rPr>
        <w:t xml:space="preserve">, cu 10,5% mai mare decât cel înregistrat în perioada corespunzătoare a anului 2021. </w:t>
      </w:r>
      <w:r w:rsidRPr="007403CD">
        <w:rPr>
          <w:rFonts w:ascii="Tahoma" w:hAnsi="Tahoma" w:cs="Tahoma"/>
          <w:sz w:val="24"/>
          <w:szCs w:val="24"/>
        </w:rPr>
        <w:t>Câștigul</w:t>
      </w:r>
      <w:r w:rsidR="00444C93" w:rsidRPr="007403CD">
        <w:rPr>
          <w:rFonts w:ascii="Tahoma" w:hAnsi="Tahoma" w:cs="Tahoma"/>
          <w:sz w:val="24"/>
          <w:szCs w:val="24"/>
        </w:rPr>
        <w:t xml:space="preserve"> salarial mediu net s-a majorat cu 10,9%, fiind de 3850 </w:t>
      </w:r>
      <w:r w:rsidR="003A634F">
        <w:rPr>
          <w:rFonts w:ascii="Tahoma" w:hAnsi="Tahoma" w:cs="Tahoma"/>
          <w:sz w:val="24"/>
          <w:szCs w:val="24"/>
        </w:rPr>
        <w:t>lei</w:t>
      </w:r>
      <w:r w:rsidR="00444C93" w:rsidRPr="007403CD">
        <w:rPr>
          <w:rFonts w:ascii="Tahoma" w:hAnsi="Tahoma" w:cs="Tahoma"/>
          <w:sz w:val="24"/>
          <w:szCs w:val="24"/>
        </w:rPr>
        <w:t>.</w:t>
      </w:r>
    </w:p>
    <w:p w:rsidR="00444C93" w:rsidRPr="007403CD" w:rsidRDefault="00444C93" w:rsidP="004B1B43">
      <w:pPr>
        <w:spacing w:after="120" w:line="276" w:lineRule="auto"/>
        <w:ind w:firstLine="0"/>
        <w:rPr>
          <w:rFonts w:ascii="Tahoma" w:eastAsia="Times New Roman" w:hAnsi="Tahoma" w:cs="Tahoma"/>
          <w:sz w:val="24"/>
          <w:szCs w:val="24"/>
        </w:rPr>
      </w:pPr>
      <w:r w:rsidRPr="007403CD">
        <w:rPr>
          <w:rFonts w:ascii="Tahoma" w:eastAsia="Times New Roman" w:hAnsi="Tahoma" w:cs="Tahoma"/>
          <w:sz w:val="24"/>
          <w:szCs w:val="24"/>
        </w:rPr>
        <w:t xml:space="preserve">Creșteri ale câștigului salarial mediu brut s-au înregistrat în activitățile: transporturi aeriene (41,4%), </w:t>
      </w:r>
      <w:r w:rsidR="00305729" w:rsidRPr="007403CD">
        <w:rPr>
          <w:rFonts w:ascii="Tahoma" w:eastAsia="Times New Roman" w:hAnsi="Tahoma" w:cs="Tahoma"/>
          <w:sz w:val="24"/>
          <w:szCs w:val="24"/>
        </w:rPr>
        <w:t>activități</w:t>
      </w:r>
      <w:r w:rsidRPr="007403CD">
        <w:rPr>
          <w:rFonts w:ascii="Tahoma" w:eastAsia="Times New Roman" w:hAnsi="Tahoma" w:cs="Tahoma"/>
          <w:sz w:val="24"/>
          <w:szCs w:val="24"/>
        </w:rPr>
        <w:t xml:space="preserve"> de editare (33,7%), fabricarea produselor din tutun (19,9%), fabricarea </w:t>
      </w:r>
      <w:r w:rsidR="00305729" w:rsidRPr="007403CD">
        <w:rPr>
          <w:rFonts w:ascii="Tahoma" w:eastAsia="Times New Roman" w:hAnsi="Tahoma" w:cs="Tahoma"/>
          <w:sz w:val="24"/>
          <w:szCs w:val="24"/>
        </w:rPr>
        <w:t>substanțelor</w:t>
      </w:r>
      <w:r w:rsidRPr="007403CD">
        <w:rPr>
          <w:rFonts w:ascii="Tahoma" w:eastAsia="Times New Roman" w:hAnsi="Tahoma" w:cs="Tahoma"/>
          <w:sz w:val="24"/>
          <w:szCs w:val="24"/>
        </w:rPr>
        <w:t xml:space="preserve"> </w:t>
      </w:r>
      <w:r w:rsidR="00305729" w:rsidRPr="007403CD">
        <w:rPr>
          <w:rFonts w:ascii="Tahoma" w:eastAsia="Times New Roman" w:hAnsi="Tahoma" w:cs="Tahoma"/>
          <w:sz w:val="24"/>
          <w:szCs w:val="24"/>
        </w:rPr>
        <w:t>și</w:t>
      </w:r>
      <w:r w:rsidRPr="007403CD">
        <w:rPr>
          <w:rFonts w:ascii="Tahoma" w:eastAsia="Times New Roman" w:hAnsi="Tahoma" w:cs="Tahoma"/>
          <w:sz w:val="24"/>
          <w:szCs w:val="24"/>
        </w:rPr>
        <w:t xml:space="preserve"> a produselor chimice (18,8%), hoteluri şi </w:t>
      </w:r>
      <w:r w:rsidRPr="007403CD">
        <w:rPr>
          <w:rFonts w:ascii="Tahoma" w:eastAsia="Times New Roman" w:hAnsi="Tahoma" w:cs="Tahoma"/>
          <w:sz w:val="24"/>
          <w:szCs w:val="24"/>
        </w:rPr>
        <w:lastRenderedPageBreak/>
        <w:t xml:space="preserve">restaurante (17,8%), extracția cărbunelui superior și inferior (17,4%), </w:t>
      </w:r>
      <w:r w:rsidR="00305729" w:rsidRPr="007403CD">
        <w:rPr>
          <w:rFonts w:ascii="Tahoma" w:eastAsia="Times New Roman" w:hAnsi="Tahoma" w:cs="Tahoma"/>
          <w:sz w:val="24"/>
          <w:szCs w:val="24"/>
        </w:rPr>
        <w:t>informații</w:t>
      </w:r>
      <w:r w:rsidRPr="007403CD">
        <w:rPr>
          <w:rFonts w:ascii="Tahoma" w:eastAsia="Times New Roman" w:hAnsi="Tahoma" w:cs="Tahoma"/>
          <w:sz w:val="24"/>
          <w:szCs w:val="24"/>
        </w:rPr>
        <w:t xml:space="preserve"> şi </w:t>
      </w:r>
      <w:r w:rsidR="00305729" w:rsidRPr="007403CD">
        <w:rPr>
          <w:rFonts w:ascii="Tahoma" w:eastAsia="Times New Roman" w:hAnsi="Tahoma" w:cs="Tahoma"/>
          <w:sz w:val="24"/>
          <w:szCs w:val="24"/>
        </w:rPr>
        <w:t>comunicații</w:t>
      </w:r>
      <w:r w:rsidRPr="007403CD">
        <w:rPr>
          <w:rFonts w:ascii="Tahoma" w:eastAsia="Times New Roman" w:hAnsi="Tahoma" w:cs="Tahoma"/>
          <w:sz w:val="24"/>
          <w:szCs w:val="24"/>
        </w:rPr>
        <w:t xml:space="preserve"> (16,2%), tranzacții imobiliare (14,5%), </w:t>
      </w:r>
      <w:r w:rsidR="00305729" w:rsidRPr="007403CD">
        <w:rPr>
          <w:rFonts w:ascii="Tahoma" w:eastAsia="Times New Roman" w:hAnsi="Tahoma" w:cs="Tahoma"/>
          <w:sz w:val="24"/>
          <w:szCs w:val="24"/>
        </w:rPr>
        <w:t>comerț</w:t>
      </w:r>
      <w:r w:rsidRPr="007403CD">
        <w:rPr>
          <w:rFonts w:ascii="Tahoma" w:eastAsia="Times New Roman" w:hAnsi="Tahoma" w:cs="Tahoma"/>
          <w:sz w:val="24"/>
          <w:szCs w:val="24"/>
        </w:rPr>
        <w:t xml:space="preserve"> cu ridicata şi cu amănuntul; repararea autovehiculelor şi motocicletelor (13,9%), </w:t>
      </w:r>
      <w:r w:rsidRPr="007403CD">
        <w:rPr>
          <w:rFonts w:ascii="Tahoma" w:eastAsia="Times New Roman" w:hAnsi="Tahoma" w:cs="Tahoma"/>
          <w:bCs/>
          <w:sz w:val="24"/>
          <w:szCs w:val="24"/>
        </w:rPr>
        <w:t xml:space="preserve">activități profesionale, </w:t>
      </w:r>
      <w:r w:rsidR="00305729" w:rsidRPr="007403CD">
        <w:rPr>
          <w:rFonts w:ascii="Tahoma" w:eastAsia="Times New Roman" w:hAnsi="Tahoma" w:cs="Tahoma"/>
          <w:bCs/>
          <w:sz w:val="24"/>
          <w:szCs w:val="24"/>
        </w:rPr>
        <w:t>științifice</w:t>
      </w:r>
      <w:r w:rsidRPr="007403CD">
        <w:rPr>
          <w:rFonts w:ascii="Tahoma" w:eastAsia="Times New Roman" w:hAnsi="Tahoma" w:cs="Tahoma"/>
          <w:bCs/>
          <w:sz w:val="24"/>
          <w:szCs w:val="24"/>
        </w:rPr>
        <w:t xml:space="preserve"> și tehnice (12,1%),</w:t>
      </w:r>
      <w:r w:rsidRPr="007403CD">
        <w:rPr>
          <w:rFonts w:ascii="Tahoma" w:eastAsia="Times New Roman" w:hAnsi="Tahoma" w:cs="Tahoma"/>
          <w:sz w:val="24"/>
          <w:szCs w:val="24"/>
        </w:rPr>
        <w:t xml:space="preserve"> industria prelucrătoare (12,0%), </w:t>
      </w:r>
      <w:r w:rsidR="00305729" w:rsidRPr="007403CD">
        <w:rPr>
          <w:rFonts w:ascii="Tahoma" w:eastAsia="Times New Roman" w:hAnsi="Tahoma" w:cs="Tahoma"/>
          <w:sz w:val="24"/>
          <w:szCs w:val="24"/>
        </w:rPr>
        <w:t>activități</w:t>
      </w:r>
      <w:r w:rsidRPr="007403CD">
        <w:rPr>
          <w:rFonts w:ascii="Tahoma" w:eastAsia="Times New Roman" w:hAnsi="Tahoma" w:cs="Tahoma"/>
          <w:sz w:val="24"/>
          <w:szCs w:val="24"/>
        </w:rPr>
        <w:t xml:space="preserve"> de servicii administrative şi </w:t>
      </w:r>
      <w:r w:rsidR="00305729" w:rsidRPr="007403CD">
        <w:rPr>
          <w:rFonts w:ascii="Tahoma" w:eastAsia="Times New Roman" w:hAnsi="Tahoma" w:cs="Tahoma"/>
          <w:sz w:val="24"/>
          <w:szCs w:val="24"/>
        </w:rPr>
        <w:t>activități</w:t>
      </w:r>
      <w:r w:rsidRPr="007403CD">
        <w:rPr>
          <w:rFonts w:ascii="Tahoma" w:eastAsia="Times New Roman" w:hAnsi="Tahoma" w:cs="Tahoma"/>
          <w:sz w:val="24"/>
          <w:szCs w:val="24"/>
        </w:rPr>
        <w:t xml:space="preserve"> de servicii suport (11,8%),</w:t>
      </w:r>
      <w:r w:rsidRPr="007403CD">
        <w:rPr>
          <w:rFonts w:ascii="Tahoma" w:eastAsia="Times New Roman" w:hAnsi="Tahoma" w:cs="Tahoma"/>
          <w:b/>
          <w:bCs/>
          <w:sz w:val="24"/>
          <w:szCs w:val="24"/>
        </w:rPr>
        <w:t xml:space="preserve"> </w:t>
      </w:r>
      <w:r w:rsidRPr="007403CD">
        <w:rPr>
          <w:rFonts w:ascii="Tahoma" w:eastAsia="Times New Roman" w:hAnsi="Tahoma" w:cs="Tahoma"/>
          <w:bCs/>
          <w:sz w:val="24"/>
          <w:szCs w:val="24"/>
        </w:rPr>
        <w:t>intermedieri financiare și asigurări (11,0%), producția și furnizarea de energie electrică și termică, gaze, apă caldă și aer condiționat (10,5%), activități de spectacole, culturale și recreative (10,5%)</w:t>
      </w:r>
      <w:r w:rsidRPr="007403CD">
        <w:rPr>
          <w:rFonts w:ascii="Tahoma" w:eastAsia="Times New Roman" w:hAnsi="Tahoma" w:cs="Tahoma"/>
          <w:sz w:val="24"/>
          <w:szCs w:val="24"/>
        </w:rPr>
        <w:t>.</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sz w:val="24"/>
          <w:szCs w:val="24"/>
        </w:rPr>
        <w:t xml:space="preserve">În sectorul bugetar, </w:t>
      </w:r>
      <w:r w:rsidR="00305729" w:rsidRPr="007403CD">
        <w:rPr>
          <w:rFonts w:ascii="Tahoma" w:hAnsi="Tahoma" w:cs="Tahoma"/>
          <w:sz w:val="24"/>
          <w:szCs w:val="24"/>
        </w:rPr>
        <w:t>creșterea</w:t>
      </w:r>
      <w:r w:rsidRPr="007403CD">
        <w:rPr>
          <w:rFonts w:ascii="Tahoma" w:hAnsi="Tahoma" w:cs="Tahoma"/>
          <w:sz w:val="24"/>
          <w:szCs w:val="24"/>
        </w:rPr>
        <w:t xml:space="preserve"> medie a </w:t>
      </w:r>
      <w:r w:rsidR="00305729" w:rsidRPr="007403CD">
        <w:rPr>
          <w:rFonts w:ascii="Tahoma" w:hAnsi="Tahoma" w:cs="Tahoma"/>
          <w:sz w:val="24"/>
          <w:szCs w:val="24"/>
        </w:rPr>
        <w:t>câștigului</w:t>
      </w:r>
      <w:r w:rsidRPr="007403CD">
        <w:rPr>
          <w:rFonts w:ascii="Tahoma" w:hAnsi="Tahoma" w:cs="Tahoma"/>
          <w:sz w:val="24"/>
          <w:szCs w:val="24"/>
        </w:rPr>
        <w:t xml:space="preserve"> salarial mediu brut a fost de 4,3% comparativ cu perioada corespunzătoare a anului 2021, în timp ce în sectorul </w:t>
      </w:r>
      <w:r w:rsidR="00305729" w:rsidRPr="007403CD">
        <w:rPr>
          <w:rFonts w:ascii="Tahoma" w:hAnsi="Tahoma" w:cs="Tahoma"/>
          <w:sz w:val="24"/>
          <w:szCs w:val="24"/>
        </w:rPr>
        <w:t>concurențial</w:t>
      </w:r>
      <w:r w:rsidRPr="007403CD">
        <w:rPr>
          <w:rFonts w:ascii="Tahoma" w:hAnsi="Tahoma" w:cs="Tahoma"/>
          <w:sz w:val="24"/>
          <w:szCs w:val="24"/>
        </w:rPr>
        <w:t xml:space="preserve"> s-a majorat cu 12,5%.</w:t>
      </w:r>
    </w:p>
    <w:p w:rsidR="00444C93" w:rsidRPr="007403CD" w:rsidRDefault="00444C93" w:rsidP="004B1B43">
      <w:pPr>
        <w:keepNext/>
        <w:spacing w:after="120" w:line="276" w:lineRule="auto"/>
        <w:ind w:firstLine="0"/>
        <w:rPr>
          <w:rFonts w:ascii="Tahoma" w:hAnsi="Tahoma" w:cs="Tahoma"/>
          <w:sz w:val="24"/>
          <w:szCs w:val="24"/>
        </w:rPr>
      </w:pPr>
      <w:r w:rsidRPr="007403CD">
        <w:rPr>
          <w:rFonts w:ascii="Tahoma" w:hAnsi="Tahoma" w:cs="Tahoma"/>
          <w:sz w:val="24"/>
          <w:szCs w:val="24"/>
        </w:rPr>
        <w:t xml:space="preserve">În termeni reali, pe total economie, </w:t>
      </w:r>
      <w:r w:rsidR="00305729" w:rsidRPr="007403CD">
        <w:rPr>
          <w:rFonts w:ascii="Tahoma" w:hAnsi="Tahoma" w:cs="Tahoma"/>
          <w:sz w:val="24"/>
          <w:szCs w:val="24"/>
        </w:rPr>
        <w:t>câștigul</w:t>
      </w:r>
      <w:r w:rsidRPr="007403CD">
        <w:rPr>
          <w:rFonts w:ascii="Tahoma" w:hAnsi="Tahoma" w:cs="Tahoma"/>
          <w:sz w:val="24"/>
          <w:szCs w:val="24"/>
        </w:rPr>
        <w:t xml:space="preserve"> salarial real s-a redus cu 0,2%. </w:t>
      </w:r>
      <w:r w:rsidR="00305729" w:rsidRPr="007403CD">
        <w:rPr>
          <w:rFonts w:ascii="Tahoma" w:hAnsi="Tahoma" w:cs="Tahoma"/>
          <w:sz w:val="24"/>
          <w:szCs w:val="24"/>
        </w:rPr>
        <w:t>Câștigul</w:t>
      </w:r>
      <w:r w:rsidRPr="007403CD">
        <w:rPr>
          <w:rFonts w:ascii="Tahoma" w:hAnsi="Tahoma" w:cs="Tahoma"/>
          <w:sz w:val="24"/>
          <w:szCs w:val="24"/>
        </w:rPr>
        <w:t xml:space="preserve"> salarial real în sectorul bugetar a înregistrat o scădere de 5,6%, iar în sectorul </w:t>
      </w:r>
      <w:r w:rsidR="00305729" w:rsidRPr="007403CD">
        <w:rPr>
          <w:rFonts w:ascii="Tahoma" w:hAnsi="Tahoma" w:cs="Tahoma"/>
          <w:sz w:val="24"/>
          <w:szCs w:val="24"/>
        </w:rPr>
        <w:t>concurențial</w:t>
      </w:r>
      <w:r w:rsidRPr="007403CD">
        <w:rPr>
          <w:rFonts w:ascii="Tahoma" w:hAnsi="Tahoma" w:cs="Tahoma"/>
          <w:sz w:val="24"/>
          <w:szCs w:val="24"/>
        </w:rPr>
        <w:t xml:space="preserve"> o </w:t>
      </w:r>
      <w:r w:rsidR="00305729" w:rsidRPr="007403CD">
        <w:rPr>
          <w:rFonts w:ascii="Tahoma" w:hAnsi="Tahoma" w:cs="Tahoma"/>
          <w:sz w:val="24"/>
          <w:szCs w:val="24"/>
        </w:rPr>
        <w:t>creștere</w:t>
      </w:r>
      <w:r w:rsidRPr="007403CD">
        <w:rPr>
          <w:rFonts w:ascii="Tahoma" w:hAnsi="Tahoma" w:cs="Tahoma"/>
          <w:sz w:val="24"/>
          <w:szCs w:val="24"/>
        </w:rPr>
        <w:t xml:space="preserve"> de 1,6%.</w:t>
      </w:r>
    </w:p>
    <w:p w:rsidR="00444C93" w:rsidRPr="007403CD" w:rsidRDefault="00444C93" w:rsidP="004B1B43">
      <w:pPr>
        <w:spacing w:after="120" w:line="276" w:lineRule="auto"/>
        <w:ind w:firstLine="0"/>
        <w:rPr>
          <w:rFonts w:ascii="Tahoma" w:eastAsia="Calibri" w:hAnsi="Tahoma" w:cs="Tahoma"/>
          <w:b/>
          <w:sz w:val="24"/>
          <w:szCs w:val="24"/>
        </w:rPr>
      </w:pPr>
      <w:r w:rsidRPr="007403CD">
        <w:rPr>
          <w:rFonts w:ascii="Tahoma" w:eastAsia="Calibri" w:hAnsi="Tahoma" w:cs="Tahoma"/>
          <w:b/>
          <w:sz w:val="24"/>
          <w:szCs w:val="24"/>
        </w:rPr>
        <w:t>La nivelul întregii economii, în primele 5 luni ale anului 2022, fondul de salarii s-a majorat cu 12,5% în condițiile în care numărul mediu de salariați a crescut cu 1,8% iar câștigul salarial mediu brut a atins un nivel de 10,5%.</w:t>
      </w:r>
    </w:p>
    <w:p w:rsidR="00444C93" w:rsidRPr="007403CD" w:rsidRDefault="00444C93" w:rsidP="004B1B43">
      <w:pPr>
        <w:spacing w:after="120" w:line="276" w:lineRule="auto"/>
        <w:ind w:firstLine="0"/>
        <w:rPr>
          <w:rStyle w:val="y2iqfc"/>
          <w:rFonts w:ascii="Tahoma" w:hAnsi="Tahoma" w:cs="Tahoma"/>
          <w:sz w:val="24"/>
          <w:szCs w:val="24"/>
        </w:rPr>
      </w:pPr>
      <w:r w:rsidRPr="007403CD">
        <w:rPr>
          <w:rFonts w:ascii="Tahoma" w:hAnsi="Tahoma" w:cs="Tahoma"/>
          <w:b/>
          <w:sz w:val="24"/>
          <w:szCs w:val="24"/>
        </w:rPr>
        <w:t>Șomajul înregistrat</w:t>
      </w:r>
      <w:r w:rsidRPr="007403CD">
        <w:rPr>
          <w:rFonts w:ascii="Tahoma" w:hAnsi="Tahoma" w:cs="Tahoma"/>
          <w:sz w:val="24"/>
          <w:szCs w:val="24"/>
        </w:rPr>
        <w:t xml:space="preserve"> la nivel </w:t>
      </w:r>
      <w:r w:rsidR="00305729" w:rsidRPr="007403CD">
        <w:rPr>
          <w:rFonts w:ascii="Tahoma" w:hAnsi="Tahoma" w:cs="Tahoma"/>
          <w:sz w:val="24"/>
          <w:szCs w:val="24"/>
        </w:rPr>
        <w:t>național</w:t>
      </w:r>
      <w:r w:rsidRPr="007403CD">
        <w:rPr>
          <w:rFonts w:ascii="Tahoma" w:hAnsi="Tahoma" w:cs="Tahoma"/>
          <w:sz w:val="24"/>
          <w:szCs w:val="24"/>
        </w:rPr>
        <w:t xml:space="preserve"> a avut un trend descrescător, urmare a </w:t>
      </w:r>
      <w:r w:rsidRPr="007403CD">
        <w:rPr>
          <w:rStyle w:val="y2iqfc"/>
          <w:rFonts w:ascii="Tahoma" w:hAnsi="Tahoma" w:cs="Tahoma"/>
          <w:sz w:val="24"/>
          <w:szCs w:val="24"/>
        </w:rPr>
        <w:t>numărul mare de locurile de muncă vacante (+83,6 mii față de trim.</w:t>
      </w:r>
      <w:r w:rsidR="00305729">
        <w:rPr>
          <w:rStyle w:val="y2iqfc"/>
          <w:rFonts w:ascii="Tahoma" w:hAnsi="Tahoma" w:cs="Tahoma"/>
          <w:sz w:val="24"/>
          <w:szCs w:val="24"/>
        </w:rPr>
        <w:t xml:space="preserve"> </w:t>
      </w:r>
      <w:r w:rsidRPr="007403CD">
        <w:rPr>
          <w:rStyle w:val="y2iqfc"/>
          <w:rFonts w:ascii="Tahoma" w:hAnsi="Tahoma" w:cs="Tahoma"/>
          <w:sz w:val="24"/>
          <w:szCs w:val="24"/>
        </w:rPr>
        <w:t xml:space="preserve">I 2021) și a permiselor de muncă pentru lucrătorii străinii (din afara spațiului UE). </w:t>
      </w:r>
      <w:r w:rsidRPr="007403CD">
        <w:rPr>
          <w:rFonts w:ascii="Tahoma" w:hAnsi="Tahoma" w:cs="Tahoma"/>
          <w:sz w:val="24"/>
          <w:szCs w:val="24"/>
        </w:rPr>
        <w:t xml:space="preserve">Măsurile de sprijin adoptate de Guvernul României, în special cele care au vizat șomajul tehnic, au făcut ca personalul să rămână angajat în cadrul firmelor chiar dacă activitatea acestora a suferit diminuări. </w:t>
      </w:r>
      <w:r w:rsidRPr="007403CD">
        <w:rPr>
          <w:rStyle w:val="y2iqfc"/>
          <w:rFonts w:ascii="Tahoma" w:hAnsi="Tahoma" w:cs="Tahoma"/>
          <w:sz w:val="24"/>
          <w:szCs w:val="24"/>
        </w:rPr>
        <w:t xml:space="preserve">Toate acestea au limitat orice creștere semnificativă a șomajului. </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sz w:val="24"/>
          <w:szCs w:val="24"/>
        </w:rPr>
        <w:t>Șomajul înregistrat la sfârșitul lunii mai 2021 a ajuns la 267,5 mii persoane cu o rată a șomajului 3,06 %, iar la sfârșitul lunii mai 2022 numărul șomerilor înregistrați a scăzut la 222,6 mii persoane, cu o rată a șomajului înregistrat de 2,55%. Numărul șomerilor înregistrați la sfârșitul lunii mai 2022 a scăzut cu 44,9 mii persoane (8,4%) față de mai 2021. Din totalul șomerilor înregistrați, 38,9 mii persoane au fost șomerii indemnizați (17,5%) şi 183,7 mii persoane șomeri neindemnizaţi (82,5%). Pe medii de rezidență numărul șomerilor înregistrați se prezintă astfel: 62,8 mii persoane (28,2%) din mediul urban şi 159,8 mii persoane (71,8%) din mediul rural.</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b/>
          <w:sz w:val="24"/>
          <w:szCs w:val="24"/>
        </w:rPr>
        <w:t>Structura șomajului pe grupe de vârstă,</w:t>
      </w:r>
      <w:r w:rsidRPr="007403CD">
        <w:rPr>
          <w:rFonts w:ascii="Tahoma" w:hAnsi="Tahoma" w:cs="Tahoma"/>
          <w:sz w:val="24"/>
          <w:szCs w:val="24"/>
        </w:rPr>
        <w:t xml:space="preserve"> la </w:t>
      </w:r>
      <w:r w:rsidR="00305729" w:rsidRPr="007403CD">
        <w:rPr>
          <w:rFonts w:ascii="Tahoma" w:hAnsi="Tahoma" w:cs="Tahoma"/>
          <w:sz w:val="24"/>
          <w:szCs w:val="24"/>
        </w:rPr>
        <w:t>sfârșitul</w:t>
      </w:r>
      <w:r w:rsidRPr="007403CD">
        <w:rPr>
          <w:rFonts w:ascii="Tahoma" w:hAnsi="Tahoma" w:cs="Tahoma"/>
          <w:sz w:val="24"/>
          <w:szCs w:val="24"/>
        </w:rPr>
        <w:t xml:space="preserve"> lunii mai 2022, ne arată că cea mai mare pondere a avut-o grupa de vârstă 40 - 49 de ani, care reprezentau 25,2% din totalul șomerilor înregistrați, urmați de grupele 50 - 55 de ani (20,4%), peste 55 de ani (19,9%) și 30-39 ani (15,8%). </w:t>
      </w:r>
    </w:p>
    <w:p w:rsidR="00444C93" w:rsidRPr="007403CD" w:rsidRDefault="00444C93" w:rsidP="004B1B43">
      <w:pPr>
        <w:spacing w:after="120" w:line="276" w:lineRule="auto"/>
        <w:ind w:firstLine="0"/>
        <w:rPr>
          <w:rFonts w:ascii="Tahoma" w:hAnsi="Tahoma" w:cs="Tahoma"/>
          <w:sz w:val="24"/>
          <w:szCs w:val="24"/>
        </w:rPr>
      </w:pPr>
      <w:r w:rsidRPr="007403CD">
        <w:rPr>
          <w:rFonts w:ascii="Tahoma" w:hAnsi="Tahoma" w:cs="Tahoma"/>
          <w:b/>
          <w:sz w:val="24"/>
          <w:szCs w:val="24"/>
        </w:rPr>
        <w:t>După nivelul de instruire</w:t>
      </w:r>
      <w:r w:rsidRPr="007403CD">
        <w:rPr>
          <w:rFonts w:ascii="Tahoma" w:hAnsi="Tahoma" w:cs="Tahoma"/>
          <w:sz w:val="24"/>
          <w:szCs w:val="24"/>
        </w:rPr>
        <w:t xml:space="preserve">, șomerii fără studii și cei cu nivel de instruire primar, gimnazial şi profesional aveau ponderea cea mai mare în totalul șomerilor înregistrați, respectiv 76,4%. Șomerii cu nivel de instruire liceal și post-liceal reprezentau 18,9% din totalul șomerilor înregistrați, iar cei cu studii universitare reprezentau 4,7%. </w:t>
      </w:r>
    </w:p>
    <w:p w:rsidR="00444C93" w:rsidRPr="007403CD" w:rsidRDefault="00444C93" w:rsidP="004B1B43">
      <w:pPr>
        <w:spacing w:after="120" w:line="276" w:lineRule="auto"/>
        <w:ind w:firstLine="0"/>
        <w:rPr>
          <w:rFonts w:ascii="Tahoma" w:eastAsia="Calibri" w:hAnsi="Tahoma" w:cs="Tahoma"/>
          <w:b/>
          <w:sz w:val="24"/>
          <w:szCs w:val="24"/>
        </w:rPr>
      </w:pPr>
      <w:r w:rsidRPr="007403CD">
        <w:rPr>
          <w:rFonts w:ascii="Tahoma" w:hAnsi="Tahoma" w:cs="Tahoma"/>
          <w:sz w:val="24"/>
          <w:szCs w:val="24"/>
        </w:rPr>
        <w:lastRenderedPageBreak/>
        <w:t xml:space="preserve">În ceea ce privește </w:t>
      </w:r>
      <w:r w:rsidRPr="007403CD">
        <w:rPr>
          <w:rFonts w:ascii="Tahoma" w:hAnsi="Tahoma" w:cs="Tahoma"/>
          <w:b/>
          <w:sz w:val="24"/>
          <w:szCs w:val="24"/>
        </w:rPr>
        <w:t>șomajul de lungă durată</w:t>
      </w:r>
      <w:r w:rsidRPr="007403CD">
        <w:rPr>
          <w:rFonts w:ascii="Tahoma" w:hAnsi="Tahoma" w:cs="Tahoma"/>
          <w:sz w:val="24"/>
          <w:szCs w:val="24"/>
        </w:rPr>
        <w:t xml:space="preserve">, la sfârșitul lunii mai 2022 se aflau înregistrați 85,7 mii persoane (38,5% din totalul </w:t>
      </w:r>
      <w:r w:rsidR="00305729" w:rsidRPr="007403CD">
        <w:rPr>
          <w:rFonts w:ascii="Tahoma" w:hAnsi="Tahoma" w:cs="Tahoma"/>
          <w:sz w:val="24"/>
          <w:szCs w:val="24"/>
        </w:rPr>
        <w:t>șomerilor</w:t>
      </w:r>
      <w:r w:rsidRPr="007403CD">
        <w:rPr>
          <w:rFonts w:ascii="Tahoma" w:hAnsi="Tahoma" w:cs="Tahoma"/>
          <w:sz w:val="24"/>
          <w:szCs w:val="24"/>
        </w:rPr>
        <w:t xml:space="preserve"> </w:t>
      </w:r>
      <w:r w:rsidR="00305729" w:rsidRPr="007403CD">
        <w:rPr>
          <w:rFonts w:ascii="Tahoma" w:hAnsi="Tahoma" w:cs="Tahoma"/>
          <w:sz w:val="24"/>
          <w:szCs w:val="24"/>
        </w:rPr>
        <w:t>înregistrați</w:t>
      </w:r>
      <w:r w:rsidRPr="007403CD">
        <w:rPr>
          <w:rFonts w:ascii="Tahoma" w:hAnsi="Tahoma" w:cs="Tahoma"/>
          <w:sz w:val="24"/>
          <w:szCs w:val="24"/>
        </w:rPr>
        <w:t xml:space="preserve">), din care 7,1 mii persoane din rândul tinerilor cu vârsta sub 25 de ani aflați în șomaj de peste 6 luni (11,9% din totalul șomerilor sub 25 de ani) </w:t>
      </w:r>
      <w:r w:rsidR="00305729" w:rsidRPr="007403CD">
        <w:rPr>
          <w:rFonts w:ascii="Tahoma" w:hAnsi="Tahoma" w:cs="Tahoma"/>
          <w:sz w:val="24"/>
          <w:szCs w:val="24"/>
        </w:rPr>
        <w:t>și</w:t>
      </w:r>
      <w:r w:rsidRPr="007403CD">
        <w:rPr>
          <w:rFonts w:ascii="Tahoma" w:hAnsi="Tahoma" w:cs="Tahoma"/>
          <w:sz w:val="24"/>
          <w:szCs w:val="24"/>
        </w:rPr>
        <w:t xml:space="preserve"> 78,6 mii adulți aflați în șomaj de peste 12 luni (88,1% din rândul </w:t>
      </w:r>
      <w:r w:rsidR="00305729" w:rsidRPr="007403CD">
        <w:rPr>
          <w:rFonts w:ascii="Tahoma" w:hAnsi="Tahoma" w:cs="Tahoma"/>
          <w:sz w:val="24"/>
          <w:szCs w:val="24"/>
        </w:rPr>
        <w:t>șomerilor</w:t>
      </w:r>
      <w:r w:rsidRPr="007403CD">
        <w:rPr>
          <w:rFonts w:ascii="Tahoma" w:hAnsi="Tahoma" w:cs="Tahoma"/>
          <w:sz w:val="24"/>
          <w:szCs w:val="24"/>
        </w:rPr>
        <w:t xml:space="preserve"> cu vârsta peste 25 de ani).</w:t>
      </w:r>
    </w:p>
    <w:p w:rsidR="00E80EAC" w:rsidRPr="007403CD" w:rsidRDefault="00E80EAC" w:rsidP="00E80EAC">
      <w:bookmarkStart w:id="9" w:name="_Toc456256933"/>
      <w:bookmarkStart w:id="10" w:name="_Toc456257457"/>
      <w:bookmarkStart w:id="11" w:name="_Toc456258315"/>
      <w:bookmarkStart w:id="12" w:name="_Toc456258420"/>
      <w:r w:rsidRPr="007403CD">
        <w:br w:type="page"/>
      </w:r>
    </w:p>
    <w:p w:rsidR="0056154D" w:rsidRPr="007403CD" w:rsidRDefault="002548C2" w:rsidP="00717011">
      <w:pPr>
        <w:pStyle w:val="Heading1"/>
        <w:numPr>
          <w:ilvl w:val="0"/>
          <w:numId w:val="1"/>
        </w:numPr>
        <w:rPr>
          <w:rFonts w:ascii="Tahoma" w:hAnsi="Tahoma" w:cs="Tahoma"/>
          <w:b/>
          <w:color w:val="auto"/>
          <w:sz w:val="24"/>
          <w:szCs w:val="24"/>
        </w:rPr>
      </w:pPr>
      <w:bookmarkStart w:id="13" w:name="_Toc109657573"/>
      <w:r w:rsidRPr="007403CD">
        <w:rPr>
          <w:rFonts w:ascii="Tahoma" w:hAnsi="Tahoma" w:cs="Tahoma"/>
          <w:b/>
          <w:color w:val="auto"/>
          <w:sz w:val="24"/>
          <w:szCs w:val="24"/>
        </w:rPr>
        <w:lastRenderedPageBreak/>
        <w:t>P</w:t>
      </w:r>
      <w:r w:rsidR="00E3087D" w:rsidRPr="007403CD">
        <w:rPr>
          <w:rFonts w:ascii="Tahoma" w:hAnsi="Tahoma" w:cs="Tahoma"/>
          <w:b/>
          <w:color w:val="auto"/>
          <w:sz w:val="24"/>
          <w:szCs w:val="24"/>
        </w:rPr>
        <w:t xml:space="preserve">olitica fiscal-bugetară </w:t>
      </w:r>
      <w:r w:rsidR="00191D8D" w:rsidRPr="007403CD">
        <w:rPr>
          <w:rFonts w:ascii="Tahoma" w:hAnsi="Tahoma" w:cs="Tahoma"/>
          <w:b/>
          <w:color w:val="auto"/>
          <w:sz w:val="24"/>
          <w:szCs w:val="24"/>
        </w:rPr>
        <w:t>aferentă</w:t>
      </w:r>
      <w:r w:rsidR="00E3087D" w:rsidRPr="007403CD">
        <w:rPr>
          <w:rFonts w:ascii="Tahoma" w:hAnsi="Tahoma" w:cs="Tahoma"/>
          <w:b/>
          <w:color w:val="auto"/>
          <w:sz w:val="24"/>
          <w:szCs w:val="24"/>
        </w:rPr>
        <w:t xml:space="preserve"> anul</w:t>
      </w:r>
      <w:r w:rsidR="00191D8D" w:rsidRPr="007403CD">
        <w:rPr>
          <w:rFonts w:ascii="Tahoma" w:hAnsi="Tahoma" w:cs="Tahoma"/>
          <w:b/>
          <w:color w:val="auto"/>
          <w:sz w:val="24"/>
          <w:szCs w:val="24"/>
        </w:rPr>
        <w:t>ui</w:t>
      </w:r>
      <w:bookmarkEnd w:id="9"/>
      <w:bookmarkEnd w:id="10"/>
      <w:bookmarkEnd w:id="11"/>
      <w:bookmarkEnd w:id="12"/>
      <w:r w:rsidR="00E95717" w:rsidRPr="007403CD">
        <w:rPr>
          <w:rFonts w:ascii="Tahoma" w:hAnsi="Tahoma" w:cs="Tahoma"/>
          <w:b/>
          <w:color w:val="auto"/>
          <w:sz w:val="24"/>
          <w:szCs w:val="24"/>
        </w:rPr>
        <w:t xml:space="preserve"> </w:t>
      </w:r>
      <w:r w:rsidR="00E3539E" w:rsidRPr="007403CD">
        <w:rPr>
          <w:rFonts w:ascii="Tahoma" w:hAnsi="Tahoma" w:cs="Tahoma"/>
          <w:b/>
          <w:color w:val="auto"/>
          <w:sz w:val="24"/>
          <w:szCs w:val="24"/>
        </w:rPr>
        <w:t>20</w:t>
      </w:r>
      <w:r w:rsidR="00C21D8D" w:rsidRPr="007403CD">
        <w:rPr>
          <w:rFonts w:ascii="Tahoma" w:hAnsi="Tahoma" w:cs="Tahoma"/>
          <w:b/>
          <w:color w:val="auto"/>
          <w:sz w:val="24"/>
          <w:szCs w:val="24"/>
        </w:rPr>
        <w:t>2</w:t>
      </w:r>
      <w:r w:rsidR="001F3032" w:rsidRPr="007403CD">
        <w:rPr>
          <w:rFonts w:ascii="Tahoma" w:hAnsi="Tahoma" w:cs="Tahoma"/>
          <w:b/>
          <w:color w:val="auto"/>
          <w:sz w:val="24"/>
          <w:szCs w:val="24"/>
        </w:rPr>
        <w:t>2</w:t>
      </w:r>
      <w:bookmarkEnd w:id="13"/>
    </w:p>
    <w:p w:rsidR="00D6065B" w:rsidRPr="007403CD" w:rsidRDefault="00D6065B" w:rsidP="002A6579">
      <w:pPr>
        <w:pStyle w:val="ListParagraph"/>
        <w:keepNext/>
        <w:keepLines/>
        <w:spacing w:line="276" w:lineRule="auto"/>
        <w:ind w:left="567"/>
        <w:outlineLvl w:val="0"/>
        <w:rPr>
          <w:rFonts w:ascii="Tahoma" w:hAnsi="Tahoma" w:cs="Tahoma"/>
          <w:b/>
          <w:sz w:val="24"/>
          <w:szCs w:val="24"/>
        </w:rPr>
      </w:pPr>
    </w:p>
    <w:p w:rsidR="00642BCD" w:rsidRPr="007403CD" w:rsidRDefault="00642BCD" w:rsidP="0036088B">
      <w:pPr>
        <w:keepNext/>
        <w:keepLines/>
        <w:tabs>
          <w:tab w:val="left" w:pos="851"/>
        </w:tabs>
        <w:spacing w:after="120" w:line="276" w:lineRule="auto"/>
        <w:ind w:firstLine="0"/>
        <w:rPr>
          <w:rFonts w:ascii="Tahoma" w:hAnsi="Tahoma" w:cs="Tahoma"/>
          <w:sz w:val="24"/>
          <w:szCs w:val="24"/>
        </w:rPr>
      </w:pPr>
      <w:r w:rsidRPr="007403CD">
        <w:rPr>
          <w:rFonts w:ascii="Tahoma" w:hAnsi="Tahoma" w:cs="Tahoma"/>
          <w:sz w:val="24"/>
          <w:szCs w:val="24"/>
        </w:rPr>
        <w:t>Construcția bugetară pe anul 20</w:t>
      </w:r>
      <w:r w:rsidR="00C21D8D" w:rsidRPr="007403CD">
        <w:rPr>
          <w:rFonts w:ascii="Tahoma" w:hAnsi="Tahoma" w:cs="Tahoma"/>
          <w:sz w:val="24"/>
          <w:szCs w:val="24"/>
        </w:rPr>
        <w:t>2</w:t>
      </w:r>
      <w:r w:rsidR="001F3032" w:rsidRPr="007403CD">
        <w:rPr>
          <w:rFonts w:ascii="Tahoma" w:hAnsi="Tahoma" w:cs="Tahoma"/>
          <w:sz w:val="24"/>
          <w:szCs w:val="24"/>
        </w:rPr>
        <w:t>2</w:t>
      </w:r>
      <w:r w:rsidRPr="007403CD">
        <w:rPr>
          <w:rFonts w:ascii="Tahoma" w:hAnsi="Tahoma" w:cs="Tahoma"/>
          <w:sz w:val="24"/>
          <w:szCs w:val="24"/>
        </w:rPr>
        <w:t xml:space="preserve"> a avut la bază următoarele obiective:</w:t>
      </w:r>
    </w:p>
    <w:p w:rsidR="001F3032" w:rsidRPr="007403CD" w:rsidRDefault="001F3032" w:rsidP="001F3032">
      <w:pPr>
        <w:pStyle w:val="ListParagraph"/>
        <w:keepNext/>
        <w:keepLines/>
        <w:numPr>
          <w:ilvl w:val="0"/>
          <w:numId w:val="39"/>
        </w:numPr>
        <w:shd w:val="clear" w:color="auto" w:fill="FFFFFF" w:themeFill="background1"/>
        <w:spacing w:after="120" w:line="276" w:lineRule="auto"/>
        <w:contextualSpacing w:val="0"/>
        <w:rPr>
          <w:rFonts w:ascii="Tahoma" w:eastAsia="+mn-ea" w:hAnsi="Tahoma" w:cs="Tahoma"/>
          <w:bCs/>
          <w:sz w:val="24"/>
          <w:szCs w:val="24"/>
        </w:rPr>
      </w:pPr>
      <w:r w:rsidRPr="007403CD">
        <w:rPr>
          <w:rFonts w:ascii="Tahoma" w:eastAsia="+mn-ea" w:hAnsi="Tahoma" w:cs="Tahoma"/>
          <w:bCs/>
          <w:sz w:val="24"/>
          <w:szCs w:val="24"/>
        </w:rPr>
        <w:t xml:space="preserve">Crearea premiselor pentru menținerea și susținerea unui nou cadru de dezvoltare durabilă, justă şi intruzivă care să asigure o </w:t>
      </w:r>
      <w:r w:rsidR="00305729" w:rsidRPr="007403CD">
        <w:rPr>
          <w:rFonts w:ascii="Tahoma" w:eastAsia="+mn-ea" w:hAnsi="Tahoma" w:cs="Tahoma"/>
          <w:bCs/>
          <w:sz w:val="24"/>
          <w:szCs w:val="24"/>
        </w:rPr>
        <w:t>tranziție</w:t>
      </w:r>
      <w:r w:rsidRPr="007403CD">
        <w:rPr>
          <w:rFonts w:ascii="Tahoma" w:eastAsia="+mn-ea" w:hAnsi="Tahoma" w:cs="Tahoma"/>
          <w:bCs/>
          <w:sz w:val="24"/>
          <w:szCs w:val="24"/>
        </w:rPr>
        <w:t xml:space="preserve"> ecologică eficientă economic, suportabilă social şi axată pe competitivitate, </w:t>
      </w:r>
      <w:r w:rsidR="00305729" w:rsidRPr="007403CD">
        <w:rPr>
          <w:rFonts w:ascii="Tahoma" w:eastAsia="+mn-ea" w:hAnsi="Tahoma" w:cs="Tahoma"/>
          <w:bCs/>
          <w:sz w:val="24"/>
          <w:szCs w:val="24"/>
        </w:rPr>
        <w:t>inovație</w:t>
      </w:r>
      <w:r w:rsidRPr="007403CD">
        <w:rPr>
          <w:rFonts w:ascii="Tahoma" w:eastAsia="+mn-ea" w:hAnsi="Tahoma" w:cs="Tahoma"/>
          <w:bCs/>
          <w:sz w:val="24"/>
          <w:szCs w:val="24"/>
        </w:rPr>
        <w:t xml:space="preserve"> şi decarbonizare, finanțarea schemelo</w:t>
      </w:r>
      <w:r w:rsidR="00583788" w:rsidRPr="007403CD">
        <w:rPr>
          <w:rFonts w:ascii="Tahoma" w:eastAsia="+mn-ea" w:hAnsi="Tahoma" w:cs="Tahoma"/>
          <w:bCs/>
          <w:sz w:val="24"/>
          <w:szCs w:val="24"/>
        </w:rPr>
        <w:t xml:space="preserve">r de ajutor de stat în vederea </w:t>
      </w:r>
      <w:r w:rsidRPr="007403CD">
        <w:rPr>
          <w:rFonts w:ascii="Tahoma" w:eastAsia="+mn-ea" w:hAnsi="Tahoma" w:cs="Tahoma"/>
          <w:bCs/>
          <w:sz w:val="24"/>
          <w:szCs w:val="24"/>
        </w:rPr>
        <w:t>sprijinirii mediului de afaceri;</w:t>
      </w:r>
    </w:p>
    <w:p w:rsidR="001F3032" w:rsidRPr="007403CD" w:rsidRDefault="001F3032" w:rsidP="001F3032">
      <w:pPr>
        <w:pStyle w:val="ListParagraph"/>
        <w:keepNext/>
        <w:keepLines/>
        <w:numPr>
          <w:ilvl w:val="0"/>
          <w:numId w:val="39"/>
        </w:numPr>
        <w:shd w:val="clear" w:color="auto" w:fill="FFFFFF" w:themeFill="background1"/>
        <w:spacing w:after="120" w:line="276" w:lineRule="auto"/>
        <w:contextualSpacing w:val="0"/>
        <w:rPr>
          <w:rFonts w:ascii="Tahoma" w:eastAsia="+mn-ea" w:hAnsi="Tahoma" w:cs="Tahoma"/>
          <w:bCs/>
          <w:sz w:val="24"/>
          <w:szCs w:val="24"/>
        </w:rPr>
      </w:pPr>
      <w:r w:rsidRPr="007403CD">
        <w:rPr>
          <w:rFonts w:ascii="Tahoma" w:eastAsia="+mn-ea" w:hAnsi="Tahoma" w:cs="Tahoma"/>
          <w:bCs/>
          <w:sz w:val="24"/>
          <w:szCs w:val="24"/>
        </w:rPr>
        <w:t>Continuarea graduală a consolidării fiscale începute în anul 2021, prin măsuri care să permită atingerea țintei de deficit prevăzută de regulamentele europene până la sfârșitul orizontului de prognoză, respectiv anul 2024;</w:t>
      </w:r>
    </w:p>
    <w:p w:rsidR="001F3032" w:rsidRPr="007403CD" w:rsidRDefault="001F3032" w:rsidP="001F3032">
      <w:pPr>
        <w:pStyle w:val="ListParagraph"/>
        <w:keepNext/>
        <w:keepLines/>
        <w:numPr>
          <w:ilvl w:val="0"/>
          <w:numId w:val="39"/>
        </w:numPr>
        <w:shd w:val="clear" w:color="auto" w:fill="FFFFFF" w:themeFill="background1"/>
        <w:spacing w:after="120" w:line="276" w:lineRule="auto"/>
        <w:contextualSpacing w:val="0"/>
        <w:rPr>
          <w:rFonts w:ascii="Tahoma" w:eastAsia="+mn-ea" w:hAnsi="Tahoma" w:cs="Tahoma"/>
          <w:bCs/>
          <w:sz w:val="24"/>
          <w:szCs w:val="24"/>
        </w:rPr>
      </w:pPr>
      <w:r w:rsidRPr="007403CD">
        <w:rPr>
          <w:rFonts w:ascii="Tahoma" w:eastAsia="+mn-ea" w:hAnsi="Tahoma" w:cs="Tahoma"/>
          <w:bCs/>
          <w:sz w:val="24"/>
          <w:szCs w:val="24"/>
        </w:rPr>
        <w:t>Reforma, prioritizarea și programarea multianuală a investițiilor publice într-o manieră eficientă, profesionistă și transparentă cu efect multiplicator şi aport direct la formarea brută de capital fix, prin creșterea aportului fondurilor europene aferente cadrului financiar 2021-2027 și cele aferente Mecanismului de Redresare și Reziliență ce finanțează reformele și investițiile stabilite prin Programul Național de Redresare și Reziliență;</w:t>
      </w:r>
    </w:p>
    <w:p w:rsidR="001F3032" w:rsidRPr="007403CD" w:rsidRDefault="001F3032" w:rsidP="001F3032">
      <w:pPr>
        <w:pStyle w:val="ListParagraph"/>
        <w:keepNext/>
        <w:keepLines/>
        <w:numPr>
          <w:ilvl w:val="0"/>
          <w:numId w:val="39"/>
        </w:numPr>
        <w:shd w:val="clear" w:color="auto" w:fill="FFFFFF" w:themeFill="background1"/>
        <w:spacing w:after="120" w:line="276" w:lineRule="auto"/>
        <w:contextualSpacing w:val="0"/>
        <w:rPr>
          <w:rFonts w:ascii="Tahoma" w:eastAsia="+mn-ea" w:hAnsi="Tahoma" w:cs="Tahoma"/>
          <w:bCs/>
          <w:sz w:val="24"/>
          <w:szCs w:val="24"/>
        </w:rPr>
      </w:pPr>
      <w:r w:rsidRPr="007403CD">
        <w:rPr>
          <w:rFonts w:ascii="Tahoma" w:eastAsia="+mn-ea" w:hAnsi="Tahoma" w:cs="Tahoma"/>
          <w:bCs/>
          <w:sz w:val="24"/>
          <w:szCs w:val="24"/>
        </w:rPr>
        <w:t>Crearea unei politici fiscale predictibile pentru susținerea și adaptarea mediului de afaceri la provocările ridicate de criza sanitară, simplificarea fiscalității și fluidizarea proceselor interne, pentru a crea premisa unei creșteri economice durabile;</w:t>
      </w:r>
    </w:p>
    <w:p w:rsidR="001F3032" w:rsidRPr="007403CD" w:rsidRDefault="001F3032" w:rsidP="001F3032">
      <w:pPr>
        <w:pStyle w:val="ListParagraph"/>
        <w:keepNext/>
        <w:keepLines/>
        <w:numPr>
          <w:ilvl w:val="0"/>
          <w:numId w:val="39"/>
        </w:numPr>
        <w:shd w:val="clear" w:color="auto" w:fill="FFFFFF" w:themeFill="background1"/>
        <w:spacing w:after="120" w:line="276" w:lineRule="auto"/>
        <w:contextualSpacing w:val="0"/>
        <w:rPr>
          <w:rFonts w:ascii="Tahoma" w:eastAsia="+mn-ea" w:hAnsi="Tahoma" w:cs="Tahoma"/>
          <w:bCs/>
          <w:sz w:val="24"/>
          <w:szCs w:val="24"/>
        </w:rPr>
      </w:pPr>
      <w:r w:rsidRPr="007403CD">
        <w:rPr>
          <w:rFonts w:ascii="Tahoma" w:eastAsia="+mn-ea" w:hAnsi="Tahoma" w:cs="Tahoma"/>
          <w:bCs/>
          <w:sz w:val="24"/>
          <w:szCs w:val="24"/>
        </w:rPr>
        <w:t>Dezvoltarea şi diversificarea instrumentelor de management ale datoriei publice pentru menținerea datoriei publice la un nivel sustenabil;</w:t>
      </w:r>
    </w:p>
    <w:p w:rsidR="001F3032" w:rsidRPr="007403CD" w:rsidRDefault="001F3032" w:rsidP="001F3032">
      <w:pPr>
        <w:pStyle w:val="ListParagraph"/>
        <w:keepNext/>
        <w:keepLines/>
        <w:numPr>
          <w:ilvl w:val="0"/>
          <w:numId w:val="39"/>
        </w:numPr>
        <w:shd w:val="clear" w:color="auto" w:fill="FFFFFF" w:themeFill="background1"/>
        <w:spacing w:after="120" w:line="276" w:lineRule="auto"/>
        <w:contextualSpacing w:val="0"/>
        <w:rPr>
          <w:rFonts w:ascii="Tahoma" w:eastAsia="+mn-ea" w:hAnsi="Tahoma" w:cs="Tahoma"/>
          <w:bCs/>
          <w:sz w:val="24"/>
          <w:szCs w:val="24"/>
        </w:rPr>
      </w:pPr>
      <w:r w:rsidRPr="007403CD">
        <w:rPr>
          <w:rFonts w:ascii="Tahoma" w:eastAsia="+mn-ea" w:hAnsi="Tahoma" w:cs="Tahoma"/>
          <w:bCs/>
          <w:sz w:val="24"/>
          <w:szCs w:val="24"/>
        </w:rPr>
        <w:t>Măsuri consistente pentru crearea și consolidarea unor finanțe publice sănătoase, prin eficientizarea calitativă a cheltuielilor publice cu focalizare pe:</w:t>
      </w:r>
    </w:p>
    <w:p w:rsidR="001F3032" w:rsidRPr="007403CD" w:rsidRDefault="001F3032" w:rsidP="001F3032">
      <w:pPr>
        <w:pStyle w:val="ListParagraph"/>
        <w:keepNext/>
        <w:keepLines/>
        <w:numPr>
          <w:ilvl w:val="0"/>
          <w:numId w:val="40"/>
        </w:numPr>
        <w:shd w:val="clear" w:color="auto" w:fill="FFFFFF" w:themeFill="background1"/>
        <w:spacing w:after="120" w:line="276" w:lineRule="auto"/>
        <w:ind w:left="1208" w:hanging="357"/>
        <w:contextualSpacing w:val="0"/>
        <w:rPr>
          <w:rFonts w:ascii="Tahoma" w:eastAsia="+mn-ea" w:hAnsi="Tahoma" w:cs="Tahoma"/>
          <w:bCs/>
          <w:sz w:val="24"/>
          <w:szCs w:val="24"/>
        </w:rPr>
      </w:pPr>
      <w:r w:rsidRPr="007403CD">
        <w:rPr>
          <w:rFonts w:ascii="Tahoma" w:eastAsia="+mn-ea" w:hAnsi="Tahoma" w:cs="Tahoma"/>
          <w:bCs/>
          <w:sz w:val="24"/>
          <w:szCs w:val="24"/>
        </w:rPr>
        <w:t>finanțarea unui pachet de reforme în domeniul muncii, al pensiilor, măsuri active de protecție privind grupurile defavorizate și cele vulnerabile;</w:t>
      </w:r>
    </w:p>
    <w:p w:rsidR="001F3032" w:rsidRPr="007403CD" w:rsidRDefault="00B009FE" w:rsidP="001F3032">
      <w:pPr>
        <w:pStyle w:val="ListParagraph"/>
        <w:keepNext/>
        <w:keepLines/>
        <w:numPr>
          <w:ilvl w:val="0"/>
          <w:numId w:val="40"/>
        </w:numPr>
        <w:shd w:val="clear" w:color="auto" w:fill="FFFFFF" w:themeFill="background1"/>
        <w:spacing w:after="120" w:line="276" w:lineRule="auto"/>
        <w:ind w:left="1208" w:hanging="357"/>
        <w:contextualSpacing w:val="0"/>
        <w:rPr>
          <w:rFonts w:ascii="Tahoma" w:eastAsia="+mn-ea" w:hAnsi="Tahoma" w:cs="Tahoma"/>
          <w:bCs/>
          <w:sz w:val="24"/>
          <w:szCs w:val="24"/>
        </w:rPr>
      </w:pPr>
      <w:r w:rsidRPr="007403CD">
        <w:rPr>
          <w:rFonts w:ascii="Tahoma" w:eastAsia="+mn-ea" w:hAnsi="Tahoma" w:cs="Tahoma"/>
          <w:bCs/>
          <w:sz w:val="24"/>
          <w:szCs w:val="24"/>
        </w:rPr>
        <w:t>c</w:t>
      </w:r>
      <w:r w:rsidR="001F3032" w:rsidRPr="007403CD">
        <w:rPr>
          <w:rFonts w:ascii="Tahoma" w:eastAsia="+mn-ea" w:hAnsi="Tahoma" w:cs="Tahoma"/>
          <w:bCs/>
          <w:sz w:val="24"/>
          <w:szCs w:val="24"/>
        </w:rPr>
        <w:t xml:space="preserve">onsolidarea bugetării pe programe pe bază de indicatori de rezultat la toate nivelurile </w:t>
      </w:r>
      <w:r w:rsidR="00305729" w:rsidRPr="007403CD">
        <w:rPr>
          <w:rFonts w:ascii="Tahoma" w:eastAsia="+mn-ea" w:hAnsi="Tahoma" w:cs="Tahoma"/>
          <w:bCs/>
          <w:sz w:val="24"/>
          <w:szCs w:val="24"/>
        </w:rPr>
        <w:t>administrației</w:t>
      </w:r>
      <w:r w:rsidR="001F3032" w:rsidRPr="007403CD">
        <w:rPr>
          <w:rFonts w:ascii="Tahoma" w:eastAsia="+mn-ea" w:hAnsi="Tahoma" w:cs="Tahoma"/>
          <w:bCs/>
          <w:sz w:val="24"/>
          <w:szCs w:val="24"/>
        </w:rPr>
        <w:t xml:space="preserve"> publice centrale </w:t>
      </w:r>
      <w:r w:rsidR="00305729" w:rsidRPr="007403CD">
        <w:rPr>
          <w:rFonts w:ascii="Tahoma" w:eastAsia="+mn-ea" w:hAnsi="Tahoma" w:cs="Tahoma"/>
          <w:bCs/>
          <w:sz w:val="24"/>
          <w:szCs w:val="24"/>
        </w:rPr>
        <w:t>și</w:t>
      </w:r>
      <w:r w:rsidR="001F3032" w:rsidRPr="007403CD">
        <w:rPr>
          <w:rFonts w:ascii="Tahoma" w:eastAsia="+mn-ea" w:hAnsi="Tahoma" w:cs="Tahoma"/>
          <w:bCs/>
          <w:sz w:val="24"/>
          <w:szCs w:val="24"/>
        </w:rPr>
        <w:t xml:space="preserve"> locale care să permită </w:t>
      </w:r>
      <w:r w:rsidR="00305729" w:rsidRPr="007403CD">
        <w:rPr>
          <w:rFonts w:ascii="Tahoma" w:eastAsia="+mn-ea" w:hAnsi="Tahoma" w:cs="Tahoma"/>
          <w:bCs/>
          <w:sz w:val="24"/>
          <w:szCs w:val="24"/>
        </w:rPr>
        <w:t>transparență</w:t>
      </w:r>
      <w:r w:rsidR="001F3032" w:rsidRPr="007403CD">
        <w:rPr>
          <w:rFonts w:ascii="Tahoma" w:eastAsia="+mn-ea" w:hAnsi="Tahoma" w:cs="Tahoma"/>
          <w:bCs/>
          <w:sz w:val="24"/>
          <w:szCs w:val="24"/>
        </w:rPr>
        <w:t xml:space="preserve"> deplină a cheltuielilor publice, </w:t>
      </w:r>
      <w:r w:rsidR="00305729" w:rsidRPr="007403CD">
        <w:rPr>
          <w:rFonts w:ascii="Tahoma" w:eastAsia="+mn-ea" w:hAnsi="Tahoma" w:cs="Tahoma"/>
          <w:bCs/>
          <w:sz w:val="24"/>
          <w:szCs w:val="24"/>
        </w:rPr>
        <w:t>îmbunătățirea</w:t>
      </w:r>
      <w:r w:rsidR="001F3032" w:rsidRPr="007403CD">
        <w:rPr>
          <w:rFonts w:ascii="Tahoma" w:eastAsia="+mn-ea" w:hAnsi="Tahoma" w:cs="Tahoma"/>
          <w:bCs/>
          <w:sz w:val="24"/>
          <w:szCs w:val="24"/>
        </w:rPr>
        <w:t xml:space="preserve"> </w:t>
      </w:r>
      <w:r w:rsidR="00305729" w:rsidRPr="007403CD">
        <w:rPr>
          <w:rFonts w:ascii="Tahoma" w:eastAsia="+mn-ea" w:hAnsi="Tahoma" w:cs="Tahoma"/>
          <w:bCs/>
          <w:sz w:val="24"/>
          <w:szCs w:val="24"/>
        </w:rPr>
        <w:t>clarității</w:t>
      </w:r>
      <w:r w:rsidR="001F3032" w:rsidRPr="007403CD">
        <w:rPr>
          <w:rFonts w:ascii="Tahoma" w:eastAsia="+mn-ea" w:hAnsi="Tahoma" w:cs="Tahoma"/>
          <w:bCs/>
          <w:sz w:val="24"/>
          <w:szCs w:val="24"/>
        </w:rPr>
        <w:t xml:space="preserve"> şi </w:t>
      </w:r>
      <w:r w:rsidR="004F7090" w:rsidRPr="007403CD">
        <w:rPr>
          <w:rFonts w:ascii="Tahoma" w:eastAsia="+mn-ea" w:hAnsi="Tahoma" w:cs="Tahoma"/>
          <w:bCs/>
          <w:sz w:val="24"/>
          <w:szCs w:val="24"/>
        </w:rPr>
        <w:t>coerenței</w:t>
      </w:r>
      <w:r w:rsidR="001F3032" w:rsidRPr="007403CD">
        <w:rPr>
          <w:rFonts w:ascii="Tahoma" w:eastAsia="+mn-ea" w:hAnsi="Tahoma" w:cs="Tahoma"/>
          <w:bCs/>
          <w:sz w:val="24"/>
          <w:szCs w:val="24"/>
        </w:rPr>
        <w:t xml:space="preserve"> procesului de bugetare, prioritizarea politicilor sectoriale;</w:t>
      </w:r>
    </w:p>
    <w:p w:rsidR="001F3032" w:rsidRPr="007403CD" w:rsidRDefault="001F3032" w:rsidP="001F3032">
      <w:pPr>
        <w:pStyle w:val="ListParagraph"/>
        <w:keepNext/>
        <w:keepLines/>
        <w:numPr>
          <w:ilvl w:val="0"/>
          <w:numId w:val="40"/>
        </w:numPr>
        <w:shd w:val="clear" w:color="auto" w:fill="FFFFFF" w:themeFill="background1"/>
        <w:spacing w:after="120" w:line="276" w:lineRule="auto"/>
        <w:ind w:left="1208" w:hanging="357"/>
        <w:contextualSpacing w:val="0"/>
        <w:rPr>
          <w:rFonts w:ascii="Tahoma" w:eastAsia="+mn-ea" w:hAnsi="Tahoma" w:cs="Tahoma"/>
          <w:bCs/>
          <w:sz w:val="24"/>
          <w:szCs w:val="24"/>
        </w:rPr>
      </w:pPr>
      <w:r w:rsidRPr="007403CD">
        <w:rPr>
          <w:rFonts w:ascii="Tahoma" w:eastAsia="+mn-ea" w:hAnsi="Tahoma" w:cs="Tahoma"/>
          <w:bCs/>
          <w:sz w:val="24"/>
          <w:szCs w:val="24"/>
        </w:rPr>
        <w:t xml:space="preserve">întărirea </w:t>
      </w:r>
      <w:r w:rsidR="004F7090" w:rsidRPr="007403CD">
        <w:rPr>
          <w:rFonts w:ascii="Tahoma" w:eastAsia="+mn-ea" w:hAnsi="Tahoma" w:cs="Tahoma"/>
          <w:bCs/>
          <w:sz w:val="24"/>
          <w:szCs w:val="24"/>
        </w:rPr>
        <w:t>guvernanței</w:t>
      </w:r>
      <w:r w:rsidRPr="007403CD">
        <w:rPr>
          <w:rFonts w:ascii="Tahoma" w:eastAsia="+mn-ea" w:hAnsi="Tahoma" w:cs="Tahoma"/>
          <w:bCs/>
          <w:sz w:val="24"/>
          <w:szCs w:val="24"/>
        </w:rPr>
        <w:t xml:space="preserve"> corporative la companiile de stat în vederea </w:t>
      </w:r>
      <w:r w:rsidR="004F7090" w:rsidRPr="007403CD">
        <w:rPr>
          <w:rFonts w:ascii="Tahoma" w:eastAsia="+mn-ea" w:hAnsi="Tahoma" w:cs="Tahoma"/>
          <w:bCs/>
          <w:sz w:val="24"/>
          <w:szCs w:val="24"/>
        </w:rPr>
        <w:t>îmbunătățirii</w:t>
      </w:r>
      <w:r w:rsidRPr="007403CD">
        <w:rPr>
          <w:rFonts w:ascii="Tahoma" w:eastAsia="+mn-ea" w:hAnsi="Tahoma" w:cs="Tahoma"/>
          <w:bCs/>
          <w:sz w:val="24"/>
          <w:szCs w:val="24"/>
        </w:rPr>
        <w:t xml:space="preserve"> </w:t>
      </w:r>
      <w:r w:rsidR="004F7090" w:rsidRPr="007403CD">
        <w:rPr>
          <w:rFonts w:ascii="Tahoma" w:eastAsia="+mn-ea" w:hAnsi="Tahoma" w:cs="Tahoma"/>
          <w:bCs/>
          <w:sz w:val="24"/>
          <w:szCs w:val="24"/>
        </w:rPr>
        <w:t>performanței</w:t>
      </w:r>
      <w:r w:rsidRPr="007403CD">
        <w:rPr>
          <w:rFonts w:ascii="Tahoma" w:eastAsia="+mn-ea" w:hAnsi="Tahoma" w:cs="Tahoma"/>
          <w:bCs/>
          <w:sz w:val="24"/>
          <w:szCs w:val="24"/>
        </w:rPr>
        <w:t xml:space="preserve"> acestora, prin utilizarea celor mai bune practici la nivel european.</w:t>
      </w:r>
    </w:p>
    <w:p w:rsidR="00E3539E" w:rsidRPr="007403CD" w:rsidRDefault="007C4F03" w:rsidP="001F3032">
      <w:pPr>
        <w:keepNext/>
        <w:keepLines/>
        <w:spacing w:after="240" w:line="276" w:lineRule="auto"/>
        <w:ind w:firstLine="0"/>
        <w:rPr>
          <w:rFonts w:ascii="Tahoma" w:hAnsi="Tahoma" w:cs="Tahoma"/>
          <w:b/>
          <w:bCs/>
          <w:sz w:val="24"/>
          <w:szCs w:val="24"/>
        </w:rPr>
      </w:pPr>
      <w:r w:rsidRPr="007403CD">
        <w:rPr>
          <w:rFonts w:ascii="Tahoma" w:hAnsi="Tahoma" w:cs="Tahoma"/>
          <w:b/>
          <w:bCs/>
          <w:sz w:val="24"/>
          <w:szCs w:val="24"/>
        </w:rPr>
        <w:t xml:space="preserve">Principalele măsuri </w:t>
      </w:r>
      <w:r w:rsidR="008A09B8" w:rsidRPr="007403CD">
        <w:rPr>
          <w:rFonts w:ascii="Tahoma" w:hAnsi="Tahoma" w:cs="Tahoma"/>
          <w:b/>
          <w:bCs/>
          <w:sz w:val="24"/>
          <w:szCs w:val="24"/>
        </w:rPr>
        <w:t>avute în vedere la elabora</w:t>
      </w:r>
      <w:r w:rsidR="001D00F4" w:rsidRPr="007403CD">
        <w:rPr>
          <w:rFonts w:ascii="Tahoma" w:hAnsi="Tahoma" w:cs="Tahoma"/>
          <w:b/>
          <w:bCs/>
          <w:sz w:val="24"/>
          <w:szCs w:val="24"/>
        </w:rPr>
        <w:t xml:space="preserve">rea </w:t>
      </w:r>
      <w:r w:rsidRPr="007403CD">
        <w:rPr>
          <w:rFonts w:ascii="Tahoma" w:hAnsi="Tahoma" w:cs="Tahoma"/>
          <w:b/>
          <w:bCs/>
          <w:sz w:val="24"/>
          <w:szCs w:val="24"/>
        </w:rPr>
        <w:t>bugetul</w:t>
      </w:r>
      <w:r w:rsidR="001D00F4" w:rsidRPr="007403CD">
        <w:rPr>
          <w:rFonts w:ascii="Tahoma" w:hAnsi="Tahoma" w:cs="Tahoma"/>
          <w:b/>
          <w:bCs/>
          <w:sz w:val="24"/>
          <w:szCs w:val="24"/>
        </w:rPr>
        <w:t>ui</w:t>
      </w:r>
      <w:r w:rsidRPr="007403CD">
        <w:rPr>
          <w:rFonts w:ascii="Tahoma" w:hAnsi="Tahoma" w:cs="Tahoma"/>
          <w:b/>
          <w:bCs/>
          <w:sz w:val="24"/>
          <w:szCs w:val="24"/>
        </w:rPr>
        <w:t xml:space="preserve"> pe anul </w:t>
      </w:r>
      <w:r w:rsidR="00DC7F79" w:rsidRPr="007403CD">
        <w:rPr>
          <w:rFonts w:ascii="Tahoma" w:hAnsi="Tahoma" w:cs="Tahoma"/>
          <w:b/>
          <w:bCs/>
          <w:sz w:val="24"/>
          <w:szCs w:val="24"/>
        </w:rPr>
        <w:t>20</w:t>
      </w:r>
      <w:r w:rsidR="00605688" w:rsidRPr="007403CD">
        <w:rPr>
          <w:rFonts w:ascii="Tahoma" w:hAnsi="Tahoma" w:cs="Tahoma"/>
          <w:b/>
          <w:bCs/>
          <w:sz w:val="24"/>
          <w:szCs w:val="24"/>
        </w:rPr>
        <w:t>2</w:t>
      </w:r>
      <w:r w:rsidR="001F3032" w:rsidRPr="007403CD">
        <w:rPr>
          <w:rFonts w:ascii="Tahoma" w:hAnsi="Tahoma" w:cs="Tahoma"/>
          <w:b/>
          <w:bCs/>
          <w:sz w:val="24"/>
          <w:szCs w:val="24"/>
        </w:rPr>
        <w:t>2</w:t>
      </w:r>
      <w:r w:rsidRPr="007403CD">
        <w:rPr>
          <w:rFonts w:ascii="Tahoma" w:hAnsi="Tahoma" w:cs="Tahoma"/>
          <w:b/>
          <w:bCs/>
          <w:sz w:val="24"/>
          <w:szCs w:val="24"/>
        </w:rPr>
        <w:t>:</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Menținerea în anul 2022 a cuantumului brut al salariilor și sporurilor de care beneficiază personalul din administrația publică centrală și locală, inclusiv </w:t>
      </w:r>
      <w:r w:rsidRPr="007403CD">
        <w:rPr>
          <w:rFonts w:ascii="Tahoma" w:eastAsia="SimSun" w:hAnsi="Tahoma" w:cs="Tahoma"/>
          <w:kern w:val="3"/>
          <w:sz w:val="24"/>
          <w:szCs w:val="24"/>
          <w:lang w:eastAsia="zh-CN" w:bidi="hi-IN"/>
        </w:rPr>
        <w:lastRenderedPageBreak/>
        <w:t>personalul care ocupă funcții de demnitate publică și funcții asimilate acestora, la nivelul acordat pentru luna decembrie 2021. Prin excepție de la această regulă, pentru personalul care ocupă funcțiile prevăzute în anexa nr.</w:t>
      </w:r>
      <w:r w:rsidR="00C26FE2">
        <w:rPr>
          <w:rFonts w:ascii="Tahoma" w:eastAsia="SimSun" w:hAnsi="Tahoma" w:cs="Tahoma"/>
          <w:kern w:val="3"/>
          <w:sz w:val="24"/>
          <w:szCs w:val="24"/>
          <w:lang w:eastAsia="zh-CN" w:bidi="hi-IN"/>
        </w:rPr>
        <w:t xml:space="preserve"> </w:t>
      </w:r>
      <w:r w:rsidRPr="007403CD">
        <w:rPr>
          <w:rFonts w:ascii="Tahoma" w:eastAsia="SimSun" w:hAnsi="Tahoma" w:cs="Tahoma"/>
          <w:kern w:val="3"/>
          <w:sz w:val="24"/>
          <w:szCs w:val="24"/>
          <w:lang w:eastAsia="zh-CN" w:bidi="hi-IN"/>
        </w:rPr>
        <w:t xml:space="preserve">II „Familia ocupațională de funcții bugetare Sănătate și asistență socială” la Legea-cadru nr.153/2017, cu modificările și completările ulterioare, începând cu 1 ianuarie 2022 salariile de bază se majorează cu ¼ din diferența dintre salariul de bază prevăzut de Legea-cadru nr.153/2017, cu modificările și completările ulterioare pentru anul 2022 și cel din luna decembrie 2021. </w:t>
      </w:r>
      <w:r w:rsidRPr="007403CD">
        <w:rPr>
          <w:rFonts w:ascii="Tahoma" w:eastAsia="Calibri" w:hAnsi="Tahoma" w:cs="Tahoma"/>
          <w:sz w:val="24"/>
          <w:szCs w:val="24"/>
        </w:rPr>
        <w:t xml:space="preserve">De asemenea, </w:t>
      </w:r>
      <w:r w:rsidRPr="007403CD">
        <w:rPr>
          <w:rFonts w:ascii="Tahoma" w:eastAsia="SimSun" w:hAnsi="Tahoma" w:cs="Tahoma"/>
          <w:bCs/>
          <w:kern w:val="3"/>
          <w:sz w:val="24"/>
          <w:szCs w:val="24"/>
          <w:lang w:eastAsia="zh-CN" w:bidi="hi-IN"/>
        </w:rPr>
        <w:t xml:space="preserve">pentru personalul didactic de predare, personalul didactic auxiliar, personalul didactic de conducere şi personalul de îndrumare şi control din </w:t>
      </w:r>
      <w:r w:rsidR="00AC6679" w:rsidRPr="007403CD">
        <w:rPr>
          <w:rFonts w:ascii="Tahoma" w:eastAsia="SimSun" w:hAnsi="Tahoma" w:cs="Tahoma"/>
          <w:bCs/>
          <w:kern w:val="3"/>
          <w:sz w:val="24"/>
          <w:szCs w:val="24"/>
          <w:lang w:eastAsia="zh-CN" w:bidi="hi-IN"/>
        </w:rPr>
        <w:t>învățământ</w:t>
      </w:r>
      <w:r w:rsidRPr="007403CD">
        <w:rPr>
          <w:rFonts w:ascii="Tahoma" w:eastAsia="SimSun" w:hAnsi="Tahoma" w:cs="Tahoma"/>
          <w:bCs/>
          <w:kern w:val="3"/>
          <w:sz w:val="24"/>
          <w:szCs w:val="24"/>
          <w:lang w:eastAsia="zh-CN" w:bidi="hi-IN"/>
        </w:rPr>
        <w:t xml:space="preserve">, începând cu data de 1 ianuarie 2022 salariile de bază se majorează cu ¼ din </w:t>
      </w:r>
      <w:r w:rsidR="00AC6679" w:rsidRPr="007403CD">
        <w:rPr>
          <w:rFonts w:ascii="Tahoma" w:eastAsia="SimSun" w:hAnsi="Tahoma" w:cs="Tahoma"/>
          <w:bCs/>
          <w:kern w:val="3"/>
          <w:sz w:val="24"/>
          <w:szCs w:val="24"/>
          <w:lang w:eastAsia="zh-CN" w:bidi="hi-IN"/>
        </w:rPr>
        <w:t>diferența</w:t>
      </w:r>
      <w:r w:rsidRPr="007403CD">
        <w:rPr>
          <w:rFonts w:ascii="Tahoma" w:eastAsia="SimSun" w:hAnsi="Tahoma" w:cs="Tahoma"/>
          <w:bCs/>
          <w:kern w:val="3"/>
          <w:sz w:val="24"/>
          <w:szCs w:val="24"/>
          <w:lang w:eastAsia="zh-CN" w:bidi="hi-IN"/>
        </w:rPr>
        <w:t xml:space="preserve"> dintre salariul de bază prevăzut de Legea-cadru nr.153/2017, cu modificările și completările ulterioare pentru anul 2022 şi cel din luna decembrie 2021</w:t>
      </w:r>
      <w:r w:rsidRPr="007403CD">
        <w:rPr>
          <w:rFonts w:ascii="Tahoma" w:eastAsia="SimSun" w:hAnsi="Tahoma" w:cs="Tahoma"/>
          <w:kern w:val="3"/>
          <w:sz w:val="24"/>
          <w:szCs w:val="24"/>
          <w:lang w:eastAsia="zh-CN" w:bidi="hi-IN"/>
        </w:rPr>
        <w:t>;</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Menținerea în anul 2022 a cuantumului indemnizației de hrană la nivelul din anul 2021 (4.160 </w:t>
      </w:r>
      <w:r w:rsidR="003A634F">
        <w:rPr>
          <w:rFonts w:ascii="Tahoma" w:eastAsia="SimSun" w:hAnsi="Tahoma" w:cs="Tahoma"/>
          <w:kern w:val="3"/>
          <w:sz w:val="24"/>
          <w:szCs w:val="24"/>
          <w:lang w:eastAsia="zh-CN" w:bidi="hi-IN"/>
        </w:rPr>
        <w:t>lei</w:t>
      </w:r>
      <w:r w:rsidRPr="007403CD">
        <w:rPr>
          <w:rFonts w:ascii="Tahoma" w:eastAsia="SimSun" w:hAnsi="Tahoma" w:cs="Tahoma"/>
          <w:kern w:val="3"/>
          <w:sz w:val="24"/>
          <w:szCs w:val="24"/>
          <w:lang w:eastAsia="zh-CN" w:bidi="hi-IN"/>
        </w:rPr>
        <w:t>/an);</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Acordarea în anul 2022 a voucherelor de vacanță în cuantum de 1.450 </w:t>
      </w:r>
      <w:r w:rsidR="003A634F">
        <w:rPr>
          <w:rFonts w:ascii="Tahoma" w:eastAsia="SimSun" w:hAnsi="Tahoma" w:cs="Tahoma"/>
          <w:kern w:val="3"/>
          <w:sz w:val="24"/>
          <w:szCs w:val="24"/>
          <w:lang w:eastAsia="zh-CN" w:bidi="hi-IN"/>
        </w:rPr>
        <w:t>lei</w:t>
      </w:r>
      <w:r w:rsidRPr="007403CD">
        <w:rPr>
          <w:rFonts w:ascii="Tahoma" w:eastAsia="SimSun" w:hAnsi="Tahoma" w:cs="Tahoma"/>
          <w:kern w:val="3"/>
          <w:sz w:val="24"/>
          <w:szCs w:val="24"/>
          <w:lang w:eastAsia="zh-CN" w:bidi="hi-IN"/>
        </w:rPr>
        <w:t xml:space="preserve"> pentru personalul plătit din fonduri publice și prorogarea în anul 2023 a prevederilor referitoare la acordarea indemnizației de vacanță;</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Menținerea în anul 2022 a indemnizației de merit la nivelul stabilit pentru anul 2021 (6.240 </w:t>
      </w:r>
      <w:r w:rsidR="003A634F">
        <w:rPr>
          <w:rFonts w:ascii="Tahoma" w:eastAsia="SimSun" w:hAnsi="Tahoma" w:cs="Tahoma"/>
          <w:kern w:val="3"/>
          <w:sz w:val="24"/>
          <w:szCs w:val="24"/>
          <w:lang w:eastAsia="zh-CN" w:bidi="hi-IN"/>
        </w:rPr>
        <w:t>lei</w:t>
      </w:r>
      <w:r w:rsidRPr="007403CD">
        <w:rPr>
          <w:rFonts w:ascii="Tahoma" w:eastAsia="SimSun" w:hAnsi="Tahoma" w:cs="Tahoma"/>
          <w:kern w:val="3"/>
          <w:sz w:val="24"/>
          <w:szCs w:val="24"/>
          <w:lang w:eastAsia="zh-CN" w:bidi="hi-IN"/>
        </w:rPr>
        <w:t>/lună);</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hAnsi="Tahoma" w:cs="Tahoma"/>
          <w:kern w:val="1"/>
          <w:sz w:val="24"/>
          <w:szCs w:val="24"/>
          <w:lang w:eastAsia="ro-RO"/>
        </w:rPr>
        <w:t>Prorogarea până în anul 2023 a prevederilor Legii educației naționale nr.1/2011, cu privire la alocarea de la bugetul de stat și bugetele locale a echivalentului a 6% din produsul intern brut și acordarea din fonduri publice a 1% din produsul intern brut pentru cercetare – măsură prevăzută și în Ordonanța Guvernului nr.57/2002 privind cercetarea științifică și dezvoltarea tehnologică;</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hAnsi="Tahoma" w:cs="Tahoma"/>
          <w:kern w:val="1"/>
          <w:sz w:val="24"/>
          <w:szCs w:val="24"/>
          <w:lang w:eastAsia="ro-RO"/>
        </w:rPr>
        <w:t xml:space="preserve">Prorogarea până în anul 2023 a măsurii de acordare a sumei reprezentând echivalentul în </w:t>
      </w:r>
      <w:r w:rsidR="003A634F">
        <w:rPr>
          <w:rFonts w:ascii="Tahoma" w:hAnsi="Tahoma" w:cs="Tahoma"/>
          <w:kern w:val="1"/>
          <w:sz w:val="24"/>
          <w:szCs w:val="24"/>
          <w:lang w:eastAsia="ro-RO"/>
        </w:rPr>
        <w:t>lei</w:t>
      </w:r>
      <w:r w:rsidRPr="007403CD">
        <w:rPr>
          <w:rFonts w:ascii="Tahoma" w:hAnsi="Tahoma" w:cs="Tahoma"/>
          <w:kern w:val="1"/>
          <w:sz w:val="24"/>
          <w:szCs w:val="24"/>
          <w:lang w:eastAsia="ro-RO"/>
        </w:rPr>
        <w:t xml:space="preserve"> a 500 euro, fiecărui copil cetățean român și a cupoanelor sociale pentru educație;</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Prorogarea </w:t>
      </w:r>
      <w:r w:rsidRPr="007403CD">
        <w:rPr>
          <w:rFonts w:ascii="Tahoma" w:eastAsia="SimSun" w:hAnsi="Tahoma" w:cs="Tahoma"/>
          <w:sz w:val="24"/>
          <w:szCs w:val="24"/>
          <w:lang w:eastAsia="zh-CN" w:bidi="hi-IN"/>
        </w:rPr>
        <w:t>termenului de intrare în vigoare a Legii nr.196/2016</w:t>
      </w:r>
      <w:r w:rsidRPr="007403CD">
        <w:rPr>
          <w:rFonts w:ascii="Tahoma" w:hAnsi="Tahoma" w:cs="Tahoma"/>
          <w:kern w:val="1"/>
          <w:sz w:val="24"/>
          <w:szCs w:val="24"/>
          <w:lang w:eastAsia="ro-RO"/>
        </w:rPr>
        <w:t xml:space="preserve"> privind venitul minim de incluziune</w:t>
      </w:r>
      <w:r w:rsidRPr="007403CD">
        <w:rPr>
          <w:rFonts w:ascii="Tahoma" w:eastAsia="SimSun" w:hAnsi="Tahoma" w:cs="Tahoma"/>
          <w:sz w:val="24"/>
          <w:szCs w:val="24"/>
          <w:lang w:eastAsia="zh-CN" w:bidi="hi-IN"/>
        </w:rPr>
        <w:t>.</w:t>
      </w:r>
      <w:r w:rsidRPr="007403CD">
        <w:rPr>
          <w:rFonts w:ascii="Tahoma" w:hAnsi="Tahoma" w:cs="Tahoma"/>
          <w:kern w:val="1"/>
          <w:sz w:val="24"/>
          <w:szCs w:val="24"/>
          <w:lang w:eastAsia="ro-RO"/>
        </w:rPr>
        <w:t xml:space="preserve"> În contextul imposibilității aplicării Legii nr.196/2016, este necesară menținerea aplicării Legii nr.416/2001 privind venitul minim garantat, pentru o perioadă de minim 1 an, pentru a nu afecta familiile și persoanele singure beneficiare ale ajutorului social și pentru a evita crearea unor noi probleme sociale prin creșterea riscului de excluziune socială, ținând seama și de contextul social și economic actual;</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hAnsi="Tahoma" w:cs="Tahoma"/>
          <w:kern w:val="1"/>
          <w:sz w:val="24"/>
          <w:szCs w:val="24"/>
          <w:lang w:eastAsia="ro-RO"/>
        </w:rPr>
        <w:t xml:space="preserve">Prorogarea până în anul 2023 a măsurii de acordare </w:t>
      </w:r>
      <w:r w:rsidRPr="007403CD">
        <w:rPr>
          <w:rFonts w:ascii="Tahoma" w:eastAsia="SimSun" w:hAnsi="Tahoma" w:cs="Tahoma"/>
          <w:kern w:val="3"/>
          <w:sz w:val="24"/>
          <w:szCs w:val="24"/>
          <w:lang w:eastAsia="zh-CN" w:bidi="hi-IN"/>
        </w:rPr>
        <w:t>a indemnizației pentru limită de vârstă pentru primari, viceprimari, președinți şi vicepreședinți ai consiliilor județene;</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hAnsi="Tahoma" w:cs="Tahoma"/>
          <w:kern w:val="1"/>
          <w:sz w:val="24"/>
          <w:szCs w:val="24"/>
          <w:lang w:eastAsia="ro-RO"/>
        </w:rPr>
        <w:t>Neacordarea de tichete cadou și tichete culturale;</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hAnsi="Tahoma" w:cs="Tahoma"/>
          <w:kern w:val="1"/>
          <w:sz w:val="24"/>
          <w:szCs w:val="24"/>
          <w:lang w:eastAsia="ro-RO"/>
        </w:rPr>
        <w:lastRenderedPageBreak/>
        <w:t>Neacordarea de premii personalului din sectorul bugetar;</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hAnsi="Tahoma" w:cs="Tahoma"/>
          <w:kern w:val="1"/>
          <w:sz w:val="24"/>
          <w:szCs w:val="24"/>
          <w:lang w:eastAsia="ro-RO"/>
        </w:rPr>
        <w:t>Compensarea timpului lucrat peste programul normal de lucru exclusiv cu timp liber corespunzător;</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Menținerea bazei de calcul pentru unele drepturi de care beneficiază personalul militar, polițiștii și polițiștii de penitenciare la nivelul anului 2021;</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Neactualizare normei de hrană și echipament de care beneficiază personalul din sectorul de apărare, ordine publică și securitate națională;</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Plata eșalonată a hotărârilor judecătorești având ca obiect acordarea de drepturi salariale personalului din sectorul bugetar;</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Neacordarea </w:t>
      </w:r>
      <w:r w:rsidR="00C26FE2" w:rsidRPr="007403CD">
        <w:rPr>
          <w:rFonts w:ascii="Tahoma" w:eastAsia="SimSun" w:hAnsi="Tahoma" w:cs="Tahoma"/>
          <w:kern w:val="3"/>
          <w:sz w:val="24"/>
          <w:szCs w:val="24"/>
          <w:lang w:eastAsia="zh-CN" w:bidi="hi-IN"/>
        </w:rPr>
        <w:t>indemnizațiilor</w:t>
      </w:r>
      <w:r w:rsidRPr="007403CD">
        <w:rPr>
          <w:rFonts w:ascii="Tahoma" w:eastAsia="SimSun" w:hAnsi="Tahoma" w:cs="Tahoma"/>
          <w:kern w:val="3"/>
          <w:sz w:val="24"/>
          <w:szCs w:val="24"/>
          <w:lang w:eastAsia="zh-CN" w:bidi="hi-IN"/>
        </w:rPr>
        <w:t xml:space="preserve"> la </w:t>
      </w:r>
      <w:r w:rsidR="00C26FE2" w:rsidRPr="007403CD">
        <w:rPr>
          <w:rFonts w:ascii="Tahoma" w:eastAsia="SimSun" w:hAnsi="Tahoma" w:cs="Tahoma"/>
          <w:kern w:val="3"/>
          <w:sz w:val="24"/>
          <w:szCs w:val="24"/>
          <w:lang w:eastAsia="zh-CN" w:bidi="hi-IN"/>
        </w:rPr>
        <w:t>ieșirea</w:t>
      </w:r>
      <w:r w:rsidRPr="007403CD">
        <w:rPr>
          <w:rFonts w:ascii="Tahoma" w:eastAsia="SimSun" w:hAnsi="Tahoma" w:cs="Tahoma"/>
          <w:kern w:val="3"/>
          <w:sz w:val="24"/>
          <w:szCs w:val="24"/>
          <w:lang w:eastAsia="zh-CN" w:bidi="hi-IN"/>
        </w:rPr>
        <w:t xml:space="preserve"> la pensie, retragere, încetarea raporturilor de serviciu ori la trecerea în rezervă pentru anumite categorii de personal bugetar (cadre militare, polițiști, polițiști de penitenciare, magistrați, personal auxiliar din justiție, funcționari publici parlamentari);</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Amânarea intrării în vigoare a prevederilor Legii nr. 195/2020 care aprobă pentru personalul feroviar, atât din cadrul instituțiilor publice cât și din cadrul operatorilor economici cu capital majoritar de stat, drepturi de natură salarială și de asistență socială cu impact asupra bugetului de stat generat, în principal, de creșterea compensației serviciului public de transport feroviar de călători și a cheltuielilor cu administrarea infrastructurii feroviare;</w:t>
      </w:r>
    </w:p>
    <w:p w:rsidR="001F3032" w:rsidRPr="007403CD" w:rsidRDefault="00C26FE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Menținerea</w:t>
      </w:r>
      <w:r w:rsidR="001F3032" w:rsidRPr="007403CD">
        <w:rPr>
          <w:rFonts w:ascii="Tahoma" w:eastAsia="SimSun" w:hAnsi="Tahoma" w:cs="Tahoma"/>
          <w:kern w:val="3"/>
          <w:sz w:val="24"/>
          <w:szCs w:val="24"/>
          <w:lang w:eastAsia="zh-CN" w:bidi="hi-IN"/>
        </w:rPr>
        <w:t xml:space="preserve"> în plată la nivelul acordat/cuvenit pentru luna decembrie 2021 a unor indemnizații/ajutoare cu caracter reparatoriu stabilite prin legi speciale (revoluționari, persecutați, etc), precum și a indemnizațiilor academicienilor, urmașilor acestora;</w:t>
      </w:r>
    </w:p>
    <w:p w:rsidR="001F3032" w:rsidRPr="007403CD" w:rsidRDefault="001F3032" w:rsidP="00B009FE">
      <w:pPr>
        <w:widowControl w:val="0"/>
        <w:numPr>
          <w:ilvl w:val="0"/>
          <w:numId w:val="41"/>
        </w:numPr>
        <w:suppressAutoHyphens/>
        <w:autoSpaceDN w:val="0"/>
        <w:spacing w:after="120" w:line="276" w:lineRule="auto"/>
        <w:rPr>
          <w:rFonts w:ascii="Tahoma" w:eastAsia="SimSun" w:hAnsi="Tahoma" w:cs="Tahoma"/>
          <w:kern w:val="3"/>
          <w:sz w:val="24"/>
          <w:szCs w:val="24"/>
          <w:lang w:eastAsia="zh-CN" w:bidi="hi-IN"/>
        </w:rPr>
      </w:pPr>
      <w:r w:rsidRPr="007403CD">
        <w:rPr>
          <w:rFonts w:ascii="Tahoma" w:eastAsia="SimSun" w:hAnsi="Tahoma" w:cs="Tahoma"/>
          <w:kern w:val="3"/>
          <w:sz w:val="24"/>
          <w:szCs w:val="24"/>
          <w:lang w:eastAsia="zh-CN" w:bidi="hi-IN"/>
        </w:rPr>
        <w:t xml:space="preserve">În anul 2022, rentele viagere prevăzute la art. 64 din Legea </w:t>
      </w:r>
      <w:r w:rsidR="00C26FE2" w:rsidRPr="007403CD">
        <w:rPr>
          <w:rFonts w:ascii="Tahoma" w:eastAsia="SimSun" w:hAnsi="Tahoma" w:cs="Tahoma"/>
          <w:kern w:val="3"/>
          <w:sz w:val="24"/>
          <w:szCs w:val="24"/>
          <w:lang w:eastAsia="zh-CN" w:bidi="hi-IN"/>
        </w:rPr>
        <w:t>educației</w:t>
      </w:r>
      <w:r w:rsidRPr="007403CD">
        <w:rPr>
          <w:rFonts w:ascii="Tahoma" w:eastAsia="SimSun" w:hAnsi="Tahoma" w:cs="Tahoma"/>
          <w:kern w:val="3"/>
          <w:sz w:val="24"/>
          <w:szCs w:val="24"/>
          <w:lang w:eastAsia="zh-CN" w:bidi="hi-IN"/>
        </w:rPr>
        <w:t xml:space="preserve"> fizice şi sportului nr. 69/2000, cu modificările şi completările ulterioare, se acordă în cuantumul aflat în plată în luna decembrie 2021;</w:t>
      </w:r>
    </w:p>
    <w:p w:rsidR="00D246D6" w:rsidRPr="007403CD" w:rsidRDefault="00D246D6" w:rsidP="002A6579">
      <w:pPr>
        <w:spacing w:line="276" w:lineRule="auto"/>
        <w:rPr>
          <w:rFonts w:ascii="Tahoma" w:hAnsi="Tahoma" w:cs="Tahoma"/>
          <w:sz w:val="24"/>
          <w:szCs w:val="24"/>
          <w:lang w:eastAsia="ro-RO"/>
        </w:rPr>
      </w:pPr>
    </w:p>
    <w:p w:rsidR="00593AD9" w:rsidRPr="007403CD" w:rsidRDefault="001069C2" w:rsidP="002A6579">
      <w:pPr>
        <w:keepNext/>
        <w:keepLines/>
        <w:spacing w:line="276" w:lineRule="auto"/>
        <w:ind w:firstLine="680"/>
        <w:jc w:val="center"/>
        <w:rPr>
          <w:rFonts w:ascii="Tahoma" w:hAnsi="Tahoma" w:cs="Tahoma"/>
          <w:b/>
          <w:bCs/>
          <w:sz w:val="24"/>
          <w:szCs w:val="24"/>
        </w:rPr>
      </w:pPr>
      <w:r w:rsidRPr="007403CD">
        <w:rPr>
          <w:rFonts w:ascii="Tahoma" w:hAnsi="Tahoma" w:cs="Tahoma"/>
          <w:b/>
          <w:bCs/>
          <w:sz w:val="24"/>
          <w:szCs w:val="24"/>
        </w:rPr>
        <w:t xml:space="preserve">Măsuri destinate îmbunătățirii nivelului de colectare a veniturilor bugetare avute în vedere de către Agenția Națională de Administrare Fiscală </w:t>
      </w:r>
    </w:p>
    <w:p w:rsidR="00D35F1F" w:rsidRPr="007403CD" w:rsidRDefault="00D35F1F" w:rsidP="0025224B">
      <w:pPr>
        <w:suppressAutoHyphens/>
        <w:spacing w:after="120" w:line="276" w:lineRule="auto"/>
        <w:ind w:firstLine="0"/>
        <w:rPr>
          <w:rFonts w:ascii="Tahoma" w:eastAsia="SimSun" w:hAnsi="Tahoma" w:cs="Tahoma"/>
          <w:sz w:val="24"/>
          <w:szCs w:val="24"/>
        </w:rPr>
      </w:pPr>
      <w:bookmarkStart w:id="14" w:name="_Toc299543080"/>
      <w:bookmarkStart w:id="15" w:name="_Toc425320858"/>
      <w:bookmarkStart w:id="16" w:name="_Toc425428327"/>
      <w:bookmarkStart w:id="17" w:name="_Toc456256137"/>
      <w:bookmarkStart w:id="18" w:name="_Toc456256934"/>
      <w:bookmarkStart w:id="19" w:name="_Toc456257458"/>
      <w:bookmarkStart w:id="20" w:name="_Toc456258316"/>
      <w:bookmarkStart w:id="21" w:name="_Toc456258421"/>
      <w:r w:rsidRPr="007403CD">
        <w:rPr>
          <w:rFonts w:ascii="Tahoma" w:eastAsia="SimSun" w:hAnsi="Tahoma" w:cs="Tahoma"/>
          <w:sz w:val="24"/>
          <w:szCs w:val="24"/>
        </w:rPr>
        <w:t xml:space="preserve">În ceea ce privește măsurile pe care </w:t>
      </w:r>
      <w:r w:rsidRPr="007403CD">
        <w:rPr>
          <w:rFonts w:ascii="Tahoma" w:eastAsia="SimSun" w:hAnsi="Tahoma" w:cs="Tahoma"/>
          <w:b/>
          <w:bCs/>
          <w:sz w:val="24"/>
          <w:szCs w:val="24"/>
        </w:rPr>
        <w:t xml:space="preserve">Agenția Națională de Administrare Fiscală </w:t>
      </w:r>
      <w:r w:rsidRPr="007403CD">
        <w:rPr>
          <w:rFonts w:ascii="Tahoma" w:eastAsia="SimSun" w:hAnsi="Tahoma" w:cs="Tahoma"/>
          <w:sz w:val="24"/>
          <w:szCs w:val="24"/>
        </w:rPr>
        <w:t xml:space="preserve">și le propune pentru continuarea trendului favorabil al încasării veniturilor bugetare, menționăm că se continuă procesul de reformă și modernizare, implementarea planurilor de eficientizare a activității și, nu în ultimul rând, colaborarea eficientă pe plan internațional și deschiderea către bunele practici adoptate de alte state. Pe termen mediu și lung se dorește transformarea ANAF într-o instituție inovatoare și capabilă să răspundă provocărilor mediului extern. În acest sens, se continuă parteneriatului cu contribuabilii, mediul academic și mediul de afaceri, adoptarea de soluții digitale </w:t>
      </w:r>
      <w:r w:rsidRPr="007403CD">
        <w:rPr>
          <w:rFonts w:ascii="Tahoma" w:eastAsia="SimSun" w:hAnsi="Tahoma" w:cs="Tahoma"/>
          <w:sz w:val="24"/>
          <w:szCs w:val="24"/>
        </w:rPr>
        <w:lastRenderedPageBreak/>
        <w:t>integrate, eficiență și transparență și, nu în ultimul rând, prevenirea și combaterea evaziunii fiscale.</w:t>
      </w:r>
    </w:p>
    <w:p w:rsidR="00D35F1F" w:rsidRPr="007403CD" w:rsidRDefault="00D35F1F" w:rsidP="0025224B">
      <w:pPr>
        <w:suppressAutoHyphens/>
        <w:spacing w:after="120" w:line="276" w:lineRule="auto"/>
        <w:ind w:firstLine="0"/>
        <w:rPr>
          <w:rFonts w:ascii="Tahoma" w:eastAsia="SimSun" w:hAnsi="Tahoma" w:cs="Tahoma"/>
          <w:sz w:val="24"/>
          <w:szCs w:val="24"/>
        </w:rPr>
      </w:pPr>
      <w:r w:rsidRPr="007403CD">
        <w:rPr>
          <w:rFonts w:ascii="Tahoma" w:eastAsia="SimSun" w:hAnsi="Tahoma" w:cs="Tahoma"/>
          <w:sz w:val="24"/>
          <w:szCs w:val="24"/>
        </w:rPr>
        <w:t xml:space="preserve">Planul Național de Redresare și Reziliență (PNRR), document strategic dezvoltat în cursul anului 2021 reprezintă </w:t>
      </w:r>
      <w:r w:rsidRPr="007403CD">
        <w:rPr>
          <w:rFonts w:ascii="Tahoma" w:eastAsia="SimSun" w:hAnsi="Tahoma" w:cs="Tahoma"/>
          <w:iCs/>
          <w:sz w:val="24"/>
          <w:szCs w:val="24"/>
        </w:rPr>
        <w:t xml:space="preserve">un </w:t>
      </w:r>
      <w:r w:rsidRPr="007403CD">
        <w:rPr>
          <w:rFonts w:ascii="Tahoma" w:eastAsia="SimSun" w:hAnsi="Tahoma" w:cs="Tahoma"/>
          <w:sz w:val="24"/>
          <w:szCs w:val="24"/>
        </w:rPr>
        <w:t>cadru de excelență pentru dezvoltarea unei serii de reforme structurale care vor remodela administrația fiscală și contextul în care aceasta evoluează. Prin intermediul PNRR se vor realiza măsuri de reformă complexă, de natură legală și organizatorică, care promovează schimbarea, sprijinite de o serie de investiții în digitalizare cu obiectivul final de modernizare și digitalizare a ANAF, astfel încât:</w:t>
      </w:r>
    </w:p>
    <w:p w:rsidR="00D35F1F" w:rsidRPr="007403CD" w:rsidRDefault="00D35F1F" w:rsidP="0025224B">
      <w:pPr>
        <w:numPr>
          <w:ilvl w:val="0"/>
          <w:numId w:val="43"/>
        </w:numPr>
        <w:suppressAutoHyphens/>
        <w:spacing w:after="120" w:line="276" w:lineRule="auto"/>
        <w:ind w:left="1077" w:hanging="357"/>
        <w:rPr>
          <w:rFonts w:ascii="Tahoma" w:eastAsia="SimSun" w:hAnsi="Tahoma" w:cs="Tahoma"/>
          <w:sz w:val="24"/>
          <w:szCs w:val="24"/>
        </w:rPr>
      </w:pPr>
      <w:r w:rsidRPr="007403CD">
        <w:rPr>
          <w:rFonts w:ascii="Tahoma" w:eastAsia="SimSun" w:hAnsi="Tahoma" w:cs="Tahoma"/>
          <w:sz w:val="24"/>
          <w:szCs w:val="24"/>
        </w:rPr>
        <w:t xml:space="preserve">să fie eficientizată colectarea veniturilor la bugetul general consolidat cu consecințe asupra creșterii ponderii veniturilor în PIB cu 2,5 puncte procentuale până în trimestrul IV 2025, comparativ cu 2019, </w:t>
      </w:r>
    </w:p>
    <w:p w:rsidR="00D35F1F" w:rsidRPr="007403CD" w:rsidRDefault="00D35F1F" w:rsidP="0025224B">
      <w:pPr>
        <w:numPr>
          <w:ilvl w:val="0"/>
          <w:numId w:val="43"/>
        </w:numPr>
        <w:suppressAutoHyphens/>
        <w:spacing w:after="120" w:line="276" w:lineRule="auto"/>
        <w:ind w:left="1077" w:hanging="357"/>
        <w:rPr>
          <w:rFonts w:ascii="Tahoma" w:eastAsia="SimSun" w:hAnsi="Tahoma" w:cs="Tahoma"/>
          <w:sz w:val="24"/>
          <w:szCs w:val="24"/>
        </w:rPr>
      </w:pPr>
      <w:r w:rsidRPr="007403CD">
        <w:rPr>
          <w:rFonts w:ascii="Tahoma" w:eastAsia="SimSun" w:hAnsi="Tahoma" w:cs="Tahoma"/>
          <w:sz w:val="24"/>
          <w:szCs w:val="24"/>
        </w:rPr>
        <w:t>să fie redus decalajul fiscal la  TVA cu 5 puncte procentuale până în trimestrul IV 2022, comparativ cu 2019 față de nivelul stabilit de Comisia Europeană pentru anul 2019.</w:t>
      </w:r>
    </w:p>
    <w:p w:rsidR="00D35F1F" w:rsidRPr="007403CD" w:rsidRDefault="00D35F1F" w:rsidP="0025224B">
      <w:pPr>
        <w:suppressAutoHyphens/>
        <w:spacing w:after="120" w:line="276" w:lineRule="auto"/>
        <w:ind w:firstLine="0"/>
        <w:rPr>
          <w:rFonts w:ascii="Tahoma" w:eastAsia="SimSun" w:hAnsi="Tahoma" w:cs="Tahoma"/>
          <w:bCs/>
          <w:sz w:val="24"/>
          <w:szCs w:val="24"/>
        </w:rPr>
      </w:pPr>
      <w:r w:rsidRPr="007403CD">
        <w:rPr>
          <w:rFonts w:ascii="Tahoma" w:eastAsia="SimSun" w:hAnsi="Tahoma" w:cs="Tahoma"/>
          <w:bCs/>
          <w:sz w:val="24"/>
          <w:szCs w:val="24"/>
        </w:rPr>
        <w:t>Dintre măsurile de anvergură, prioritare, ale anului 2022, menționăm:</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dezvoltarea serviciilor oferite în sistem self-service a contribuabililor, la sediile unităților fiscale și asigurarea incluziunii digitale a contribuabililor;</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continuarea dezvoltării serviciilor la distanță (elect</w:t>
      </w:r>
      <w:r w:rsidR="003A634F">
        <w:rPr>
          <w:rFonts w:ascii="Tahoma" w:eastAsia="SimSun" w:hAnsi="Tahoma" w:cs="Tahoma"/>
          <w:sz w:val="24"/>
          <w:szCs w:val="24"/>
        </w:rPr>
        <w:t>lei</w:t>
      </w:r>
      <w:r w:rsidRPr="007403CD">
        <w:rPr>
          <w:rFonts w:ascii="Tahoma" w:eastAsia="SimSun" w:hAnsi="Tahoma" w:cs="Tahoma"/>
          <w:sz w:val="24"/>
          <w:szCs w:val="24"/>
        </w:rPr>
        <w:t xml:space="preserve">ice sau telefonice), prin noi funcționalități; </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 xml:space="preserve">extinderea gamei de servicii oferită în sistem self-service prin IVR, respectiv a celor oferite prin serviciul chat; </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 xml:space="preserve">implementarea unui serviciu webinar dedicat asistenței contribuabililor, dezvoltarea funcționalităților pentru o comunicare la distanță personalizată/prin e-mail și video; </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introducerea posibilității de înregistrare on-line pentru anumite categorii de contribuabili;</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simplificarea formularelor și finalizarea transpunerii în format elect</w:t>
      </w:r>
      <w:r w:rsidR="003A634F">
        <w:rPr>
          <w:rFonts w:ascii="Tahoma" w:eastAsia="SimSun" w:hAnsi="Tahoma" w:cs="Tahoma"/>
          <w:sz w:val="24"/>
          <w:szCs w:val="24"/>
        </w:rPr>
        <w:t>lei</w:t>
      </w:r>
      <w:r w:rsidRPr="007403CD">
        <w:rPr>
          <w:rFonts w:ascii="Tahoma" w:eastAsia="SimSun" w:hAnsi="Tahoma" w:cs="Tahoma"/>
          <w:sz w:val="24"/>
          <w:szCs w:val="24"/>
        </w:rPr>
        <w:t>ic a acestora (61 de formulare vor fi digitalizate în anul 2022);</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 xml:space="preserve">inițierea digitalizării activităților de valorificare și executare silită, prin crearea unei platforme de licitații on-line pentru valorificarea bunurilor imobile și a celor mobile cu valoare semnificativă; </w:t>
      </w:r>
    </w:p>
    <w:p w:rsidR="00D35F1F" w:rsidRPr="007403CD" w:rsidRDefault="00D35F1F" w:rsidP="0025224B">
      <w:pPr>
        <w:numPr>
          <w:ilvl w:val="0"/>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derularea acțiunilor specifice în cadrul proiectului MFP SIPOCA 739 ”Creșterea capacității administrative a Ministerul Finanțelor şi a instituțiilor subordonate în vederea îmbunătățirii interacțiunii cetățenilor și mediului de afaceri pentru obținerea de servicii elect</w:t>
      </w:r>
      <w:r w:rsidR="003A634F">
        <w:rPr>
          <w:rFonts w:ascii="Tahoma" w:eastAsia="SimSun" w:hAnsi="Tahoma" w:cs="Tahoma"/>
          <w:sz w:val="24"/>
          <w:szCs w:val="24"/>
        </w:rPr>
        <w:t>lei</w:t>
      </w:r>
      <w:r w:rsidRPr="007403CD">
        <w:rPr>
          <w:rFonts w:ascii="Tahoma" w:eastAsia="SimSun" w:hAnsi="Tahoma" w:cs="Tahoma"/>
          <w:sz w:val="24"/>
          <w:szCs w:val="24"/>
        </w:rPr>
        <w:t>ice extinse prin portalul ANAF”, pentru:</w:t>
      </w:r>
    </w:p>
    <w:p w:rsidR="00D35F1F" w:rsidRPr="007403CD" w:rsidRDefault="00D35F1F" w:rsidP="0025224B">
      <w:pPr>
        <w:numPr>
          <w:ilvl w:val="1"/>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modernizarea portalului ANAF și a Spațiului Privat Virtual (SPV) pentru asigurarea unei înalte disponibilități a serviciilor elect</w:t>
      </w:r>
      <w:r w:rsidR="003A634F">
        <w:rPr>
          <w:rFonts w:ascii="Tahoma" w:eastAsia="SimSun" w:hAnsi="Tahoma" w:cs="Tahoma"/>
          <w:sz w:val="24"/>
          <w:szCs w:val="24"/>
        </w:rPr>
        <w:t>lei</w:t>
      </w:r>
      <w:r w:rsidRPr="007403CD">
        <w:rPr>
          <w:rFonts w:ascii="Tahoma" w:eastAsia="SimSun" w:hAnsi="Tahoma" w:cs="Tahoma"/>
          <w:sz w:val="24"/>
          <w:szCs w:val="24"/>
        </w:rPr>
        <w:t xml:space="preserve">ice disponibile în </w:t>
      </w:r>
      <w:r w:rsidRPr="007403CD">
        <w:rPr>
          <w:rFonts w:ascii="Tahoma" w:eastAsia="SimSun" w:hAnsi="Tahoma" w:cs="Tahoma"/>
          <w:sz w:val="24"/>
          <w:szCs w:val="24"/>
        </w:rPr>
        <w:lastRenderedPageBreak/>
        <w:t>SPV. Până în trimestrul IV/2022 se va asigura înrolarea suplimentară în SPV a 500.000 de contribuabili persoane juridice;</w:t>
      </w:r>
    </w:p>
    <w:p w:rsidR="00D35F1F" w:rsidRPr="007403CD" w:rsidRDefault="00D35F1F" w:rsidP="0025224B">
      <w:pPr>
        <w:numPr>
          <w:ilvl w:val="1"/>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extinderea gamei de servicii oferite în sistem elect</w:t>
      </w:r>
      <w:r w:rsidR="003A634F">
        <w:rPr>
          <w:rFonts w:ascii="Tahoma" w:eastAsia="SimSun" w:hAnsi="Tahoma" w:cs="Tahoma"/>
          <w:sz w:val="24"/>
          <w:szCs w:val="24"/>
        </w:rPr>
        <w:t>lei</w:t>
      </w:r>
      <w:r w:rsidRPr="007403CD">
        <w:rPr>
          <w:rFonts w:ascii="Tahoma" w:eastAsia="SimSun" w:hAnsi="Tahoma" w:cs="Tahoma"/>
          <w:sz w:val="24"/>
          <w:szCs w:val="24"/>
        </w:rPr>
        <w:t>ic prin SPV;</w:t>
      </w:r>
    </w:p>
    <w:p w:rsidR="00D35F1F" w:rsidRPr="007403CD" w:rsidRDefault="00D35F1F" w:rsidP="0025224B">
      <w:pPr>
        <w:numPr>
          <w:ilvl w:val="1"/>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extinderea disponibilității serviciilor elect</w:t>
      </w:r>
      <w:r w:rsidR="003A634F">
        <w:rPr>
          <w:rFonts w:ascii="Tahoma" w:eastAsia="SimSun" w:hAnsi="Tahoma" w:cs="Tahoma"/>
          <w:sz w:val="24"/>
          <w:szCs w:val="24"/>
        </w:rPr>
        <w:t>lei</w:t>
      </w:r>
      <w:r w:rsidRPr="007403CD">
        <w:rPr>
          <w:rFonts w:ascii="Tahoma" w:eastAsia="SimSun" w:hAnsi="Tahoma" w:cs="Tahoma"/>
          <w:sz w:val="24"/>
          <w:szCs w:val="24"/>
        </w:rPr>
        <w:t>ice către beneficiari prin realizarea variantelor portalului ANAF adaptate la dispozitive de tip smartphone şi tabletă;</w:t>
      </w:r>
    </w:p>
    <w:p w:rsidR="00D35F1F" w:rsidRPr="007403CD" w:rsidRDefault="00D35F1F" w:rsidP="0025224B">
      <w:pPr>
        <w:numPr>
          <w:ilvl w:val="1"/>
          <w:numId w:val="44"/>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promovarea utilizării procedurilor simplificate și actualizarea normelor naționale în concordanță cu cerințele unionale pentru reducerea poverii administrative din sarcina mediului de afaceri, urmărind eliminarea obligației depunerii de către operatorii economici a documentelor care pot fi obținute elect</w:t>
      </w:r>
      <w:r w:rsidR="003A634F">
        <w:rPr>
          <w:rFonts w:ascii="Tahoma" w:eastAsia="SimSun" w:hAnsi="Tahoma" w:cs="Tahoma"/>
          <w:sz w:val="24"/>
          <w:szCs w:val="24"/>
        </w:rPr>
        <w:t>lei</w:t>
      </w:r>
      <w:r w:rsidRPr="007403CD">
        <w:rPr>
          <w:rFonts w:ascii="Tahoma" w:eastAsia="SimSun" w:hAnsi="Tahoma" w:cs="Tahoma"/>
          <w:sz w:val="24"/>
          <w:szCs w:val="24"/>
        </w:rPr>
        <w:t>ic din bazele de date ale ANAF și ONRC (17 acte normative).</w:t>
      </w:r>
    </w:p>
    <w:p w:rsidR="00D35F1F" w:rsidRPr="007403CD" w:rsidRDefault="00D35F1F" w:rsidP="0025224B">
      <w:pPr>
        <w:numPr>
          <w:ilvl w:val="0"/>
          <w:numId w:val="45"/>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sistemul informatic de monitorizare a tranzacțiilor intracomunitare de bunuri -SIMTIC și dezvoltarea proiectului ”Radarul mărfurilor”;</w:t>
      </w:r>
    </w:p>
    <w:p w:rsidR="00D35F1F" w:rsidRPr="007403CD" w:rsidRDefault="00D35F1F" w:rsidP="0025224B">
      <w:pPr>
        <w:numPr>
          <w:ilvl w:val="0"/>
          <w:numId w:val="45"/>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extinderea sistemului AEOI_RO (Automatic Exchange of Information) cu funcționalități specifice;</w:t>
      </w:r>
    </w:p>
    <w:p w:rsidR="00D35F1F" w:rsidRPr="007403CD" w:rsidRDefault="00D35F1F" w:rsidP="0025224B">
      <w:pPr>
        <w:numPr>
          <w:ilvl w:val="0"/>
          <w:numId w:val="45"/>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reproiectarea și optimizarea sistemului informatic VIES_RO (Value Added Tax Information Exchange Sistem);</w:t>
      </w:r>
    </w:p>
    <w:p w:rsidR="00D35F1F" w:rsidRPr="007403CD" w:rsidRDefault="00D35F1F" w:rsidP="0025224B">
      <w:pPr>
        <w:numPr>
          <w:ilvl w:val="0"/>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Derularea de proiecte pilot privind creșterea conformării voluntare în domeniul impozitului pe venit:</w:t>
      </w:r>
    </w:p>
    <w:p w:rsidR="00D35F1F" w:rsidRPr="007403CD" w:rsidRDefault="00D35F1F" w:rsidP="0025224B">
      <w:pPr>
        <w:numPr>
          <w:ilvl w:val="1"/>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„Venituri realizate de contribuabili – persoane fizice din cedarea folosinței bunurilor”</w:t>
      </w:r>
    </w:p>
    <w:p w:rsidR="00D35F1F" w:rsidRPr="007403CD" w:rsidRDefault="00D35F1F" w:rsidP="0025224B">
      <w:pPr>
        <w:numPr>
          <w:ilvl w:val="1"/>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„Venituri realizate de contribuabili – persoane fizice din meditații/activități educaționale și alte forme de învățământ”</w:t>
      </w:r>
    </w:p>
    <w:p w:rsidR="00D35F1F" w:rsidRPr="007403CD" w:rsidRDefault="00D35F1F" w:rsidP="0025224B">
      <w:pPr>
        <w:numPr>
          <w:ilvl w:val="1"/>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„Venituri realizate de contribuabili – persoane fizice din prestarea unor activități de înfrumusețare/întreținere corporală”</w:t>
      </w:r>
    </w:p>
    <w:p w:rsidR="00D35F1F" w:rsidRPr="007403CD" w:rsidRDefault="00D35F1F" w:rsidP="0025224B">
      <w:pPr>
        <w:numPr>
          <w:ilvl w:val="1"/>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„Stimularea conformării voluntare - proiect dedicat persoanelor fizice”</w:t>
      </w:r>
    </w:p>
    <w:p w:rsidR="00D35F1F" w:rsidRPr="007403CD" w:rsidRDefault="00D35F1F" w:rsidP="0025224B">
      <w:pPr>
        <w:numPr>
          <w:ilvl w:val="1"/>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„Implementarea unor noi abordări și instrumente pentru îmbunătățirea conformității fiscale a marilor contribuabili din România”</w:t>
      </w:r>
    </w:p>
    <w:p w:rsidR="00D35F1F" w:rsidRPr="007403CD" w:rsidRDefault="00D35F1F" w:rsidP="0025224B">
      <w:pPr>
        <w:numPr>
          <w:ilvl w:val="1"/>
          <w:numId w:val="46"/>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„Identificarea celor mai bune practici, îmbunătățirea legislației fiscale și consolidarea capacității în domeniul prețurilor de transfer în România”</w:t>
      </w:r>
    </w:p>
    <w:p w:rsidR="00D35F1F" w:rsidRPr="007403CD" w:rsidRDefault="00D35F1F" w:rsidP="0025224B">
      <w:pPr>
        <w:numPr>
          <w:ilvl w:val="0"/>
          <w:numId w:val="47"/>
        </w:numPr>
        <w:suppressAutoHyphens/>
        <w:spacing w:after="120" w:line="276" w:lineRule="auto"/>
        <w:rPr>
          <w:rFonts w:ascii="Tahoma" w:eastAsia="SimSun" w:hAnsi="Tahoma" w:cs="Tahoma"/>
          <w:sz w:val="24"/>
          <w:szCs w:val="24"/>
        </w:rPr>
      </w:pPr>
      <w:r w:rsidRPr="007403CD">
        <w:rPr>
          <w:rFonts w:ascii="Tahoma" w:eastAsia="SimSun" w:hAnsi="Tahoma" w:cs="Tahoma"/>
          <w:sz w:val="24"/>
          <w:szCs w:val="24"/>
        </w:rPr>
        <w:t>Implementarea planului de acțiune comun între Agenția Națională de Administrare Fiscală și Inspecția Muncii pentru a preveni și a limita fenomenul evaziunii privind munca subdeclarată/nedeclarată;</w:t>
      </w:r>
    </w:p>
    <w:p w:rsidR="00AA6F58" w:rsidRPr="007403CD" w:rsidRDefault="00D35F1F" w:rsidP="0025224B">
      <w:pPr>
        <w:keepNext/>
        <w:numPr>
          <w:ilvl w:val="0"/>
          <w:numId w:val="47"/>
        </w:numPr>
        <w:suppressAutoHyphens/>
        <w:spacing w:after="240" w:line="276" w:lineRule="auto"/>
        <w:ind w:left="709" w:hanging="283"/>
        <w:outlineLvl w:val="0"/>
        <w:rPr>
          <w:rFonts w:ascii="Tahoma" w:hAnsi="Tahoma" w:cs="Tahoma"/>
          <w:sz w:val="24"/>
          <w:szCs w:val="24"/>
        </w:rPr>
      </w:pPr>
      <w:r w:rsidRPr="007403CD">
        <w:rPr>
          <w:rFonts w:ascii="Tahoma" w:eastAsia="SimSun" w:hAnsi="Tahoma" w:cs="Tahoma"/>
          <w:sz w:val="24"/>
          <w:szCs w:val="24"/>
        </w:rPr>
        <w:t xml:space="preserve">Creșterea ponderii numărului de </w:t>
      </w:r>
      <w:r w:rsidR="00356BAF" w:rsidRPr="007403CD">
        <w:rPr>
          <w:rFonts w:ascii="Tahoma" w:eastAsia="SimSun" w:hAnsi="Tahoma" w:cs="Tahoma"/>
          <w:sz w:val="24"/>
          <w:szCs w:val="24"/>
        </w:rPr>
        <w:t>verificări</w:t>
      </w:r>
      <w:r w:rsidRPr="007403CD">
        <w:rPr>
          <w:rFonts w:ascii="Tahoma" w:eastAsia="SimSun" w:hAnsi="Tahoma" w:cs="Tahoma"/>
          <w:sz w:val="24"/>
          <w:szCs w:val="24"/>
        </w:rPr>
        <w:t xml:space="preserve"> documentare raportate la totalul </w:t>
      </w:r>
      <w:r w:rsidR="00356BAF" w:rsidRPr="007403CD">
        <w:rPr>
          <w:rFonts w:ascii="Tahoma" w:eastAsia="SimSun" w:hAnsi="Tahoma" w:cs="Tahoma"/>
          <w:sz w:val="24"/>
          <w:szCs w:val="24"/>
        </w:rPr>
        <w:t>acțiunilor</w:t>
      </w:r>
      <w:r w:rsidRPr="007403CD">
        <w:rPr>
          <w:rFonts w:ascii="Tahoma" w:eastAsia="SimSun" w:hAnsi="Tahoma" w:cs="Tahoma"/>
          <w:sz w:val="24"/>
          <w:szCs w:val="24"/>
        </w:rPr>
        <w:t xml:space="preserve"> de control fiscal efectuate de administrația fiscală la 30%</w:t>
      </w:r>
      <w:r w:rsidR="0025224B" w:rsidRPr="007403CD">
        <w:rPr>
          <w:rFonts w:ascii="Tahoma" w:eastAsia="SimSun" w:hAnsi="Tahoma" w:cs="Tahoma"/>
          <w:sz w:val="24"/>
          <w:szCs w:val="24"/>
        </w:rPr>
        <w:t>.</w:t>
      </w:r>
    </w:p>
    <w:p w:rsidR="009D0987" w:rsidRPr="007403CD" w:rsidRDefault="00FF292C" w:rsidP="002A6579">
      <w:pPr>
        <w:pStyle w:val="ListParagraph"/>
        <w:pageBreakBefore/>
        <w:numPr>
          <w:ilvl w:val="0"/>
          <w:numId w:val="1"/>
        </w:numPr>
        <w:spacing w:after="240" w:line="276" w:lineRule="auto"/>
        <w:ind w:left="562" w:firstLine="0"/>
        <w:contextualSpacing w:val="0"/>
        <w:outlineLvl w:val="0"/>
        <w:rPr>
          <w:rFonts w:ascii="Tahoma" w:hAnsi="Tahoma" w:cs="Tahoma"/>
          <w:b/>
          <w:sz w:val="24"/>
          <w:szCs w:val="24"/>
        </w:rPr>
      </w:pPr>
      <w:r w:rsidRPr="007403CD">
        <w:rPr>
          <w:rFonts w:ascii="Tahoma" w:hAnsi="Tahoma" w:cs="Tahoma"/>
          <w:b/>
          <w:sz w:val="24"/>
          <w:szCs w:val="24"/>
        </w:rPr>
        <w:lastRenderedPageBreak/>
        <w:t xml:space="preserve"> </w:t>
      </w:r>
      <w:bookmarkStart w:id="22" w:name="_Toc109657574"/>
      <w:r w:rsidR="00E3087D" w:rsidRPr="007403CD">
        <w:rPr>
          <w:rFonts w:ascii="Tahoma" w:hAnsi="Tahoma" w:cs="Tahoma"/>
          <w:b/>
          <w:sz w:val="24"/>
          <w:szCs w:val="24"/>
        </w:rPr>
        <w:t xml:space="preserve">Execuția bugetară pe </w:t>
      </w:r>
      <w:r w:rsidR="00BD4E32" w:rsidRPr="007403CD">
        <w:rPr>
          <w:rFonts w:ascii="Tahoma" w:hAnsi="Tahoma" w:cs="Tahoma"/>
          <w:b/>
          <w:sz w:val="24"/>
          <w:szCs w:val="24"/>
        </w:rPr>
        <w:t xml:space="preserve">primul semestru al </w:t>
      </w:r>
      <w:r w:rsidR="00E3087D" w:rsidRPr="007403CD">
        <w:rPr>
          <w:rFonts w:ascii="Tahoma" w:hAnsi="Tahoma" w:cs="Tahoma"/>
          <w:b/>
          <w:sz w:val="24"/>
          <w:szCs w:val="24"/>
        </w:rPr>
        <w:t>anului</w:t>
      </w:r>
      <w:bookmarkEnd w:id="14"/>
      <w:bookmarkEnd w:id="15"/>
      <w:bookmarkEnd w:id="16"/>
      <w:bookmarkEnd w:id="17"/>
      <w:bookmarkEnd w:id="18"/>
      <w:bookmarkEnd w:id="19"/>
      <w:bookmarkEnd w:id="20"/>
      <w:bookmarkEnd w:id="21"/>
      <w:r w:rsidR="00B009FE" w:rsidRPr="007403CD">
        <w:rPr>
          <w:rFonts w:ascii="Tahoma" w:hAnsi="Tahoma" w:cs="Tahoma"/>
          <w:b/>
          <w:sz w:val="24"/>
          <w:szCs w:val="24"/>
        </w:rPr>
        <w:t xml:space="preserve"> </w:t>
      </w:r>
      <w:r w:rsidR="00DD17E0" w:rsidRPr="007403CD">
        <w:rPr>
          <w:rFonts w:ascii="Tahoma" w:hAnsi="Tahoma" w:cs="Tahoma"/>
          <w:b/>
          <w:sz w:val="24"/>
          <w:szCs w:val="24"/>
        </w:rPr>
        <w:t>20</w:t>
      </w:r>
      <w:r w:rsidR="00E10878" w:rsidRPr="007403CD">
        <w:rPr>
          <w:rFonts w:ascii="Tahoma" w:hAnsi="Tahoma" w:cs="Tahoma"/>
          <w:b/>
          <w:sz w:val="24"/>
          <w:szCs w:val="24"/>
        </w:rPr>
        <w:t>2</w:t>
      </w:r>
      <w:bookmarkEnd w:id="22"/>
      <w:r w:rsidR="00487959" w:rsidRPr="007403CD">
        <w:rPr>
          <w:rFonts w:ascii="Tahoma" w:hAnsi="Tahoma" w:cs="Tahoma"/>
          <w:b/>
          <w:sz w:val="24"/>
          <w:szCs w:val="24"/>
        </w:rPr>
        <w:t>2</w:t>
      </w:r>
    </w:p>
    <w:p w:rsidR="002F1D42" w:rsidRDefault="004D6D76" w:rsidP="00284A41">
      <w:pPr>
        <w:shd w:val="clear" w:color="auto" w:fill="E2EFD9" w:themeFill="accent6" w:themeFillTint="33"/>
        <w:spacing w:line="276" w:lineRule="auto"/>
        <w:ind w:firstLine="0"/>
        <w:rPr>
          <w:rFonts w:ascii="Tahoma" w:hAnsi="Tahoma" w:cs="Tahoma"/>
          <w:sz w:val="24"/>
          <w:szCs w:val="24"/>
        </w:rPr>
      </w:pPr>
      <w:r w:rsidRPr="007403CD">
        <w:rPr>
          <w:rFonts w:ascii="Tahoma" w:hAnsi="Tahoma" w:cs="Tahoma"/>
          <w:sz w:val="24"/>
          <w:szCs w:val="24"/>
        </w:rPr>
        <w:t>Conform datelor operative, execuția bugetului general consolidat pe primul semestru al anului 20</w:t>
      </w:r>
      <w:r w:rsidR="00E10878" w:rsidRPr="007403CD">
        <w:rPr>
          <w:rFonts w:ascii="Tahoma" w:hAnsi="Tahoma" w:cs="Tahoma"/>
          <w:sz w:val="24"/>
          <w:szCs w:val="24"/>
        </w:rPr>
        <w:t>2</w:t>
      </w:r>
      <w:r w:rsidR="00BC6044" w:rsidRPr="007403CD">
        <w:rPr>
          <w:rFonts w:ascii="Tahoma" w:hAnsi="Tahoma" w:cs="Tahoma"/>
          <w:sz w:val="24"/>
          <w:szCs w:val="24"/>
        </w:rPr>
        <w:t>2</w:t>
      </w:r>
      <w:r w:rsidRPr="007403CD">
        <w:rPr>
          <w:rFonts w:ascii="Tahoma" w:hAnsi="Tahoma" w:cs="Tahoma"/>
          <w:sz w:val="24"/>
          <w:szCs w:val="24"/>
        </w:rPr>
        <w:t xml:space="preserve"> (Anexa nr. 1 </w:t>
      </w:r>
      <w:r w:rsidR="00C27F72" w:rsidRPr="007403CD">
        <w:rPr>
          <w:rFonts w:ascii="Tahoma" w:hAnsi="Tahoma" w:cs="Tahoma"/>
          <w:sz w:val="24"/>
          <w:szCs w:val="24"/>
        </w:rPr>
        <w:t>și</w:t>
      </w:r>
      <w:r w:rsidRPr="007403CD">
        <w:rPr>
          <w:rFonts w:ascii="Tahoma" w:hAnsi="Tahoma" w:cs="Tahoma"/>
          <w:sz w:val="24"/>
          <w:szCs w:val="24"/>
        </w:rPr>
        <w:t xml:space="preserve"> Anexa nr. 2) s-a încheiat cu un </w:t>
      </w:r>
      <w:r w:rsidRPr="007403CD">
        <w:rPr>
          <w:rFonts w:ascii="Tahoma" w:hAnsi="Tahoma" w:cs="Tahoma"/>
          <w:b/>
          <w:sz w:val="24"/>
          <w:szCs w:val="24"/>
        </w:rPr>
        <w:t xml:space="preserve">deficit de </w:t>
      </w:r>
      <w:r w:rsidR="00BC6044" w:rsidRPr="007403CD">
        <w:rPr>
          <w:rFonts w:ascii="Tahoma" w:hAnsi="Tahoma" w:cs="Tahoma"/>
          <w:b/>
          <w:sz w:val="24"/>
          <w:szCs w:val="24"/>
        </w:rPr>
        <w:t>2</w:t>
      </w:r>
      <w:r w:rsidR="00967266" w:rsidRPr="007403CD">
        <w:rPr>
          <w:rFonts w:ascii="Tahoma" w:hAnsi="Tahoma" w:cs="Tahoma"/>
          <w:b/>
          <w:sz w:val="24"/>
          <w:szCs w:val="24"/>
        </w:rPr>
        <w:t>3,</w:t>
      </w:r>
      <w:r w:rsidR="00BC6044" w:rsidRPr="007403CD">
        <w:rPr>
          <w:rFonts w:ascii="Tahoma" w:hAnsi="Tahoma" w:cs="Tahoma"/>
          <w:b/>
          <w:sz w:val="24"/>
          <w:szCs w:val="24"/>
        </w:rPr>
        <w:t>5</w:t>
      </w:r>
      <w:r w:rsidR="00967266" w:rsidRPr="007403CD">
        <w:rPr>
          <w:rFonts w:ascii="Tahoma" w:hAnsi="Tahoma" w:cs="Tahoma"/>
          <w:b/>
          <w:sz w:val="24"/>
          <w:szCs w:val="24"/>
        </w:rPr>
        <w:t>1</w:t>
      </w:r>
      <w:r w:rsidRPr="007403CD">
        <w:rPr>
          <w:rFonts w:ascii="Tahoma" w:hAnsi="Tahoma" w:cs="Tahoma"/>
          <w:b/>
          <w:sz w:val="24"/>
          <w:szCs w:val="24"/>
        </w:rPr>
        <w:t xml:space="preserve"> </w:t>
      </w:r>
      <w:r w:rsidRPr="00284A41">
        <w:rPr>
          <w:rFonts w:ascii="Tahoma" w:hAnsi="Tahoma" w:cs="Tahoma"/>
          <w:sz w:val="24"/>
          <w:szCs w:val="24"/>
        </w:rPr>
        <w:t>mili</w:t>
      </w:r>
      <w:r w:rsidR="00967266" w:rsidRPr="00284A41">
        <w:rPr>
          <w:rFonts w:ascii="Tahoma" w:hAnsi="Tahoma" w:cs="Tahoma"/>
          <w:sz w:val="24"/>
          <w:szCs w:val="24"/>
        </w:rPr>
        <w:t>arde</w:t>
      </w:r>
      <w:r w:rsidRPr="00284A41">
        <w:rPr>
          <w:rFonts w:ascii="Tahoma" w:hAnsi="Tahoma" w:cs="Tahoma"/>
          <w:sz w:val="24"/>
          <w:szCs w:val="24"/>
        </w:rPr>
        <w:t xml:space="preserve"> </w:t>
      </w:r>
      <w:r w:rsidR="003A634F" w:rsidRPr="00284A41">
        <w:rPr>
          <w:rFonts w:ascii="Tahoma" w:hAnsi="Tahoma" w:cs="Tahoma"/>
          <w:sz w:val="24"/>
          <w:szCs w:val="24"/>
        </w:rPr>
        <w:t>lei</w:t>
      </w:r>
      <w:r w:rsidRPr="00284A41">
        <w:rPr>
          <w:rFonts w:ascii="Tahoma" w:hAnsi="Tahoma" w:cs="Tahoma"/>
          <w:sz w:val="24"/>
          <w:szCs w:val="24"/>
        </w:rPr>
        <w:t xml:space="preserve"> (</w:t>
      </w:r>
      <w:r w:rsidR="00BC6044" w:rsidRPr="00284A41">
        <w:rPr>
          <w:rFonts w:ascii="Tahoma" w:hAnsi="Tahoma" w:cs="Tahoma"/>
          <w:sz w:val="24"/>
          <w:szCs w:val="24"/>
        </w:rPr>
        <w:t>1,71</w:t>
      </w:r>
      <w:r w:rsidRPr="00284A41">
        <w:rPr>
          <w:rFonts w:ascii="Tahoma" w:hAnsi="Tahoma" w:cs="Tahoma"/>
          <w:sz w:val="24"/>
          <w:szCs w:val="24"/>
        </w:rPr>
        <w:t>% din PIB)</w:t>
      </w:r>
      <w:r w:rsidR="00FF292C" w:rsidRPr="00284A41">
        <w:rPr>
          <w:rFonts w:ascii="Tahoma" w:hAnsi="Tahoma" w:cs="Tahoma"/>
          <w:sz w:val="24"/>
          <w:szCs w:val="24"/>
        </w:rPr>
        <w:t xml:space="preserve"> </w:t>
      </w:r>
      <w:r w:rsidR="002E0C30" w:rsidRPr="007403CD">
        <w:rPr>
          <w:rFonts w:ascii="Tahoma" w:hAnsi="Tahoma" w:cs="Tahoma"/>
          <w:sz w:val="24"/>
          <w:szCs w:val="24"/>
        </w:rPr>
        <w:t>sub ținta stabilit</w:t>
      </w:r>
      <w:r w:rsidR="00395E39" w:rsidRPr="007403CD">
        <w:rPr>
          <w:rFonts w:ascii="Tahoma" w:hAnsi="Tahoma" w:cs="Tahoma"/>
          <w:sz w:val="24"/>
          <w:szCs w:val="24"/>
        </w:rPr>
        <w:t>ă</w:t>
      </w:r>
      <w:r w:rsidR="002E0C30" w:rsidRPr="007403CD">
        <w:rPr>
          <w:rFonts w:ascii="Tahoma" w:hAnsi="Tahoma" w:cs="Tahoma"/>
          <w:sz w:val="24"/>
          <w:szCs w:val="24"/>
        </w:rPr>
        <w:t xml:space="preserve"> pe semestrul I</w:t>
      </w:r>
      <w:r w:rsidR="002F1D42" w:rsidRPr="007403CD">
        <w:rPr>
          <w:rFonts w:ascii="Tahoma" w:hAnsi="Tahoma" w:cs="Tahoma"/>
          <w:sz w:val="24"/>
          <w:szCs w:val="24"/>
        </w:rPr>
        <w:t>.</w:t>
      </w:r>
    </w:p>
    <w:p w:rsidR="00284A41" w:rsidRPr="00284A41" w:rsidRDefault="00284A41" w:rsidP="00284A41">
      <w:pPr>
        <w:shd w:val="clear" w:color="auto" w:fill="E2EFD9" w:themeFill="accent6" w:themeFillTint="33"/>
        <w:spacing w:line="276" w:lineRule="auto"/>
        <w:ind w:firstLine="0"/>
        <w:rPr>
          <w:rFonts w:ascii="Tahoma" w:hAnsi="Tahoma" w:cs="Tahoma"/>
          <w:sz w:val="24"/>
          <w:szCs w:val="24"/>
        </w:rPr>
      </w:pPr>
      <w:r w:rsidRPr="007403CD">
        <w:rPr>
          <w:rFonts w:ascii="Tahoma" w:hAnsi="Tahoma" w:cs="Tahoma"/>
          <w:sz w:val="24"/>
          <w:szCs w:val="24"/>
        </w:rPr>
        <w:t xml:space="preserve">La sfârșitul primului semestru a.c. se înregistrează un </w:t>
      </w:r>
      <w:r w:rsidRPr="00284A41">
        <w:rPr>
          <w:rFonts w:ascii="Tahoma" w:hAnsi="Tahoma" w:cs="Tahoma"/>
          <w:sz w:val="24"/>
          <w:szCs w:val="24"/>
        </w:rPr>
        <w:t xml:space="preserve">deficit primar (soldul bugetar exclusiv cheltuielile cu dobânzile) </w:t>
      </w:r>
      <w:r w:rsidRPr="007403CD">
        <w:rPr>
          <w:rFonts w:ascii="Tahoma" w:hAnsi="Tahoma" w:cs="Tahoma"/>
          <w:sz w:val="24"/>
          <w:szCs w:val="24"/>
        </w:rPr>
        <w:t xml:space="preserve">în valoare de </w:t>
      </w:r>
      <w:r w:rsidRPr="00284A41">
        <w:rPr>
          <w:rFonts w:ascii="Tahoma" w:hAnsi="Tahoma" w:cs="Tahoma"/>
          <w:sz w:val="24"/>
          <w:szCs w:val="24"/>
        </w:rPr>
        <w:t>10,39 miliarde lei (0,8% din PIB).</w:t>
      </w:r>
    </w:p>
    <w:p w:rsidR="00487959" w:rsidRPr="007403CD" w:rsidRDefault="00487959" w:rsidP="00DB2872">
      <w:pPr>
        <w:shd w:val="clear" w:color="auto" w:fill="E2EFD9" w:themeFill="accent6" w:themeFillTint="33"/>
        <w:spacing w:line="276" w:lineRule="auto"/>
        <w:ind w:firstLine="0"/>
        <w:rPr>
          <w:rFonts w:ascii="Tahoma" w:hAnsi="Tahoma" w:cs="Tahoma"/>
          <w:sz w:val="24"/>
          <w:szCs w:val="24"/>
        </w:rPr>
      </w:pPr>
      <w:r w:rsidRPr="007403CD">
        <w:rPr>
          <w:rFonts w:ascii="Tahoma" w:hAnsi="Tahoma" w:cs="Tahoma"/>
          <w:sz w:val="24"/>
          <w:szCs w:val="24"/>
        </w:rPr>
        <w:t xml:space="preserve">Comparativ cu semestrul I 2021 deficitul bugetar s-a redus cu 10,30 miliarde </w:t>
      </w:r>
      <w:r w:rsidR="003A634F">
        <w:rPr>
          <w:rFonts w:ascii="Tahoma" w:hAnsi="Tahoma" w:cs="Tahoma"/>
          <w:sz w:val="24"/>
          <w:szCs w:val="24"/>
        </w:rPr>
        <w:t>lei</w:t>
      </w:r>
      <w:r w:rsidRPr="007403CD">
        <w:rPr>
          <w:rFonts w:ascii="Tahoma" w:hAnsi="Tahoma" w:cs="Tahoma"/>
          <w:sz w:val="24"/>
          <w:szCs w:val="24"/>
        </w:rPr>
        <w:t xml:space="preserve"> respectiv cu 1,5 puncte procentuale din PIB de la 2,86 % din PIB cât a fost în semestru</w:t>
      </w:r>
      <w:r w:rsidR="00B009FE" w:rsidRPr="007403CD">
        <w:rPr>
          <w:rFonts w:ascii="Tahoma" w:hAnsi="Tahoma" w:cs="Tahoma"/>
          <w:sz w:val="24"/>
          <w:szCs w:val="24"/>
        </w:rPr>
        <w:t>l</w:t>
      </w:r>
      <w:r w:rsidRPr="007403CD">
        <w:rPr>
          <w:rFonts w:ascii="Tahoma" w:hAnsi="Tahoma" w:cs="Tahoma"/>
          <w:sz w:val="24"/>
          <w:szCs w:val="24"/>
        </w:rPr>
        <w:t xml:space="preserve"> I 2021 la 1,71% din PIB în semestrul I 2022.</w:t>
      </w:r>
    </w:p>
    <w:p w:rsidR="004D6D76" w:rsidRPr="007403CD" w:rsidRDefault="004D6D76" w:rsidP="00DB2872">
      <w:pPr>
        <w:shd w:val="clear" w:color="auto" w:fill="E2EFD9" w:themeFill="accent6" w:themeFillTint="33"/>
        <w:spacing w:line="276" w:lineRule="auto"/>
        <w:ind w:firstLine="0"/>
        <w:rPr>
          <w:rFonts w:ascii="Tahoma" w:hAnsi="Tahoma" w:cs="Tahoma"/>
          <w:sz w:val="24"/>
          <w:szCs w:val="24"/>
        </w:rPr>
      </w:pPr>
      <w:r w:rsidRPr="007403CD">
        <w:rPr>
          <w:rFonts w:ascii="Tahoma" w:hAnsi="Tahoma" w:cs="Tahoma"/>
          <w:b/>
          <w:sz w:val="24"/>
          <w:szCs w:val="24"/>
          <w:u w:val="single"/>
        </w:rPr>
        <w:t>Veniturile bugetului general consolidat</w:t>
      </w:r>
      <w:r w:rsidRPr="007403CD">
        <w:rPr>
          <w:rFonts w:ascii="Tahoma" w:hAnsi="Tahoma" w:cs="Tahoma"/>
          <w:sz w:val="24"/>
          <w:szCs w:val="24"/>
        </w:rPr>
        <w:t xml:space="preserve"> au fost în sumă de </w:t>
      </w:r>
      <w:r w:rsidR="00BC6044" w:rsidRPr="007403CD">
        <w:rPr>
          <w:rFonts w:ascii="Tahoma" w:hAnsi="Tahoma" w:cs="Tahoma"/>
          <w:b/>
          <w:sz w:val="24"/>
          <w:szCs w:val="24"/>
        </w:rPr>
        <w:t>216,70</w:t>
      </w:r>
      <w:r w:rsidR="00967266" w:rsidRPr="007403CD">
        <w:rPr>
          <w:rFonts w:ascii="Tahoma" w:hAnsi="Tahoma" w:cs="Tahoma"/>
          <w:b/>
          <w:sz w:val="24"/>
          <w:szCs w:val="24"/>
        </w:rPr>
        <w:t xml:space="preserve"> miliarde</w:t>
      </w:r>
      <w:r w:rsidRPr="007403CD">
        <w:rPr>
          <w:rFonts w:ascii="Tahoma" w:hAnsi="Tahoma" w:cs="Tahoma"/>
          <w:b/>
          <w:sz w:val="24"/>
          <w:szCs w:val="24"/>
        </w:rPr>
        <w:t xml:space="preserve"> </w:t>
      </w:r>
      <w:r w:rsidR="003A634F">
        <w:rPr>
          <w:rFonts w:ascii="Tahoma" w:hAnsi="Tahoma" w:cs="Tahoma"/>
          <w:b/>
          <w:sz w:val="24"/>
          <w:szCs w:val="24"/>
        </w:rPr>
        <w:t>lei</w:t>
      </w:r>
      <w:r w:rsidR="00967266" w:rsidRPr="007403CD">
        <w:rPr>
          <w:rFonts w:ascii="Tahoma" w:hAnsi="Tahoma" w:cs="Tahoma"/>
          <w:sz w:val="24"/>
          <w:szCs w:val="24"/>
        </w:rPr>
        <w:t xml:space="preserve">, cu </w:t>
      </w:r>
      <w:r w:rsidR="00BC6044" w:rsidRPr="007403CD">
        <w:rPr>
          <w:rFonts w:ascii="Tahoma" w:hAnsi="Tahoma" w:cs="Tahoma"/>
          <w:sz w:val="24"/>
          <w:szCs w:val="24"/>
        </w:rPr>
        <w:t>22,9</w:t>
      </w:r>
      <w:r w:rsidRPr="007403CD">
        <w:rPr>
          <w:rFonts w:ascii="Tahoma" w:hAnsi="Tahoma" w:cs="Tahoma"/>
          <w:sz w:val="24"/>
          <w:szCs w:val="24"/>
        </w:rPr>
        <w:t xml:space="preserve">% mai </w:t>
      </w:r>
      <w:r w:rsidR="00967266" w:rsidRPr="007403CD">
        <w:rPr>
          <w:rFonts w:ascii="Tahoma" w:hAnsi="Tahoma" w:cs="Tahoma"/>
          <w:sz w:val="24"/>
          <w:szCs w:val="24"/>
        </w:rPr>
        <w:t>mari</w:t>
      </w:r>
      <w:r w:rsidRPr="007403CD">
        <w:rPr>
          <w:rFonts w:ascii="Tahoma" w:hAnsi="Tahoma" w:cs="Tahoma"/>
          <w:sz w:val="24"/>
          <w:szCs w:val="24"/>
        </w:rPr>
        <w:t xml:space="preserve"> comparativ cu aceeași perioadă a anului precedent </w:t>
      </w:r>
      <w:r w:rsidR="00A40CBD" w:rsidRPr="007403CD">
        <w:rPr>
          <w:rFonts w:ascii="Tahoma" w:hAnsi="Tahoma" w:cs="Tahoma"/>
          <w:sz w:val="24"/>
          <w:szCs w:val="24"/>
        </w:rPr>
        <w:t>și</w:t>
      </w:r>
      <w:r w:rsidRPr="007403CD">
        <w:rPr>
          <w:rFonts w:ascii="Tahoma" w:hAnsi="Tahoma" w:cs="Tahoma"/>
          <w:sz w:val="24"/>
          <w:szCs w:val="24"/>
        </w:rPr>
        <w:t xml:space="preserve"> cu un grad de realizare al programului de încasări pe primul semestru de </w:t>
      </w:r>
      <w:r w:rsidR="00967266" w:rsidRPr="007403CD">
        <w:rPr>
          <w:rFonts w:ascii="Tahoma" w:hAnsi="Tahoma" w:cs="Tahoma"/>
          <w:b/>
          <w:sz w:val="24"/>
          <w:szCs w:val="24"/>
        </w:rPr>
        <w:t>101,</w:t>
      </w:r>
      <w:r w:rsidR="00BC6044" w:rsidRPr="007403CD">
        <w:rPr>
          <w:rFonts w:ascii="Tahoma" w:hAnsi="Tahoma" w:cs="Tahoma"/>
          <w:b/>
          <w:sz w:val="24"/>
          <w:szCs w:val="24"/>
        </w:rPr>
        <w:t>7</w:t>
      </w:r>
      <w:r w:rsidR="00461A21" w:rsidRPr="007403CD">
        <w:rPr>
          <w:rFonts w:ascii="Tahoma" w:hAnsi="Tahoma" w:cs="Tahoma"/>
          <w:b/>
          <w:sz w:val="24"/>
          <w:szCs w:val="24"/>
        </w:rPr>
        <w:t>%</w:t>
      </w:r>
      <w:r w:rsidRPr="007403CD">
        <w:rPr>
          <w:rFonts w:ascii="Tahoma" w:hAnsi="Tahoma" w:cs="Tahoma"/>
          <w:sz w:val="24"/>
          <w:szCs w:val="24"/>
        </w:rPr>
        <w:t xml:space="preserve">. </w:t>
      </w:r>
    </w:p>
    <w:p w:rsidR="004D6D76" w:rsidRPr="007403CD" w:rsidRDefault="004D6D76" w:rsidP="00DB2872">
      <w:pPr>
        <w:spacing w:after="240" w:line="276" w:lineRule="auto"/>
        <w:ind w:firstLine="0"/>
        <w:rPr>
          <w:rFonts w:ascii="Tahoma" w:hAnsi="Tahoma" w:cs="Tahoma"/>
          <w:sz w:val="24"/>
          <w:szCs w:val="24"/>
        </w:rPr>
      </w:pPr>
      <w:r w:rsidRPr="007403CD">
        <w:rPr>
          <w:rFonts w:ascii="Tahoma" w:hAnsi="Tahoma" w:cs="Tahoma"/>
          <w:sz w:val="24"/>
          <w:szCs w:val="24"/>
        </w:rPr>
        <w:t xml:space="preserve">Veniturile bugetului general consolidat, ca procent în PIB, </w:t>
      </w:r>
      <w:r w:rsidR="00967266" w:rsidRPr="007403CD">
        <w:rPr>
          <w:rFonts w:ascii="Tahoma" w:hAnsi="Tahoma" w:cs="Tahoma"/>
          <w:sz w:val="24"/>
          <w:szCs w:val="24"/>
        </w:rPr>
        <w:t>au crescut</w:t>
      </w:r>
      <w:r w:rsidRPr="007403CD">
        <w:rPr>
          <w:rFonts w:ascii="Tahoma" w:hAnsi="Tahoma" w:cs="Tahoma"/>
          <w:sz w:val="24"/>
          <w:szCs w:val="24"/>
        </w:rPr>
        <w:t xml:space="preserve"> în perioada analizată cu </w:t>
      </w:r>
      <w:r w:rsidR="00BC6044" w:rsidRPr="007403CD">
        <w:rPr>
          <w:rFonts w:ascii="Tahoma" w:hAnsi="Tahoma" w:cs="Tahoma"/>
          <w:sz w:val="24"/>
          <w:szCs w:val="24"/>
        </w:rPr>
        <w:t>0,9</w:t>
      </w:r>
      <w:r w:rsidRPr="007403CD">
        <w:rPr>
          <w:rFonts w:ascii="Tahoma" w:hAnsi="Tahoma" w:cs="Tahoma"/>
          <w:sz w:val="24"/>
          <w:szCs w:val="24"/>
        </w:rPr>
        <w:t xml:space="preserve"> puncte procentuale comparativ cu aceeași perioadă a anului anterior de la </w:t>
      </w:r>
      <w:r w:rsidR="00E82DC4" w:rsidRPr="007403CD">
        <w:rPr>
          <w:rFonts w:ascii="Tahoma" w:hAnsi="Tahoma" w:cs="Tahoma"/>
          <w:sz w:val="24"/>
          <w:szCs w:val="24"/>
        </w:rPr>
        <w:t>1</w:t>
      </w:r>
      <w:r w:rsidR="00BC6044" w:rsidRPr="007403CD">
        <w:rPr>
          <w:rFonts w:ascii="Tahoma" w:hAnsi="Tahoma" w:cs="Tahoma"/>
          <w:sz w:val="24"/>
          <w:szCs w:val="24"/>
        </w:rPr>
        <w:t>4</w:t>
      </w:r>
      <w:r w:rsidR="00E82DC4" w:rsidRPr="007403CD">
        <w:rPr>
          <w:rFonts w:ascii="Tahoma" w:hAnsi="Tahoma" w:cs="Tahoma"/>
          <w:sz w:val="24"/>
          <w:szCs w:val="24"/>
        </w:rPr>
        <w:t>,9</w:t>
      </w:r>
      <w:r w:rsidRPr="007403CD">
        <w:rPr>
          <w:rFonts w:ascii="Tahoma" w:hAnsi="Tahoma" w:cs="Tahoma"/>
          <w:sz w:val="24"/>
          <w:szCs w:val="24"/>
        </w:rPr>
        <w:t>% în PIB în semestru</w:t>
      </w:r>
      <w:r w:rsidR="00487959" w:rsidRPr="007403CD">
        <w:rPr>
          <w:rFonts w:ascii="Tahoma" w:hAnsi="Tahoma" w:cs="Tahoma"/>
          <w:sz w:val="24"/>
          <w:szCs w:val="24"/>
        </w:rPr>
        <w:t>l</w:t>
      </w:r>
      <w:r w:rsidRPr="007403CD">
        <w:rPr>
          <w:rFonts w:ascii="Tahoma" w:hAnsi="Tahoma" w:cs="Tahoma"/>
          <w:sz w:val="24"/>
          <w:szCs w:val="24"/>
        </w:rPr>
        <w:t xml:space="preserve"> I 20</w:t>
      </w:r>
      <w:r w:rsidR="00E82DC4" w:rsidRPr="007403CD">
        <w:rPr>
          <w:rFonts w:ascii="Tahoma" w:hAnsi="Tahoma" w:cs="Tahoma"/>
          <w:sz w:val="24"/>
          <w:szCs w:val="24"/>
        </w:rPr>
        <w:t>2</w:t>
      </w:r>
      <w:r w:rsidR="00BC6044" w:rsidRPr="007403CD">
        <w:rPr>
          <w:rFonts w:ascii="Tahoma" w:hAnsi="Tahoma" w:cs="Tahoma"/>
          <w:sz w:val="24"/>
          <w:szCs w:val="24"/>
        </w:rPr>
        <w:t>1</w:t>
      </w:r>
      <w:r w:rsidRPr="007403CD">
        <w:rPr>
          <w:rFonts w:ascii="Tahoma" w:hAnsi="Tahoma" w:cs="Tahoma"/>
          <w:sz w:val="24"/>
          <w:szCs w:val="24"/>
        </w:rPr>
        <w:t xml:space="preserve"> la </w:t>
      </w:r>
      <w:r w:rsidR="00E82DC4" w:rsidRPr="007403CD">
        <w:rPr>
          <w:rFonts w:ascii="Tahoma" w:hAnsi="Tahoma" w:cs="Tahoma"/>
          <w:sz w:val="24"/>
          <w:szCs w:val="24"/>
        </w:rPr>
        <w:t>15,</w:t>
      </w:r>
      <w:r w:rsidR="00BC6044" w:rsidRPr="007403CD">
        <w:rPr>
          <w:rFonts w:ascii="Tahoma" w:hAnsi="Tahoma" w:cs="Tahoma"/>
          <w:sz w:val="24"/>
          <w:szCs w:val="24"/>
        </w:rPr>
        <w:t>8</w:t>
      </w:r>
      <w:r w:rsidRPr="007403CD">
        <w:rPr>
          <w:rFonts w:ascii="Tahoma" w:hAnsi="Tahoma" w:cs="Tahoma"/>
          <w:sz w:val="24"/>
          <w:szCs w:val="24"/>
        </w:rPr>
        <w:t>% din PIB în semestrul I 20</w:t>
      </w:r>
      <w:r w:rsidR="00461A21" w:rsidRPr="007403CD">
        <w:rPr>
          <w:rFonts w:ascii="Tahoma" w:hAnsi="Tahoma" w:cs="Tahoma"/>
          <w:sz w:val="24"/>
          <w:szCs w:val="24"/>
        </w:rPr>
        <w:t>2</w:t>
      </w:r>
      <w:r w:rsidR="00BC6044" w:rsidRPr="007403CD">
        <w:rPr>
          <w:rFonts w:ascii="Tahoma" w:hAnsi="Tahoma" w:cs="Tahoma"/>
          <w:sz w:val="24"/>
          <w:szCs w:val="24"/>
        </w:rPr>
        <w:t>2</w:t>
      </w:r>
      <w:r w:rsidRPr="007403CD">
        <w:rPr>
          <w:rFonts w:ascii="Tahoma" w:hAnsi="Tahoma" w:cs="Tahoma"/>
          <w:sz w:val="24"/>
          <w:szCs w:val="24"/>
        </w:rPr>
        <w:t>.</w:t>
      </w:r>
    </w:p>
    <w:p w:rsidR="001B5B69" w:rsidRPr="007403CD" w:rsidRDefault="0063517C" w:rsidP="00B009FE">
      <w:pPr>
        <w:spacing w:after="240" w:line="276" w:lineRule="auto"/>
        <w:ind w:firstLine="0"/>
        <w:rPr>
          <w:rFonts w:ascii="Tahoma" w:hAnsi="Tahoma" w:cs="Tahoma"/>
          <w:b/>
          <w:sz w:val="24"/>
          <w:szCs w:val="24"/>
        </w:rPr>
      </w:pPr>
      <w:r w:rsidRPr="007403CD">
        <w:rPr>
          <w:rFonts w:ascii="Tahoma" w:hAnsi="Tahoma" w:cs="Tahoma"/>
          <w:b/>
          <w:noProof/>
          <w:sz w:val="24"/>
          <w:szCs w:val="24"/>
          <w:lang w:val="en-US"/>
        </w:rPr>
        <w:drawing>
          <wp:inline distT="0" distB="0" distL="0" distR="0" wp14:anchorId="1A24C30A">
            <wp:extent cx="5741035" cy="31472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3791" cy="3148748"/>
                    </a:xfrm>
                    <a:prstGeom prst="rect">
                      <a:avLst/>
                    </a:prstGeom>
                    <a:noFill/>
                  </pic:spPr>
                </pic:pic>
              </a:graphicData>
            </a:graphic>
          </wp:inline>
        </w:drawing>
      </w:r>
    </w:p>
    <w:p w:rsidR="004D6D76" w:rsidRPr="007403CD" w:rsidRDefault="004D6D76" w:rsidP="00DB2872">
      <w:pPr>
        <w:spacing w:line="276" w:lineRule="auto"/>
        <w:ind w:firstLine="0"/>
        <w:rPr>
          <w:rFonts w:ascii="Tahoma" w:hAnsi="Tahoma" w:cs="Tahoma"/>
          <w:sz w:val="24"/>
          <w:szCs w:val="24"/>
        </w:rPr>
      </w:pPr>
      <w:r w:rsidRPr="007403CD">
        <w:rPr>
          <w:rFonts w:ascii="Tahoma" w:hAnsi="Tahoma" w:cs="Tahoma"/>
          <w:b/>
          <w:sz w:val="24"/>
          <w:szCs w:val="24"/>
        </w:rPr>
        <w:t>Veniturile încasate din economia internă</w:t>
      </w:r>
      <w:r w:rsidRPr="007403CD">
        <w:rPr>
          <w:rFonts w:ascii="Tahoma" w:hAnsi="Tahoma" w:cs="Tahoma"/>
          <w:sz w:val="24"/>
          <w:szCs w:val="24"/>
        </w:rPr>
        <w:t xml:space="preserve"> (fără fonduri de la Uniunea Europeană pre și post-aderare) au fost în sumă de </w:t>
      </w:r>
      <w:r w:rsidR="00BC4A6F" w:rsidRPr="007403CD">
        <w:rPr>
          <w:rFonts w:ascii="Tahoma" w:hAnsi="Tahoma" w:cs="Tahoma"/>
          <w:sz w:val="24"/>
          <w:szCs w:val="24"/>
        </w:rPr>
        <w:t>201,80</w:t>
      </w:r>
      <w:r w:rsidR="00FF292C" w:rsidRPr="007403CD">
        <w:rPr>
          <w:rFonts w:ascii="Tahoma" w:hAnsi="Tahoma" w:cs="Tahoma"/>
          <w:sz w:val="24"/>
          <w:szCs w:val="24"/>
        </w:rPr>
        <w:t xml:space="preserve"> </w:t>
      </w:r>
      <w:r w:rsidR="00E82DC4" w:rsidRPr="007403CD">
        <w:rPr>
          <w:rFonts w:ascii="Tahoma" w:hAnsi="Tahoma" w:cs="Tahoma"/>
          <w:sz w:val="24"/>
          <w:szCs w:val="24"/>
        </w:rPr>
        <w:t>miliarde</w:t>
      </w:r>
      <w:r w:rsidRPr="007403CD">
        <w:rPr>
          <w:rFonts w:ascii="Tahoma" w:hAnsi="Tahoma" w:cs="Tahoma"/>
          <w:sz w:val="24"/>
          <w:szCs w:val="24"/>
        </w:rPr>
        <w:t xml:space="preserve"> </w:t>
      </w:r>
      <w:r w:rsidR="003A634F">
        <w:rPr>
          <w:rFonts w:ascii="Tahoma" w:hAnsi="Tahoma" w:cs="Tahoma"/>
          <w:sz w:val="24"/>
          <w:szCs w:val="24"/>
        </w:rPr>
        <w:t>lei</w:t>
      </w:r>
      <w:r w:rsidRPr="007403CD">
        <w:rPr>
          <w:rFonts w:ascii="Tahoma" w:hAnsi="Tahoma" w:cs="Tahoma"/>
          <w:sz w:val="24"/>
          <w:szCs w:val="24"/>
        </w:rPr>
        <w:t xml:space="preserve"> (</w:t>
      </w:r>
      <w:r w:rsidR="00E82DC4" w:rsidRPr="007403CD">
        <w:rPr>
          <w:rFonts w:ascii="Tahoma" w:hAnsi="Tahoma" w:cs="Tahoma"/>
          <w:sz w:val="24"/>
          <w:szCs w:val="24"/>
        </w:rPr>
        <w:t>14,</w:t>
      </w:r>
      <w:r w:rsidR="00BC4A6F" w:rsidRPr="007403CD">
        <w:rPr>
          <w:rFonts w:ascii="Tahoma" w:hAnsi="Tahoma" w:cs="Tahoma"/>
          <w:sz w:val="24"/>
          <w:szCs w:val="24"/>
        </w:rPr>
        <w:t>7</w:t>
      </w:r>
      <w:r w:rsidRPr="007403CD">
        <w:rPr>
          <w:rFonts w:ascii="Tahoma" w:hAnsi="Tahoma" w:cs="Tahoma"/>
          <w:sz w:val="24"/>
          <w:szCs w:val="24"/>
        </w:rPr>
        <w:t xml:space="preserve">% din PIB), cu </w:t>
      </w:r>
      <w:r w:rsidR="00BC4A6F" w:rsidRPr="007403CD">
        <w:rPr>
          <w:rFonts w:ascii="Tahoma" w:hAnsi="Tahoma" w:cs="Tahoma"/>
          <w:b/>
          <w:sz w:val="24"/>
          <w:szCs w:val="24"/>
        </w:rPr>
        <w:t>23,1</w:t>
      </w:r>
      <w:r w:rsidRPr="007403CD">
        <w:rPr>
          <w:rFonts w:ascii="Tahoma" w:hAnsi="Tahoma" w:cs="Tahoma"/>
          <w:b/>
          <w:sz w:val="24"/>
          <w:szCs w:val="24"/>
        </w:rPr>
        <w:t xml:space="preserve">% mai </w:t>
      </w:r>
      <w:r w:rsidR="00E82DC4" w:rsidRPr="007403CD">
        <w:rPr>
          <w:rFonts w:ascii="Tahoma" w:hAnsi="Tahoma" w:cs="Tahoma"/>
          <w:b/>
          <w:sz w:val="24"/>
          <w:szCs w:val="24"/>
        </w:rPr>
        <w:t>mari</w:t>
      </w:r>
      <w:r w:rsidRPr="007403CD">
        <w:rPr>
          <w:rFonts w:ascii="Tahoma" w:hAnsi="Tahoma" w:cs="Tahoma"/>
          <w:sz w:val="24"/>
          <w:szCs w:val="24"/>
        </w:rPr>
        <w:t xml:space="preserve"> comparativ cu încasările semestrului I 20</w:t>
      </w:r>
      <w:r w:rsidR="00EC4B9E" w:rsidRPr="007403CD">
        <w:rPr>
          <w:rFonts w:ascii="Tahoma" w:hAnsi="Tahoma" w:cs="Tahoma"/>
          <w:sz w:val="24"/>
          <w:szCs w:val="24"/>
        </w:rPr>
        <w:t>2</w:t>
      </w:r>
      <w:r w:rsidR="00BC4A6F" w:rsidRPr="007403CD">
        <w:rPr>
          <w:rFonts w:ascii="Tahoma" w:hAnsi="Tahoma" w:cs="Tahoma"/>
          <w:sz w:val="24"/>
          <w:szCs w:val="24"/>
        </w:rPr>
        <w:t>1</w:t>
      </w:r>
      <w:r w:rsidR="00FF292C" w:rsidRPr="007403CD">
        <w:rPr>
          <w:rFonts w:ascii="Tahoma" w:hAnsi="Tahoma" w:cs="Tahoma"/>
          <w:sz w:val="24"/>
          <w:szCs w:val="24"/>
        </w:rPr>
        <w:t xml:space="preserve"> </w:t>
      </w:r>
      <w:r w:rsidR="00A40CBD" w:rsidRPr="007403CD">
        <w:rPr>
          <w:rFonts w:ascii="Tahoma" w:hAnsi="Tahoma" w:cs="Tahoma"/>
          <w:sz w:val="24"/>
          <w:szCs w:val="24"/>
        </w:rPr>
        <w:t>și</w:t>
      </w:r>
      <w:r w:rsidRPr="007403CD">
        <w:rPr>
          <w:rFonts w:ascii="Tahoma" w:hAnsi="Tahoma" w:cs="Tahoma"/>
          <w:sz w:val="24"/>
          <w:szCs w:val="24"/>
        </w:rPr>
        <w:t xml:space="preserve"> un grad de realizare a programul</w:t>
      </w:r>
      <w:r w:rsidR="00C426B5" w:rsidRPr="007403CD">
        <w:rPr>
          <w:rFonts w:ascii="Tahoma" w:hAnsi="Tahoma" w:cs="Tahoma"/>
          <w:sz w:val="24"/>
          <w:szCs w:val="24"/>
        </w:rPr>
        <w:t>ui</w:t>
      </w:r>
      <w:r w:rsidRPr="007403CD">
        <w:rPr>
          <w:rFonts w:ascii="Tahoma" w:hAnsi="Tahoma" w:cs="Tahoma"/>
          <w:sz w:val="24"/>
          <w:szCs w:val="24"/>
        </w:rPr>
        <w:t xml:space="preserve"> semestrial de </w:t>
      </w:r>
      <w:r w:rsidR="00BC4A6F" w:rsidRPr="007403CD">
        <w:rPr>
          <w:rFonts w:ascii="Tahoma" w:hAnsi="Tahoma" w:cs="Tahoma"/>
          <w:b/>
          <w:sz w:val="24"/>
          <w:szCs w:val="24"/>
        </w:rPr>
        <w:t>108,1</w:t>
      </w:r>
      <w:r w:rsidRPr="007403CD">
        <w:rPr>
          <w:rFonts w:ascii="Tahoma" w:hAnsi="Tahoma" w:cs="Tahoma"/>
          <w:b/>
          <w:sz w:val="24"/>
          <w:szCs w:val="24"/>
        </w:rPr>
        <w:t>%</w:t>
      </w:r>
      <w:r w:rsidRPr="007403CD">
        <w:rPr>
          <w:rFonts w:ascii="Tahoma" w:hAnsi="Tahoma" w:cs="Tahoma"/>
          <w:sz w:val="24"/>
          <w:szCs w:val="24"/>
        </w:rPr>
        <w:t>.</w:t>
      </w:r>
    </w:p>
    <w:p w:rsidR="00DB2872" w:rsidRPr="007403CD" w:rsidRDefault="00DB2872" w:rsidP="00DB2872">
      <w:pPr>
        <w:spacing w:after="240" w:line="276" w:lineRule="auto"/>
        <w:ind w:firstLine="0"/>
        <w:rPr>
          <w:rFonts w:ascii="Tahoma" w:eastAsia="SimSun" w:hAnsi="Tahoma" w:cs="Tahoma"/>
          <w:bCs/>
          <w:noProof/>
          <w:kern w:val="1"/>
          <w:sz w:val="24"/>
          <w:szCs w:val="24"/>
          <w:lang w:eastAsia="ro-RO"/>
        </w:rPr>
      </w:pPr>
      <w:r w:rsidRPr="007403CD">
        <w:rPr>
          <w:rFonts w:ascii="Tahoma" w:eastAsia="SimSun" w:hAnsi="Tahoma" w:cs="Tahoma"/>
          <w:bCs/>
          <w:noProof/>
          <w:kern w:val="1"/>
          <w:sz w:val="24"/>
          <w:szCs w:val="24"/>
          <w:lang w:eastAsia="ro-RO"/>
        </w:rPr>
        <w:t xml:space="preserve">Această depășire a programului se datorează în principal evoluției pozitive a veniturilor bugetului de stat (cu un plus de venituri de 14,6 miliarde </w:t>
      </w:r>
      <w:r w:rsidR="003A634F">
        <w:rPr>
          <w:rFonts w:ascii="Tahoma" w:eastAsia="SimSun" w:hAnsi="Tahoma" w:cs="Tahoma"/>
          <w:bCs/>
          <w:noProof/>
          <w:kern w:val="1"/>
          <w:sz w:val="24"/>
          <w:szCs w:val="24"/>
          <w:lang w:eastAsia="ro-RO"/>
        </w:rPr>
        <w:t>lei</w:t>
      </w:r>
      <w:r w:rsidRPr="007403CD">
        <w:rPr>
          <w:rFonts w:ascii="Tahoma" w:eastAsia="SimSun" w:hAnsi="Tahoma" w:cs="Tahoma"/>
          <w:bCs/>
          <w:noProof/>
          <w:kern w:val="1"/>
          <w:sz w:val="24"/>
          <w:szCs w:val="24"/>
          <w:lang w:eastAsia="ro-RO"/>
        </w:rPr>
        <w:t xml:space="preserve"> înregistrat la impozitele pe veniturile suplimentare din domeniul energiei electrice și a gazelor naturale, </w:t>
      </w:r>
      <w:r w:rsidRPr="007403CD">
        <w:rPr>
          <w:rFonts w:ascii="Tahoma" w:eastAsia="SimSun" w:hAnsi="Tahoma" w:cs="Tahoma"/>
          <w:bCs/>
          <w:noProof/>
          <w:kern w:val="1"/>
          <w:sz w:val="24"/>
          <w:szCs w:val="24"/>
          <w:lang w:eastAsia="ro-RO"/>
        </w:rPr>
        <w:lastRenderedPageBreak/>
        <w:t>redevențe petroliere, venituri din dividende, TVA și i</w:t>
      </w:r>
      <w:r w:rsidR="00B009FE" w:rsidRPr="007403CD">
        <w:rPr>
          <w:rFonts w:ascii="Tahoma" w:eastAsia="SimSun" w:hAnsi="Tahoma" w:cs="Tahoma"/>
          <w:bCs/>
          <w:noProof/>
          <w:kern w:val="1"/>
          <w:sz w:val="24"/>
          <w:szCs w:val="24"/>
          <w:lang w:eastAsia="ro-RO"/>
        </w:rPr>
        <w:t>mpozit pe venit, sumă însă aten</w:t>
      </w:r>
      <w:r w:rsidRPr="007403CD">
        <w:rPr>
          <w:rFonts w:ascii="Tahoma" w:eastAsia="SimSun" w:hAnsi="Tahoma" w:cs="Tahoma"/>
          <w:bCs/>
          <w:noProof/>
          <w:kern w:val="1"/>
          <w:sz w:val="24"/>
          <w:szCs w:val="24"/>
          <w:lang w:eastAsia="ro-RO"/>
        </w:rPr>
        <w:t xml:space="preserve">uată cu 2,1 miliarde </w:t>
      </w:r>
      <w:r w:rsidR="003A634F">
        <w:rPr>
          <w:rFonts w:ascii="Tahoma" w:eastAsia="SimSun" w:hAnsi="Tahoma" w:cs="Tahoma"/>
          <w:bCs/>
          <w:noProof/>
          <w:kern w:val="1"/>
          <w:sz w:val="24"/>
          <w:szCs w:val="24"/>
          <w:lang w:eastAsia="ro-RO"/>
        </w:rPr>
        <w:t>lei</w:t>
      </w:r>
      <w:r w:rsidRPr="007403CD">
        <w:rPr>
          <w:rFonts w:ascii="Tahoma" w:eastAsia="SimSun" w:hAnsi="Tahoma" w:cs="Tahoma"/>
          <w:bCs/>
          <w:noProof/>
          <w:kern w:val="1"/>
          <w:sz w:val="24"/>
          <w:szCs w:val="24"/>
          <w:lang w:eastAsia="ro-RO"/>
        </w:rPr>
        <w:t xml:space="preserve"> din neîncasarea veniturilor din accize). </w:t>
      </w:r>
    </w:p>
    <w:p w:rsidR="002E7CD9" w:rsidRPr="007403CD" w:rsidRDefault="004D6D76" w:rsidP="00DB2872">
      <w:pPr>
        <w:spacing w:after="240" w:line="276" w:lineRule="auto"/>
        <w:ind w:firstLine="0"/>
        <w:rPr>
          <w:rFonts w:ascii="Tahoma" w:hAnsi="Tahoma" w:cs="Tahoma"/>
          <w:sz w:val="24"/>
          <w:szCs w:val="24"/>
        </w:rPr>
      </w:pPr>
      <w:r w:rsidRPr="007403CD">
        <w:rPr>
          <w:rFonts w:ascii="Tahoma" w:hAnsi="Tahoma" w:cs="Tahoma"/>
          <w:sz w:val="24"/>
          <w:szCs w:val="24"/>
        </w:rPr>
        <w:t>Veniturile încasate din economia</w:t>
      </w:r>
      <w:r w:rsidR="00563406" w:rsidRPr="007403CD">
        <w:rPr>
          <w:rFonts w:ascii="Tahoma" w:hAnsi="Tahoma" w:cs="Tahoma"/>
          <w:sz w:val="24"/>
          <w:szCs w:val="24"/>
        </w:rPr>
        <w:t xml:space="preserve"> internă, ca procent în PIB, </w:t>
      </w:r>
      <w:r w:rsidR="00EC4B9E" w:rsidRPr="007403CD">
        <w:rPr>
          <w:rFonts w:ascii="Tahoma" w:hAnsi="Tahoma" w:cs="Tahoma"/>
          <w:sz w:val="24"/>
          <w:szCs w:val="24"/>
        </w:rPr>
        <w:t xml:space="preserve">au crescut cu </w:t>
      </w:r>
      <w:r w:rsidR="00BC4A6F" w:rsidRPr="007403CD">
        <w:rPr>
          <w:rFonts w:ascii="Tahoma" w:hAnsi="Tahoma" w:cs="Tahoma"/>
          <w:sz w:val="24"/>
          <w:szCs w:val="24"/>
        </w:rPr>
        <w:t xml:space="preserve">0,8 </w:t>
      </w:r>
      <w:r w:rsidRPr="007403CD">
        <w:rPr>
          <w:rFonts w:ascii="Tahoma" w:hAnsi="Tahoma" w:cs="Tahoma"/>
          <w:sz w:val="24"/>
          <w:szCs w:val="24"/>
        </w:rPr>
        <w:t>puncte procentuale de la 13,</w:t>
      </w:r>
      <w:r w:rsidR="00BC4A6F" w:rsidRPr="007403CD">
        <w:rPr>
          <w:rFonts w:ascii="Tahoma" w:hAnsi="Tahoma" w:cs="Tahoma"/>
          <w:sz w:val="24"/>
          <w:szCs w:val="24"/>
        </w:rPr>
        <w:t>9</w:t>
      </w:r>
      <w:r w:rsidRPr="007403CD">
        <w:rPr>
          <w:rFonts w:ascii="Tahoma" w:hAnsi="Tahoma" w:cs="Tahoma"/>
          <w:sz w:val="24"/>
          <w:szCs w:val="24"/>
        </w:rPr>
        <w:t>% din PIB, cât au reprezentat în semestrul I 20</w:t>
      </w:r>
      <w:r w:rsidR="00EC4B9E" w:rsidRPr="007403CD">
        <w:rPr>
          <w:rFonts w:ascii="Tahoma" w:hAnsi="Tahoma" w:cs="Tahoma"/>
          <w:sz w:val="24"/>
          <w:szCs w:val="24"/>
        </w:rPr>
        <w:t>2</w:t>
      </w:r>
      <w:r w:rsidR="00BC4A6F" w:rsidRPr="007403CD">
        <w:rPr>
          <w:rFonts w:ascii="Tahoma" w:hAnsi="Tahoma" w:cs="Tahoma"/>
          <w:sz w:val="24"/>
          <w:szCs w:val="24"/>
        </w:rPr>
        <w:t>1</w:t>
      </w:r>
      <w:r w:rsidRPr="007403CD">
        <w:rPr>
          <w:rFonts w:ascii="Tahoma" w:hAnsi="Tahoma" w:cs="Tahoma"/>
          <w:sz w:val="24"/>
          <w:szCs w:val="24"/>
        </w:rPr>
        <w:t xml:space="preserve"> la </w:t>
      </w:r>
      <w:r w:rsidR="00EC4B9E" w:rsidRPr="007403CD">
        <w:rPr>
          <w:rFonts w:ascii="Tahoma" w:hAnsi="Tahoma" w:cs="Tahoma"/>
          <w:sz w:val="24"/>
          <w:szCs w:val="24"/>
        </w:rPr>
        <w:t>14,</w:t>
      </w:r>
      <w:r w:rsidR="00BC4A6F" w:rsidRPr="007403CD">
        <w:rPr>
          <w:rFonts w:ascii="Tahoma" w:hAnsi="Tahoma" w:cs="Tahoma"/>
          <w:sz w:val="24"/>
          <w:szCs w:val="24"/>
        </w:rPr>
        <w:t>7</w:t>
      </w:r>
      <w:r w:rsidRPr="007403CD">
        <w:rPr>
          <w:rFonts w:ascii="Tahoma" w:hAnsi="Tahoma" w:cs="Tahoma"/>
          <w:sz w:val="24"/>
          <w:szCs w:val="24"/>
        </w:rPr>
        <w:t>% din PIB în semestrul I 20</w:t>
      </w:r>
      <w:r w:rsidR="00563406" w:rsidRPr="007403CD">
        <w:rPr>
          <w:rFonts w:ascii="Tahoma" w:hAnsi="Tahoma" w:cs="Tahoma"/>
          <w:sz w:val="24"/>
          <w:szCs w:val="24"/>
        </w:rPr>
        <w:t>2</w:t>
      </w:r>
      <w:r w:rsidR="00BC4A6F" w:rsidRPr="007403CD">
        <w:rPr>
          <w:rFonts w:ascii="Tahoma" w:hAnsi="Tahoma" w:cs="Tahoma"/>
          <w:sz w:val="24"/>
          <w:szCs w:val="24"/>
        </w:rPr>
        <w:t>2</w:t>
      </w:r>
      <w:r w:rsidRPr="007403CD">
        <w:rPr>
          <w:rFonts w:ascii="Tahoma" w:hAnsi="Tahoma" w:cs="Tahoma"/>
          <w:sz w:val="24"/>
          <w:szCs w:val="24"/>
        </w:rPr>
        <w:t>.</w:t>
      </w:r>
    </w:p>
    <w:p w:rsidR="002F1D42" w:rsidRPr="007403CD" w:rsidRDefault="0063517C" w:rsidP="002A6579">
      <w:pPr>
        <w:spacing w:line="276" w:lineRule="auto"/>
        <w:ind w:firstLine="0"/>
        <w:rPr>
          <w:rFonts w:ascii="Tahoma" w:hAnsi="Tahoma" w:cs="Tahoma"/>
          <w:sz w:val="24"/>
          <w:szCs w:val="24"/>
        </w:rPr>
      </w:pPr>
      <w:r w:rsidRPr="007403CD">
        <w:rPr>
          <w:rFonts w:ascii="Tahoma" w:hAnsi="Tahoma" w:cs="Tahoma"/>
          <w:noProof/>
          <w:sz w:val="24"/>
          <w:szCs w:val="24"/>
          <w:lang w:val="en-US"/>
        </w:rPr>
        <w:drawing>
          <wp:inline distT="0" distB="0" distL="0" distR="0" wp14:anchorId="282AAE58">
            <wp:extent cx="5732780" cy="3444949"/>
            <wp:effectExtent l="0" t="0" r="127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187" cy="3449400"/>
                    </a:xfrm>
                    <a:prstGeom prst="rect">
                      <a:avLst/>
                    </a:prstGeom>
                    <a:noFill/>
                  </pic:spPr>
                </pic:pic>
              </a:graphicData>
            </a:graphic>
          </wp:inline>
        </w:drawing>
      </w:r>
    </w:p>
    <w:p w:rsidR="004D6D76" w:rsidRPr="007403CD" w:rsidRDefault="004D6D76" w:rsidP="00B009FE">
      <w:pPr>
        <w:spacing w:before="240" w:line="276" w:lineRule="auto"/>
        <w:ind w:firstLine="0"/>
        <w:rPr>
          <w:rFonts w:ascii="Tahoma" w:hAnsi="Tahoma" w:cs="Tahoma"/>
          <w:sz w:val="24"/>
          <w:szCs w:val="24"/>
        </w:rPr>
      </w:pPr>
      <w:r w:rsidRPr="007403CD">
        <w:rPr>
          <w:rFonts w:ascii="Tahoma" w:hAnsi="Tahoma" w:cs="Tahoma"/>
          <w:b/>
          <w:bCs/>
          <w:sz w:val="24"/>
          <w:szCs w:val="24"/>
        </w:rPr>
        <w:t>Veniturile fiscale</w:t>
      </w:r>
      <w:r w:rsidRPr="007403CD">
        <w:rPr>
          <w:rFonts w:ascii="Tahoma" w:hAnsi="Tahoma" w:cs="Tahoma"/>
          <w:sz w:val="24"/>
          <w:szCs w:val="24"/>
        </w:rPr>
        <w:t xml:space="preserve"> au fost în sumă de </w:t>
      </w:r>
      <w:r w:rsidR="002E6D30" w:rsidRPr="007403CD">
        <w:rPr>
          <w:rFonts w:ascii="Tahoma" w:hAnsi="Tahoma" w:cs="Tahoma"/>
          <w:b/>
          <w:sz w:val="24"/>
          <w:szCs w:val="24"/>
        </w:rPr>
        <w:t>111,47</w:t>
      </w:r>
      <w:r w:rsidR="00EC4B9E" w:rsidRPr="007403CD">
        <w:rPr>
          <w:rFonts w:ascii="Tahoma" w:hAnsi="Tahoma" w:cs="Tahoma"/>
          <w:b/>
          <w:sz w:val="24"/>
          <w:szCs w:val="24"/>
        </w:rPr>
        <w:t xml:space="preserve"> miliarde</w:t>
      </w:r>
      <w:r w:rsidRPr="007403CD">
        <w:rPr>
          <w:rFonts w:ascii="Tahoma" w:hAnsi="Tahoma" w:cs="Tahoma"/>
          <w:b/>
          <w:sz w:val="24"/>
          <w:szCs w:val="24"/>
        </w:rPr>
        <w:t xml:space="preserve"> </w:t>
      </w:r>
      <w:r w:rsidR="003A634F">
        <w:rPr>
          <w:rFonts w:ascii="Tahoma" w:hAnsi="Tahoma" w:cs="Tahoma"/>
          <w:b/>
          <w:sz w:val="24"/>
          <w:szCs w:val="24"/>
        </w:rPr>
        <w:t>lei</w:t>
      </w:r>
      <w:r w:rsidRPr="007403CD">
        <w:rPr>
          <w:rFonts w:ascii="Tahoma" w:hAnsi="Tahoma" w:cs="Tahoma"/>
          <w:sz w:val="24"/>
          <w:szCs w:val="24"/>
        </w:rPr>
        <w:t xml:space="preserve">, cu </w:t>
      </w:r>
      <w:r w:rsidR="002E6D30" w:rsidRPr="007403CD">
        <w:rPr>
          <w:rFonts w:ascii="Tahoma" w:hAnsi="Tahoma" w:cs="Tahoma"/>
          <w:sz w:val="24"/>
          <w:szCs w:val="24"/>
        </w:rPr>
        <w:t>26,5</w:t>
      </w:r>
      <w:r w:rsidR="00563406" w:rsidRPr="007403CD">
        <w:rPr>
          <w:rFonts w:ascii="Tahoma" w:hAnsi="Tahoma" w:cs="Tahoma"/>
          <w:sz w:val="24"/>
          <w:szCs w:val="24"/>
        </w:rPr>
        <w:t>%</w:t>
      </w:r>
      <w:r w:rsidR="009B308F" w:rsidRPr="007403CD">
        <w:rPr>
          <w:rFonts w:ascii="Tahoma" w:hAnsi="Tahoma" w:cs="Tahoma"/>
          <w:sz w:val="24"/>
          <w:szCs w:val="24"/>
        </w:rPr>
        <w:t xml:space="preserve"> </w:t>
      </w:r>
      <w:r w:rsidRPr="007403CD">
        <w:rPr>
          <w:rFonts w:ascii="Tahoma" w:hAnsi="Tahoma" w:cs="Tahoma"/>
          <w:sz w:val="24"/>
          <w:szCs w:val="24"/>
        </w:rPr>
        <w:t xml:space="preserve">mai </w:t>
      </w:r>
      <w:r w:rsidR="00D22C24" w:rsidRPr="007403CD">
        <w:rPr>
          <w:rFonts w:ascii="Tahoma" w:hAnsi="Tahoma" w:cs="Tahoma"/>
          <w:sz w:val="24"/>
          <w:szCs w:val="24"/>
        </w:rPr>
        <w:t>mari</w:t>
      </w:r>
      <w:r w:rsidRPr="007403CD">
        <w:rPr>
          <w:rFonts w:ascii="Tahoma" w:hAnsi="Tahoma" w:cs="Tahoma"/>
          <w:sz w:val="24"/>
          <w:szCs w:val="24"/>
        </w:rPr>
        <w:t xml:space="preserve"> comparativ cu perioada similară din anul precedent și s-au realizat în proporție de </w:t>
      </w:r>
      <w:r w:rsidR="002E6D30" w:rsidRPr="007403CD">
        <w:rPr>
          <w:rFonts w:ascii="Tahoma" w:hAnsi="Tahoma" w:cs="Tahoma"/>
          <w:sz w:val="24"/>
          <w:szCs w:val="24"/>
        </w:rPr>
        <w:t>107,9</w:t>
      </w:r>
      <w:r w:rsidRPr="007403CD">
        <w:rPr>
          <w:rFonts w:ascii="Tahoma" w:hAnsi="Tahoma" w:cs="Tahoma"/>
          <w:sz w:val="24"/>
          <w:szCs w:val="24"/>
        </w:rPr>
        <w:t>%.</w:t>
      </w:r>
    </w:p>
    <w:p w:rsidR="004D6D76" w:rsidRPr="007403CD" w:rsidRDefault="004D6D76" w:rsidP="00DB2872">
      <w:pPr>
        <w:spacing w:line="276" w:lineRule="auto"/>
        <w:ind w:firstLine="0"/>
        <w:rPr>
          <w:rFonts w:ascii="Tahoma" w:hAnsi="Tahoma" w:cs="Tahoma"/>
          <w:sz w:val="24"/>
          <w:szCs w:val="24"/>
        </w:rPr>
      </w:pPr>
      <w:r w:rsidRPr="007403CD">
        <w:rPr>
          <w:rFonts w:ascii="Tahoma" w:hAnsi="Tahoma" w:cs="Tahoma"/>
          <w:sz w:val="24"/>
          <w:szCs w:val="24"/>
        </w:rPr>
        <w:t>În structură</w:t>
      </w:r>
      <w:r w:rsidR="009904E3" w:rsidRPr="007403CD">
        <w:rPr>
          <w:rFonts w:ascii="Tahoma" w:hAnsi="Tahoma" w:cs="Tahoma"/>
          <w:sz w:val="24"/>
          <w:szCs w:val="24"/>
        </w:rPr>
        <w:t>,</w:t>
      </w:r>
      <w:r w:rsidRPr="007403CD">
        <w:rPr>
          <w:rFonts w:ascii="Tahoma" w:hAnsi="Tahoma" w:cs="Tahoma"/>
          <w:sz w:val="24"/>
          <w:szCs w:val="24"/>
        </w:rPr>
        <w:t xml:space="preserve"> veniturile fiscale au avut următoarea evoluție:</w:t>
      </w:r>
    </w:p>
    <w:p w:rsidR="00D22C24" w:rsidRPr="007403CD" w:rsidRDefault="00575968" w:rsidP="00DB2872">
      <w:pPr>
        <w:spacing w:after="120" w:line="276" w:lineRule="auto"/>
        <w:ind w:left="284" w:firstLine="0"/>
        <w:rPr>
          <w:rFonts w:ascii="Tahoma" w:hAnsi="Tahoma" w:cs="Tahoma"/>
          <w:sz w:val="24"/>
          <w:szCs w:val="24"/>
        </w:rPr>
      </w:pPr>
      <w:r w:rsidRPr="007403CD">
        <w:rPr>
          <w:rFonts w:ascii="Tahoma" w:hAnsi="Tahoma" w:cs="Tahoma"/>
          <w:b/>
          <w:sz w:val="24"/>
          <w:szCs w:val="24"/>
        </w:rPr>
        <w:t>Încasările din impozitul pe profit</w:t>
      </w:r>
      <w:r w:rsidR="00FF292C" w:rsidRPr="007403CD">
        <w:rPr>
          <w:rFonts w:ascii="Tahoma" w:hAnsi="Tahoma" w:cs="Tahoma"/>
          <w:b/>
          <w:sz w:val="24"/>
          <w:szCs w:val="24"/>
        </w:rPr>
        <w:t xml:space="preserve"> </w:t>
      </w:r>
      <w:r w:rsidR="00D22C24" w:rsidRPr="007403CD">
        <w:rPr>
          <w:rFonts w:ascii="Tahoma" w:hAnsi="Tahoma" w:cs="Tahoma"/>
          <w:sz w:val="24"/>
          <w:szCs w:val="24"/>
        </w:rPr>
        <w:t>pentru semestrul I 202</w:t>
      </w:r>
      <w:r w:rsidR="002E6D30" w:rsidRPr="007403CD">
        <w:rPr>
          <w:rFonts w:ascii="Tahoma" w:hAnsi="Tahoma" w:cs="Tahoma"/>
          <w:sz w:val="24"/>
          <w:szCs w:val="24"/>
        </w:rPr>
        <w:t>2</w:t>
      </w:r>
      <w:r w:rsidR="00D22C24" w:rsidRPr="007403CD">
        <w:rPr>
          <w:rFonts w:ascii="Tahoma" w:hAnsi="Tahoma" w:cs="Tahoma"/>
          <w:sz w:val="24"/>
          <w:szCs w:val="24"/>
        </w:rPr>
        <w:t xml:space="preserve"> au totalizat </w:t>
      </w:r>
      <w:r w:rsidR="002E6D30" w:rsidRPr="007403CD">
        <w:rPr>
          <w:rFonts w:ascii="Tahoma" w:hAnsi="Tahoma" w:cs="Tahoma"/>
          <w:sz w:val="24"/>
          <w:szCs w:val="24"/>
        </w:rPr>
        <w:t>10,76</w:t>
      </w:r>
      <w:r w:rsidR="00D22C24" w:rsidRPr="007403CD">
        <w:rPr>
          <w:rFonts w:ascii="Tahoma" w:hAnsi="Tahoma" w:cs="Tahoma"/>
          <w:sz w:val="24"/>
          <w:szCs w:val="24"/>
        </w:rPr>
        <w:t xml:space="preserve"> miliarde </w:t>
      </w:r>
      <w:r w:rsidR="003A634F">
        <w:rPr>
          <w:rFonts w:ascii="Tahoma" w:hAnsi="Tahoma" w:cs="Tahoma"/>
          <w:sz w:val="24"/>
          <w:szCs w:val="24"/>
        </w:rPr>
        <w:t>lei</w:t>
      </w:r>
      <w:r w:rsidR="00D22C24" w:rsidRPr="007403CD">
        <w:rPr>
          <w:rFonts w:ascii="Tahoma" w:hAnsi="Tahoma" w:cs="Tahoma"/>
          <w:sz w:val="24"/>
          <w:szCs w:val="24"/>
        </w:rPr>
        <w:t xml:space="preserve">, în creștere cu </w:t>
      </w:r>
      <w:r w:rsidR="002E6D30" w:rsidRPr="007403CD">
        <w:rPr>
          <w:rFonts w:ascii="Tahoma" w:hAnsi="Tahoma" w:cs="Tahoma"/>
          <w:sz w:val="24"/>
          <w:szCs w:val="24"/>
        </w:rPr>
        <w:t>27,5</w:t>
      </w:r>
      <w:r w:rsidR="00D22C24" w:rsidRPr="007403CD">
        <w:rPr>
          <w:rFonts w:ascii="Tahoma" w:hAnsi="Tahoma" w:cs="Tahoma"/>
          <w:sz w:val="24"/>
          <w:szCs w:val="24"/>
        </w:rPr>
        <w:t xml:space="preserve">% și cu o depășire a țintei de program stabilit pentru această perioadă de </w:t>
      </w:r>
      <w:r w:rsidR="007D5A97" w:rsidRPr="007403CD">
        <w:rPr>
          <w:rFonts w:ascii="Tahoma" w:hAnsi="Tahoma" w:cs="Tahoma"/>
          <w:sz w:val="24"/>
          <w:szCs w:val="24"/>
        </w:rPr>
        <w:t>4,2</w:t>
      </w:r>
      <w:r w:rsidR="00D22C24" w:rsidRPr="007403CD">
        <w:rPr>
          <w:rFonts w:ascii="Tahoma" w:hAnsi="Tahoma" w:cs="Tahoma"/>
          <w:sz w:val="24"/>
          <w:szCs w:val="24"/>
        </w:rPr>
        <w:t>% (+0,</w:t>
      </w:r>
      <w:r w:rsidR="007D5A97" w:rsidRPr="007403CD">
        <w:rPr>
          <w:rFonts w:ascii="Tahoma" w:hAnsi="Tahoma" w:cs="Tahoma"/>
          <w:sz w:val="24"/>
          <w:szCs w:val="24"/>
        </w:rPr>
        <w:t>43</w:t>
      </w:r>
      <w:r w:rsidR="00D22C24" w:rsidRPr="007403CD">
        <w:rPr>
          <w:rFonts w:ascii="Tahoma" w:hAnsi="Tahoma" w:cs="Tahoma"/>
          <w:sz w:val="24"/>
          <w:szCs w:val="24"/>
        </w:rPr>
        <w:t xml:space="preserve"> miliarde </w:t>
      </w:r>
      <w:r w:rsidR="003A634F">
        <w:rPr>
          <w:rFonts w:ascii="Tahoma" w:hAnsi="Tahoma" w:cs="Tahoma"/>
          <w:sz w:val="24"/>
          <w:szCs w:val="24"/>
        </w:rPr>
        <w:t>lei</w:t>
      </w:r>
      <w:r w:rsidR="00D22C24" w:rsidRPr="007403CD">
        <w:rPr>
          <w:rFonts w:ascii="Tahoma" w:hAnsi="Tahoma" w:cs="Tahoma"/>
          <w:sz w:val="24"/>
          <w:szCs w:val="24"/>
        </w:rPr>
        <w:t>)</w:t>
      </w:r>
      <w:r w:rsidR="00B625AC" w:rsidRPr="007403CD">
        <w:rPr>
          <w:rFonts w:ascii="Tahoma" w:hAnsi="Tahoma" w:cs="Tahoma"/>
          <w:sz w:val="24"/>
          <w:szCs w:val="24"/>
        </w:rPr>
        <w:t>.</w:t>
      </w:r>
    </w:p>
    <w:p w:rsidR="00DB2872" w:rsidRPr="007403CD" w:rsidRDefault="00DB2872" w:rsidP="00DB2872">
      <w:pPr>
        <w:spacing w:after="120" w:line="276" w:lineRule="auto"/>
        <w:ind w:firstLine="284"/>
        <w:rPr>
          <w:rFonts w:ascii="Tahoma" w:hAnsi="Tahoma" w:cs="Tahoma"/>
          <w:sz w:val="24"/>
          <w:szCs w:val="24"/>
        </w:rPr>
      </w:pPr>
      <w:r w:rsidRPr="007403CD">
        <w:rPr>
          <w:rFonts w:ascii="Tahoma" w:hAnsi="Tahoma" w:cs="Tahoma"/>
          <w:sz w:val="24"/>
          <w:szCs w:val="24"/>
        </w:rPr>
        <w:t>Evoluția impozitului pe profit în structură este următoarea:</w:t>
      </w:r>
    </w:p>
    <w:p w:rsidR="00DB2872" w:rsidRPr="007403CD" w:rsidRDefault="00DB2872" w:rsidP="00DB2872">
      <w:pPr>
        <w:pStyle w:val="ListParagraph"/>
        <w:numPr>
          <w:ilvl w:val="0"/>
          <w:numId w:val="42"/>
        </w:numPr>
        <w:spacing w:after="120" w:line="276" w:lineRule="auto"/>
        <w:rPr>
          <w:rFonts w:ascii="Tahoma" w:hAnsi="Tahoma" w:cs="Tahoma"/>
          <w:sz w:val="24"/>
          <w:szCs w:val="24"/>
        </w:rPr>
      </w:pPr>
      <w:r w:rsidRPr="007403CD">
        <w:rPr>
          <w:rFonts w:ascii="Tahoma" w:hAnsi="Tahoma" w:cs="Tahoma"/>
          <w:sz w:val="24"/>
          <w:szCs w:val="24"/>
        </w:rPr>
        <w:t xml:space="preserve">impozitul pe profit virat de agenții economici atinge ținta de program semestrial estimat (grad de realizare de 100,1%), în condițiile în care agenții economici au beneficiat și de reducerea impozitului cu 1,1 miliarde </w:t>
      </w:r>
      <w:r w:rsidR="003A634F">
        <w:rPr>
          <w:rFonts w:ascii="Tahoma" w:hAnsi="Tahoma" w:cs="Tahoma"/>
          <w:sz w:val="24"/>
          <w:szCs w:val="24"/>
        </w:rPr>
        <w:t>lei</w:t>
      </w:r>
      <w:r w:rsidRPr="007403CD">
        <w:rPr>
          <w:rFonts w:ascii="Tahoma" w:hAnsi="Tahoma" w:cs="Tahoma"/>
          <w:sz w:val="24"/>
          <w:szCs w:val="24"/>
        </w:rPr>
        <w:t xml:space="preserve"> (efect al O.U.G. nr. 153/2022 privind facilitatea acordată pentru menținere a capitalului propriu pozitiv/majorare a capitalului propriu).</w:t>
      </w:r>
    </w:p>
    <w:p w:rsidR="00DB2872" w:rsidRPr="007403CD" w:rsidRDefault="00DB2872" w:rsidP="00DB2872">
      <w:pPr>
        <w:spacing w:after="120" w:line="276" w:lineRule="auto"/>
        <w:ind w:left="737" w:hanging="311"/>
        <w:rPr>
          <w:rFonts w:ascii="Tahoma" w:hAnsi="Tahoma" w:cs="Tahoma"/>
          <w:sz w:val="24"/>
          <w:szCs w:val="24"/>
        </w:rPr>
      </w:pPr>
      <w:r w:rsidRPr="007403CD">
        <w:rPr>
          <w:rFonts w:ascii="Tahoma" w:hAnsi="Tahoma" w:cs="Tahoma"/>
          <w:sz w:val="24"/>
          <w:szCs w:val="24"/>
        </w:rPr>
        <w:t>•</w:t>
      </w:r>
      <w:r w:rsidRPr="007403CD">
        <w:rPr>
          <w:rFonts w:ascii="Tahoma" w:hAnsi="Tahoma" w:cs="Tahoma"/>
          <w:sz w:val="24"/>
          <w:szCs w:val="24"/>
        </w:rPr>
        <w:tab/>
        <w:t xml:space="preserve">impozitul pe profit virat de băncile comerciale înregistrează o evoluție pozitivă concretizată în încasări suplimentare la bugetul de stat de +0,6 miliarde </w:t>
      </w:r>
      <w:r w:rsidR="003A634F">
        <w:rPr>
          <w:rFonts w:ascii="Tahoma" w:hAnsi="Tahoma" w:cs="Tahoma"/>
          <w:sz w:val="24"/>
          <w:szCs w:val="24"/>
        </w:rPr>
        <w:t>lei</w:t>
      </w:r>
      <w:r w:rsidRPr="007403CD">
        <w:rPr>
          <w:rFonts w:ascii="Tahoma" w:hAnsi="Tahoma" w:cs="Tahoma"/>
          <w:sz w:val="24"/>
          <w:szCs w:val="24"/>
        </w:rPr>
        <w:t xml:space="preserve"> față de încasările din aceeași perioadă a anului 2021 de 0,2 miliarde </w:t>
      </w:r>
      <w:r w:rsidR="003A634F">
        <w:rPr>
          <w:rFonts w:ascii="Tahoma" w:hAnsi="Tahoma" w:cs="Tahoma"/>
          <w:sz w:val="24"/>
          <w:szCs w:val="24"/>
        </w:rPr>
        <w:t>lei</w:t>
      </w:r>
      <w:r w:rsidRPr="007403CD">
        <w:rPr>
          <w:rFonts w:ascii="Tahoma" w:hAnsi="Tahoma" w:cs="Tahoma"/>
          <w:sz w:val="24"/>
          <w:szCs w:val="24"/>
        </w:rPr>
        <w:t xml:space="preserve">, depășind ținta de program cu 0,4 miliarde </w:t>
      </w:r>
      <w:r w:rsidR="003A634F">
        <w:rPr>
          <w:rFonts w:ascii="Tahoma" w:hAnsi="Tahoma" w:cs="Tahoma"/>
          <w:sz w:val="24"/>
          <w:szCs w:val="24"/>
        </w:rPr>
        <w:t>lei</w:t>
      </w:r>
      <w:r w:rsidRPr="007403CD">
        <w:rPr>
          <w:rFonts w:ascii="Tahoma" w:hAnsi="Tahoma" w:cs="Tahoma"/>
          <w:sz w:val="24"/>
          <w:szCs w:val="24"/>
        </w:rPr>
        <w:t>.</w:t>
      </w:r>
    </w:p>
    <w:p w:rsidR="00D22C24" w:rsidRPr="007403CD" w:rsidRDefault="00746146" w:rsidP="00DB2872">
      <w:pPr>
        <w:spacing w:after="120" w:line="276" w:lineRule="auto"/>
        <w:ind w:firstLine="0"/>
        <w:rPr>
          <w:rFonts w:ascii="Tahoma" w:hAnsi="Tahoma" w:cs="Tahoma"/>
          <w:sz w:val="24"/>
          <w:szCs w:val="24"/>
        </w:rPr>
      </w:pPr>
      <w:r w:rsidRPr="007403CD">
        <w:rPr>
          <w:rFonts w:ascii="Tahoma" w:hAnsi="Tahoma" w:cs="Tahoma"/>
          <w:b/>
          <w:sz w:val="24"/>
          <w:szCs w:val="24"/>
        </w:rPr>
        <w:lastRenderedPageBreak/>
        <w:t>Încasările din impozitul pe venit</w:t>
      </w:r>
      <w:r w:rsidR="009B308F" w:rsidRPr="007403CD">
        <w:rPr>
          <w:rFonts w:ascii="Tahoma" w:hAnsi="Tahoma" w:cs="Tahoma"/>
          <w:b/>
          <w:sz w:val="24"/>
          <w:szCs w:val="24"/>
        </w:rPr>
        <w:t xml:space="preserve"> </w:t>
      </w:r>
      <w:r w:rsidR="00D22C24" w:rsidRPr="007403CD">
        <w:rPr>
          <w:rFonts w:ascii="Tahoma" w:hAnsi="Tahoma" w:cs="Tahoma"/>
          <w:sz w:val="24"/>
          <w:szCs w:val="24"/>
        </w:rPr>
        <w:t>în primul semestru al anului 202</w:t>
      </w:r>
      <w:r w:rsidR="00DB2872" w:rsidRPr="007403CD">
        <w:rPr>
          <w:rFonts w:ascii="Tahoma" w:hAnsi="Tahoma" w:cs="Tahoma"/>
          <w:sz w:val="24"/>
          <w:szCs w:val="24"/>
        </w:rPr>
        <w:t>2</w:t>
      </w:r>
      <w:r w:rsidR="00D22C24" w:rsidRPr="007403CD">
        <w:rPr>
          <w:rFonts w:ascii="Tahoma" w:hAnsi="Tahoma" w:cs="Tahoma"/>
          <w:sz w:val="24"/>
          <w:szCs w:val="24"/>
        </w:rPr>
        <w:t xml:space="preserve"> au totalizat </w:t>
      </w:r>
      <w:r w:rsidR="00DB2872" w:rsidRPr="007403CD">
        <w:rPr>
          <w:rFonts w:ascii="Tahoma" w:hAnsi="Tahoma" w:cs="Tahoma"/>
          <w:sz w:val="24"/>
          <w:szCs w:val="24"/>
        </w:rPr>
        <w:t>16,93</w:t>
      </w:r>
      <w:r w:rsidR="00D22C24" w:rsidRPr="007403CD">
        <w:rPr>
          <w:rFonts w:ascii="Tahoma" w:hAnsi="Tahoma" w:cs="Tahoma"/>
          <w:sz w:val="24"/>
          <w:szCs w:val="24"/>
        </w:rPr>
        <w:t xml:space="preserve"> miliarde </w:t>
      </w:r>
      <w:r w:rsidR="003A634F">
        <w:rPr>
          <w:rFonts w:ascii="Tahoma" w:hAnsi="Tahoma" w:cs="Tahoma"/>
          <w:sz w:val="24"/>
          <w:szCs w:val="24"/>
        </w:rPr>
        <w:t>lei</w:t>
      </w:r>
      <w:r w:rsidR="00D22C24" w:rsidRPr="007403CD">
        <w:rPr>
          <w:rFonts w:ascii="Tahoma" w:hAnsi="Tahoma" w:cs="Tahoma"/>
          <w:sz w:val="24"/>
          <w:szCs w:val="24"/>
        </w:rPr>
        <w:t xml:space="preserve">, în creștere cu </w:t>
      </w:r>
      <w:r w:rsidR="00DB2872" w:rsidRPr="007403CD">
        <w:rPr>
          <w:rFonts w:ascii="Tahoma" w:hAnsi="Tahoma" w:cs="Tahoma"/>
          <w:sz w:val="24"/>
          <w:szCs w:val="24"/>
        </w:rPr>
        <w:t>18,4</w:t>
      </w:r>
      <w:r w:rsidR="00D22C24" w:rsidRPr="007403CD">
        <w:rPr>
          <w:rFonts w:ascii="Tahoma" w:hAnsi="Tahoma" w:cs="Tahoma"/>
          <w:sz w:val="24"/>
          <w:szCs w:val="24"/>
        </w:rPr>
        <w:t xml:space="preserve">% comparativ cu aceeași perioadă a anului precedent. </w:t>
      </w:r>
    </w:p>
    <w:p w:rsidR="00D22C24" w:rsidRPr="007403CD" w:rsidRDefault="00D22C24" w:rsidP="00DB2872">
      <w:pPr>
        <w:spacing w:after="120" w:line="276" w:lineRule="auto"/>
        <w:ind w:firstLine="0"/>
        <w:rPr>
          <w:rFonts w:ascii="Tahoma" w:hAnsi="Tahoma" w:cs="Tahoma"/>
          <w:sz w:val="24"/>
          <w:szCs w:val="24"/>
        </w:rPr>
      </w:pPr>
      <w:r w:rsidRPr="007403CD">
        <w:rPr>
          <w:rFonts w:ascii="Tahoma" w:hAnsi="Tahoma" w:cs="Tahoma"/>
          <w:sz w:val="24"/>
          <w:szCs w:val="24"/>
        </w:rPr>
        <w:t xml:space="preserve">Gradul de realizare al impozitului pe venit față de programul stabilit pentru această perioadă este </w:t>
      </w:r>
      <w:r w:rsidR="00DB2872" w:rsidRPr="007403CD">
        <w:rPr>
          <w:rFonts w:ascii="Tahoma" w:hAnsi="Tahoma" w:cs="Tahoma"/>
          <w:sz w:val="24"/>
          <w:szCs w:val="24"/>
        </w:rPr>
        <w:t>105,3</w:t>
      </w:r>
      <w:r w:rsidRPr="007403CD">
        <w:rPr>
          <w:rFonts w:ascii="Tahoma" w:hAnsi="Tahoma" w:cs="Tahoma"/>
          <w:sz w:val="24"/>
          <w:szCs w:val="24"/>
        </w:rPr>
        <w:t>% (+0,8</w:t>
      </w:r>
      <w:r w:rsidR="00DB2872" w:rsidRPr="007403CD">
        <w:rPr>
          <w:rFonts w:ascii="Tahoma" w:hAnsi="Tahoma" w:cs="Tahoma"/>
          <w:sz w:val="24"/>
          <w:szCs w:val="24"/>
        </w:rPr>
        <w:t>5</w:t>
      </w:r>
      <w:r w:rsidRPr="007403CD">
        <w:rPr>
          <w:rFonts w:ascii="Tahoma" w:hAnsi="Tahoma" w:cs="Tahoma"/>
          <w:sz w:val="24"/>
          <w:szCs w:val="24"/>
        </w:rPr>
        <w:t xml:space="preserve"> miliarde </w:t>
      </w:r>
      <w:r w:rsidR="003A634F">
        <w:rPr>
          <w:rFonts w:ascii="Tahoma" w:hAnsi="Tahoma" w:cs="Tahoma"/>
          <w:sz w:val="24"/>
          <w:szCs w:val="24"/>
        </w:rPr>
        <w:t>lei</w:t>
      </w:r>
      <w:r w:rsidRPr="007403CD">
        <w:rPr>
          <w:rFonts w:ascii="Tahoma" w:hAnsi="Tahoma" w:cs="Tahoma"/>
          <w:sz w:val="24"/>
          <w:szCs w:val="24"/>
        </w:rPr>
        <w:t xml:space="preserve">). </w:t>
      </w:r>
    </w:p>
    <w:p w:rsidR="00DB2872" w:rsidRPr="007403CD" w:rsidRDefault="00DB2872" w:rsidP="00DB2872">
      <w:pPr>
        <w:spacing w:after="120" w:line="276" w:lineRule="auto"/>
        <w:ind w:firstLine="0"/>
        <w:rPr>
          <w:rFonts w:ascii="Tahoma" w:hAnsi="Tahoma" w:cs="Tahoma"/>
          <w:sz w:val="24"/>
          <w:szCs w:val="24"/>
        </w:rPr>
      </w:pPr>
      <w:r w:rsidRPr="007403CD">
        <w:rPr>
          <w:rFonts w:ascii="Tahoma" w:hAnsi="Tahoma" w:cs="Tahoma"/>
          <w:sz w:val="24"/>
          <w:szCs w:val="24"/>
        </w:rPr>
        <w:t>În structură, încasările din impozitul pe venitul din salarii</w:t>
      </w:r>
      <w:r w:rsidRPr="007403CD">
        <w:rPr>
          <w:rFonts w:ascii="Tahoma" w:hAnsi="Tahoma" w:cs="Tahoma"/>
          <w:sz w:val="24"/>
          <w:szCs w:val="24"/>
          <w:vertAlign w:val="superscript"/>
        </w:rPr>
        <w:footnoteReference w:id="1"/>
      </w:r>
      <w:r w:rsidRPr="007403CD">
        <w:rPr>
          <w:rFonts w:ascii="Tahoma" w:hAnsi="Tahoma" w:cs="Tahoma"/>
          <w:sz w:val="24"/>
          <w:szCs w:val="24"/>
        </w:rPr>
        <w:t xml:space="preserve"> înregistrează față de aceeași perioadă a anului 2021 o dinamică de 10,9%, sub evoluția fondului brut de salarii de 11,8%</w:t>
      </w:r>
      <w:r w:rsidRPr="007403CD">
        <w:rPr>
          <w:rFonts w:ascii="Tahoma" w:hAnsi="Tahoma" w:cs="Tahoma"/>
          <w:sz w:val="24"/>
          <w:szCs w:val="24"/>
          <w:vertAlign w:val="superscript"/>
        </w:rPr>
        <w:footnoteReference w:id="2"/>
      </w:r>
      <w:r w:rsidRPr="007403CD">
        <w:rPr>
          <w:rFonts w:ascii="Tahoma" w:hAnsi="Tahoma" w:cs="Tahoma"/>
          <w:sz w:val="24"/>
          <w:szCs w:val="24"/>
        </w:rPr>
        <w:t xml:space="preserve">. </w:t>
      </w:r>
    </w:p>
    <w:p w:rsidR="00DB2872" w:rsidRPr="007403CD" w:rsidRDefault="00DB2872" w:rsidP="00DB2872">
      <w:pPr>
        <w:spacing w:after="120" w:line="276" w:lineRule="auto"/>
        <w:ind w:firstLine="0"/>
        <w:rPr>
          <w:rFonts w:ascii="Tahoma" w:hAnsi="Tahoma" w:cs="Tahoma"/>
          <w:sz w:val="24"/>
          <w:szCs w:val="24"/>
        </w:rPr>
      </w:pPr>
      <w:r w:rsidRPr="007403CD">
        <w:rPr>
          <w:rFonts w:ascii="Tahoma" w:hAnsi="Tahoma" w:cs="Tahoma"/>
          <w:sz w:val="24"/>
          <w:szCs w:val="24"/>
        </w:rPr>
        <w:t xml:space="preserve">O evoluție pozitivă a veniturilor din această sursă a fost susținută și de sporul încasărilor din impozitul pe venit aferent declarației unice (creștere cu 0,6 miliarde </w:t>
      </w:r>
      <w:r w:rsidR="003A634F">
        <w:rPr>
          <w:rFonts w:ascii="Tahoma" w:hAnsi="Tahoma" w:cs="Tahoma"/>
          <w:sz w:val="24"/>
          <w:szCs w:val="24"/>
        </w:rPr>
        <w:t>lei</w:t>
      </w:r>
      <w:r w:rsidRPr="007403CD">
        <w:rPr>
          <w:rFonts w:ascii="Tahoma" w:hAnsi="Tahoma" w:cs="Tahoma"/>
          <w:sz w:val="24"/>
          <w:szCs w:val="24"/>
        </w:rPr>
        <w:t>, pe seama încasărilor din luna mai a anului curent</w:t>
      </w:r>
      <w:r w:rsidRPr="007403CD">
        <w:rPr>
          <w:rFonts w:ascii="Tahoma" w:hAnsi="Tahoma" w:cs="Tahoma"/>
          <w:sz w:val="24"/>
          <w:szCs w:val="24"/>
          <w:vertAlign w:val="superscript"/>
        </w:rPr>
        <w:footnoteReference w:id="3"/>
      </w:r>
      <w:r w:rsidRPr="007403CD">
        <w:rPr>
          <w:rFonts w:ascii="Tahoma" w:hAnsi="Tahoma" w:cs="Tahoma"/>
          <w:sz w:val="24"/>
          <w:szCs w:val="24"/>
        </w:rPr>
        <w:t>), din impozitul pe veniturile din dividende (+36,7%) și din impozitul pe veniturile din pensii (+28,5%, creștere în care este inclusă majorarea valorii punctului de pensie cu 10%</w:t>
      </w:r>
      <w:r w:rsidRPr="007403CD">
        <w:rPr>
          <w:rFonts w:ascii="Tahoma" w:hAnsi="Tahoma" w:cs="Tahoma"/>
          <w:sz w:val="24"/>
          <w:szCs w:val="24"/>
          <w:vertAlign w:val="superscript"/>
        </w:rPr>
        <w:footnoteReference w:id="4"/>
      </w:r>
      <w:r w:rsidRPr="007403CD">
        <w:rPr>
          <w:rFonts w:ascii="Tahoma" w:hAnsi="Tahoma" w:cs="Tahoma"/>
          <w:sz w:val="24"/>
          <w:szCs w:val="24"/>
        </w:rPr>
        <w:t>).</w:t>
      </w:r>
      <w:r w:rsidRPr="007403CD">
        <w:rPr>
          <w:rFonts w:ascii="Tahoma" w:hAnsi="Tahoma" w:cs="Tahoma"/>
          <w:sz w:val="24"/>
          <w:szCs w:val="24"/>
        </w:rPr>
        <w:tab/>
      </w:r>
    </w:p>
    <w:p w:rsidR="00746146" w:rsidRPr="007403CD" w:rsidRDefault="004D6D76" w:rsidP="00727287">
      <w:pPr>
        <w:spacing w:after="120" w:line="276" w:lineRule="auto"/>
        <w:ind w:firstLine="0"/>
        <w:rPr>
          <w:rFonts w:ascii="Tahoma" w:hAnsi="Tahoma" w:cs="Tahoma"/>
          <w:sz w:val="24"/>
          <w:szCs w:val="24"/>
        </w:rPr>
      </w:pPr>
      <w:r w:rsidRPr="007403CD">
        <w:rPr>
          <w:rFonts w:ascii="Tahoma" w:hAnsi="Tahoma" w:cs="Tahoma"/>
          <w:sz w:val="24"/>
          <w:szCs w:val="24"/>
        </w:rPr>
        <w:t xml:space="preserve">Încasările din </w:t>
      </w:r>
      <w:r w:rsidRPr="007403CD">
        <w:rPr>
          <w:rFonts w:ascii="Tahoma" w:hAnsi="Tahoma" w:cs="Tahoma"/>
          <w:b/>
          <w:sz w:val="24"/>
          <w:szCs w:val="24"/>
        </w:rPr>
        <w:t>impozitele</w:t>
      </w:r>
      <w:r w:rsidR="009B308F" w:rsidRPr="007403CD">
        <w:rPr>
          <w:rFonts w:ascii="Tahoma" w:hAnsi="Tahoma" w:cs="Tahoma"/>
          <w:b/>
          <w:sz w:val="24"/>
          <w:szCs w:val="24"/>
        </w:rPr>
        <w:t xml:space="preserve"> </w:t>
      </w:r>
      <w:r w:rsidRPr="007403CD">
        <w:rPr>
          <w:rFonts w:ascii="Tahoma" w:hAnsi="Tahoma" w:cs="Tahoma"/>
          <w:b/>
          <w:bCs/>
          <w:sz w:val="24"/>
          <w:szCs w:val="24"/>
        </w:rPr>
        <w:t xml:space="preserve">și taxele pe proprietate </w:t>
      </w:r>
      <w:r w:rsidRPr="007403CD">
        <w:rPr>
          <w:rFonts w:ascii="Tahoma" w:hAnsi="Tahoma" w:cs="Tahoma"/>
          <w:bCs/>
          <w:sz w:val="24"/>
          <w:szCs w:val="24"/>
        </w:rPr>
        <w:t xml:space="preserve">au totalizat </w:t>
      </w:r>
      <w:r w:rsidR="00DB2872" w:rsidRPr="007403CD">
        <w:rPr>
          <w:rFonts w:ascii="Tahoma" w:hAnsi="Tahoma" w:cs="Tahoma"/>
          <w:bCs/>
          <w:sz w:val="24"/>
          <w:szCs w:val="24"/>
        </w:rPr>
        <w:t>5,30</w:t>
      </w:r>
      <w:r w:rsidRPr="007403CD">
        <w:rPr>
          <w:rFonts w:ascii="Tahoma" w:hAnsi="Tahoma" w:cs="Tahoma"/>
          <w:bCs/>
          <w:sz w:val="24"/>
          <w:szCs w:val="24"/>
        </w:rPr>
        <w:t xml:space="preserve"> mili</w:t>
      </w:r>
      <w:r w:rsidR="00D22C24" w:rsidRPr="007403CD">
        <w:rPr>
          <w:rFonts w:ascii="Tahoma" w:hAnsi="Tahoma" w:cs="Tahoma"/>
          <w:bCs/>
          <w:sz w:val="24"/>
          <w:szCs w:val="24"/>
        </w:rPr>
        <w:t>arde</w:t>
      </w:r>
      <w:r w:rsidRPr="007403CD">
        <w:rPr>
          <w:rFonts w:ascii="Tahoma" w:hAnsi="Tahoma" w:cs="Tahoma"/>
          <w:bCs/>
          <w:sz w:val="24"/>
          <w:szCs w:val="24"/>
        </w:rPr>
        <w:t xml:space="preserve"> </w:t>
      </w:r>
      <w:r w:rsidR="003A634F">
        <w:rPr>
          <w:rFonts w:ascii="Tahoma" w:hAnsi="Tahoma" w:cs="Tahoma"/>
          <w:bCs/>
          <w:sz w:val="24"/>
          <w:szCs w:val="24"/>
        </w:rPr>
        <w:t>lei</w:t>
      </w:r>
      <w:r w:rsidRPr="007403CD">
        <w:rPr>
          <w:rFonts w:ascii="Tahoma" w:hAnsi="Tahoma" w:cs="Tahoma"/>
          <w:bCs/>
          <w:sz w:val="24"/>
          <w:szCs w:val="24"/>
        </w:rPr>
        <w:t xml:space="preserve"> (0,4% din PIB) cu </w:t>
      </w:r>
      <w:r w:rsidR="00DB2872" w:rsidRPr="007403CD">
        <w:rPr>
          <w:rFonts w:ascii="Tahoma" w:hAnsi="Tahoma" w:cs="Tahoma"/>
          <w:bCs/>
          <w:sz w:val="24"/>
          <w:szCs w:val="24"/>
        </w:rPr>
        <w:t>8</w:t>
      </w:r>
      <w:r w:rsidR="00746146" w:rsidRPr="007403CD">
        <w:rPr>
          <w:rFonts w:ascii="Tahoma" w:hAnsi="Tahoma" w:cs="Tahoma"/>
          <w:bCs/>
          <w:sz w:val="24"/>
          <w:szCs w:val="24"/>
        </w:rPr>
        <w:t>,</w:t>
      </w:r>
      <w:r w:rsidR="00D22C24" w:rsidRPr="007403CD">
        <w:rPr>
          <w:rFonts w:ascii="Tahoma" w:hAnsi="Tahoma" w:cs="Tahoma"/>
          <w:bCs/>
          <w:sz w:val="24"/>
          <w:szCs w:val="24"/>
        </w:rPr>
        <w:t>5</w:t>
      </w:r>
      <w:r w:rsidRPr="007403CD">
        <w:rPr>
          <w:rFonts w:ascii="Tahoma" w:hAnsi="Tahoma" w:cs="Tahoma"/>
          <w:bCs/>
          <w:sz w:val="24"/>
          <w:szCs w:val="24"/>
        </w:rPr>
        <w:t xml:space="preserve">% </w:t>
      </w:r>
      <w:r w:rsidR="00D22C24" w:rsidRPr="007403CD">
        <w:rPr>
          <w:rFonts w:ascii="Tahoma" w:hAnsi="Tahoma" w:cs="Tahoma"/>
          <w:bCs/>
          <w:sz w:val="24"/>
          <w:szCs w:val="24"/>
        </w:rPr>
        <w:t>peste</w:t>
      </w:r>
      <w:r w:rsidR="00746146" w:rsidRPr="007403CD">
        <w:rPr>
          <w:rFonts w:ascii="Tahoma" w:hAnsi="Tahoma" w:cs="Tahoma"/>
          <w:bCs/>
          <w:sz w:val="24"/>
          <w:szCs w:val="24"/>
        </w:rPr>
        <w:t xml:space="preserve"> încasările </w:t>
      </w:r>
      <w:r w:rsidRPr="007403CD">
        <w:rPr>
          <w:rFonts w:ascii="Tahoma" w:hAnsi="Tahoma" w:cs="Tahoma"/>
          <w:sz w:val="24"/>
          <w:szCs w:val="24"/>
        </w:rPr>
        <w:t>semestrul</w:t>
      </w:r>
      <w:r w:rsidR="00746146" w:rsidRPr="007403CD">
        <w:rPr>
          <w:rFonts w:ascii="Tahoma" w:hAnsi="Tahoma" w:cs="Tahoma"/>
          <w:sz w:val="24"/>
          <w:szCs w:val="24"/>
        </w:rPr>
        <w:t>ui</w:t>
      </w:r>
      <w:r w:rsidRPr="007403CD">
        <w:rPr>
          <w:rFonts w:ascii="Tahoma" w:hAnsi="Tahoma" w:cs="Tahoma"/>
          <w:sz w:val="24"/>
          <w:szCs w:val="24"/>
        </w:rPr>
        <w:t xml:space="preserve"> I </w:t>
      </w:r>
      <w:r w:rsidR="00746146" w:rsidRPr="007403CD">
        <w:rPr>
          <w:rFonts w:ascii="Tahoma" w:hAnsi="Tahoma" w:cs="Tahoma"/>
          <w:sz w:val="24"/>
          <w:szCs w:val="24"/>
        </w:rPr>
        <w:t>20</w:t>
      </w:r>
      <w:r w:rsidR="00D22C24" w:rsidRPr="007403CD">
        <w:rPr>
          <w:rFonts w:ascii="Tahoma" w:hAnsi="Tahoma" w:cs="Tahoma"/>
          <w:sz w:val="24"/>
          <w:szCs w:val="24"/>
        </w:rPr>
        <w:t>2</w:t>
      </w:r>
      <w:r w:rsidR="00DB2872" w:rsidRPr="007403CD">
        <w:rPr>
          <w:rFonts w:ascii="Tahoma" w:hAnsi="Tahoma" w:cs="Tahoma"/>
          <w:sz w:val="24"/>
          <w:szCs w:val="24"/>
        </w:rPr>
        <w:t>1</w:t>
      </w:r>
      <w:r w:rsidRPr="007403CD">
        <w:rPr>
          <w:rFonts w:ascii="Tahoma" w:hAnsi="Tahoma" w:cs="Tahoma"/>
          <w:sz w:val="24"/>
          <w:szCs w:val="24"/>
        </w:rPr>
        <w:t xml:space="preserve">, gradul de realizare al programului de încasări fiind de </w:t>
      </w:r>
      <w:r w:rsidR="00DB2872" w:rsidRPr="007403CD">
        <w:rPr>
          <w:rFonts w:ascii="Tahoma" w:hAnsi="Tahoma" w:cs="Tahoma"/>
          <w:sz w:val="24"/>
          <w:szCs w:val="24"/>
        </w:rPr>
        <w:t>95,2</w:t>
      </w:r>
      <w:r w:rsidRPr="007403CD">
        <w:rPr>
          <w:rFonts w:ascii="Tahoma" w:hAnsi="Tahoma" w:cs="Tahoma"/>
          <w:sz w:val="24"/>
          <w:szCs w:val="24"/>
        </w:rPr>
        <w:t xml:space="preserve">%. </w:t>
      </w:r>
    </w:p>
    <w:p w:rsidR="004438F1" w:rsidRPr="007403CD" w:rsidRDefault="00727287" w:rsidP="00727287">
      <w:pPr>
        <w:autoSpaceDE w:val="0"/>
        <w:autoSpaceDN w:val="0"/>
        <w:adjustRightInd w:val="0"/>
        <w:spacing w:line="276" w:lineRule="auto"/>
        <w:ind w:firstLine="0"/>
        <w:rPr>
          <w:rFonts w:ascii="Tahoma" w:hAnsi="Tahoma" w:cs="Tahoma"/>
          <w:sz w:val="24"/>
          <w:szCs w:val="24"/>
        </w:rPr>
      </w:pPr>
      <w:r w:rsidRPr="007403CD">
        <w:rPr>
          <w:rFonts w:ascii="Tahoma" w:hAnsi="Tahoma" w:cs="Tahoma"/>
          <w:sz w:val="24"/>
          <w:szCs w:val="24"/>
        </w:rPr>
        <w:t xml:space="preserve">Evoluția față de program a încasărilor din impozitele </w:t>
      </w:r>
      <w:r w:rsidRPr="007403CD">
        <w:rPr>
          <w:rFonts w:ascii="Tahoma" w:hAnsi="Tahoma" w:cs="Tahoma"/>
          <w:bCs/>
          <w:sz w:val="24"/>
          <w:szCs w:val="24"/>
        </w:rPr>
        <w:t>și taxele pe proprietate</w:t>
      </w:r>
      <w:r w:rsidRPr="007403CD">
        <w:rPr>
          <w:rFonts w:ascii="Tahoma" w:hAnsi="Tahoma" w:cs="Tahoma"/>
          <w:sz w:val="24"/>
          <w:szCs w:val="24"/>
        </w:rPr>
        <w:t xml:space="preserve"> s-a datorat în totalitate situația înregistrate la bugetele locale unde încasările nu au reușit să atingă valoarea programată pentru semestrul I 2022.</w:t>
      </w:r>
    </w:p>
    <w:p w:rsidR="00727287" w:rsidRPr="007403CD" w:rsidRDefault="00727287" w:rsidP="00727287">
      <w:pPr>
        <w:autoSpaceDE w:val="0"/>
        <w:autoSpaceDN w:val="0"/>
        <w:adjustRightInd w:val="0"/>
        <w:spacing w:after="120" w:line="276" w:lineRule="auto"/>
        <w:ind w:firstLine="0"/>
        <w:rPr>
          <w:rFonts w:ascii="Tahoma" w:hAnsi="Tahoma" w:cs="Tahoma"/>
          <w:bCs/>
          <w:sz w:val="24"/>
          <w:szCs w:val="24"/>
        </w:rPr>
      </w:pPr>
      <w:r w:rsidRPr="007403CD">
        <w:rPr>
          <w:rFonts w:ascii="Tahoma" w:hAnsi="Tahoma" w:cs="Tahoma"/>
          <w:sz w:val="24"/>
          <w:szCs w:val="24"/>
        </w:rPr>
        <w:t xml:space="preserve">Deși nu au reușit să atingă valoarea programată încasările din impozitele </w:t>
      </w:r>
      <w:r w:rsidRPr="007403CD">
        <w:rPr>
          <w:rFonts w:ascii="Tahoma" w:hAnsi="Tahoma" w:cs="Tahoma"/>
          <w:bCs/>
          <w:sz w:val="24"/>
          <w:szCs w:val="24"/>
        </w:rPr>
        <w:t xml:space="preserve">și taxele pe proprietate la bugetele locale au fost superioare(+8,3%) celor din anul anterior. </w:t>
      </w:r>
    </w:p>
    <w:p w:rsidR="008A3D57" w:rsidRPr="007403CD" w:rsidRDefault="00BB23A6" w:rsidP="00727287">
      <w:pPr>
        <w:autoSpaceDE w:val="0"/>
        <w:autoSpaceDN w:val="0"/>
        <w:adjustRightInd w:val="0"/>
        <w:spacing w:line="276" w:lineRule="auto"/>
        <w:ind w:firstLine="0"/>
        <w:rPr>
          <w:rFonts w:ascii="Tahoma" w:hAnsi="Tahoma" w:cs="Tahoma"/>
          <w:sz w:val="24"/>
          <w:szCs w:val="24"/>
        </w:rPr>
      </w:pPr>
      <w:r w:rsidRPr="007403CD">
        <w:rPr>
          <w:rFonts w:ascii="Tahoma" w:hAnsi="Tahoma" w:cs="Tahoma"/>
          <w:b/>
          <w:sz w:val="24"/>
          <w:szCs w:val="24"/>
        </w:rPr>
        <w:t>Încasările din taxa pe valoarea adăugată</w:t>
      </w:r>
      <w:r w:rsidR="009B308F" w:rsidRPr="007403CD">
        <w:rPr>
          <w:rFonts w:ascii="Tahoma" w:hAnsi="Tahoma" w:cs="Tahoma"/>
          <w:b/>
          <w:sz w:val="24"/>
          <w:szCs w:val="24"/>
        </w:rPr>
        <w:t xml:space="preserve"> </w:t>
      </w:r>
      <w:r w:rsidR="008A3D57" w:rsidRPr="007403CD">
        <w:rPr>
          <w:rFonts w:ascii="Tahoma" w:hAnsi="Tahoma" w:cs="Tahoma"/>
          <w:sz w:val="24"/>
          <w:szCs w:val="24"/>
        </w:rPr>
        <w:t xml:space="preserve">au totalizat </w:t>
      </w:r>
      <w:r w:rsidR="00727287" w:rsidRPr="007403CD">
        <w:rPr>
          <w:rFonts w:ascii="Tahoma" w:hAnsi="Tahoma" w:cs="Tahoma"/>
          <w:sz w:val="24"/>
          <w:szCs w:val="24"/>
        </w:rPr>
        <w:t>45,50</w:t>
      </w:r>
      <w:r w:rsidR="008A3D57" w:rsidRPr="007403CD">
        <w:rPr>
          <w:rFonts w:ascii="Tahoma" w:hAnsi="Tahoma" w:cs="Tahoma"/>
          <w:sz w:val="24"/>
          <w:szCs w:val="24"/>
        </w:rPr>
        <w:t xml:space="preserve"> miliarde </w:t>
      </w:r>
      <w:r w:rsidR="003A634F">
        <w:rPr>
          <w:rFonts w:ascii="Tahoma" w:hAnsi="Tahoma" w:cs="Tahoma"/>
          <w:sz w:val="24"/>
          <w:szCs w:val="24"/>
        </w:rPr>
        <w:t>lei</w:t>
      </w:r>
      <w:r w:rsidR="008A3D57" w:rsidRPr="007403CD">
        <w:rPr>
          <w:rFonts w:ascii="Tahoma" w:hAnsi="Tahoma" w:cs="Tahoma"/>
          <w:sz w:val="24"/>
          <w:szCs w:val="24"/>
        </w:rPr>
        <w:t xml:space="preserve">, cu </w:t>
      </w:r>
      <w:r w:rsidR="00727287" w:rsidRPr="007403CD">
        <w:rPr>
          <w:rFonts w:ascii="Tahoma" w:hAnsi="Tahoma" w:cs="Tahoma"/>
          <w:sz w:val="24"/>
          <w:szCs w:val="24"/>
        </w:rPr>
        <w:t>26,6</w:t>
      </w:r>
      <w:r w:rsidR="008A3D57" w:rsidRPr="007403CD">
        <w:rPr>
          <w:rFonts w:ascii="Tahoma" w:hAnsi="Tahoma" w:cs="Tahoma"/>
          <w:sz w:val="24"/>
          <w:szCs w:val="24"/>
        </w:rPr>
        <w:t xml:space="preserve">% peste încasările înregistrate în aceeași perioadă a anului precedent, iar gradul de realizare al programului de încasări a fost de </w:t>
      </w:r>
      <w:r w:rsidR="00727287" w:rsidRPr="007403CD">
        <w:rPr>
          <w:rFonts w:ascii="Tahoma" w:hAnsi="Tahoma" w:cs="Tahoma"/>
          <w:sz w:val="24"/>
          <w:szCs w:val="24"/>
        </w:rPr>
        <w:t>105,1</w:t>
      </w:r>
      <w:r w:rsidR="008A3D57" w:rsidRPr="007403CD">
        <w:rPr>
          <w:rFonts w:ascii="Tahoma" w:hAnsi="Tahoma" w:cs="Tahoma"/>
          <w:sz w:val="24"/>
          <w:szCs w:val="24"/>
        </w:rPr>
        <w:t xml:space="preserve">%. </w:t>
      </w:r>
    </w:p>
    <w:p w:rsidR="00727287" w:rsidRPr="007403CD" w:rsidRDefault="00727287" w:rsidP="00727287">
      <w:pPr>
        <w:spacing w:after="120" w:line="276" w:lineRule="auto"/>
        <w:ind w:firstLine="0"/>
        <w:rPr>
          <w:rFonts w:ascii="Tahoma" w:eastAsia="Calibri" w:hAnsi="Tahoma" w:cs="Tahoma"/>
          <w:color w:val="00000A"/>
          <w:kern w:val="1"/>
          <w:sz w:val="24"/>
          <w:szCs w:val="24"/>
        </w:rPr>
      </w:pPr>
      <w:r w:rsidRPr="007403CD">
        <w:rPr>
          <w:rFonts w:ascii="Tahoma" w:eastAsia="Calibri" w:hAnsi="Tahoma" w:cs="Tahoma"/>
          <w:color w:val="00000A"/>
          <w:kern w:val="1"/>
          <w:sz w:val="24"/>
          <w:szCs w:val="24"/>
        </w:rPr>
        <w:t>În structură, TVA încasată</w:t>
      </w:r>
      <w:r w:rsidRPr="007403CD">
        <w:rPr>
          <w:rFonts w:ascii="Tahoma" w:eastAsia="Calibri" w:hAnsi="Tahoma" w:cs="Tahoma"/>
          <w:color w:val="00000A"/>
          <w:kern w:val="1"/>
          <w:sz w:val="24"/>
          <w:szCs w:val="24"/>
          <w:vertAlign w:val="superscript"/>
          <w:lang w:eastAsia="zh-CN"/>
        </w:rPr>
        <w:footnoteReference w:id="5"/>
      </w:r>
      <w:r w:rsidRPr="007403CD">
        <w:rPr>
          <w:rFonts w:ascii="Tahoma" w:eastAsia="Calibri" w:hAnsi="Tahoma" w:cs="Tahoma"/>
          <w:color w:val="00000A"/>
          <w:kern w:val="1"/>
          <w:sz w:val="24"/>
          <w:szCs w:val="24"/>
          <w:lang w:eastAsia="zh-CN"/>
        </w:rPr>
        <w:t xml:space="preserve"> s-a majorat cu 20,3% (+9,8 miliarde </w:t>
      </w:r>
      <w:r w:rsidR="003A634F">
        <w:rPr>
          <w:rFonts w:ascii="Tahoma" w:eastAsia="Calibri" w:hAnsi="Tahoma" w:cs="Tahoma"/>
          <w:color w:val="00000A"/>
          <w:kern w:val="1"/>
          <w:sz w:val="24"/>
          <w:szCs w:val="24"/>
          <w:lang w:eastAsia="zh-CN"/>
        </w:rPr>
        <w:t>lei</w:t>
      </w:r>
      <w:r w:rsidRPr="007403CD">
        <w:rPr>
          <w:rFonts w:ascii="Tahoma" w:eastAsia="Calibri" w:hAnsi="Tahoma" w:cs="Tahoma"/>
          <w:color w:val="00000A"/>
          <w:kern w:val="1"/>
          <w:sz w:val="24"/>
          <w:szCs w:val="24"/>
          <w:lang w:eastAsia="zh-CN"/>
        </w:rPr>
        <w:t>) față de semestrul I al anului 2021</w:t>
      </w:r>
      <w:r w:rsidRPr="007403CD">
        <w:rPr>
          <w:rFonts w:ascii="Tahoma" w:eastAsia="Calibri" w:hAnsi="Tahoma" w:cs="Tahoma"/>
          <w:color w:val="00000A"/>
          <w:kern w:val="1"/>
          <w:sz w:val="24"/>
          <w:szCs w:val="24"/>
          <w:vertAlign w:val="superscript"/>
          <w:lang w:eastAsia="zh-CN"/>
        </w:rPr>
        <w:footnoteReference w:id="6"/>
      </w:r>
      <w:r w:rsidRPr="007403CD">
        <w:rPr>
          <w:rFonts w:ascii="Tahoma" w:eastAsia="Calibri" w:hAnsi="Tahoma" w:cs="Tahoma"/>
          <w:color w:val="00000A"/>
          <w:kern w:val="1"/>
          <w:sz w:val="24"/>
          <w:szCs w:val="24"/>
          <w:lang w:eastAsia="zh-CN"/>
        </w:rPr>
        <w:t xml:space="preserve">, iar valoarea restituirilor de taxă pe valoare adăugată cu 2,0% (0,3 miliarde </w:t>
      </w:r>
      <w:r w:rsidR="003A634F">
        <w:rPr>
          <w:rFonts w:ascii="Tahoma" w:eastAsia="Calibri" w:hAnsi="Tahoma" w:cs="Tahoma"/>
          <w:color w:val="00000A"/>
          <w:kern w:val="1"/>
          <w:sz w:val="24"/>
          <w:szCs w:val="24"/>
          <w:lang w:eastAsia="zh-CN"/>
        </w:rPr>
        <w:t>lei</w:t>
      </w:r>
      <w:r w:rsidRPr="007403CD">
        <w:rPr>
          <w:rFonts w:ascii="Tahoma" w:eastAsia="Calibri" w:hAnsi="Tahoma" w:cs="Tahoma"/>
          <w:color w:val="00000A"/>
          <w:kern w:val="1"/>
          <w:sz w:val="24"/>
          <w:szCs w:val="24"/>
          <w:lang w:eastAsia="zh-CN"/>
        </w:rPr>
        <w:t xml:space="preserve">). </w:t>
      </w:r>
      <w:r w:rsidRPr="007403CD">
        <w:rPr>
          <w:rFonts w:ascii="Tahoma" w:eastAsia="Calibri" w:hAnsi="Tahoma" w:cs="Tahoma"/>
          <w:color w:val="00000A"/>
          <w:kern w:val="1"/>
          <w:sz w:val="24"/>
          <w:szCs w:val="24"/>
        </w:rPr>
        <w:t xml:space="preserve">Activitățile economice care au înregistrat creșteri semnificative, comparativ cu celelalte activități economice, au fost </w:t>
      </w:r>
      <w:r w:rsidR="00356BAF" w:rsidRPr="007403CD">
        <w:rPr>
          <w:rFonts w:ascii="Tahoma" w:eastAsia="Calibri" w:hAnsi="Tahoma" w:cs="Tahoma"/>
          <w:color w:val="00000A"/>
          <w:kern w:val="1"/>
          <w:sz w:val="24"/>
          <w:szCs w:val="24"/>
        </w:rPr>
        <w:t>evidențiate</w:t>
      </w:r>
      <w:r w:rsidRPr="007403CD">
        <w:rPr>
          <w:rFonts w:ascii="Tahoma" w:eastAsia="Calibri" w:hAnsi="Tahoma" w:cs="Tahoma"/>
          <w:color w:val="00000A"/>
          <w:kern w:val="1"/>
          <w:sz w:val="24"/>
          <w:szCs w:val="24"/>
        </w:rPr>
        <w:t xml:space="preserve"> pe codurile CAEN 35 (Producția si furnizarea de energie electrica și termică, gaze, apa caldă și aer </w:t>
      </w:r>
      <w:r w:rsidR="00356BAF" w:rsidRPr="007403CD">
        <w:rPr>
          <w:rFonts w:ascii="Tahoma" w:eastAsia="Calibri" w:hAnsi="Tahoma" w:cs="Tahoma"/>
          <w:color w:val="00000A"/>
          <w:kern w:val="1"/>
          <w:sz w:val="24"/>
          <w:szCs w:val="24"/>
        </w:rPr>
        <w:t>condiționat</w:t>
      </w:r>
      <w:r w:rsidRPr="007403CD">
        <w:rPr>
          <w:rFonts w:ascii="Tahoma" w:eastAsia="Calibri" w:hAnsi="Tahoma" w:cs="Tahoma"/>
          <w:color w:val="00000A"/>
          <w:kern w:val="1"/>
          <w:sz w:val="24"/>
          <w:szCs w:val="24"/>
        </w:rPr>
        <w:t>) CAEN 41 (</w:t>
      </w:r>
      <w:r w:rsidR="00356BAF" w:rsidRPr="007403CD">
        <w:rPr>
          <w:rFonts w:ascii="Tahoma" w:eastAsia="Calibri" w:hAnsi="Tahoma" w:cs="Tahoma"/>
          <w:color w:val="00000A"/>
          <w:kern w:val="1"/>
          <w:sz w:val="24"/>
          <w:szCs w:val="24"/>
        </w:rPr>
        <w:t>Construcții</w:t>
      </w:r>
      <w:r w:rsidRPr="007403CD">
        <w:rPr>
          <w:rFonts w:ascii="Tahoma" w:eastAsia="Calibri" w:hAnsi="Tahoma" w:cs="Tahoma"/>
          <w:color w:val="00000A"/>
          <w:kern w:val="1"/>
          <w:sz w:val="24"/>
          <w:szCs w:val="24"/>
        </w:rPr>
        <w:t xml:space="preserve"> de clădiri) CAEN 46 (Comerț cu ridicata cu excepția comerțului cu autovehicule și motociclete) și CAEN 66 (</w:t>
      </w:r>
      <w:r w:rsidR="00356BAF" w:rsidRPr="007403CD">
        <w:rPr>
          <w:rFonts w:ascii="Tahoma" w:eastAsia="Calibri" w:hAnsi="Tahoma" w:cs="Tahoma"/>
          <w:color w:val="00000A"/>
          <w:kern w:val="1"/>
          <w:sz w:val="24"/>
          <w:szCs w:val="24"/>
        </w:rPr>
        <w:t>Activități</w:t>
      </w:r>
      <w:r w:rsidRPr="007403CD">
        <w:rPr>
          <w:rFonts w:ascii="Tahoma" w:eastAsia="Calibri" w:hAnsi="Tahoma" w:cs="Tahoma"/>
          <w:color w:val="00000A"/>
          <w:kern w:val="1"/>
          <w:sz w:val="24"/>
          <w:szCs w:val="24"/>
        </w:rPr>
        <w:t xml:space="preserve"> auxiliare pentru  </w:t>
      </w:r>
      <w:r w:rsidRPr="007403CD">
        <w:rPr>
          <w:rFonts w:ascii="Tahoma" w:eastAsia="Calibri" w:hAnsi="Tahoma" w:cs="Tahoma"/>
          <w:color w:val="00000A"/>
          <w:kern w:val="1"/>
          <w:sz w:val="24"/>
          <w:szCs w:val="24"/>
        </w:rPr>
        <w:lastRenderedPageBreak/>
        <w:t xml:space="preserve">intermedieri financiare, </w:t>
      </w:r>
      <w:r w:rsidR="00356BAF" w:rsidRPr="007403CD">
        <w:rPr>
          <w:rFonts w:ascii="Tahoma" w:eastAsia="Calibri" w:hAnsi="Tahoma" w:cs="Tahoma"/>
          <w:color w:val="00000A"/>
          <w:kern w:val="1"/>
          <w:sz w:val="24"/>
          <w:szCs w:val="24"/>
        </w:rPr>
        <w:t>activități</w:t>
      </w:r>
      <w:r w:rsidRPr="007403CD">
        <w:rPr>
          <w:rFonts w:ascii="Tahoma" w:eastAsia="Calibri" w:hAnsi="Tahoma" w:cs="Tahoma"/>
          <w:color w:val="00000A"/>
          <w:kern w:val="1"/>
          <w:sz w:val="24"/>
          <w:szCs w:val="24"/>
        </w:rPr>
        <w:t xml:space="preserve"> de asigurare </w:t>
      </w:r>
      <w:r w:rsidR="00356BAF" w:rsidRPr="007403CD">
        <w:rPr>
          <w:rFonts w:ascii="Tahoma" w:eastAsia="Calibri" w:hAnsi="Tahoma" w:cs="Tahoma"/>
          <w:color w:val="00000A"/>
          <w:kern w:val="1"/>
          <w:sz w:val="24"/>
          <w:szCs w:val="24"/>
        </w:rPr>
        <w:t>și</w:t>
      </w:r>
      <w:r w:rsidRPr="007403CD">
        <w:rPr>
          <w:rFonts w:ascii="Tahoma" w:eastAsia="Calibri" w:hAnsi="Tahoma" w:cs="Tahoma"/>
          <w:color w:val="00000A"/>
          <w:kern w:val="1"/>
          <w:sz w:val="24"/>
          <w:szCs w:val="24"/>
        </w:rPr>
        <w:t xml:space="preserve"> fonduri de pensii). Aceste ramuri economice au reprezentat 78% din totalul creșterii înregistrate în perioada analizată. O diminuare de 12% din total creștere înregistrată s-a evidențiat la codul CAEN 19 (Fabricarea produselor de cocserie şi a produselor </w:t>
      </w:r>
      <w:r w:rsidR="00356BAF" w:rsidRPr="007403CD">
        <w:rPr>
          <w:rFonts w:ascii="Tahoma" w:eastAsia="Calibri" w:hAnsi="Tahoma" w:cs="Tahoma"/>
          <w:color w:val="00000A"/>
          <w:kern w:val="1"/>
          <w:sz w:val="24"/>
          <w:szCs w:val="24"/>
        </w:rPr>
        <w:t>obținute</w:t>
      </w:r>
      <w:r w:rsidRPr="007403CD">
        <w:rPr>
          <w:rFonts w:ascii="Tahoma" w:eastAsia="Calibri" w:hAnsi="Tahoma" w:cs="Tahoma"/>
          <w:color w:val="00000A"/>
          <w:kern w:val="1"/>
          <w:sz w:val="24"/>
          <w:szCs w:val="24"/>
        </w:rPr>
        <w:t xml:space="preserve"> din prelucrarea </w:t>
      </w:r>
      <w:r w:rsidR="00356BAF" w:rsidRPr="007403CD">
        <w:rPr>
          <w:rFonts w:ascii="Tahoma" w:eastAsia="Calibri" w:hAnsi="Tahoma" w:cs="Tahoma"/>
          <w:color w:val="00000A"/>
          <w:kern w:val="1"/>
          <w:sz w:val="24"/>
          <w:szCs w:val="24"/>
        </w:rPr>
        <w:t>țițeiului</w:t>
      </w:r>
      <w:r w:rsidRPr="007403CD">
        <w:rPr>
          <w:rFonts w:ascii="Tahoma" w:eastAsia="Calibri" w:hAnsi="Tahoma" w:cs="Tahoma"/>
          <w:color w:val="00000A"/>
          <w:kern w:val="1"/>
          <w:sz w:val="24"/>
          <w:szCs w:val="24"/>
        </w:rPr>
        <w:t>).</w:t>
      </w:r>
    </w:p>
    <w:p w:rsidR="00727287" w:rsidRPr="007403CD" w:rsidRDefault="00727287" w:rsidP="00727287">
      <w:pPr>
        <w:suppressAutoHyphens/>
        <w:autoSpaceDE w:val="0"/>
        <w:autoSpaceDN w:val="0"/>
        <w:adjustRightInd w:val="0"/>
        <w:spacing w:after="120" w:line="276" w:lineRule="auto"/>
        <w:ind w:firstLine="0"/>
        <w:rPr>
          <w:rFonts w:ascii="Tahoma" w:eastAsia="Calibri" w:hAnsi="Tahoma" w:cs="Tahoma"/>
          <w:color w:val="00000A"/>
          <w:kern w:val="1"/>
          <w:sz w:val="24"/>
          <w:szCs w:val="24"/>
          <w:lang w:eastAsia="zh-CN"/>
        </w:rPr>
      </w:pPr>
      <w:r w:rsidRPr="007403CD">
        <w:rPr>
          <w:rFonts w:ascii="Tahoma" w:eastAsia="Calibri" w:hAnsi="Tahoma" w:cs="Tahoma"/>
          <w:color w:val="00000A"/>
          <w:kern w:val="1"/>
          <w:sz w:val="24"/>
          <w:szCs w:val="24"/>
          <w:lang w:eastAsia="zh-CN"/>
        </w:rPr>
        <w:t>Evoluția volumului cifrei de afaceri din comerțul cu amănuntul</w:t>
      </w:r>
      <w:r w:rsidRPr="007403CD">
        <w:rPr>
          <w:rFonts w:ascii="Tahoma" w:eastAsia="Calibri" w:hAnsi="Tahoma" w:cs="Tahoma"/>
          <w:color w:val="00000A"/>
          <w:kern w:val="24"/>
          <w:sz w:val="24"/>
          <w:szCs w:val="24"/>
          <w:vertAlign w:val="superscript"/>
          <w:lang w:eastAsia="zh-CN"/>
        </w:rPr>
        <w:footnoteReference w:id="7"/>
      </w:r>
      <w:r w:rsidRPr="007403CD">
        <w:rPr>
          <w:rFonts w:ascii="Tahoma" w:eastAsia="Calibri" w:hAnsi="Tahoma" w:cs="Tahoma"/>
          <w:color w:val="00000A"/>
          <w:kern w:val="1"/>
          <w:sz w:val="24"/>
          <w:szCs w:val="24"/>
          <w:lang w:eastAsia="zh-CN"/>
        </w:rPr>
        <w:t xml:space="preserve"> (cu excepția comerțului cu autovehicule și motociclete), serie brută, în perioada 1.I-31.V.2022, comparativ cu perioada 1.I-31.V.2021, a înregistrat o creștere pe ansamblu, cu 5,7%, datorită </w:t>
      </w:r>
      <w:r w:rsidR="00356BAF" w:rsidRPr="007403CD">
        <w:rPr>
          <w:rFonts w:ascii="Tahoma" w:eastAsia="Calibri" w:hAnsi="Tahoma" w:cs="Tahoma"/>
          <w:color w:val="00000A"/>
          <w:kern w:val="1"/>
          <w:sz w:val="24"/>
          <w:szCs w:val="24"/>
          <w:lang w:eastAsia="zh-CN"/>
        </w:rPr>
        <w:t>creșterii</w:t>
      </w:r>
      <w:r w:rsidRPr="007403CD">
        <w:rPr>
          <w:rFonts w:ascii="Tahoma" w:eastAsia="Calibri" w:hAnsi="Tahoma" w:cs="Tahoma"/>
          <w:color w:val="00000A"/>
          <w:kern w:val="1"/>
          <w:sz w:val="24"/>
          <w:szCs w:val="24"/>
          <w:lang w:eastAsia="zh-CN"/>
        </w:rPr>
        <w:t xml:space="preserve"> </w:t>
      </w:r>
      <w:r w:rsidR="00356BAF" w:rsidRPr="007403CD">
        <w:rPr>
          <w:rFonts w:ascii="Tahoma" w:eastAsia="Calibri" w:hAnsi="Tahoma" w:cs="Tahoma"/>
          <w:color w:val="00000A"/>
          <w:kern w:val="1"/>
          <w:sz w:val="24"/>
          <w:szCs w:val="24"/>
          <w:lang w:eastAsia="zh-CN"/>
        </w:rPr>
        <w:t>comerțului</w:t>
      </w:r>
      <w:r w:rsidRPr="007403CD">
        <w:rPr>
          <w:rFonts w:ascii="Tahoma" w:eastAsia="Calibri" w:hAnsi="Tahoma" w:cs="Tahoma"/>
          <w:color w:val="00000A"/>
          <w:kern w:val="1"/>
          <w:sz w:val="24"/>
          <w:szCs w:val="24"/>
          <w:lang w:eastAsia="zh-CN"/>
        </w:rPr>
        <w:t xml:space="preserve"> cu amănuntul al </w:t>
      </w:r>
      <w:r w:rsidR="00356BAF" w:rsidRPr="007403CD">
        <w:rPr>
          <w:rFonts w:ascii="Tahoma" w:eastAsia="Calibri" w:hAnsi="Tahoma" w:cs="Tahoma"/>
          <w:color w:val="00000A"/>
          <w:kern w:val="1"/>
          <w:sz w:val="24"/>
          <w:szCs w:val="24"/>
          <w:lang w:eastAsia="zh-CN"/>
        </w:rPr>
        <w:t>carburanților</w:t>
      </w:r>
      <w:r w:rsidRPr="007403CD">
        <w:rPr>
          <w:rFonts w:ascii="Tahoma" w:eastAsia="Calibri" w:hAnsi="Tahoma" w:cs="Tahoma"/>
          <w:color w:val="00000A"/>
          <w:kern w:val="1"/>
          <w:sz w:val="24"/>
          <w:szCs w:val="24"/>
          <w:lang w:eastAsia="zh-CN"/>
        </w:rPr>
        <w:t xml:space="preserve"> pentru autovehicule în magazine specializate (+10,1%), vânzărilor de produse nealimentare (+6,9%) şi vânzărilor de produse alimentare, băuturi şi tutun (+1,9%). Valoarea schimburilor extra comunitare de bunuri </w:t>
      </w:r>
      <w:r w:rsidRPr="007403CD">
        <w:rPr>
          <w:rFonts w:ascii="Tahoma" w:eastAsia="Calibri" w:hAnsi="Tahoma" w:cs="Tahoma"/>
          <w:color w:val="00000A"/>
          <w:kern w:val="24"/>
          <w:sz w:val="24"/>
          <w:szCs w:val="24"/>
          <w:vertAlign w:val="superscript"/>
          <w:lang w:eastAsia="zh-CN"/>
        </w:rPr>
        <w:footnoteReference w:id="8"/>
      </w:r>
      <w:r w:rsidRPr="007403CD">
        <w:rPr>
          <w:rFonts w:ascii="Tahoma" w:eastAsia="Calibri" w:hAnsi="Tahoma" w:cs="Tahoma"/>
          <w:color w:val="00000A"/>
          <w:kern w:val="1"/>
          <w:sz w:val="24"/>
          <w:szCs w:val="24"/>
          <w:lang w:eastAsia="zh-CN"/>
        </w:rPr>
        <w:t xml:space="preserve"> (Extra-UE27) a crescut cu 41,0% la importuri și cu 30,0% la exporturi (la valori exprimate în </w:t>
      </w:r>
      <w:r w:rsidR="003A634F">
        <w:rPr>
          <w:rFonts w:ascii="Tahoma" w:eastAsia="Calibri" w:hAnsi="Tahoma" w:cs="Tahoma"/>
          <w:color w:val="00000A"/>
          <w:kern w:val="1"/>
          <w:sz w:val="24"/>
          <w:szCs w:val="24"/>
          <w:lang w:eastAsia="zh-CN"/>
        </w:rPr>
        <w:t>lei</w:t>
      </w:r>
      <w:r w:rsidRPr="007403CD">
        <w:rPr>
          <w:rFonts w:ascii="Tahoma" w:eastAsia="Calibri" w:hAnsi="Tahoma" w:cs="Tahoma"/>
          <w:color w:val="00000A"/>
          <w:kern w:val="1"/>
          <w:sz w:val="24"/>
          <w:szCs w:val="24"/>
          <w:lang w:eastAsia="zh-CN"/>
        </w:rPr>
        <w:t xml:space="preserve">) în primele 5 luni ale anului 2022 comparativ cu perioada similară a anului precedent. </w:t>
      </w:r>
    </w:p>
    <w:p w:rsidR="000F2751" w:rsidRPr="007403CD" w:rsidRDefault="00BB23A6" w:rsidP="000F2751">
      <w:pPr>
        <w:tabs>
          <w:tab w:val="left" w:pos="284"/>
        </w:tabs>
        <w:autoSpaceDE w:val="0"/>
        <w:autoSpaceDN w:val="0"/>
        <w:adjustRightInd w:val="0"/>
        <w:spacing w:after="120" w:line="276" w:lineRule="auto"/>
        <w:ind w:firstLine="0"/>
        <w:rPr>
          <w:rFonts w:ascii="Tahoma" w:eastAsia="Calibri" w:hAnsi="Tahoma" w:cs="Tahoma"/>
          <w:sz w:val="24"/>
          <w:szCs w:val="24"/>
        </w:rPr>
      </w:pPr>
      <w:r w:rsidRPr="007403CD">
        <w:rPr>
          <w:rFonts w:ascii="Tahoma" w:hAnsi="Tahoma" w:cs="Tahoma"/>
          <w:b/>
          <w:sz w:val="24"/>
          <w:szCs w:val="24"/>
        </w:rPr>
        <w:t xml:space="preserve">Încasările din </w:t>
      </w:r>
      <w:r w:rsidRPr="007403CD">
        <w:rPr>
          <w:rFonts w:ascii="Tahoma" w:eastAsia="Calibri" w:hAnsi="Tahoma" w:cs="Tahoma"/>
          <w:b/>
          <w:sz w:val="24"/>
          <w:szCs w:val="24"/>
        </w:rPr>
        <w:t>accize</w:t>
      </w:r>
      <w:r w:rsidR="000B4B07" w:rsidRPr="007403CD">
        <w:rPr>
          <w:rFonts w:ascii="Tahoma" w:eastAsia="Calibri" w:hAnsi="Tahoma" w:cs="Tahoma"/>
          <w:b/>
          <w:sz w:val="24"/>
          <w:szCs w:val="24"/>
        </w:rPr>
        <w:t xml:space="preserve"> </w:t>
      </w:r>
      <w:r w:rsidR="008A3D57" w:rsidRPr="007403CD">
        <w:rPr>
          <w:rFonts w:ascii="Tahoma" w:eastAsia="Calibri" w:hAnsi="Tahoma" w:cs="Tahoma"/>
          <w:sz w:val="24"/>
          <w:szCs w:val="24"/>
        </w:rPr>
        <w:t>au însumat 16,</w:t>
      </w:r>
      <w:r w:rsidR="000F2751" w:rsidRPr="007403CD">
        <w:rPr>
          <w:rFonts w:ascii="Tahoma" w:eastAsia="Calibri" w:hAnsi="Tahoma" w:cs="Tahoma"/>
          <w:sz w:val="24"/>
          <w:szCs w:val="24"/>
        </w:rPr>
        <w:t>64</w:t>
      </w:r>
      <w:r w:rsidR="008A3D57" w:rsidRPr="007403CD">
        <w:rPr>
          <w:rFonts w:ascii="Tahoma" w:eastAsia="Calibri" w:hAnsi="Tahoma" w:cs="Tahoma"/>
          <w:sz w:val="24"/>
          <w:szCs w:val="24"/>
        </w:rPr>
        <w:t xml:space="preserve"> miliarde </w:t>
      </w:r>
      <w:r w:rsidR="003A634F">
        <w:rPr>
          <w:rFonts w:ascii="Tahoma" w:eastAsia="Calibri" w:hAnsi="Tahoma" w:cs="Tahoma"/>
          <w:sz w:val="24"/>
          <w:szCs w:val="24"/>
        </w:rPr>
        <w:t>lei</w:t>
      </w:r>
      <w:r w:rsidR="008A3D57" w:rsidRPr="007403CD">
        <w:rPr>
          <w:rFonts w:ascii="Tahoma" w:eastAsia="Calibri" w:hAnsi="Tahoma" w:cs="Tahoma"/>
          <w:sz w:val="24"/>
          <w:szCs w:val="24"/>
        </w:rPr>
        <w:t xml:space="preserve"> pe primul semestru al anului 202</w:t>
      </w:r>
      <w:r w:rsidR="000F2751" w:rsidRPr="007403CD">
        <w:rPr>
          <w:rFonts w:ascii="Tahoma" w:eastAsia="Calibri" w:hAnsi="Tahoma" w:cs="Tahoma"/>
          <w:sz w:val="24"/>
          <w:szCs w:val="24"/>
        </w:rPr>
        <w:t>2</w:t>
      </w:r>
      <w:r w:rsidR="008A3D57" w:rsidRPr="007403CD">
        <w:rPr>
          <w:rFonts w:ascii="Tahoma" w:eastAsia="Calibri" w:hAnsi="Tahoma" w:cs="Tahoma"/>
          <w:sz w:val="24"/>
          <w:szCs w:val="24"/>
        </w:rPr>
        <w:t xml:space="preserve">, în </w:t>
      </w:r>
      <w:r w:rsidR="000F2751" w:rsidRPr="007403CD">
        <w:rPr>
          <w:rFonts w:ascii="Tahoma" w:eastAsia="Calibri" w:hAnsi="Tahoma" w:cs="Tahoma"/>
          <w:sz w:val="24"/>
          <w:szCs w:val="24"/>
        </w:rPr>
        <w:t xml:space="preserve">ușoară </w:t>
      </w:r>
      <w:r w:rsidR="008A3D57" w:rsidRPr="007403CD">
        <w:rPr>
          <w:rFonts w:ascii="Tahoma" w:eastAsia="Calibri" w:hAnsi="Tahoma" w:cs="Tahoma"/>
          <w:sz w:val="24"/>
          <w:szCs w:val="24"/>
        </w:rPr>
        <w:t xml:space="preserve">creștere </w:t>
      </w:r>
      <w:r w:rsidR="000F2751" w:rsidRPr="007403CD">
        <w:rPr>
          <w:rFonts w:ascii="Tahoma" w:eastAsia="Calibri" w:hAnsi="Tahoma" w:cs="Tahoma"/>
          <w:sz w:val="24"/>
          <w:szCs w:val="24"/>
        </w:rPr>
        <w:t>de</w:t>
      </w:r>
      <w:r w:rsidR="008A3D57" w:rsidRPr="007403CD">
        <w:rPr>
          <w:rFonts w:ascii="Tahoma" w:eastAsia="Calibri" w:hAnsi="Tahoma" w:cs="Tahoma"/>
          <w:sz w:val="24"/>
          <w:szCs w:val="24"/>
        </w:rPr>
        <w:t xml:space="preserve"> </w:t>
      </w:r>
      <w:r w:rsidR="000F2751" w:rsidRPr="007403CD">
        <w:rPr>
          <w:rFonts w:ascii="Tahoma" w:eastAsia="Calibri" w:hAnsi="Tahoma" w:cs="Tahoma"/>
          <w:sz w:val="24"/>
          <w:szCs w:val="24"/>
        </w:rPr>
        <w:t>0,7</w:t>
      </w:r>
      <w:r w:rsidR="008A3D57" w:rsidRPr="007403CD">
        <w:rPr>
          <w:rFonts w:ascii="Tahoma" w:eastAsia="Calibri" w:hAnsi="Tahoma" w:cs="Tahoma"/>
          <w:sz w:val="24"/>
          <w:szCs w:val="24"/>
        </w:rPr>
        <w:t>% comparativ cu aceeași perioadă a anului precedent</w:t>
      </w:r>
      <w:r w:rsidR="000F2751" w:rsidRPr="007403CD">
        <w:rPr>
          <w:rFonts w:ascii="Tahoma" w:eastAsia="Calibri" w:hAnsi="Tahoma" w:cs="Tahoma"/>
          <w:sz w:val="24"/>
          <w:szCs w:val="24"/>
        </w:rPr>
        <w:t>.</w:t>
      </w:r>
    </w:p>
    <w:p w:rsidR="008A3D57" w:rsidRPr="007403CD" w:rsidRDefault="008A3D57" w:rsidP="000F2751">
      <w:pPr>
        <w:tabs>
          <w:tab w:val="left" w:pos="284"/>
        </w:tabs>
        <w:autoSpaceDE w:val="0"/>
        <w:autoSpaceDN w:val="0"/>
        <w:adjustRightInd w:val="0"/>
        <w:spacing w:after="120" w:line="276" w:lineRule="auto"/>
        <w:ind w:firstLine="0"/>
        <w:rPr>
          <w:rFonts w:ascii="Tahoma" w:eastAsia="Calibri" w:hAnsi="Tahoma" w:cs="Tahoma"/>
          <w:sz w:val="24"/>
          <w:szCs w:val="24"/>
        </w:rPr>
      </w:pPr>
      <w:r w:rsidRPr="007403CD">
        <w:rPr>
          <w:rFonts w:ascii="Tahoma" w:eastAsia="Calibri" w:hAnsi="Tahoma" w:cs="Tahoma"/>
          <w:sz w:val="24"/>
          <w:szCs w:val="24"/>
        </w:rPr>
        <w:t>În structură evoluția accizelor se prezintă astfel:</w:t>
      </w:r>
    </w:p>
    <w:p w:rsidR="000F2751" w:rsidRPr="007403CD" w:rsidRDefault="000F2751" w:rsidP="000F2751">
      <w:pPr>
        <w:tabs>
          <w:tab w:val="left" w:pos="284"/>
        </w:tabs>
        <w:suppressAutoHyphens/>
        <w:autoSpaceDE w:val="0"/>
        <w:autoSpaceDN w:val="0"/>
        <w:adjustRightInd w:val="0"/>
        <w:spacing w:after="120" w:line="276" w:lineRule="auto"/>
        <w:ind w:firstLine="0"/>
        <w:rPr>
          <w:rFonts w:ascii="Tahoma" w:eastAsia="SimSun" w:hAnsi="Tahoma" w:cs="Tahoma"/>
          <w:kern w:val="1"/>
          <w:sz w:val="24"/>
          <w:szCs w:val="24"/>
          <w:lang w:eastAsia="zh-CN"/>
        </w:rPr>
      </w:pPr>
      <w:r w:rsidRPr="007403CD">
        <w:rPr>
          <w:rFonts w:ascii="Tahoma" w:eastAsia="SimSun" w:hAnsi="Tahoma" w:cs="Tahoma"/>
          <w:kern w:val="1"/>
          <w:sz w:val="24"/>
          <w:szCs w:val="24"/>
          <w:lang w:eastAsia="zh-CN"/>
        </w:rPr>
        <w:t>Evoluția accizelor pentru produse energetice înregistrează o dinamică de 3,3% (creșterea încasărilor cu 3,3% la acciza din vânzarea de motorină și 47,4% la acciza din vânzarea de benzină fără plumb), în condițiile majorării accizei cu 3,6%, începând cu data de 1 ianuarie 2022.</w:t>
      </w:r>
    </w:p>
    <w:p w:rsidR="000F2751" w:rsidRPr="007403CD" w:rsidRDefault="000F2751" w:rsidP="000F2751">
      <w:pPr>
        <w:tabs>
          <w:tab w:val="left" w:pos="284"/>
        </w:tabs>
        <w:suppressAutoHyphens/>
        <w:autoSpaceDE w:val="0"/>
        <w:autoSpaceDN w:val="0"/>
        <w:adjustRightInd w:val="0"/>
        <w:spacing w:after="120" w:line="276" w:lineRule="auto"/>
        <w:ind w:firstLine="0"/>
        <w:rPr>
          <w:rFonts w:ascii="Tahoma" w:eastAsia="SimSun" w:hAnsi="Tahoma" w:cs="Tahoma"/>
          <w:color w:val="000000"/>
          <w:kern w:val="1"/>
          <w:sz w:val="24"/>
          <w:szCs w:val="24"/>
          <w:lang w:eastAsia="zh-CN"/>
        </w:rPr>
      </w:pPr>
      <w:r w:rsidRPr="007403CD">
        <w:rPr>
          <w:rFonts w:ascii="Tahoma" w:eastAsia="SimSun" w:hAnsi="Tahoma" w:cs="Tahoma"/>
          <w:kern w:val="1"/>
          <w:sz w:val="24"/>
          <w:szCs w:val="24"/>
          <w:lang w:eastAsia="zh-CN"/>
        </w:rPr>
        <w:t xml:space="preserve">Veniturile din accizele pentru produsele din tutun au înregistrat o scădere cu 3,0% </w:t>
      </w:r>
      <w:r w:rsidRPr="007403CD">
        <w:rPr>
          <w:rFonts w:ascii="Tahoma" w:eastAsia="SimSun" w:hAnsi="Tahoma" w:cs="Tahoma"/>
          <w:color w:val="000000"/>
          <w:kern w:val="1"/>
          <w:sz w:val="24"/>
          <w:szCs w:val="24"/>
          <w:lang w:eastAsia="zh-CN"/>
        </w:rPr>
        <w:t>în primul semestru al anului curent ca urmare a scăderilor semnificative înregistrate la accizele încasate din vânzarea de țigarete cu 6,8% în perioada ianuarie – mai și cu 70% în luna iunie. În structura accizelor pentru produsele din tutun, se remarcă o creștere de 77,0% a încasărilor la accizele din vânzarea produsele din tutun încălzit și din vânzarea lichidelor cu conținut de nicotină destinate inhalării cu ajutorul unui dispozitiv elect</w:t>
      </w:r>
      <w:r w:rsidR="003A634F">
        <w:rPr>
          <w:rFonts w:ascii="Tahoma" w:eastAsia="SimSun" w:hAnsi="Tahoma" w:cs="Tahoma"/>
          <w:color w:val="000000"/>
          <w:kern w:val="1"/>
          <w:sz w:val="24"/>
          <w:szCs w:val="24"/>
          <w:lang w:eastAsia="zh-CN"/>
        </w:rPr>
        <w:t>lei</w:t>
      </w:r>
      <w:r w:rsidRPr="007403CD">
        <w:rPr>
          <w:rFonts w:ascii="Tahoma" w:eastAsia="SimSun" w:hAnsi="Tahoma" w:cs="Tahoma"/>
          <w:color w:val="000000"/>
          <w:kern w:val="1"/>
          <w:sz w:val="24"/>
          <w:szCs w:val="24"/>
          <w:lang w:eastAsia="zh-CN"/>
        </w:rPr>
        <w:t xml:space="preserve">ic, pe fondul reorientării unor consumatori de la țigarete către alte produse taxate cu un nivel mult mai redus al accizei, generând însă influențe pozitive reduse asupra încasărilor de 0,06 miliarde </w:t>
      </w:r>
      <w:r w:rsidR="003A634F">
        <w:rPr>
          <w:rFonts w:ascii="Tahoma" w:eastAsia="SimSun" w:hAnsi="Tahoma" w:cs="Tahoma"/>
          <w:color w:val="000000"/>
          <w:kern w:val="1"/>
          <w:sz w:val="24"/>
          <w:szCs w:val="24"/>
          <w:lang w:eastAsia="zh-CN"/>
        </w:rPr>
        <w:t>lei</w:t>
      </w:r>
      <w:r w:rsidRPr="007403CD">
        <w:rPr>
          <w:rFonts w:ascii="Tahoma" w:eastAsia="SimSun" w:hAnsi="Tahoma" w:cs="Tahoma"/>
          <w:color w:val="000000"/>
          <w:kern w:val="1"/>
          <w:sz w:val="24"/>
          <w:szCs w:val="24"/>
          <w:vertAlign w:val="superscript"/>
          <w:lang w:eastAsia="zh-CN"/>
        </w:rPr>
        <w:footnoteReference w:id="9"/>
      </w:r>
      <w:r w:rsidRPr="007403CD">
        <w:rPr>
          <w:rFonts w:ascii="Tahoma" w:eastAsia="SimSun" w:hAnsi="Tahoma" w:cs="Tahoma"/>
          <w:color w:val="000000"/>
          <w:kern w:val="1"/>
          <w:sz w:val="24"/>
          <w:szCs w:val="24"/>
          <w:lang w:eastAsia="zh-CN"/>
        </w:rPr>
        <w:t>.</w:t>
      </w:r>
    </w:p>
    <w:p w:rsidR="000F2751" w:rsidRPr="007403CD" w:rsidRDefault="000F2751" w:rsidP="000F2751">
      <w:pPr>
        <w:tabs>
          <w:tab w:val="left" w:pos="284"/>
        </w:tabs>
        <w:suppressAutoHyphens/>
        <w:autoSpaceDE w:val="0"/>
        <w:autoSpaceDN w:val="0"/>
        <w:adjustRightInd w:val="0"/>
        <w:spacing w:after="120" w:line="276" w:lineRule="auto"/>
        <w:ind w:firstLine="0"/>
        <w:rPr>
          <w:rFonts w:ascii="Tahoma" w:eastAsia="SimSun" w:hAnsi="Tahoma" w:cs="Tahoma"/>
          <w:kern w:val="1"/>
          <w:sz w:val="24"/>
          <w:szCs w:val="24"/>
          <w:lang w:eastAsia="zh-CN"/>
        </w:rPr>
      </w:pPr>
      <w:r w:rsidRPr="007403CD">
        <w:rPr>
          <w:rFonts w:ascii="Tahoma" w:eastAsia="SimSun" w:hAnsi="Tahoma" w:cs="Tahoma"/>
          <w:kern w:val="1"/>
          <w:sz w:val="24"/>
          <w:szCs w:val="24"/>
          <w:lang w:eastAsia="zh-CN"/>
        </w:rPr>
        <w:t xml:space="preserve">Gradul de realizare al veniturilor din accize față de programul stabilit pentru această perioadă a fost de 88,9% (-2,1 miliarde </w:t>
      </w:r>
      <w:r w:rsidR="003A634F">
        <w:rPr>
          <w:rFonts w:ascii="Tahoma" w:eastAsia="SimSun" w:hAnsi="Tahoma" w:cs="Tahoma"/>
          <w:kern w:val="1"/>
          <w:sz w:val="24"/>
          <w:szCs w:val="24"/>
          <w:lang w:eastAsia="zh-CN"/>
        </w:rPr>
        <w:t>lei</w:t>
      </w:r>
      <w:r w:rsidRPr="007403CD">
        <w:rPr>
          <w:rFonts w:ascii="Tahoma" w:eastAsia="SimSun" w:hAnsi="Tahoma" w:cs="Tahoma"/>
          <w:kern w:val="1"/>
          <w:sz w:val="24"/>
          <w:szCs w:val="24"/>
          <w:lang w:eastAsia="zh-CN"/>
        </w:rPr>
        <w:t>).</w:t>
      </w:r>
    </w:p>
    <w:p w:rsidR="00DC4955" w:rsidRPr="007403CD" w:rsidRDefault="004D6D76" w:rsidP="00DC4955">
      <w:pPr>
        <w:autoSpaceDE w:val="0"/>
        <w:autoSpaceDN w:val="0"/>
        <w:adjustRightInd w:val="0"/>
        <w:spacing w:line="276" w:lineRule="auto"/>
        <w:ind w:firstLine="0"/>
        <w:rPr>
          <w:rFonts w:ascii="Tahoma" w:hAnsi="Tahoma" w:cs="Tahoma"/>
          <w:bCs/>
          <w:sz w:val="24"/>
          <w:szCs w:val="24"/>
        </w:rPr>
      </w:pPr>
      <w:r w:rsidRPr="007403CD">
        <w:rPr>
          <w:rFonts w:ascii="Tahoma" w:hAnsi="Tahoma" w:cs="Tahoma"/>
          <w:b/>
          <w:sz w:val="24"/>
          <w:szCs w:val="24"/>
        </w:rPr>
        <w:t xml:space="preserve">Încasările din alte impozite și taxe pe bunuri și servicii </w:t>
      </w:r>
      <w:r w:rsidR="00B83B89" w:rsidRPr="007403CD">
        <w:rPr>
          <w:rFonts w:ascii="Tahoma" w:hAnsi="Tahoma" w:cs="Tahoma"/>
          <w:sz w:val="24"/>
          <w:szCs w:val="24"/>
        </w:rPr>
        <w:t xml:space="preserve">în valoare de </w:t>
      </w:r>
      <w:r w:rsidR="00161C34" w:rsidRPr="007403CD">
        <w:rPr>
          <w:rFonts w:ascii="Tahoma" w:hAnsi="Tahoma" w:cs="Tahoma"/>
          <w:sz w:val="24"/>
          <w:szCs w:val="24"/>
        </w:rPr>
        <w:t>9</w:t>
      </w:r>
      <w:r w:rsidR="00B83B89" w:rsidRPr="007403CD">
        <w:rPr>
          <w:rFonts w:ascii="Tahoma" w:hAnsi="Tahoma" w:cs="Tahoma"/>
          <w:sz w:val="24"/>
          <w:szCs w:val="24"/>
        </w:rPr>
        <w:t xml:space="preserve">,25 miliarde </w:t>
      </w:r>
      <w:r w:rsidR="003A634F">
        <w:rPr>
          <w:rFonts w:ascii="Tahoma" w:hAnsi="Tahoma" w:cs="Tahoma"/>
          <w:sz w:val="24"/>
          <w:szCs w:val="24"/>
        </w:rPr>
        <w:t>lei</w:t>
      </w:r>
      <w:r w:rsidR="00B83B89" w:rsidRPr="007403CD">
        <w:rPr>
          <w:rFonts w:ascii="Tahoma" w:hAnsi="Tahoma" w:cs="Tahoma"/>
          <w:sz w:val="24"/>
          <w:szCs w:val="24"/>
        </w:rPr>
        <w:t xml:space="preserve">, </w:t>
      </w:r>
      <w:r w:rsidR="00DC4955" w:rsidRPr="007403CD">
        <w:rPr>
          <w:rFonts w:ascii="Tahoma" w:hAnsi="Tahoma" w:cs="Tahoma"/>
          <w:bCs/>
          <w:sz w:val="24"/>
          <w:szCs w:val="24"/>
        </w:rPr>
        <w:t xml:space="preserve">au înregistrat o creștere semnificativă de 7,0 miliarde </w:t>
      </w:r>
      <w:r w:rsidR="003A634F">
        <w:rPr>
          <w:rFonts w:ascii="Tahoma" w:hAnsi="Tahoma" w:cs="Tahoma"/>
          <w:bCs/>
          <w:sz w:val="24"/>
          <w:szCs w:val="24"/>
        </w:rPr>
        <w:t>lei</w:t>
      </w:r>
      <w:r w:rsidR="00DC4955" w:rsidRPr="007403CD">
        <w:rPr>
          <w:rFonts w:ascii="Tahoma" w:hAnsi="Tahoma" w:cs="Tahoma"/>
          <w:bCs/>
          <w:sz w:val="24"/>
          <w:szCs w:val="24"/>
        </w:rPr>
        <w:t xml:space="preserve"> față de anul precedent, pe seama evoluției încasărilor la bugetul de stat din impozitul pe veniturile suplimentare obținute ca urmare a dereglementării prețurilor din sectorul gazelor naturale (+5,0 miliarde </w:t>
      </w:r>
      <w:r w:rsidR="003A634F">
        <w:rPr>
          <w:rFonts w:ascii="Tahoma" w:hAnsi="Tahoma" w:cs="Tahoma"/>
          <w:bCs/>
          <w:sz w:val="24"/>
          <w:szCs w:val="24"/>
        </w:rPr>
        <w:t>lei</w:t>
      </w:r>
      <w:r w:rsidR="00DC4955" w:rsidRPr="007403CD">
        <w:rPr>
          <w:rFonts w:ascii="Tahoma" w:hAnsi="Tahoma" w:cs="Tahoma"/>
          <w:bCs/>
          <w:sz w:val="24"/>
          <w:szCs w:val="24"/>
        </w:rPr>
        <w:t xml:space="preserve">) și a unui nou impozit aplicat asupra venitului suplimentar </w:t>
      </w:r>
      <w:r w:rsidR="00DC4955" w:rsidRPr="007403CD">
        <w:rPr>
          <w:rFonts w:ascii="Tahoma" w:hAnsi="Tahoma" w:cs="Tahoma"/>
          <w:bCs/>
          <w:sz w:val="24"/>
          <w:szCs w:val="24"/>
        </w:rPr>
        <w:lastRenderedPageBreak/>
        <w:t xml:space="preserve">realizat de producătorii de energie electrică în conformitate cu Legea nr.259/2021 (+2,0 miliarde </w:t>
      </w:r>
      <w:r w:rsidR="003A634F">
        <w:rPr>
          <w:rFonts w:ascii="Tahoma" w:hAnsi="Tahoma" w:cs="Tahoma"/>
          <w:bCs/>
          <w:sz w:val="24"/>
          <w:szCs w:val="24"/>
        </w:rPr>
        <w:t>lei</w:t>
      </w:r>
      <w:r w:rsidR="00DC4955" w:rsidRPr="007403CD">
        <w:rPr>
          <w:rFonts w:ascii="Tahoma" w:hAnsi="Tahoma" w:cs="Tahoma"/>
          <w:bCs/>
          <w:sz w:val="24"/>
          <w:szCs w:val="24"/>
        </w:rPr>
        <w:t xml:space="preserve">). </w:t>
      </w:r>
    </w:p>
    <w:p w:rsidR="00DC4955" w:rsidRPr="007403CD" w:rsidRDefault="00DC4955" w:rsidP="00DC4955">
      <w:pPr>
        <w:tabs>
          <w:tab w:val="left" w:pos="284"/>
        </w:tabs>
        <w:autoSpaceDE w:val="0"/>
        <w:autoSpaceDN w:val="0"/>
        <w:adjustRightInd w:val="0"/>
        <w:spacing w:after="120" w:line="276" w:lineRule="auto"/>
        <w:ind w:firstLine="0"/>
        <w:rPr>
          <w:rFonts w:ascii="Tahoma" w:hAnsi="Tahoma" w:cs="Tahoma"/>
          <w:bCs/>
          <w:sz w:val="24"/>
          <w:szCs w:val="24"/>
        </w:rPr>
      </w:pPr>
      <w:r w:rsidRPr="007403CD">
        <w:rPr>
          <w:rFonts w:ascii="Tahoma" w:hAnsi="Tahoma" w:cs="Tahoma"/>
          <w:bCs/>
          <w:sz w:val="24"/>
          <w:szCs w:val="24"/>
        </w:rPr>
        <w:t xml:space="preserve">Ținta stabilită pentru primul semestru aferent acestui an, pentru această categorie de venituri este depășită cu 6,48 miliarde </w:t>
      </w:r>
      <w:r w:rsidR="003A634F">
        <w:rPr>
          <w:rFonts w:ascii="Tahoma" w:hAnsi="Tahoma" w:cs="Tahoma"/>
          <w:bCs/>
          <w:sz w:val="24"/>
          <w:szCs w:val="24"/>
        </w:rPr>
        <w:t>lei</w:t>
      </w:r>
      <w:r w:rsidRPr="007403CD">
        <w:rPr>
          <w:rFonts w:ascii="Tahoma" w:hAnsi="Tahoma" w:cs="Tahoma"/>
          <w:bCs/>
          <w:sz w:val="24"/>
          <w:szCs w:val="24"/>
        </w:rPr>
        <w:t xml:space="preserve">, în special ca urmarea a evoluției înregistrate la bugetul de stat, din care +4,5 miliarde </w:t>
      </w:r>
      <w:r w:rsidR="003A634F">
        <w:rPr>
          <w:rFonts w:ascii="Tahoma" w:hAnsi="Tahoma" w:cs="Tahoma"/>
          <w:bCs/>
          <w:sz w:val="24"/>
          <w:szCs w:val="24"/>
        </w:rPr>
        <w:t>lei</w:t>
      </w:r>
      <w:r w:rsidRPr="007403CD">
        <w:rPr>
          <w:rFonts w:ascii="Tahoma" w:hAnsi="Tahoma" w:cs="Tahoma"/>
          <w:bCs/>
          <w:sz w:val="24"/>
          <w:szCs w:val="24"/>
        </w:rPr>
        <w:t xml:space="preserve"> la impozitul pe veniturile suplimentare obținute ca urmare a dereglementării prețurilor din sectorul gazelor naturale și 2,0 miliarde </w:t>
      </w:r>
      <w:r w:rsidR="003A634F">
        <w:rPr>
          <w:rFonts w:ascii="Tahoma" w:hAnsi="Tahoma" w:cs="Tahoma"/>
          <w:bCs/>
          <w:sz w:val="24"/>
          <w:szCs w:val="24"/>
        </w:rPr>
        <w:t>lei</w:t>
      </w:r>
      <w:r w:rsidRPr="007403CD">
        <w:rPr>
          <w:rFonts w:ascii="Tahoma" w:hAnsi="Tahoma" w:cs="Tahoma"/>
          <w:bCs/>
          <w:sz w:val="24"/>
          <w:szCs w:val="24"/>
        </w:rPr>
        <w:t xml:space="preserve"> la impozitul aplicat asupra venitului suplimentar realizat de producătorii de energie electrică (venit nou introdus prin Legea nr.259/2021 ce nu a fost inclus în programul de venituri aprobat prin Legea bugetului de stat pe anul 2022 nr. 317/2021). </w:t>
      </w:r>
    </w:p>
    <w:p w:rsidR="00DC4955" w:rsidRPr="007403CD" w:rsidRDefault="00DC4955" w:rsidP="00330AE1">
      <w:pPr>
        <w:keepNext/>
        <w:keepLines/>
        <w:spacing w:after="120" w:line="276" w:lineRule="auto"/>
        <w:ind w:firstLine="0"/>
        <w:rPr>
          <w:rFonts w:ascii="Tahoma" w:hAnsi="Tahoma" w:cs="Tahoma"/>
          <w:sz w:val="24"/>
          <w:szCs w:val="24"/>
        </w:rPr>
      </w:pPr>
      <w:r w:rsidRPr="007403CD">
        <w:rPr>
          <w:rFonts w:ascii="Tahoma" w:hAnsi="Tahoma" w:cs="Tahoma"/>
          <w:b/>
          <w:sz w:val="24"/>
          <w:szCs w:val="24"/>
        </w:rPr>
        <w:t xml:space="preserve">Încasările din taxa pe utilizarea bunurilor, autorizarea utilizării bunurilor sau pe desfășurarea de activități </w:t>
      </w:r>
      <w:r w:rsidRPr="007403CD">
        <w:rPr>
          <w:rFonts w:ascii="Tahoma" w:hAnsi="Tahoma" w:cs="Tahoma"/>
          <w:sz w:val="24"/>
          <w:szCs w:val="24"/>
        </w:rPr>
        <w:t xml:space="preserve">au crescut comparativ cu încasările semestrul I 2021 cu 0,64 miliarde </w:t>
      </w:r>
      <w:r w:rsidR="003A634F">
        <w:rPr>
          <w:rFonts w:ascii="Tahoma" w:hAnsi="Tahoma" w:cs="Tahoma"/>
          <w:sz w:val="24"/>
          <w:szCs w:val="24"/>
        </w:rPr>
        <w:t>lei</w:t>
      </w:r>
      <w:r w:rsidR="00FD1630">
        <w:rPr>
          <w:rFonts w:ascii="Tahoma" w:hAnsi="Tahoma" w:cs="Tahoma"/>
          <w:sz w:val="24"/>
          <w:szCs w:val="24"/>
        </w:rPr>
        <w:t xml:space="preserve"> </w:t>
      </w:r>
      <w:r w:rsidRPr="007403CD">
        <w:rPr>
          <w:rFonts w:ascii="Tahoma" w:hAnsi="Tahoma" w:cs="Tahoma"/>
          <w:sz w:val="24"/>
          <w:szCs w:val="24"/>
        </w:rPr>
        <w:t>(+23,5%), gradul de realizare al programului trimestrial fiind de 111,2%.</w:t>
      </w:r>
    </w:p>
    <w:p w:rsidR="00330AE1" w:rsidRPr="007403CD" w:rsidRDefault="00DC4955" w:rsidP="00330AE1">
      <w:pPr>
        <w:keepNext/>
        <w:keepLines/>
        <w:spacing w:after="120" w:line="276" w:lineRule="auto"/>
        <w:ind w:firstLine="0"/>
        <w:rPr>
          <w:rFonts w:ascii="Tahoma" w:eastAsia="Calibri" w:hAnsi="Tahoma" w:cs="Tahoma"/>
          <w:kern w:val="1"/>
          <w:sz w:val="24"/>
          <w:szCs w:val="24"/>
        </w:rPr>
      </w:pPr>
      <w:r w:rsidRPr="007403CD">
        <w:rPr>
          <w:rFonts w:ascii="Tahoma" w:hAnsi="Tahoma" w:cs="Tahoma"/>
          <w:sz w:val="24"/>
          <w:szCs w:val="24"/>
        </w:rPr>
        <w:t xml:space="preserve">Evoluția încasărilor din </w:t>
      </w:r>
      <w:r w:rsidRPr="007403CD">
        <w:rPr>
          <w:rFonts w:ascii="Tahoma" w:eastAsia="Calibri" w:hAnsi="Tahoma" w:cs="Tahoma"/>
          <w:sz w:val="24"/>
          <w:szCs w:val="24"/>
        </w:rPr>
        <w:t>taxele pe utilizarea bunurilor, autorizarea utilizării bunurilor sau pe desfășurarea de activități</w:t>
      </w:r>
      <w:r w:rsidRPr="007403CD">
        <w:rPr>
          <w:rFonts w:ascii="Tahoma" w:hAnsi="Tahoma" w:cs="Tahoma"/>
          <w:sz w:val="24"/>
          <w:szCs w:val="24"/>
        </w:rPr>
        <w:t xml:space="preserve"> s-a datorat în principal creșterii înregistrate la bugetul de stat (+</w:t>
      </w:r>
      <w:r w:rsidR="00330AE1" w:rsidRPr="007403CD">
        <w:rPr>
          <w:rFonts w:ascii="Tahoma" w:hAnsi="Tahoma" w:cs="Tahoma"/>
          <w:sz w:val="24"/>
          <w:szCs w:val="24"/>
        </w:rPr>
        <w:t>44</w:t>
      </w:r>
      <w:r w:rsidRPr="007403CD">
        <w:rPr>
          <w:rFonts w:ascii="Tahoma" w:hAnsi="Tahoma" w:cs="Tahoma"/>
          <w:sz w:val="24"/>
          <w:szCs w:val="24"/>
        </w:rPr>
        <w:t xml:space="preserve">%) </w:t>
      </w:r>
      <w:r w:rsidR="00330AE1" w:rsidRPr="007403CD">
        <w:rPr>
          <w:rFonts w:ascii="Tahoma" w:eastAsia="Calibri" w:hAnsi="Tahoma" w:cs="Tahoma"/>
          <w:kern w:val="1"/>
          <w:sz w:val="24"/>
          <w:szCs w:val="24"/>
        </w:rPr>
        <w:t xml:space="preserve">pe seama majorării veniturilor din taxele pentru jocurile de noroc (+0,5 miliarde </w:t>
      </w:r>
      <w:r w:rsidR="003A634F">
        <w:rPr>
          <w:rFonts w:ascii="Tahoma" w:eastAsia="Calibri" w:hAnsi="Tahoma" w:cs="Tahoma"/>
          <w:kern w:val="1"/>
          <w:sz w:val="24"/>
          <w:szCs w:val="24"/>
        </w:rPr>
        <w:t>lei</w:t>
      </w:r>
      <w:r w:rsidR="00330AE1" w:rsidRPr="007403CD">
        <w:rPr>
          <w:rFonts w:ascii="Tahoma" w:eastAsia="Calibri" w:hAnsi="Tahoma" w:cs="Tahoma"/>
          <w:kern w:val="1"/>
          <w:sz w:val="24"/>
          <w:szCs w:val="24"/>
        </w:rPr>
        <w:t xml:space="preserve">, reprezintă creșteri încasări din taxa anuală pentru obținerea autorizației de exploatare a jocurilor de noroc), iar gradul de realizare al programului a fost de 135,2% (+0,4 miliarde </w:t>
      </w:r>
      <w:r w:rsidR="003A634F">
        <w:rPr>
          <w:rFonts w:ascii="Tahoma" w:eastAsia="Calibri" w:hAnsi="Tahoma" w:cs="Tahoma"/>
          <w:kern w:val="1"/>
          <w:sz w:val="24"/>
          <w:szCs w:val="24"/>
        </w:rPr>
        <w:t>lei</w:t>
      </w:r>
      <w:r w:rsidR="00330AE1" w:rsidRPr="007403CD">
        <w:rPr>
          <w:rFonts w:ascii="Tahoma" w:eastAsia="Calibri" w:hAnsi="Tahoma" w:cs="Tahoma"/>
          <w:kern w:val="1"/>
          <w:sz w:val="24"/>
          <w:szCs w:val="24"/>
        </w:rPr>
        <w:t>).</w:t>
      </w:r>
    </w:p>
    <w:p w:rsidR="004D6D76" w:rsidRPr="007403CD" w:rsidRDefault="004D6D76" w:rsidP="00330AE1">
      <w:pPr>
        <w:autoSpaceDE w:val="0"/>
        <w:autoSpaceDN w:val="0"/>
        <w:adjustRightInd w:val="0"/>
        <w:spacing w:line="276" w:lineRule="auto"/>
        <w:ind w:firstLine="0"/>
        <w:rPr>
          <w:rFonts w:ascii="Tahoma" w:hAnsi="Tahoma" w:cs="Tahoma"/>
          <w:sz w:val="24"/>
          <w:szCs w:val="24"/>
        </w:rPr>
      </w:pPr>
      <w:r w:rsidRPr="007403CD">
        <w:rPr>
          <w:rFonts w:ascii="Tahoma" w:hAnsi="Tahoma" w:cs="Tahoma"/>
          <w:b/>
          <w:sz w:val="24"/>
          <w:szCs w:val="24"/>
        </w:rPr>
        <w:t>Încasările din</w:t>
      </w:r>
      <w:r w:rsidR="00182ADA" w:rsidRPr="007403CD">
        <w:rPr>
          <w:rFonts w:ascii="Tahoma" w:hAnsi="Tahoma" w:cs="Tahoma"/>
          <w:b/>
          <w:sz w:val="24"/>
          <w:szCs w:val="24"/>
        </w:rPr>
        <w:t xml:space="preserve"> </w:t>
      </w:r>
      <w:r w:rsidRPr="007403CD">
        <w:rPr>
          <w:rFonts w:ascii="Tahoma" w:hAnsi="Tahoma" w:cs="Tahoma"/>
          <w:b/>
          <w:sz w:val="24"/>
          <w:szCs w:val="24"/>
        </w:rPr>
        <w:t xml:space="preserve">impozitul pe comerțul exterior </w:t>
      </w:r>
      <w:r w:rsidR="006E1E76" w:rsidRPr="007403CD">
        <w:rPr>
          <w:rFonts w:ascii="Tahoma" w:hAnsi="Tahoma" w:cs="Tahoma"/>
          <w:b/>
          <w:sz w:val="24"/>
          <w:szCs w:val="24"/>
        </w:rPr>
        <w:t>și</w:t>
      </w:r>
      <w:r w:rsidRPr="007403CD">
        <w:rPr>
          <w:rFonts w:ascii="Tahoma" w:hAnsi="Tahoma" w:cs="Tahoma"/>
          <w:b/>
          <w:sz w:val="24"/>
          <w:szCs w:val="24"/>
        </w:rPr>
        <w:t xml:space="preserve"> tranzacțiile internaționale</w:t>
      </w:r>
      <w:r w:rsidR="00182ADA" w:rsidRPr="007403CD">
        <w:rPr>
          <w:rFonts w:ascii="Tahoma" w:hAnsi="Tahoma" w:cs="Tahoma"/>
          <w:b/>
          <w:sz w:val="24"/>
          <w:szCs w:val="24"/>
        </w:rPr>
        <w:t xml:space="preserve"> </w:t>
      </w:r>
      <w:r w:rsidR="00692CF5" w:rsidRPr="007403CD">
        <w:rPr>
          <w:rFonts w:ascii="Tahoma" w:hAnsi="Tahoma" w:cs="Tahoma"/>
          <w:sz w:val="24"/>
          <w:szCs w:val="24"/>
        </w:rPr>
        <w:t xml:space="preserve">au fost cu </w:t>
      </w:r>
      <w:r w:rsidR="00330AE1" w:rsidRPr="007403CD">
        <w:rPr>
          <w:rFonts w:ascii="Tahoma" w:hAnsi="Tahoma" w:cs="Tahoma"/>
          <w:sz w:val="24"/>
          <w:szCs w:val="24"/>
        </w:rPr>
        <w:t>50,1</w:t>
      </w:r>
      <w:r w:rsidR="00692CF5" w:rsidRPr="007403CD">
        <w:rPr>
          <w:rFonts w:ascii="Tahoma" w:hAnsi="Tahoma" w:cs="Tahoma"/>
          <w:sz w:val="24"/>
          <w:szCs w:val="24"/>
        </w:rPr>
        <w:t>% peste cele aferente semestrului I 202</w:t>
      </w:r>
      <w:r w:rsidR="00330AE1" w:rsidRPr="007403CD">
        <w:rPr>
          <w:rFonts w:ascii="Tahoma" w:hAnsi="Tahoma" w:cs="Tahoma"/>
          <w:sz w:val="24"/>
          <w:szCs w:val="24"/>
        </w:rPr>
        <w:t>1</w:t>
      </w:r>
      <w:r w:rsidRPr="007403CD">
        <w:rPr>
          <w:rFonts w:ascii="Tahoma" w:hAnsi="Tahoma" w:cs="Tahoma"/>
          <w:sz w:val="24"/>
          <w:szCs w:val="24"/>
        </w:rPr>
        <w:t xml:space="preserve">, în condițiile în care </w:t>
      </w:r>
      <w:r w:rsidR="00330AE1" w:rsidRPr="007403CD">
        <w:rPr>
          <w:rFonts w:ascii="Tahoma" w:eastAsia="Calibri" w:hAnsi="Tahoma" w:cs="Tahoma"/>
          <w:sz w:val="24"/>
          <w:szCs w:val="24"/>
        </w:rPr>
        <w:t xml:space="preserve">valoarea schimburilor extra comunitare de bunuri </w:t>
      </w:r>
      <w:r w:rsidR="00330AE1" w:rsidRPr="007403CD">
        <w:rPr>
          <w:rFonts w:ascii="Tahoma" w:eastAsia="Calibri" w:hAnsi="Tahoma" w:cs="Tahoma"/>
          <w:kern w:val="24"/>
          <w:sz w:val="24"/>
          <w:szCs w:val="24"/>
          <w:vertAlign w:val="superscript"/>
        </w:rPr>
        <w:footnoteReference w:id="10"/>
      </w:r>
      <w:r w:rsidR="00330AE1" w:rsidRPr="007403CD">
        <w:rPr>
          <w:rFonts w:ascii="Tahoma" w:eastAsia="Calibri" w:hAnsi="Tahoma" w:cs="Tahoma"/>
          <w:sz w:val="24"/>
          <w:szCs w:val="24"/>
        </w:rPr>
        <w:t xml:space="preserve"> (Extra-UE27) a crescut cu 41,0% la importuri (la valori exprimate în </w:t>
      </w:r>
      <w:r w:rsidR="003A634F">
        <w:rPr>
          <w:rFonts w:ascii="Tahoma" w:eastAsia="Calibri" w:hAnsi="Tahoma" w:cs="Tahoma"/>
          <w:sz w:val="24"/>
          <w:szCs w:val="24"/>
        </w:rPr>
        <w:t>lei</w:t>
      </w:r>
      <w:r w:rsidR="00330AE1" w:rsidRPr="007403CD">
        <w:rPr>
          <w:rFonts w:ascii="Tahoma" w:eastAsia="Calibri" w:hAnsi="Tahoma" w:cs="Tahoma"/>
          <w:sz w:val="24"/>
          <w:szCs w:val="24"/>
        </w:rPr>
        <w:t>) în primele 5 luni ale anului 2022 comparativ cu perioada similară a anului precedent</w:t>
      </w:r>
      <w:r w:rsidRPr="007403CD">
        <w:rPr>
          <w:rFonts w:ascii="Tahoma" w:hAnsi="Tahoma" w:cs="Tahoma"/>
          <w:sz w:val="24"/>
          <w:szCs w:val="24"/>
        </w:rPr>
        <w:t xml:space="preserve">, în timp ce gradul de realizare al programului de încasări a fost de </w:t>
      </w:r>
      <w:r w:rsidR="00330AE1" w:rsidRPr="007403CD">
        <w:rPr>
          <w:rFonts w:ascii="Tahoma" w:hAnsi="Tahoma" w:cs="Tahoma"/>
          <w:sz w:val="24"/>
          <w:szCs w:val="24"/>
        </w:rPr>
        <w:t>113,0</w:t>
      </w:r>
      <w:r w:rsidRPr="007403CD">
        <w:rPr>
          <w:rFonts w:ascii="Tahoma" w:hAnsi="Tahoma" w:cs="Tahoma"/>
          <w:sz w:val="24"/>
          <w:szCs w:val="24"/>
        </w:rPr>
        <w:t>%.</w:t>
      </w:r>
    </w:p>
    <w:p w:rsidR="00B541BA" w:rsidRPr="007403CD" w:rsidRDefault="00B541BA" w:rsidP="00330AE1">
      <w:pPr>
        <w:tabs>
          <w:tab w:val="left" w:pos="284"/>
        </w:tabs>
        <w:autoSpaceDE w:val="0"/>
        <w:autoSpaceDN w:val="0"/>
        <w:adjustRightInd w:val="0"/>
        <w:spacing w:after="120" w:line="276" w:lineRule="auto"/>
        <w:ind w:firstLine="0"/>
        <w:rPr>
          <w:rFonts w:ascii="Tahoma" w:eastAsia="Calibri" w:hAnsi="Tahoma" w:cs="Tahoma"/>
          <w:sz w:val="24"/>
          <w:szCs w:val="24"/>
        </w:rPr>
      </w:pPr>
      <w:r w:rsidRPr="007403CD">
        <w:rPr>
          <w:rFonts w:ascii="Tahoma" w:eastAsia="Calibri" w:hAnsi="Tahoma" w:cs="Tahoma"/>
          <w:b/>
          <w:sz w:val="24"/>
          <w:szCs w:val="24"/>
        </w:rPr>
        <w:t>Contribuțiile sociale</w:t>
      </w:r>
      <w:r w:rsidRPr="007403CD">
        <w:rPr>
          <w:rFonts w:ascii="Tahoma" w:eastAsia="Calibri" w:hAnsi="Tahoma" w:cs="Tahoma"/>
          <w:sz w:val="24"/>
          <w:szCs w:val="24"/>
        </w:rPr>
        <w:t xml:space="preserve"> realizate în semestrul I al anului 202</w:t>
      </w:r>
      <w:r w:rsidR="00330AE1" w:rsidRPr="007403CD">
        <w:rPr>
          <w:rFonts w:ascii="Tahoma" w:eastAsia="Calibri" w:hAnsi="Tahoma" w:cs="Tahoma"/>
          <w:sz w:val="24"/>
          <w:szCs w:val="24"/>
        </w:rPr>
        <w:t>2</w:t>
      </w:r>
      <w:r w:rsidRPr="007403CD">
        <w:rPr>
          <w:rFonts w:ascii="Tahoma" w:eastAsia="Calibri" w:hAnsi="Tahoma" w:cs="Tahoma"/>
          <w:sz w:val="24"/>
          <w:szCs w:val="24"/>
        </w:rPr>
        <w:t xml:space="preserve"> în sumă de </w:t>
      </w:r>
      <w:r w:rsidR="00330AE1" w:rsidRPr="007403CD">
        <w:rPr>
          <w:rFonts w:ascii="Tahoma" w:eastAsia="Calibri" w:hAnsi="Tahoma" w:cs="Tahoma"/>
          <w:sz w:val="24"/>
          <w:szCs w:val="24"/>
        </w:rPr>
        <w:t>68,46</w:t>
      </w:r>
      <w:r w:rsidR="00A7299C" w:rsidRPr="007403CD">
        <w:rPr>
          <w:rFonts w:ascii="Tahoma" w:eastAsia="Calibri" w:hAnsi="Tahoma" w:cs="Tahoma"/>
          <w:sz w:val="24"/>
          <w:szCs w:val="24"/>
        </w:rPr>
        <w:t xml:space="preserve"> miliarde </w:t>
      </w:r>
      <w:r w:rsidR="003A634F">
        <w:rPr>
          <w:rFonts w:ascii="Tahoma" w:eastAsia="Calibri" w:hAnsi="Tahoma" w:cs="Tahoma"/>
          <w:sz w:val="24"/>
          <w:szCs w:val="24"/>
        </w:rPr>
        <w:t>lei</w:t>
      </w:r>
      <w:r w:rsidR="00C77CAD" w:rsidRPr="007403CD">
        <w:rPr>
          <w:rFonts w:ascii="Tahoma" w:eastAsia="Calibri" w:hAnsi="Tahoma" w:cs="Tahoma"/>
          <w:sz w:val="24"/>
          <w:szCs w:val="24"/>
        </w:rPr>
        <w:t xml:space="preserve"> </w:t>
      </w:r>
      <w:r w:rsidR="00A7299C" w:rsidRPr="007403CD">
        <w:rPr>
          <w:rFonts w:ascii="Tahoma" w:eastAsia="Calibri" w:hAnsi="Tahoma" w:cs="Tahoma"/>
          <w:sz w:val="24"/>
          <w:szCs w:val="24"/>
        </w:rPr>
        <w:t xml:space="preserve">au fost cu </w:t>
      </w:r>
      <w:r w:rsidR="00330AE1" w:rsidRPr="007403CD">
        <w:rPr>
          <w:rFonts w:ascii="Tahoma" w:eastAsia="Calibri" w:hAnsi="Tahoma" w:cs="Tahoma"/>
          <w:sz w:val="24"/>
          <w:szCs w:val="24"/>
        </w:rPr>
        <w:t>9,7</w:t>
      </w:r>
      <w:r w:rsidR="00A7299C" w:rsidRPr="007403CD">
        <w:rPr>
          <w:rFonts w:ascii="Tahoma" w:eastAsia="Calibri" w:hAnsi="Tahoma" w:cs="Tahoma"/>
          <w:sz w:val="24"/>
          <w:szCs w:val="24"/>
        </w:rPr>
        <w:t>%</w:t>
      </w:r>
      <w:r w:rsidR="00FD1630">
        <w:rPr>
          <w:rFonts w:ascii="Tahoma" w:eastAsia="Calibri" w:hAnsi="Tahoma" w:cs="Tahoma"/>
          <w:sz w:val="24"/>
          <w:szCs w:val="24"/>
        </w:rPr>
        <w:t xml:space="preserve"> </w:t>
      </w:r>
      <w:r w:rsidR="00F645D4" w:rsidRPr="007403CD">
        <w:rPr>
          <w:rFonts w:ascii="Tahoma" w:eastAsia="Calibri" w:hAnsi="Tahoma" w:cs="Tahoma"/>
          <w:sz w:val="24"/>
          <w:szCs w:val="24"/>
        </w:rPr>
        <w:t>(+</w:t>
      </w:r>
      <w:r w:rsidR="00330AE1" w:rsidRPr="007403CD">
        <w:rPr>
          <w:rFonts w:ascii="Tahoma" w:eastAsia="Calibri" w:hAnsi="Tahoma" w:cs="Tahoma"/>
          <w:sz w:val="24"/>
          <w:szCs w:val="24"/>
        </w:rPr>
        <w:t>6,08</w:t>
      </w:r>
      <w:r w:rsidR="00F645D4" w:rsidRPr="007403CD">
        <w:rPr>
          <w:rFonts w:ascii="Tahoma" w:eastAsia="Calibri" w:hAnsi="Tahoma" w:cs="Tahoma"/>
          <w:sz w:val="24"/>
          <w:szCs w:val="24"/>
        </w:rPr>
        <w:t xml:space="preserve"> miliarde </w:t>
      </w:r>
      <w:r w:rsidR="003A634F">
        <w:rPr>
          <w:rFonts w:ascii="Tahoma" w:eastAsia="Calibri" w:hAnsi="Tahoma" w:cs="Tahoma"/>
          <w:sz w:val="24"/>
          <w:szCs w:val="24"/>
        </w:rPr>
        <w:t>lei</w:t>
      </w:r>
      <w:r w:rsidR="00F645D4" w:rsidRPr="007403CD">
        <w:rPr>
          <w:rFonts w:ascii="Tahoma" w:eastAsia="Calibri" w:hAnsi="Tahoma" w:cs="Tahoma"/>
          <w:sz w:val="24"/>
          <w:szCs w:val="24"/>
        </w:rPr>
        <w:t>)</w:t>
      </w:r>
      <w:r w:rsidR="00A7299C" w:rsidRPr="007403CD">
        <w:rPr>
          <w:rFonts w:ascii="Tahoma" w:eastAsia="Calibri" w:hAnsi="Tahoma" w:cs="Tahoma"/>
          <w:sz w:val="24"/>
          <w:szCs w:val="24"/>
        </w:rPr>
        <w:t xml:space="preserve"> mai mari </w:t>
      </w:r>
      <w:r w:rsidRPr="007403CD">
        <w:rPr>
          <w:rFonts w:ascii="Tahoma" w:eastAsia="Calibri" w:hAnsi="Tahoma" w:cs="Tahoma"/>
          <w:sz w:val="24"/>
          <w:szCs w:val="24"/>
        </w:rPr>
        <w:t xml:space="preserve">comparativ cu aceeași perioadă a anului precedent, iar gradul de realizare al acestora este de </w:t>
      </w:r>
      <w:r w:rsidR="00330AE1" w:rsidRPr="007403CD">
        <w:rPr>
          <w:rFonts w:ascii="Tahoma" w:eastAsia="Calibri" w:hAnsi="Tahoma" w:cs="Tahoma"/>
          <w:sz w:val="24"/>
          <w:szCs w:val="24"/>
        </w:rPr>
        <w:t>98,1</w:t>
      </w:r>
      <w:r w:rsidRPr="007403CD">
        <w:rPr>
          <w:rFonts w:ascii="Tahoma" w:eastAsia="Calibri" w:hAnsi="Tahoma" w:cs="Tahoma"/>
          <w:sz w:val="24"/>
          <w:szCs w:val="24"/>
        </w:rPr>
        <w:t>%</w:t>
      </w:r>
      <w:r w:rsidR="00F645D4" w:rsidRPr="007403CD">
        <w:rPr>
          <w:rFonts w:ascii="Tahoma" w:eastAsia="Calibri" w:hAnsi="Tahoma" w:cs="Tahoma"/>
          <w:sz w:val="24"/>
          <w:szCs w:val="24"/>
        </w:rPr>
        <w:t>.</w:t>
      </w:r>
    </w:p>
    <w:p w:rsidR="00330AE1" w:rsidRPr="007403CD" w:rsidRDefault="00330AE1" w:rsidP="00330AE1">
      <w:pPr>
        <w:suppressAutoHyphens/>
        <w:autoSpaceDE w:val="0"/>
        <w:autoSpaceDN w:val="0"/>
        <w:adjustRightInd w:val="0"/>
        <w:spacing w:after="120" w:line="276" w:lineRule="auto"/>
        <w:ind w:firstLine="0"/>
        <w:rPr>
          <w:rFonts w:ascii="Tahoma" w:eastAsia="Calibri" w:hAnsi="Tahoma" w:cs="Tahoma"/>
          <w:kern w:val="1"/>
          <w:sz w:val="24"/>
          <w:szCs w:val="24"/>
        </w:rPr>
      </w:pPr>
      <w:r w:rsidRPr="007403CD">
        <w:rPr>
          <w:rFonts w:ascii="Tahoma" w:eastAsia="Calibri" w:hAnsi="Tahoma" w:cs="Tahoma"/>
          <w:kern w:val="1"/>
          <w:sz w:val="24"/>
          <w:szCs w:val="24"/>
        </w:rPr>
        <w:t xml:space="preserve">Pe bugete, gradul de realizare al programului de încasări stabilit pentru primul semestru al anului 2022, se prezintă astfel: bugetul asigurărilor pentru șomaj (98,7%), bugetul fondului național unic de asigurări sociale de sănătate (99,0%), bugetul asigurărilor sociale de stat (98,3%) și bugetul de stat (93,0%). </w:t>
      </w:r>
    </w:p>
    <w:p w:rsidR="00330AE1" w:rsidRPr="007403CD" w:rsidRDefault="00330AE1" w:rsidP="00330AE1">
      <w:pPr>
        <w:suppressAutoHyphens/>
        <w:autoSpaceDE w:val="0"/>
        <w:autoSpaceDN w:val="0"/>
        <w:adjustRightInd w:val="0"/>
        <w:spacing w:after="120" w:line="276" w:lineRule="auto"/>
        <w:ind w:firstLine="0"/>
        <w:rPr>
          <w:rFonts w:ascii="Tahoma" w:eastAsia="Calibri" w:hAnsi="Tahoma" w:cs="Tahoma"/>
          <w:kern w:val="1"/>
          <w:sz w:val="24"/>
          <w:szCs w:val="24"/>
        </w:rPr>
      </w:pPr>
      <w:r w:rsidRPr="007403CD">
        <w:rPr>
          <w:rFonts w:ascii="Tahoma" w:eastAsia="Calibri" w:hAnsi="Tahoma" w:cs="Tahoma"/>
          <w:kern w:val="1"/>
          <w:sz w:val="24"/>
          <w:szCs w:val="24"/>
        </w:rPr>
        <w:t xml:space="preserve">Comparativ cu aceeași perioadă a anului 2021 s-au înregistrat creșteri ale contribuțiilor sociale încasate, pe bugete componente, astfel: bugetul Fondului național unic de asigurări sociale de sănătate (+11,8%, creștere care include și contribuția de asigurări sociale de sănătate aferentă veniturilor din pensii reglementată de OUG nr. </w:t>
      </w:r>
      <w:r w:rsidRPr="007403CD">
        <w:rPr>
          <w:rFonts w:ascii="Tahoma" w:eastAsia="Calibri" w:hAnsi="Tahoma" w:cs="Tahoma"/>
          <w:kern w:val="1"/>
          <w:sz w:val="24"/>
          <w:szCs w:val="24"/>
        </w:rPr>
        <w:lastRenderedPageBreak/>
        <w:t>130/2021</w:t>
      </w:r>
      <w:r w:rsidRPr="007403CD">
        <w:rPr>
          <w:rFonts w:ascii="Tahoma" w:eastAsia="Calibri" w:hAnsi="Tahoma" w:cs="Tahoma"/>
          <w:kern w:val="1"/>
          <w:sz w:val="24"/>
          <w:szCs w:val="24"/>
          <w:vertAlign w:val="superscript"/>
        </w:rPr>
        <w:footnoteReference w:id="11"/>
      </w:r>
      <w:r w:rsidRPr="007403CD">
        <w:rPr>
          <w:rFonts w:ascii="Tahoma" w:eastAsia="Calibri" w:hAnsi="Tahoma" w:cs="Tahoma"/>
          <w:kern w:val="1"/>
          <w:sz w:val="24"/>
          <w:szCs w:val="24"/>
        </w:rPr>
        <w:t>), bugetul asigurărilor pentru șomaj (+10,5%), bugetul asigurărilor sociale de stat (+9,7%) și bugetul de stat (+2,3%).</w:t>
      </w:r>
    </w:p>
    <w:p w:rsidR="003D45EA" w:rsidRPr="007403CD" w:rsidRDefault="004D6D76" w:rsidP="004912D2">
      <w:pPr>
        <w:suppressAutoHyphens/>
        <w:autoSpaceDE w:val="0"/>
        <w:autoSpaceDN w:val="0"/>
        <w:adjustRightInd w:val="0"/>
        <w:spacing w:after="120" w:line="276" w:lineRule="auto"/>
        <w:ind w:firstLine="0"/>
        <w:rPr>
          <w:rFonts w:ascii="Tahoma" w:hAnsi="Tahoma" w:cs="Tahoma"/>
          <w:sz w:val="24"/>
          <w:szCs w:val="24"/>
        </w:rPr>
      </w:pPr>
      <w:r w:rsidRPr="007403CD">
        <w:rPr>
          <w:rFonts w:ascii="Tahoma" w:hAnsi="Tahoma" w:cs="Tahoma"/>
          <w:b/>
          <w:bCs/>
          <w:sz w:val="24"/>
          <w:szCs w:val="24"/>
        </w:rPr>
        <w:t xml:space="preserve">Veniturile nefiscale </w:t>
      </w:r>
      <w:r w:rsidRPr="007403CD">
        <w:rPr>
          <w:rFonts w:ascii="Tahoma" w:hAnsi="Tahoma" w:cs="Tahoma"/>
          <w:sz w:val="24"/>
          <w:szCs w:val="24"/>
        </w:rPr>
        <w:t>încasate în primul semestru al anului 20</w:t>
      </w:r>
      <w:r w:rsidR="00B623BF" w:rsidRPr="007403CD">
        <w:rPr>
          <w:rFonts w:ascii="Tahoma" w:hAnsi="Tahoma" w:cs="Tahoma"/>
          <w:sz w:val="24"/>
          <w:szCs w:val="24"/>
        </w:rPr>
        <w:t>2</w:t>
      </w:r>
      <w:r w:rsidR="004912D2" w:rsidRPr="007403CD">
        <w:rPr>
          <w:rFonts w:ascii="Tahoma" w:hAnsi="Tahoma" w:cs="Tahoma"/>
          <w:sz w:val="24"/>
          <w:szCs w:val="24"/>
        </w:rPr>
        <w:t>2</w:t>
      </w:r>
      <w:r w:rsidRPr="007403CD">
        <w:rPr>
          <w:rFonts w:ascii="Tahoma" w:hAnsi="Tahoma" w:cs="Tahoma"/>
          <w:sz w:val="24"/>
          <w:szCs w:val="24"/>
        </w:rPr>
        <w:t xml:space="preserve"> au totalizat </w:t>
      </w:r>
      <w:r w:rsidR="004912D2" w:rsidRPr="007403CD">
        <w:rPr>
          <w:rFonts w:ascii="Tahoma" w:hAnsi="Tahoma" w:cs="Tahoma"/>
          <w:sz w:val="24"/>
          <w:szCs w:val="24"/>
        </w:rPr>
        <w:t>21,25</w:t>
      </w:r>
      <w:r w:rsidR="00A35B54" w:rsidRPr="007403CD">
        <w:rPr>
          <w:rFonts w:ascii="Tahoma" w:hAnsi="Tahoma" w:cs="Tahoma"/>
          <w:sz w:val="24"/>
          <w:szCs w:val="24"/>
        </w:rPr>
        <w:t xml:space="preserve"> miliarde</w:t>
      </w:r>
      <w:r w:rsidRPr="007403CD">
        <w:rPr>
          <w:rFonts w:ascii="Tahoma" w:hAnsi="Tahoma" w:cs="Tahoma"/>
          <w:sz w:val="24"/>
          <w:szCs w:val="24"/>
        </w:rPr>
        <w:t xml:space="preserve"> </w:t>
      </w:r>
      <w:r w:rsidR="003A634F">
        <w:rPr>
          <w:rFonts w:ascii="Tahoma" w:hAnsi="Tahoma" w:cs="Tahoma"/>
          <w:sz w:val="24"/>
          <w:szCs w:val="24"/>
        </w:rPr>
        <w:t>lei</w:t>
      </w:r>
      <w:r w:rsidRPr="007403CD">
        <w:rPr>
          <w:rFonts w:ascii="Tahoma" w:hAnsi="Tahoma" w:cs="Tahoma"/>
          <w:sz w:val="24"/>
          <w:szCs w:val="24"/>
        </w:rPr>
        <w:t xml:space="preserve"> (1,</w:t>
      </w:r>
      <w:r w:rsidR="004912D2" w:rsidRPr="007403CD">
        <w:rPr>
          <w:rFonts w:ascii="Tahoma" w:hAnsi="Tahoma" w:cs="Tahoma"/>
          <w:sz w:val="24"/>
          <w:szCs w:val="24"/>
        </w:rPr>
        <w:t>5</w:t>
      </w:r>
      <w:r w:rsidRPr="007403CD">
        <w:rPr>
          <w:rFonts w:ascii="Tahoma" w:hAnsi="Tahoma" w:cs="Tahoma"/>
          <w:sz w:val="24"/>
          <w:szCs w:val="24"/>
        </w:rPr>
        <w:t xml:space="preserve">% din PIB), cu </w:t>
      </w:r>
      <w:r w:rsidR="004912D2" w:rsidRPr="007403CD">
        <w:rPr>
          <w:rFonts w:ascii="Tahoma" w:hAnsi="Tahoma" w:cs="Tahoma"/>
          <w:sz w:val="24"/>
          <w:szCs w:val="24"/>
        </w:rPr>
        <w:t>60,2</w:t>
      </w:r>
      <w:r w:rsidRPr="007403CD">
        <w:rPr>
          <w:rFonts w:ascii="Tahoma" w:hAnsi="Tahoma" w:cs="Tahoma"/>
          <w:sz w:val="24"/>
          <w:szCs w:val="24"/>
        </w:rPr>
        <w:t xml:space="preserve">% </w:t>
      </w:r>
      <w:r w:rsidR="004912D2" w:rsidRPr="007403CD">
        <w:rPr>
          <w:rFonts w:ascii="Tahoma" w:hAnsi="Tahoma" w:cs="Tahoma"/>
          <w:sz w:val="24"/>
          <w:szCs w:val="24"/>
        </w:rPr>
        <w:t>peste</w:t>
      </w:r>
      <w:r w:rsidR="00B62407" w:rsidRPr="007403CD">
        <w:rPr>
          <w:rFonts w:ascii="Tahoma" w:hAnsi="Tahoma" w:cs="Tahoma"/>
          <w:sz w:val="24"/>
          <w:szCs w:val="24"/>
        </w:rPr>
        <w:t xml:space="preserve"> </w:t>
      </w:r>
      <w:r w:rsidR="004912D2" w:rsidRPr="007403CD">
        <w:rPr>
          <w:rFonts w:ascii="Tahoma" w:hAnsi="Tahoma" w:cs="Tahoma"/>
          <w:sz w:val="24"/>
          <w:szCs w:val="24"/>
        </w:rPr>
        <w:t xml:space="preserve">nivelul programat pentru perioada analizată </w:t>
      </w:r>
      <w:r w:rsidRPr="007403CD">
        <w:rPr>
          <w:rFonts w:ascii="Tahoma" w:hAnsi="Tahoma" w:cs="Tahoma"/>
          <w:sz w:val="24"/>
          <w:szCs w:val="24"/>
        </w:rPr>
        <w:t xml:space="preserve">și cu </w:t>
      </w:r>
      <w:r w:rsidR="004912D2" w:rsidRPr="007403CD">
        <w:rPr>
          <w:rFonts w:ascii="Tahoma" w:hAnsi="Tahoma" w:cs="Tahoma"/>
          <w:sz w:val="24"/>
          <w:szCs w:val="24"/>
        </w:rPr>
        <w:t>62,7</w:t>
      </w:r>
      <w:r w:rsidRPr="007403CD">
        <w:rPr>
          <w:rFonts w:ascii="Tahoma" w:hAnsi="Tahoma" w:cs="Tahoma"/>
          <w:sz w:val="24"/>
          <w:szCs w:val="24"/>
        </w:rPr>
        <w:t xml:space="preserve">% mai </w:t>
      </w:r>
      <w:r w:rsidR="00A35B54" w:rsidRPr="007403CD">
        <w:rPr>
          <w:rFonts w:ascii="Tahoma" w:hAnsi="Tahoma" w:cs="Tahoma"/>
          <w:sz w:val="24"/>
          <w:szCs w:val="24"/>
        </w:rPr>
        <w:t>mari</w:t>
      </w:r>
      <w:r w:rsidR="00CF2AF0" w:rsidRPr="007403CD">
        <w:rPr>
          <w:rFonts w:ascii="Tahoma" w:hAnsi="Tahoma" w:cs="Tahoma"/>
          <w:sz w:val="24"/>
          <w:szCs w:val="24"/>
        </w:rPr>
        <w:t xml:space="preserve"> </w:t>
      </w:r>
      <w:r w:rsidRPr="007403CD">
        <w:rPr>
          <w:rFonts w:ascii="Tahoma" w:hAnsi="Tahoma" w:cs="Tahoma"/>
          <w:sz w:val="24"/>
          <w:szCs w:val="24"/>
        </w:rPr>
        <w:t>comparativ cu încasările semestrul I 20</w:t>
      </w:r>
      <w:r w:rsidR="00A35B54" w:rsidRPr="007403CD">
        <w:rPr>
          <w:rFonts w:ascii="Tahoma" w:hAnsi="Tahoma" w:cs="Tahoma"/>
          <w:sz w:val="24"/>
          <w:szCs w:val="24"/>
        </w:rPr>
        <w:t>2</w:t>
      </w:r>
      <w:r w:rsidR="004912D2" w:rsidRPr="007403CD">
        <w:rPr>
          <w:rFonts w:ascii="Tahoma" w:hAnsi="Tahoma" w:cs="Tahoma"/>
          <w:sz w:val="24"/>
          <w:szCs w:val="24"/>
        </w:rPr>
        <w:t>1</w:t>
      </w:r>
      <w:r w:rsidRPr="007403CD">
        <w:rPr>
          <w:rFonts w:ascii="Tahoma" w:hAnsi="Tahoma" w:cs="Tahoma"/>
          <w:sz w:val="24"/>
          <w:szCs w:val="24"/>
        </w:rPr>
        <w:t xml:space="preserve">. </w:t>
      </w:r>
    </w:p>
    <w:p w:rsidR="004912D2" w:rsidRPr="007403CD" w:rsidRDefault="004912D2" w:rsidP="004912D2">
      <w:pPr>
        <w:autoSpaceDE w:val="0"/>
        <w:autoSpaceDN w:val="0"/>
        <w:adjustRightInd w:val="0"/>
        <w:spacing w:after="120" w:line="276" w:lineRule="auto"/>
        <w:ind w:firstLine="0"/>
        <w:rPr>
          <w:rFonts w:ascii="Tahoma" w:hAnsi="Tahoma" w:cs="Tahoma"/>
          <w:bCs/>
          <w:sz w:val="24"/>
          <w:szCs w:val="24"/>
        </w:rPr>
      </w:pPr>
      <w:r w:rsidRPr="007403CD">
        <w:rPr>
          <w:rFonts w:ascii="Tahoma" w:hAnsi="Tahoma" w:cs="Tahoma"/>
          <w:sz w:val="24"/>
          <w:szCs w:val="24"/>
        </w:rPr>
        <w:t xml:space="preserve">Sporul de încasări înregistrat s-a datorat în principal evoluției încasărilor la bugetul de stat care </w:t>
      </w:r>
      <w:r w:rsidRPr="007403CD">
        <w:rPr>
          <w:rFonts w:ascii="Tahoma" w:hAnsi="Tahoma" w:cs="Tahoma"/>
          <w:bCs/>
          <w:sz w:val="24"/>
          <w:szCs w:val="24"/>
        </w:rPr>
        <w:t xml:space="preserve">înregistrează o creștere semnificativă de +4,8 miliarde </w:t>
      </w:r>
      <w:r w:rsidR="003A634F">
        <w:rPr>
          <w:rFonts w:ascii="Tahoma" w:hAnsi="Tahoma" w:cs="Tahoma"/>
          <w:bCs/>
          <w:sz w:val="24"/>
          <w:szCs w:val="24"/>
        </w:rPr>
        <w:t>lei</w:t>
      </w:r>
      <w:r w:rsidRPr="007403CD">
        <w:rPr>
          <w:rFonts w:ascii="Tahoma" w:hAnsi="Tahoma" w:cs="Tahoma"/>
          <w:bCs/>
          <w:sz w:val="24"/>
          <w:szCs w:val="24"/>
        </w:rPr>
        <w:t>, comparativ cu aceeași perioadă a anului precedent, pe seama veniturilor din proprietate (venituri din dividende, redevențe petroliere și vărsămint</w:t>
      </w:r>
      <w:r w:rsidR="00FD1630">
        <w:rPr>
          <w:rFonts w:ascii="Tahoma" w:hAnsi="Tahoma" w:cs="Tahoma"/>
          <w:bCs/>
          <w:sz w:val="24"/>
          <w:szCs w:val="24"/>
        </w:rPr>
        <w:t>e din veniturile nete ale B.N.R.</w:t>
      </w:r>
      <w:r w:rsidRPr="007403CD">
        <w:rPr>
          <w:rFonts w:ascii="Tahoma" w:hAnsi="Tahoma" w:cs="Tahoma"/>
          <w:bCs/>
          <w:sz w:val="24"/>
          <w:szCs w:val="24"/>
        </w:rPr>
        <w:t xml:space="preserve">). Gradul de realizare al veniturilor nefiscale este de 221,3% (+5,1 miliarde </w:t>
      </w:r>
      <w:r w:rsidR="003A634F">
        <w:rPr>
          <w:rFonts w:ascii="Tahoma" w:hAnsi="Tahoma" w:cs="Tahoma"/>
          <w:bCs/>
          <w:sz w:val="24"/>
          <w:szCs w:val="24"/>
        </w:rPr>
        <w:t>lei</w:t>
      </w:r>
      <w:r w:rsidRPr="007403CD">
        <w:rPr>
          <w:rFonts w:ascii="Tahoma" w:hAnsi="Tahoma" w:cs="Tahoma"/>
          <w:bCs/>
          <w:sz w:val="24"/>
          <w:szCs w:val="24"/>
        </w:rPr>
        <w:t>).</w:t>
      </w:r>
    </w:p>
    <w:p w:rsidR="004912D2" w:rsidRPr="007403CD" w:rsidRDefault="004912D2" w:rsidP="004912D2">
      <w:pPr>
        <w:pStyle w:val="FootnoteText"/>
        <w:spacing w:after="120" w:line="276" w:lineRule="auto"/>
        <w:ind w:firstLine="0"/>
        <w:rPr>
          <w:rFonts w:ascii="Tahoma" w:eastAsia="SimSun" w:hAnsi="Tahoma" w:cs="Tahoma"/>
          <w:bCs/>
          <w:color w:val="00000A"/>
          <w:kern w:val="1"/>
          <w:sz w:val="24"/>
          <w:szCs w:val="24"/>
        </w:rPr>
      </w:pPr>
      <w:r w:rsidRPr="007403CD">
        <w:rPr>
          <w:rFonts w:ascii="Tahoma" w:eastAsia="SimSun" w:hAnsi="Tahoma" w:cs="Tahoma"/>
          <w:bCs/>
          <w:color w:val="00000A"/>
          <w:kern w:val="1"/>
          <w:sz w:val="24"/>
          <w:szCs w:val="24"/>
        </w:rPr>
        <w:t xml:space="preserve">Veniturile din dividende înregistrează un avans al încasărilor de +2,7 miliarde </w:t>
      </w:r>
      <w:r w:rsidR="003A634F">
        <w:rPr>
          <w:rFonts w:ascii="Tahoma" w:eastAsia="SimSun" w:hAnsi="Tahoma" w:cs="Tahoma"/>
          <w:bCs/>
          <w:color w:val="00000A"/>
          <w:kern w:val="1"/>
          <w:sz w:val="24"/>
          <w:szCs w:val="24"/>
        </w:rPr>
        <w:t>lei</w:t>
      </w:r>
      <w:r w:rsidRPr="007403CD">
        <w:rPr>
          <w:rFonts w:ascii="Tahoma" w:eastAsia="SimSun" w:hAnsi="Tahoma" w:cs="Tahoma"/>
          <w:bCs/>
          <w:color w:val="00000A"/>
          <w:kern w:val="1"/>
          <w:sz w:val="24"/>
          <w:szCs w:val="24"/>
        </w:rPr>
        <w:t xml:space="preserve"> față de încasările din primul semestru al anului precedent, din care +0,6 miliarde reprezintă virări de dividende aferente exercițiului financiar al anului 2019 și 2020 efectuate de către CEC BANK iar +2,0 miliarde reprezintă virări din dividendele aferente exercițiului 2021 de la operatorii economici. Virările de dividende efectuate de operatorii economici la bugetul de stat în semestrul I al anului 2021 reprezintă 41,4% în veniturile din dividende încasate la nivel anual în 2021, iar virările de dividende efectuate în semestrul I ale anului 2022 reprezintă 73% din programul anual aprobat al veniturilor din dividende. Ținta programului semestrial al veniturilor din dividende în anul 2022 este depășită cu 3,7 miliarde </w:t>
      </w:r>
      <w:r w:rsidR="003A634F">
        <w:rPr>
          <w:rFonts w:ascii="Tahoma" w:eastAsia="SimSun" w:hAnsi="Tahoma" w:cs="Tahoma"/>
          <w:bCs/>
          <w:color w:val="00000A"/>
          <w:kern w:val="1"/>
          <w:sz w:val="24"/>
          <w:szCs w:val="24"/>
        </w:rPr>
        <w:t>lei</w:t>
      </w:r>
      <w:r w:rsidRPr="007403CD">
        <w:rPr>
          <w:rFonts w:ascii="Tahoma" w:eastAsia="SimSun" w:hAnsi="Tahoma" w:cs="Tahoma"/>
          <w:bCs/>
          <w:color w:val="00000A"/>
          <w:kern w:val="1"/>
          <w:sz w:val="24"/>
          <w:szCs w:val="24"/>
        </w:rPr>
        <w:t xml:space="preserve">. </w:t>
      </w:r>
    </w:p>
    <w:p w:rsidR="004912D2" w:rsidRPr="007403CD" w:rsidRDefault="004912D2" w:rsidP="004912D2">
      <w:pPr>
        <w:autoSpaceDE w:val="0"/>
        <w:autoSpaceDN w:val="0"/>
        <w:adjustRightInd w:val="0"/>
        <w:spacing w:after="120" w:line="276" w:lineRule="auto"/>
        <w:ind w:firstLine="0"/>
        <w:rPr>
          <w:rFonts w:ascii="Tahoma" w:hAnsi="Tahoma" w:cs="Tahoma"/>
          <w:bCs/>
          <w:color w:val="000000" w:themeColor="text1"/>
          <w:sz w:val="24"/>
          <w:szCs w:val="24"/>
        </w:rPr>
      </w:pPr>
      <w:r w:rsidRPr="007403CD">
        <w:rPr>
          <w:rFonts w:ascii="Tahoma" w:hAnsi="Tahoma" w:cs="Tahoma"/>
          <w:bCs/>
          <w:color w:val="000000" w:themeColor="text1"/>
          <w:sz w:val="24"/>
          <w:szCs w:val="24"/>
        </w:rPr>
        <w:t xml:space="preserve">Veniturile din concesiuni și închirieri realizate de 2,0 miliarde </w:t>
      </w:r>
      <w:r w:rsidR="003A634F">
        <w:rPr>
          <w:rFonts w:ascii="Tahoma" w:hAnsi="Tahoma" w:cs="Tahoma"/>
          <w:bCs/>
          <w:color w:val="000000" w:themeColor="text1"/>
          <w:sz w:val="24"/>
          <w:szCs w:val="24"/>
        </w:rPr>
        <w:t>lei</w:t>
      </w:r>
      <w:r w:rsidRPr="007403CD">
        <w:rPr>
          <w:rFonts w:ascii="Tahoma" w:hAnsi="Tahoma" w:cs="Tahoma"/>
          <w:bCs/>
          <w:color w:val="000000" w:themeColor="text1"/>
          <w:sz w:val="24"/>
          <w:szCs w:val="24"/>
        </w:rPr>
        <w:t xml:space="preserve">, înregistrează o creștere semnificativă cu 174,6% (+1,3 miliarde </w:t>
      </w:r>
      <w:r w:rsidR="003A634F">
        <w:rPr>
          <w:rFonts w:ascii="Tahoma" w:hAnsi="Tahoma" w:cs="Tahoma"/>
          <w:bCs/>
          <w:color w:val="000000" w:themeColor="text1"/>
          <w:sz w:val="24"/>
          <w:szCs w:val="24"/>
        </w:rPr>
        <w:t>lei</w:t>
      </w:r>
      <w:r w:rsidRPr="007403CD">
        <w:rPr>
          <w:rFonts w:ascii="Tahoma" w:hAnsi="Tahoma" w:cs="Tahoma"/>
          <w:bCs/>
          <w:color w:val="000000" w:themeColor="text1"/>
          <w:sz w:val="24"/>
          <w:szCs w:val="24"/>
        </w:rPr>
        <w:t xml:space="preserve">) comparativ cu aceeași perioadă a anului precedent, ca urmare a majorării încasărilor din redevențe petroliere, influențate fiind de creșterea prețurilor la petrol și gaze naturale în semestrul I al anului 2022. </w:t>
      </w:r>
      <w:r w:rsidRPr="007403CD">
        <w:rPr>
          <w:rFonts w:ascii="Tahoma" w:hAnsi="Tahoma" w:cs="Tahoma"/>
          <w:bCs/>
          <w:sz w:val="24"/>
          <w:szCs w:val="24"/>
        </w:rPr>
        <w:t xml:space="preserve">Ținta programului semestrial al veniturilor din concesiuni și închirieri este depășită cu 1,1 miliarde </w:t>
      </w:r>
      <w:r w:rsidR="003A634F">
        <w:rPr>
          <w:rFonts w:ascii="Tahoma" w:hAnsi="Tahoma" w:cs="Tahoma"/>
          <w:bCs/>
          <w:sz w:val="24"/>
          <w:szCs w:val="24"/>
        </w:rPr>
        <w:t>lei</w:t>
      </w:r>
      <w:r w:rsidRPr="007403CD">
        <w:rPr>
          <w:rFonts w:ascii="Tahoma" w:hAnsi="Tahoma" w:cs="Tahoma"/>
          <w:bCs/>
          <w:sz w:val="24"/>
          <w:szCs w:val="24"/>
        </w:rPr>
        <w:t>.</w:t>
      </w:r>
    </w:p>
    <w:p w:rsidR="004912D2" w:rsidRPr="007403CD" w:rsidRDefault="004912D2" w:rsidP="004912D2">
      <w:pPr>
        <w:autoSpaceDE w:val="0"/>
        <w:autoSpaceDN w:val="0"/>
        <w:adjustRightInd w:val="0"/>
        <w:spacing w:after="120" w:line="276" w:lineRule="auto"/>
        <w:ind w:firstLine="0"/>
        <w:rPr>
          <w:rFonts w:ascii="Tahoma" w:hAnsi="Tahoma" w:cs="Tahoma"/>
          <w:bCs/>
          <w:color w:val="000000" w:themeColor="text1"/>
          <w:sz w:val="24"/>
          <w:szCs w:val="24"/>
        </w:rPr>
      </w:pPr>
      <w:r w:rsidRPr="007403CD">
        <w:rPr>
          <w:rFonts w:ascii="Tahoma" w:hAnsi="Tahoma" w:cs="Tahoma"/>
          <w:bCs/>
          <w:color w:val="000000" w:themeColor="text1"/>
          <w:sz w:val="24"/>
          <w:szCs w:val="24"/>
        </w:rPr>
        <w:t xml:space="preserve">Vărsămintele din veniturile nete ale B.N.R. au înregistrat o creștere cu 134,3% (+0,6 miliarde </w:t>
      </w:r>
      <w:r w:rsidR="003A634F">
        <w:rPr>
          <w:rFonts w:ascii="Tahoma" w:hAnsi="Tahoma" w:cs="Tahoma"/>
          <w:bCs/>
          <w:color w:val="000000" w:themeColor="text1"/>
          <w:sz w:val="24"/>
          <w:szCs w:val="24"/>
        </w:rPr>
        <w:t>lei</w:t>
      </w:r>
      <w:r w:rsidRPr="007403CD">
        <w:rPr>
          <w:rFonts w:ascii="Tahoma" w:hAnsi="Tahoma" w:cs="Tahoma"/>
          <w:bCs/>
          <w:color w:val="000000" w:themeColor="text1"/>
          <w:sz w:val="24"/>
          <w:szCs w:val="24"/>
        </w:rPr>
        <w:t xml:space="preserve">) față de aceeași perioadă a anului precedent, gradul de realizare este de 113,9%(+0,1 miliarde </w:t>
      </w:r>
      <w:r w:rsidR="003A634F">
        <w:rPr>
          <w:rFonts w:ascii="Tahoma" w:hAnsi="Tahoma" w:cs="Tahoma"/>
          <w:bCs/>
          <w:color w:val="000000" w:themeColor="text1"/>
          <w:sz w:val="24"/>
          <w:szCs w:val="24"/>
        </w:rPr>
        <w:t>lei</w:t>
      </w:r>
      <w:r w:rsidRPr="007403CD">
        <w:rPr>
          <w:rFonts w:ascii="Tahoma" w:hAnsi="Tahoma" w:cs="Tahoma"/>
          <w:bCs/>
          <w:color w:val="000000" w:themeColor="text1"/>
          <w:sz w:val="24"/>
          <w:szCs w:val="24"/>
        </w:rPr>
        <w:t>).</w:t>
      </w:r>
    </w:p>
    <w:p w:rsidR="00AC49B5" w:rsidRPr="007403CD" w:rsidRDefault="00AC49B5" w:rsidP="006E1B94">
      <w:pPr>
        <w:spacing w:before="120" w:after="120" w:line="276" w:lineRule="auto"/>
        <w:ind w:firstLine="0"/>
        <w:rPr>
          <w:rFonts w:ascii="Tahoma" w:hAnsi="Tahoma" w:cs="Tahoma"/>
          <w:bCs/>
          <w:color w:val="000000" w:themeColor="text1"/>
          <w:sz w:val="24"/>
          <w:szCs w:val="24"/>
        </w:rPr>
      </w:pPr>
      <w:r w:rsidRPr="007403CD">
        <w:rPr>
          <w:rFonts w:ascii="Tahoma" w:hAnsi="Tahoma" w:cs="Tahoma"/>
          <w:bCs/>
          <w:color w:val="000000" w:themeColor="text1"/>
          <w:sz w:val="24"/>
          <w:szCs w:val="24"/>
        </w:rPr>
        <w:t xml:space="preserve">De asemenea, nivelul veniturilor nefiscale este determinat și de înregistrarea sumelor din vânzarea certificatelor de emisii de gaze cu efect de seră, potrivit prevederilor art.10, din </w:t>
      </w:r>
      <w:r w:rsidR="00FD1630">
        <w:rPr>
          <w:rFonts w:ascii="Tahoma" w:hAnsi="Tahoma" w:cs="Tahoma"/>
          <w:bCs/>
          <w:color w:val="000000" w:themeColor="text1"/>
          <w:sz w:val="24"/>
          <w:szCs w:val="24"/>
        </w:rPr>
        <w:t>Ordonanța</w:t>
      </w:r>
      <w:r w:rsidRPr="007403CD">
        <w:rPr>
          <w:rFonts w:ascii="Tahoma" w:hAnsi="Tahoma" w:cs="Tahoma"/>
          <w:bCs/>
          <w:color w:val="000000" w:themeColor="text1"/>
          <w:sz w:val="24"/>
          <w:szCs w:val="24"/>
        </w:rPr>
        <w:t xml:space="preserve"> de </w:t>
      </w:r>
      <w:r w:rsidR="00FD1630" w:rsidRPr="007403CD">
        <w:rPr>
          <w:rFonts w:ascii="Tahoma" w:hAnsi="Tahoma" w:cs="Tahoma"/>
          <w:bCs/>
          <w:color w:val="000000" w:themeColor="text1"/>
          <w:sz w:val="24"/>
          <w:szCs w:val="24"/>
        </w:rPr>
        <w:t>urgență</w:t>
      </w:r>
      <w:r w:rsidRPr="007403CD">
        <w:rPr>
          <w:rFonts w:ascii="Tahoma" w:hAnsi="Tahoma" w:cs="Tahoma"/>
          <w:bCs/>
          <w:color w:val="000000" w:themeColor="text1"/>
          <w:sz w:val="24"/>
          <w:szCs w:val="24"/>
        </w:rPr>
        <w:t xml:space="preserve"> a Guvernului  nr. 115/2011.</w:t>
      </w:r>
    </w:p>
    <w:p w:rsidR="004D6D76" w:rsidRPr="007403CD" w:rsidRDefault="004D6D76" w:rsidP="006E1B94">
      <w:pPr>
        <w:suppressAutoHyphens/>
        <w:autoSpaceDE w:val="0"/>
        <w:autoSpaceDN w:val="0"/>
        <w:adjustRightInd w:val="0"/>
        <w:spacing w:after="120" w:line="276" w:lineRule="auto"/>
        <w:ind w:firstLine="0"/>
        <w:rPr>
          <w:rFonts w:ascii="Tahoma" w:hAnsi="Tahoma" w:cs="Tahoma"/>
          <w:sz w:val="24"/>
          <w:szCs w:val="24"/>
        </w:rPr>
      </w:pPr>
      <w:r w:rsidRPr="007403CD">
        <w:rPr>
          <w:rFonts w:ascii="Tahoma" w:hAnsi="Tahoma" w:cs="Tahoma"/>
          <w:b/>
          <w:sz w:val="24"/>
          <w:szCs w:val="24"/>
        </w:rPr>
        <w:t>Sumele rambursate de Uniunea Europeană în contul plăților efectuate</w:t>
      </w:r>
      <w:r w:rsidR="0063517C" w:rsidRPr="007403CD">
        <w:rPr>
          <w:rFonts w:ascii="Tahoma" w:hAnsi="Tahoma" w:cs="Tahoma"/>
          <w:b/>
          <w:sz w:val="24"/>
          <w:szCs w:val="24"/>
        </w:rPr>
        <w:t>,</w:t>
      </w:r>
      <w:r w:rsidRPr="007403CD">
        <w:rPr>
          <w:rFonts w:ascii="Tahoma" w:hAnsi="Tahoma" w:cs="Tahoma"/>
          <w:b/>
          <w:sz w:val="24"/>
          <w:szCs w:val="24"/>
        </w:rPr>
        <w:t xml:space="preserve"> </w:t>
      </w:r>
      <w:r w:rsidRPr="00FD1630">
        <w:rPr>
          <w:rFonts w:ascii="Tahoma" w:hAnsi="Tahoma" w:cs="Tahoma"/>
          <w:b/>
          <w:sz w:val="24"/>
          <w:szCs w:val="24"/>
        </w:rPr>
        <w:t xml:space="preserve">donații </w:t>
      </w:r>
      <w:r w:rsidR="0063517C" w:rsidRPr="00FD1630">
        <w:rPr>
          <w:rFonts w:ascii="Tahoma" w:hAnsi="Tahoma" w:cs="Tahoma"/>
          <w:b/>
          <w:sz w:val="24"/>
          <w:szCs w:val="24"/>
        </w:rPr>
        <w:t>și</w:t>
      </w:r>
      <w:r w:rsidR="0063517C" w:rsidRPr="007403CD">
        <w:rPr>
          <w:rFonts w:ascii="Tahoma" w:hAnsi="Tahoma" w:cs="Tahoma"/>
          <w:sz w:val="24"/>
          <w:szCs w:val="24"/>
        </w:rPr>
        <w:t xml:space="preserve"> </w:t>
      </w:r>
      <w:r w:rsidR="0063517C" w:rsidRPr="007403CD">
        <w:rPr>
          <w:rFonts w:ascii="Tahoma" w:eastAsia="Times New Roman" w:hAnsi="Tahoma" w:cs="Tahoma"/>
          <w:b/>
          <w:bCs/>
          <w:sz w:val="24"/>
          <w:szCs w:val="24"/>
        </w:rPr>
        <w:t>sume aferente asistentei financiare nerambursabile alocate pentru PNRR</w:t>
      </w:r>
      <w:r w:rsidR="0063517C" w:rsidRPr="007403CD">
        <w:rPr>
          <w:rFonts w:ascii="Tahoma" w:eastAsia="Times New Roman" w:hAnsi="Tahoma" w:cs="Tahoma"/>
          <w:bCs/>
          <w:sz w:val="24"/>
          <w:szCs w:val="24"/>
        </w:rPr>
        <w:t xml:space="preserve"> </w:t>
      </w:r>
      <w:r w:rsidRPr="007403CD">
        <w:rPr>
          <w:rFonts w:ascii="Tahoma" w:hAnsi="Tahoma" w:cs="Tahoma"/>
          <w:sz w:val="24"/>
          <w:szCs w:val="24"/>
        </w:rPr>
        <w:t xml:space="preserve">au totalizat </w:t>
      </w:r>
      <w:r w:rsidR="002A2249" w:rsidRPr="007403CD">
        <w:rPr>
          <w:rFonts w:ascii="Tahoma" w:hAnsi="Tahoma" w:cs="Tahoma"/>
          <w:b/>
          <w:bCs/>
          <w:sz w:val="24"/>
          <w:szCs w:val="24"/>
        </w:rPr>
        <w:t>14,89</w:t>
      </w:r>
      <w:r w:rsidR="00364FD9" w:rsidRPr="007403CD">
        <w:rPr>
          <w:rFonts w:ascii="Tahoma" w:hAnsi="Tahoma" w:cs="Tahoma"/>
          <w:b/>
          <w:bCs/>
          <w:sz w:val="24"/>
          <w:szCs w:val="24"/>
        </w:rPr>
        <w:t xml:space="preserve"> miliarde</w:t>
      </w:r>
      <w:r w:rsidRPr="007403CD">
        <w:rPr>
          <w:rFonts w:ascii="Tahoma" w:hAnsi="Tahoma" w:cs="Tahoma"/>
          <w:sz w:val="24"/>
          <w:szCs w:val="24"/>
        </w:rPr>
        <w:t xml:space="preserve"> </w:t>
      </w:r>
      <w:r w:rsidR="003A634F">
        <w:rPr>
          <w:rFonts w:ascii="Tahoma" w:hAnsi="Tahoma" w:cs="Tahoma"/>
          <w:sz w:val="24"/>
          <w:szCs w:val="24"/>
        </w:rPr>
        <w:t>lei</w:t>
      </w:r>
      <w:r w:rsidRPr="007403CD">
        <w:rPr>
          <w:rFonts w:ascii="Tahoma" w:hAnsi="Tahoma" w:cs="Tahoma"/>
          <w:sz w:val="24"/>
          <w:szCs w:val="24"/>
        </w:rPr>
        <w:t xml:space="preserve"> (</w:t>
      </w:r>
      <w:r w:rsidR="00364FD9" w:rsidRPr="007403CD">
        <w:rPr>
          <w:rFonts w:ascii="Tahoma" w:hAnsi="Tahoma" w:cs="Tahoma"/>
          <w:sz w:val="24"/>
          <w:szCs w:val="24"/>
        </w:rPr>
        <w:t>1,</w:t>
      </w:r>
      <w:r w:rsidR="00B5327A" w:rsidRPr="007403CD">
        <w:rPr>
          <w:rFonts w:ascii="Tahoma" w:hAnsi="Tahoma" w:cs="Tahoma"/>
          <w:sz w:val="24"/>
          <w:szCs w:val="24"/>
        </w:rPr>
        <w:t>1</w:t>
      </w:r>
      <w:r w:rsidRPr="007403CD">
        <w:rPr>
          <w:rFonts w:ascii="Tahoma" w:hAnsi="Tahoma" w:cs="Tahoma"/>
          <w:sz w:val="24"/>
          <w:szCs w:val="24"/>
        </w:rPr>
        <w:t xml:space="preserve">% din PIB), cu </w:t>
      </w:r>
      <w:r w:rsidR="002A2249" w:rsidRPr="007403CD">
        <w:rPr>
          <w:rFonts w:ascii="Tahoma" w:hAnsi="Tahoma" w:cs="Tahoma"/>
          <w:sz w:val="24"/>
          <w:szCs w:val="24"/>
        </w:rPr>
        <w:t>19</w:t>
      </w:r>
      <w:r w:rsidR="00364FD9" w:rsidRPr="007403CD">
        <w:rPr>
          <w:rFonts w:ascii="Tahoma" w:hAnsi="Tahoma" w:cs="Tahoma"/>
          <w:sz w:val="24"/>
          <w:szCs w:val="24"/>
        </w:rPr>
        <w:t>,</w:t>
      </w:r>
      <w:r w:rsidR="0063517C" w:rsidRPr="007403CD">
        <w:rPr>
          <w:rFonts w:ascii="Tahoma" w:hAnsi="Tahoma" w:cs="Tahoma"/>
          <w:sz w:val="24"/>
          <w:szCs w:val="24"/>
        </w:rPr>
        <w:t>4</w:t>
      </w:r>
      <w:r w:rsidRPr="007403CD">
        <w:rPr>
          <w:rFonts w:ascii="Tahoma" w:hAnsi="Tahoma" w:cs="Tahoma"/>
          <w:sz w:val="24"/>
          <w:szCs w:val="24"/>
        </w:rPr>
        <w:t xml:space="preserve">% mai mari </w:t>
      </w:r>
      <w:r w:rsidRPr="007403CD">
        <w:rPr>
          <w:rFonts w:ascii="Tahoma" w:hAnsi="Tahoma" w:cs="Tahoma"/>
          <w:sz w:val="24"/>
          <w:szCs w:val="24"/>
        </w:rPr>
        <w:lastRenderedPageBreak/>
        <w:t>comparativ cu semestrul I 20</w:t>
      </w:r>
      <w:r w:rsidR="00364FD9" w:rsidRPr="007403CD">
        <w:rPr>
          <w:rFonts w:ascii="Tahoma" w:hAnsi="Tahoma" w:cs="Tahoma"/>
          <w:sz w:val="24"/>
          <w:szCs w:val="24"/>
        </w:rPr>
        <w:t>2</w:t>
      </w:r>
      <w:r w:rsidR="002A2249" w:rsidRPr="007403CD">
        <w:rPr>
          <w:rFonts w:ascii="Tahoma" w:hAnsi="Tahoma" w:cs="Tahoma"/>
          <w:sz w:val="24"/>
          <w:szCs w:val="24"/>
        </w:rPr>
        <w:t>1</w:t>
      </w:r>
      <w:r w:rsidRPr="007403CD">
        <w:rPr>
          <w:rFonts w:ascii="Tahoma" w:hAnsi="Tahoma" w:cs="Tahoma"/>
          <w:sz w:val="24"/>
          <w:szCs w:val="24"/>
        </w:rPr>
        <w:t xml:space="preserve">. </w:t>
      </w:r>
      <w:r w:rsidR="006F7F65" w:rsidRPr="007403CD">
        <w:rPr>
          <w:rFonts w:ascii="Tahoma" w:hAnsi="Tahoma" w:cs="Tahoma"/>
          <w:sz w:val="24"/>
          <w:szCs w:val="24"/>
        </w:rPr>
        <w:t>Gradul de realizare al programului semestrial a fost d</w:t>
      </w:r>
      <w:r w:rsidR="00220441" w:rsidRPr="007403CD">
        <w:rPr>
          <w:rFonts w:ascii="Tahoma" w:hAnsi="Tahoma" w:cs="Tahoma"/>
          <w:sz w:val="24"/>
          <w:szCs w:val="24"/>
        </w:rPr>
        <w:t xml:space="preserve">e </w:t>
      </w:r>
      <w:r w:rsidR="0063517C" w:rsidRPr="007403CD">
        <w:rPr>
          <w:rFonts w:ascii="Tahoma" w:hAnsi="Tahoma" w:cs="Tahoma"/>
          <w:sz w:val="24"/>
          <w:szCs w:val="24"/>
        </w:rPr>
        <w:t>56,3</w:t>
      </w:r>
      <w:r w:rsidR="00220441" w:rsidRPr="007403CD">
        <w:rPr>
          <w:rFonts w:ascii="Tahoma" w:hAnsi="Tahoma" w:cs="Tahoma"/>
          <w:sz w:val="24"/>
          <w:szCs w:val="24"/>
        </w:rPr>
        <w:t xml:space="preserve">%. </w:t>
      </w:r>
    </w:p>
    <w:p w:rsidR="006F7F65" w:rsidRPr="007403CD" w:rsidRDefault="006F7F65" w:rsidP="006E1B94">
      <w:pPr>
        <w:spacing w:after="120" w:line="276" w:lineRule="auto"/>
        <w:ind w:right="-57" w:firstLine="0"/>
        <w:rPr>
          <w:rFonts w:ascii="Tahoma" w:hAnsi="Tahoma" w:cs="Tahoma"/>
          <w:sz w:val="24"/>
          <w:szCs w:val="24"/>
        </w:rPr>
      </w:pPr>
      <w:r w:rsidRPr="007403CD">
        <w:rPr>
          <w:rFonts w:ascii="Tahoma" w:hAnsi="Tahoma" w:cs="Tahoma"/>
          <w:bCs/>
          <w:sz w:val="24"/>
          <w:szCs w:val="24"/>
        </w:rPr>
        <w:t>Ca procent în PIB</w:t>
      </w:r>
      <w:r w:rsidR="00EB1916" w:rsidRPr="007403CD">
        <w:rPr>
          <w:rFonts w:ascii="Tahoma" w:hAnsi="Tahoma" w:cs="Tahoma"/>
          <w:bCs/>
          <w:sz w:val="24"/>
          <w:szCs w:val="24"/>
        </w:rPr>
        <w:t>,</w:t>
      </w:r>
      <w:r w:rsidRPr="007403CD">
        <w:rPr>
          <w:rFonts w:ascii="Tahoma" w:hAnsi="Tahoma" w:cs="Tahoma"/>
          <w:bCs/>
          <w:sz w:val="24"/>
          <w:szCs w:val="24"/>
        </w:rPr>
        <w:t xml:space="preserve"> </w:t>
      </w:r>
      <w:r w:rsidR="0063517C" w:rsidRPr="007403CD">
        <w:rPr>
          <w:rFonts w:ascii="Tahoma" w:hAnsi="Tahoma" w:cs="Tahoma"/>
          <w:sz w:val="24"/>
          <w:szCs w:val="24"/>
        </w:rPr>
        <w:t xml:space="preserve">sumele rambursate de Uniunea Europeană în contul plăților efectuate, donații și </w:t>
      </w:r>
      <w:r w:rsidR="0063517C" w:rsidRPr="007403CD">
        <w:rPr>
          <w:rFonts w:ascii="Tahoma" w:eastAsia="Times New Roman" w:hAnsi="Tahoma" w:cs="Tahoma"/>
          <w:bCs/>
          <w:sz w:val="24"/>
          <w:szCs w:val="24"/>
        </w:rPr>
        <w:t>sume aferente asistentei financiare nerambursabile alocate pentru PNRR</w:t>
      </w:r>
      <w:r w:rsidRPr="007403CD">
        <w:rPr>
          <w:rFonts w:ascii="Tahoma" w:hAnsi="Tahoma" w:cs="Tahoma"/>
          <w:sz w:val="24"/>
          <w:szCs w:val="24"/>
        </w:rPr>
        <w:t xml:space="preserve"> </w:t>
      </w:r>
      <w:r w:rsidR="002A2249" w:rsidRPr="007403CD">
        <w:rPr>
          <w:rFonts w:ascii="Tahoma" w:hAnsi="Tahoma" w:cs="Tahoma"/>
          <w:sz w:val="24"/>
          <w:szCs w:val="24"/>
        </w:rPr>
        <w:t>s-</w:t>
      </w:r>
      <w:r w:rsidRPr="007403CD">
        <w:rPr>
          <w:rFonts w:ascii="Tahoma" w:hAnsi="Tahoma" w:cs="Tahoma"/>
          <w:sz w:val="24"/>
          <w:szCs w:val="24"/>
        </w:rPr>
        <w:t xml:space="preserve">au </w:t>
      </w:r>
      <w:r w:rsidR="002A2249" w:rsidRPr="007403CD">
        <w:rPr>
          <w:rFonts w:ascii="Tahoma" w:hAnsi="Tahoma" w:cs="Tahoma"/>
          <w:sz w:val="24"/>
          <w:szCs w:val="24"/>
        </w:rPr>
        <w:t xml:space="preserve">menținut la aceeași procent înregistrat în anul </w:t>
      </w:r>
      <w:r w:rsidR="00FD1630" w:rsidRPr="007403CD">
        <w:rPr>
          <w:rFonts w:ascii="Tahoma" w:hAnsi="Tahoma" w:cs="Tahoma"/>
          <w:sz w:val="24"/>
          <w:szCs w:val="24"/>
        </w:rPr>
        <w:t>anterior</w:t>
      </w:r>
      <w:r w:rsidR="002A2249" w:rsidRPr="007403CD">
        <w:rPr>
          <w:rFonts w:ascii="Tahoma" w:hAnsi="Tahoma" w:cs="Tahoma"/>
          <w:sz w:val="24"/>
          <w:szCs w:val="24"/>
        </w:rPr>
        <w:t xml:space="preserve"> de 1,1% din PIB.</w:t>
      </w:r>
    </w:p>
    <w:p w:rsidR="004D6D76" w:rsidRPr="007403CD" w:rsidRDefault="004D6D76" w:rsidP="00C62BCE">
      <w:pPr>
        <w:pageBreakBefore/>
        <w:shd w:val="clear" w:color="auto" w:fill="E2EFD9" w:themeFill="accent6" w:themeFillTint="33"/>
        <w:spacing w:after="240" w:line="276" w:lineRule="auto"/>
        <w:ind w:firstLine="720"/>
        <w:rPr>
          <w:rFonts w:ascii="Tahoma" w:hAnsi="Tahoma" w:cs="Tahoma"/>
          <w:sz w:val="24"/>
          <w:szCs w:val="24"/>
        </w:rPr>
      </w:pPr>
      <w:r w:rsidRPr="007403CD">
        <w:rPr>
          <w:rFonts w:ascii="Tahoma" w:hAnsi="Tahoma" w:cs="Tahoma"/>
          <w:b/>
          <w:bCs/>
          <w:sz w:val="24"/>
          <w:szCs w:val="24"/>
          <w:u w:val="single"/>
        </w:rPr>
        <w:lastRenderedPageBreak/>
        <w:t>Cheltuielile bugetului general consolidat</w:t>
      </w:r>
      <w:r w:rsidR="00CF2AF0" w:rsidRPr="007403CD">
        <w:rPr>
          <w:rFonts w:ascii="Tahoma" w:hAnsi="Tahoma" w:cs="Tahoma"/>
          <w:b/>
          <w:bCs/>
          <w:sz w:val="24"/>
          <w:szCs w:val="24"/>
          <w:u w:val="single"/>
        </w:rPr>
        <w:t xml:space="preserve"> </w:t>
      </w:r>
      <w:r w:rsidRPr="007403CD">
        <w:rPr>
          <w:rFonts w:ascii="Tahoma" w:hAnsi="Tahoma" w:cs="Tahoma"/>
          <w:sz w:val="24"/>
          <w:szCs w:val="24"/>
        </w:rPr>
        <w:t xml:space="preserve">în sumă de </w:t>
      </w:r>
      <w:r w:rsidR="00183E8F" w:rsidRPr="007403CD">
        <w:rPr>
          <w:rFonts w:ascii="Tahoma" w:hAnsi="Tahoma" w:cs="Tahoma"/>
          <w:b/>
          <w:sz w:val="24"/>
          <w:szCs w:val="24"/>
        </w:rPr>
        <w:t>240,20</w:t>
      </w:r>
      <w:r w:rsidR="00364FD9" w:rsidRPr="007403CD">
        <w:rPr>
          <w:rFonts w:ascii="Tahoma" w:hAnsi="Tahoma" w:cs="Tahoma"/>
          <w:b/>
          <w:sz w:val="24"/>
          <w:szCs w:val="24"/>
        </w:rPr>
        <w:t xml:space="preserve"> miliarde</w:t>
      </w:r>
      <w:r w:rsidR="00CF2AF0" w:rsidRPr="007403CD">
        <w:rPr>
          <w:rFonts w:ascii="Tahoma" w:hAnsi="Tahoma" w:cs="Tahoma"/>
          <w:b/>
          <w:sz w:val="24"/>
          <w:szCs w:val="24"/>
        </w:rPr>
        <w:t xml:space="preserve"> </w:t>
      </w:r>
      <w:r w:rsidR="003A634F">
        <w:rPr>
          <w:rFonts w:ascii="Tahoma" w:hAnsi="Tahoma" w:cs="Tahoma"/>
          <w:b/>
          <w:sz w:val="24"/>
          <w:szCs w:val="24"/>
        </w:rPr>
        <w:t>lei</w:t>
      </w:r>
      <w:r w:rsidRPr="007403CD">
        <w:rPr>
          <w:rFonts w:ascii="Tahoma" w:hAnsi="Tahoma" w:cs="Tahoma"/>
          <w:b/>
          <w:sz w:val="24"/>
          <w:szCs w:val="24"/>
        </w:rPr>
        <w:t xml:space="preserve"> (</w:t>
      </w:r>
      <w:r w:rsidR="00183E8F" w:rsidRPr="007403CD">
        <w:rPr>
          <w:rFonts w:ascii="Tahoma" w:hAnsi="Tahoma" w:cs="Tahoma"/>
          <w:b/>
          <w:sz w:val="24"/>
          <w:szCs w:val="24"/>
        </w:rPr>
        <w:t>17,5</w:t>
      </w:r>
      <w:r w:rsidRPr="007403CD">
        <w:rPr>
          <w:rFonts w:ascii="Tahoma" w:hAnsi="Tahoma" w:cs="Tahoma"/>
          <w:b/>
          <w:sz w:val="24"/>
          <w:szCs w:val="24"/>
        </w:rPr>
        <w:t>% din PIB)</w:t>
      </w:r>
      <w:r w:rsidRPr="007403CD">
        <w:rPr>
          <w:rFonts w:ascii="Tahoma" w:hAnsi="Tahoma" w:cs="Tahoma"/>
          <w:sz w:val="24"/>
          <w:szCs w:val="24"/>
        </w:rPr>
        <w:t xml:space="preserve">, au crescut în termeni nominali cu </w:t>
      </w:r>
      <w:r w:rsidR="00183E8F" w:rsidRPr="007403CD">
        <w:rPr>
          <w:rFonts w:ascii="Tahoma" w:hAnsi="Tahoma" w:cs="Tahoma"/>
          <w:sz w:val="24"/>
          <w:szCs w:val="24"/>
        </w:rPr>
        <w:t>14,3</w:t>
      </w:r>
      <w:r w:rsidRPr="007403CD">
        <w:rPr>
          <w:rFonts w:ascii="Tahoma" w:hAnsi="Tahoma" w:cs="Tahoma"/>
          <w:sz w:val="24"/>
          <w:szCs w:val="24"/>
        </w:rPr>
        <w:t xml:space="preserve">% față de aceeași perioadă a anului precedent, gradul de realizare al acestora fiind de </w:t>
      </w:r>
      <w:r w:rsidR="00183E8F" w:rsidRPr="007403CD">
        <w:rPr>
          <w:rFonts w:ascii="Tahoma" w:hAnsi="Tahoma" w:cs="Tahoma"/>
          <w:sz w:val="24"/>
          <w:szCs w:val="24"/>
        </w:rPr>
        <w:t>89,2</w:t>
      </w:r>
      <w:r w:rsidRPr="007403CD">
        <w:rPr>
          <w:rFonts w:ascii="Tahoma" w:hAnsi="Tahoma" w:cs="Tahoma"/>
          <w:sz w:val="24"/>
          <w:szCs w:val="24"/>
        </w:rPr>
        <w:t>%.</w:t>
      </w:r>
    </w:p>
    <w:p w:rsidR="001B5B69" w:rsidRPr="007403CD" w:rsidRDefault="0063517C" w:rsidP="002A6579">
      <w:pPr>
        <w:spacing w:after="240" w:line="276" w:lineRule="auto"/>
        <w:ind w:firstLine="0"/>
        <w:rPr>
          <w:rFonts w:ascii="Tahoma" w:hAnsi="Tahoma" w:cs="Tahoma"/>
          <w:bCs/>
          <w:sz w:val="24"/>
          <w:szCs w:val="24"/>
        </w:rPr>
      </w:pPr>
      <w:r w:rsidRPr="007403CD">
        <w:rPr>
          <w:rFonts w:ascii="Tahoma" w:hAnsi="Tahoma" w:cs="Tahoma"/>
          <w:bCs/>
          <w:noProof/>
          <w:sz w:val="24"/>
          <w:szCs w:val="24"/>
          <w:lang w:val="en-US"/>
        </w:rPr>
        <w:drawing>
          <wp:inline distT="0" distB="0" distL="0" distR="0" wp14:anchorId="31FE598C">
            <wp:extent cx="5777230" cy="3171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7230" cy="3171825"/>
                    </a:xfrm>
                    <a:prstGeom prst="rect">
                      <a:avLst/>
                    </a:prstGeom>
                    <a:noFill/>
                  </pic:spPr>
                </pic:pic>
              </a:graphicData>
            </a:graphic>
          </wp:inline>
        </w:drawing>
      </w:r>
    </w:p>
    <w:p w:rsidR="00C62BCE" w:rsidRPr="007403CD" w:rsidRDefault="00C62BCE" w:rsidP="00C62BCE">
      <w:pPr>
        <w:spacing w:after="360" w:line="276" w:lineRule="auto"/>
        <w:ind w:firstLine="720"/>
        <w:rPr>
          <w:rFonts w:ascii="Tahoma" w:hAnsi="Tahoma" w:cs="Tahoma"/>
          <w:bCs/>
          <w:sz w:val="24"/>
          <w:szCs w:val="24"/>
        </w:rPr>
      </w:pPr>
      <w:r w:rsidRPr="007403CD">
        <w:rPr>
          <w:rFonts w:ascii="Tahoma" w:hAnsi="Tahoma" w:cs="Tahoma"/>
          <w:bCs/>
          <w:sz w:val="24"/>
          <w:szCs w:val="24"/>
        </w:rPr>
        <w:t>Acestea, ca pondere în PIB, s-au diminuat cu 0,3 puncte procentuale de la 17,8% din PIB în semestrul I 2021 la 17,5% din PIB în semestrul I 2022.</w:t>
      </w:r>
    </w:p>
    <w:p w:rsidR="0044034D" w:rsidRPr="007403CD" w:rsidRDefault="0063517C" w:rsidP="002A6579">
      <w:pPr>
        <w:spacing w:line="276" w:lineRule="auto"/>
        <w:ind w:right="-57" w:firstLine="0"/>
        <w:rPr>
          <w:rFonts w:ascii="Tahoma" w:hAnsi="Tahoma" w:cs="Tahoma"/>
          <w:bCs/>
          <w:sz w:val="24"/>
          <w:szCs w:val="24"/>
        </w:rPr>
      </w:pPr>
      <w:r w:rsidRPr="007403CD">
        <w:rPr>
          <w:rFonts w:ascii="Tahoma" w:hAnsi="Tahoma" w:cs="Tahoma"/>
          <w:bCs/>
          <w:noProof/>
          <w:sz w:val="24"/>
          <w:szCs w:val="24"/>
          <w:lang w:val="en-US"/>
        </w:rPr>
        <w:drawing>
          <wp:inline distT="0" distB="0" distL="0" distR="0" wp14:anchorId="0F613187">
            <wp:extent cx="5723255" cy="3152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3255" cy="3152775"/>
                    </a:xfrm>
                    <a:prstGeom prst="rect">
                      <a:avLst/>
                    </a:prstGeom>
                    <a:noFill/>
                  </pic:spPr>
                </pic:pic>
              </a:graphicData>
            </a:graphic>
          </wp:inline>
        </w:drawing>
      </w:r>
    </w:p>
    <w:p w:rsidR="004D6D76" w:rsidRPr="007403CD" w:rsidRDefault="004D6D76" w:rsidP="00C62BCE">
      <w:pPr>
        <w:spacing w:before="240" w:line="276" w:lineRule="auto"/>
        <w:ind w:firstLine="0"/>
        <w:rPr>
          <w:rFonts w:ascii="Tahoma" w:hAnsi="Tahoma" w:cs="Tahoma"/>
          <w:bCs/>
          <w:sz w:val="24"/>
          <w:szCs w:val="24"/>
        </w:rPr>
      </w:pPr>
      <w:r w:rsidRPr="007403CD">
        <w:rPr>
          <w:rFonts w:ascii="Tahoma" w:hAnsi="Tahoma" w:cs="Tahoma"/>
          <w:b/>
          <w:sz w:val="24"/>
          <w:szCs w:val="24"/>
        </w:rPr>
        <w:t>Cheltuielile de personal</w:t>
      </w:r>
      <w:r w:rsidRPr="007403CD">
        <w:rPr>
          <w:rFonts w:ascii="Tahoma" w:hAnsi="Tahoma" w:cs="Tahoma"/>
          <w:bCs/>
          <w:sz w:val="24"/>
          <w:szCs w:val="24"/>
        </w:rPr>
        <w:t xml:space="preserve"> au fost în sumă de </w:t>
      </w:r>
      <w:r w:rsidR="00C62BCE" w:rsidRPr="007403CD">
        <w:rPr>
          <w:rFonts w:ascii="Tahoma" w:hAnsi="Tahoma" w:cs="Tahoma"/>
          <w:bCs/>
          <w:sz w:val="24"/>
          <w:szCs w:val="24"/>
        </w:rPr>
        <w:t>58,3</w:t>
      </w:r>
      <w:r w:rsidR="00ED73F0" w:rsidRPr="007403CD">
        <w:rPr>
          <w:rFonts w:ascii="Tahoma" w:hAnsi="Tahoma" w:cs="Tahoma"/>
          <w:bCs/>
          <w:sz w:val="24"/>
          <w:szCs w:val="24"/>
        </w:rPr>
        <w:t>3</w:t>
      </w:r>
      <w:r w:rsidR="001C38E5" w:rsidRPr="007403CD">
        <w:rPr>
          <w:rFonts w:ascii="Tahoma" w:hAnsi="Tahoma" w:cs="Tahoma"/>
          <w:bCs/>
          <w:sz w:val="24"/>
          <w:szCs w:val="24"/>
        </w:rPr>
        <w:t xml:space="preserve"> miliarde </w:t>
      </w:r>
      <w:r w:rsidR="003A634F">
        <w:rPr>
          <w:rFonts w:ascii="Tahoma" w:hAnsi="Tahoma" w:cs="Tahoma"/>
          <w:bCs/>
          <w:sz w:val="24"/>
          <w:szCs w:val="24"/>
        </w:rPr>
        <w:t>lei</w:t>
      </w:r>
      <w:r w:rsidRPr="007403CD">
        <w:rPr>
          <w:rFonts w:ascii="Tahoma" w:hAnsi="Tahoma" w:cs="Tahoma"/>
          <w:bCs/>
          <w:sz w:val="24"/>
          <w:szCs w:val="24"/>
        </w:rPr>
        <w:t xml:space="preserve"> în creștere cu </w:t>
      </w:r>
      <w:r w:rsidR="000C4F84" w:rsidRPr="007403CD">
        <w:rPr>
          <w:rFonts w:ascii="Tahoma" w:hAnsi="Tahoma" w:cs="Tahoma"/>
          <w:bCs/>
          <w:sz w:val="24"/>
          <w:szCs w:val="24"/>
        </w:rPr>
        <w:t>4,</w:t>
      </w:r>
      <w:r w:rsidR="00C62BCE" w:rsidRPr="007403CD">
        <w:rPr>
          <w:rFonts w:ascii="Tahoma" w:hAnsi="Tahoma" w:cs="Tahoma"/>
          <w:bCs/>
          <w:sz w:val="24"/>
          <w:szCs w:val="24"/>
        </w:rPr>
        <w:t>7</w:t>
      </w:r>
      <w:r w:rsidRPr="007403CD">
        <w:rPr>
          <w:rFonts w:ascii="Tahoma" w:hAnsi="Tahoma" w:cs="Tahoma"/>
          <w:bCs/>
          <w:sz w:val="24"/>
          <w:szCs w:val="24"/>
        </w:rPr>
        <w:t>% comparativ cu semestru I 20</w:t>
      </w:r>
      <w:r w:rsidR="001C38E5" w:rsidRPr="007403CD">
        <w:rPr>
          <w:rFonts w:ascii="Tahoma" w:hAnsi="Tahoma" w:cs="Tahoma"/>
          <w:bCs/>
          <w:sz w:val="24"/>
          <w:szCs w:val="24"/>
        </w:rPr>
        <w:t>2</w:t>
      </w:r>
      <w:r w:rsidR="00C62BCE" w:rsidRPr="007403CD">
        <w:rPr>
          <w:rFonts w:ascii="Tahoma" w:hAnsi="Tahoma" w:cs="Tahoma"/>
          <w:bCs/>
          <w:sz w:val="24"/>
          <w:szCs w:val="24"/>
        </w:rPr>
        <w:t>1</w:t>
      </w:r>
      <w:r w:rsidRPr="007403CD">
        <w:rPr>
          <w:rFonts w:ascii="Tahoma" w:hAnsi="Tahoma" w:cs="Tahoma"/>
          <w:bCs/>
          <w:sz w:val="24"/>
          <w:szCs w:val="24"/>
        </w:rPr>
        <w:t xml:space="preserve">, fiind realizate în proporție de </w:t>
      </w:r>
      <w:r w:rsidR="00C62BCE" w:rsidRPr="007403CD">
        <w:rPr>
          <w:rFonts w:ascii="Tahoma" w:hAnsi="Tahoma" w:cs="Tahoma"/>
          <w:bCs/>
          <w:sz w:val="24"/>
          <w:szCs w:val="24"/>
        </w:rPr>
        <w:t>98,7</w:t>
      </w:r>
      <w:r w:rsidRPr="007403CD">
        <w:rPr>
          <w:rFonts w:ascii="Tahoma" w:hAnsi="Tahoma" w:cs="Tahoma"/>
          <w:bCs/>
          <w:sz w:val="24"/>
          <w:szCs w:val="24"/>
        </w:rPr>
        <w:t xml:space="preserve">%. </w:t>
      </w:r>
    </w:p>
    <w:p w:rsidR="004D6D76" w:rsidRPr="007403CD" w:rsidRDefault="004D6D76" w:rsidP="00C62BCE">
      <w:pPr>
        <w:spacing w:line="276" w:lineRule="auto"/>
        <w:ind w:firstLine="0"/>
        <w:rPr>
          <w:rFonts w:ascii="Tahoma" w:hAnsi="Tahoma" w:cs="Tahoma"/>
          <w:bCs/>
          <w:sz w:val="24"/>
          <w:szCs w:val="24"/>
        </w:rPr>
      </w:pPr>
      <w:r w:rsidRPr="007403CD">
        <w:rPr>
          <w:rFonts w:ascii="Tahoma" w:hAnsi="Tahoma" w:cs="Tahoma"/>
          <w:bCs/>
          <w:sz w:val="24"/>
          <w:szCs w:val="24"/>
        </w:rPr>
        <w:lastRenderedPageBreak/>
        <w:t xml:space="preserve">Cheltuielile de personal, ca procent în PIB, au </w:t>
      </w:r>
      <w:r w:rsidR="00E401A6" w:rsidRPr="007403CD">
        <w:rPr>
          <w:rFonts w:ascii="Tahoma" w:hAnsi="Tahoma" w:cs="Tahoma"/>
          <w:bCs/>
          <w:sz w:val="24"/>
          <w:szCs w:val="24"/>
        </w:rPr>
        <w:t>scăzut</w:t>
      </w:r>
      <w:r w:rsidRPr="007403CD">
        <w:rPr>
          <w:rFonts w:ascii="Tahoma" w:hAnsi="Tahoma" w:cs="Tahoma"/>
          <w:bCs/>
          <w:sz w:val="24"/>
          <w:szCs w:val="24"/>
        </w:rPr>
        <w:t xml:space="preserve"> cu 0,</w:t>
      </w:r>
      <w:r w:rsidR="00C62BCE" w:rsidRPr="007403CD">
        <w:rPr>
          <w:rFonts w:ascii="Tahoma" w:hAnsi="Tahoma" w:cs="Tahoma"/>
          <w:bCs/>
          <w:sz w:val="24"/>
          <w:szCs w:val="24"/>
        </w:rPr>
        <w:t>5</w:t>
      </w:r>
      <w:r w:rsidR="00B07E4B" w:rsidRPr="007403CD">
        <w:rPr>
          <w:rFonts w:ascii="Tahoma" w:hAnsi="Tahoma" w:cs="Tahoma"/>
          <w:bCs/>
          <w:sz w:val="24"/>
          <w:szCs w:val="24"/>
        </w:rPr>
        <w:t xml:space="preserve"> </w:t>
      </w:r>
      <w:r w:rsidRPr="007403CD">
        <w:rPr>
          <w:rFonts w:ascii="Tahoma" w:hAnsi="Tahoma" w:cs="Tahoma"/>
          <w:bCs/>
          <w:sz w:val="24"/>
          <w:szCs w:val="24"/>
        </w:rPr>
        <w:t xml:space="preserve">puncte procentuale de la </w:t>
      </w:r>
      <w:r w:rsidR="00C62BCE" w:rsidRPr="007403CD">
        <w:rPr>
          <w:rFonts w:ascii="Tahoma" w:hAnsi="Tahoma" w:cs="Tahoma"/>
          <w:bCs/>
          <w:sz w:val="24"/>
          <w:szCs w:val="24"/>
        </w:rPr>
        <w:t>4,7</w:t>
      </w:r>
      <w:r w:rsidRPr="007403CD">
        <w:rPr>
          <w:rFonts w:ascii="Tahoma" w:hAnsi="Tahoma" w:cs="Tahoma"/>
          <w:bCs/>
          <w:sz w:val="24"/>
          <w:szCs w:val="24"/>
        </w:rPr>
        <w:t>% din PIB cât au fost în semestrul I 20</w:t>
      </w:r>
      <w:r w:rsidR="00E401A6" w:rsidRPr="007403CD">
        <w:rPr>
          <w:rFonts w:ascii="Tahoma" w:hAnsi="Tahoma" w:cs="Tahoma"/>
          <w:bCs/>
          <w:sz w:val="24"/>
          <w:szCs w:val="24"/>
        </w:rPr>
        <w:t>2</w:t>
      </w:r>
      <w:r w:rsidR="00C62BCE" w:rsidRPr="007403CD">
        <w:rPr>
          <w:rFonts w:ascii="Tahoma" w:hAnsi="Tahoma" w:cs="Tahoma"/>
          <w:bCs/>
          <w:sz w:val="24"/>
          <w:szCs w:val="24"/>
        </w:rPr>
        <w:t>1</w:t>
      </w:r>
      <w:r w:rsidRPr="007403CD">
        <w:rPr>
          <w:rFonts w:ascii="Tahoma" w:hAnsi="Tahoma" w:cs="Tahoma"/>
          <w:bCs/>
          <w:sz w:val="24"/>
          <w:szCs w:val="24"/>
        </w:rPr>
        <w:t xml:space="preserve"> la 4,</w:t>
      </w:r>
      <w:r w:rsidR="00C62BCE" w:rsidRPr="007403CD">
        <w:rPr>
          <w:rFonts w:ascii="Tahoma" w:hAnsi="Tahoma" w:cs="Tahoma"/>
          <w:bCs/>
          <w:sz w:val="24"/>
          <w:szCs w:val="24"/>
        </w:rPr>
        <w:t>2</w:t>
      </w:r>
      <w:r w:rsidRPr="007403CD">
        <w:rPr>
          <w:rFonts w:ascii="Tahoma" w:hAnsi="Tahoma" w:cs="Tahoma"/>
          <w:bCs/>
          <w:sz w:val="24"/>
          <w:szCs w:val="24"/>
        </w:rPr>
        <w:t xml:space="preserve"> % din PIB în semestrul I 20</w:t>
      </w:r>
      <w:r w:rsidR="000C4F84" w:rsidRPr="007403CD">
        <w:rPr>
          <w:rFonts w:ascii="Tahoma" w:hAnsi="Tahoma" w:cs="Tahoma"/>
          <w:bCs/>
          <w:sz w:val="24"/>
          <w:szCs w:val="24"/>
        </w:rPr>
        <w:t>2</w:t>
      </w:r>
      <w:r w:rsidR="00C62BCE" w:rsidRPr="007403CD">
        <w:rPr>
          <w:rFonts w:ascii="Tahoma" w:hAnsi="Tahoma" w:cs="Tahoma"/>
          <w:bCs/>
          <w:sz w:val="24"/>
          <w:szCs w:val="24"/>
        </w:rPr>
        <w:t>2</w:t>
      </w:r>
      <w:r w:rsidRPr="007403CD">
        <w:rPr>
          <w:rFonts w:ascii="Tahoma" w:hAnsi="Tahoma" w:cs="Tahoma"/>
          <w:bCs/>
          <w:sz w:val="24"/>
          <w:szCs w:val="24"/>
        </w:rPr>
        <w:t>.</w:t>
      </w:r>
    </w:p>
    <w:p w:rsidR="00C62BCE" w:rsidRPr="007403CD" w:rsidRDefault="00EA36E7" w:rsidP="00C62BCE">
      <w:pPr>
        <w:spacing w:before="120" w:after="120" w:line="276" w:lineRule="auto"/>
        <w:ind w:firstLine="0"/>
        <w:rPr>
          <w:rFonts w:ascii="Tahoma" w:eastAsia="Calibri" w:hAnsi="Tahoma" w:cs="Tahoma"/>
          <w:bCs/>
          <w:sz w:val="24"/>
          <w:szCs w:val="24"/>
        </w:rPr>
      </w:pPr>
      <w:r w:rsidRPr="007403CD">
        <w:rPr>
          <w:rFonts w:ascii="Tahoma" w:eastAsia="Calibri" w:hAnsi="Tahoma" w:cs="Tahoma"/>
          <w:bCs/>
          <w:color w:val="000000"/>
          <w:sz w:val="24"/>
          <w:szCs w:val="24"/>
        </w:rPr>
        <w:t>Creșterea</w:t>
      </w:r>
      <w:r w:rsidR="00C62BCE" w:rsidRPr="007403CD">
        <w:rPr>
          <w:rFonts w:ascii="Tahoma" w:eastAsia="Calibri" w:hAnsi="Tahoma" w:cs="Tahoma"/>
          <w:bCs/>
          <w:color w:val="000000"/>
          <w:sz w:val="24"/>
          <w:szCs w:val="24"/>
        </w:rPr>
        <w:t>,</w:t>
      </w:r>
      <w:r w:rsidRPr="007403CD">
        <w:rPr>
          <w:rFonts w:ascii="Tahoma" w:eastAsia="Calibri" w:hAnsi="Tahoma" w:cs="Tahoma"/>
          <w:bCs/>
          <w:color w:val="000000"/>
          <w:sz w:val="24"/>
          <w:szCs w:val="24"/>
        </w:rPr>
        <w:t xml:space="preserve"> în termen</w:t>
      </w:r>
      <w:r w:rsidR="004C2007" w:rsidRPr="007403CD">
        <w:rPr>
          <w:rFonts w:ascii="Tahoma" w:eastAsia="Calibri" w:hAnsi="Tahoma" w:cs="Tahoma"/>
          <w:bCs/>
          <w:color w:val="000000"/>
          <w:sz w:val="24"/>
          <w:szCs w:val="24"/>
        </w:rPr>
        <w:t>i</w:t>
      </w:r>
      <w:r w:rsidRPr="007403CD">
        <w:rPr>
          <w:rFonts w:ascii="Tahoma" w:eastAsia="Calibri" w:hAnsi="Tahoma" w:cs="Tahoma"/>
          <w:bCs/>
          <w:color w:val="000000"/>
          <w:sz w:val="24"/>
          <w:szCs w:val="24"/>
        </w:rPr>
        <w:t xml:space="preserve"> nominal</w:t>
      </w:r>
      <w:r w:rsidR="004C2007" w:rsidRPr="007403CD">
        <w:rPr>
          <w:rFonts w:ascii="Tahoma" w:eastAsia="Calibri" w:hAnsi="Tahoma" w:cs="Tahoma"/>
          <w:bCs/>
          <w:color w:val="000000"/>
          <w:sz w:val="24"/>
          <w:szCs w:val="24"/>
        </w:rPr>
        <w:t>i</w:t>
      </w:r>
      <w:r w:rsidR="00C62BCE" w:rsidRPr="007403CD">
        <w:rPr>
          <w:rFonts w:ascii="Tahoma" w:eastAsia="Calibri" w:hAnsi="Tahoma" w:cs="Tahoma"/>
          <w:bCs/>
          <w:color w:val="000000"/>
          <w:sz w:val="24"/>
          <w:szCs w:val="24"/>
        </w:rPr>
        <w:t>,</w:t>
      </w:r>
      <w:r w:rsidRPr="007403CD">
        <w:rPr>
          <w:rFonts w:ascii="Tahoma" w:eastAsia="Calibri" w:hAnsi="Tahoma" w:cs="Tahoma"/>
          <w:bCs/>
          <w:color w:val="000000"/>
          <w:sz w:val="24"/>
          <w:szCs w:val="24"/>
        </w:rPr>
        <w:t xml:space="preserve"> a cheltuielilor de personal comparativ cu semestrul I 202</w:t>
      </w:r>
      <w:r w:rsidR="00C62BCE" w:rsidRPr="007403CD">
        <w:rPr>
          <w:rFonts w:ascii="Tahoma" w:eastAsia="Calibri" w:hAnsi="Tahoma" w:cs="Tahoma"/>
          <w:bCs/>
          <w:color w:val="000000"/>
          <w:sz w:val="24"/>
          <w:szCs w:val="24"/>
        </w:rPr>
        <w:t>1 s-a efectuat</w:t>
      </w:r>
      <w:r w:rsidR="00C62BCE" w:rsidRPr="007403CD">
        <w:rPr>
          <w:rFonts w:ascii="Tahoma" w:eastAsia="Calibri" w:hAnsi="Tahoma" w:cs="Tahoma"/>
          <w:bCs/>
          <w:sz w:val="24"/>
          <w:szCs w:val="24"/>
        </w:rPr>
        <w:t xml:space="preserve"> în condițiile în care pentru anul 2022 au fost luate masuri de limitare a acestor cheltuielilor pentru marea majoritate a categoriilor de salariați din sectorul bugetar cu excepția personalului din domeniile sănătate şi asistență socială precum și pentru personalul didactic de predare, personalul didactic auxiliar, personalul didactic de conducere şi personalul de îndrumare şi control din învățământ pentru care au fost prevăzute creșteri salariale potrivit prevederilor Ordonanței de urgență a Guvernului nr. 130/2021, privind unele măsuri fiscal-bugetare, prorogarea unor termene, precum şi pentru modificarea şi completarea unor acte normative.</w:t>
      </w:r>
    </w:p>
    <w:p w:rsidR="004D5C98" w:rsidRPr="007403CD" w:rsidRDefault="004D6D76" w:rsidP="00A1506E">
      <w:pPr>
        <w:spacing w:after="120" w:line="276" w:lineRule="auto"/>
        <w:ind w:firstLine="0"/>
        <w:rPr>
          <w:rFonts w:ascii="Tahoma" w:hAnsi="Tahoma" w:cs="Tahoma"/>
          <w:bCs/>
          <w:sz w:val="24"/>
          <w:szCs w:val="24"/>
        </w:rPr>
      </w:pPr>
      <w:r w:rsidRPr="007403CD">
        <w:rPr>
          <w:rFonts w:ascii="Tahoma" w:hAnsi="Tahoma" w:cs="Tahoma"/>
          <w:b/>
          <w:bCs/>
          <w:sz w:val="24"/>
          <w:szCs w:val="24"/>
        </w:rPr>
        <w:t xml:space="preserve">Cheltuielile cu bunuri </w:t>
      </w:r>
      <w:r w:rsidR="00247A3D" w:rsidRPr="007403CD">
        <w:rPr>
          <w:rFonts w:ascii="Tahoma" w:hAnsi="Tahoma" w:cs="Tahoma"/>
          <w:b/>
          <w:bCs/>
          <w:sz w:val="24"/>
          <w:szCs w:val="24"/>
        </w:rPr>
        <w:t>și</w:t>
      </w:r>
      <w:r w:rsidRPr="007403CD">
        <w:rPr>
          <w:rFonts w:ascii="Tahoma" w:hAnsi="Tahoma" w:cs="Tahoma"/>
          <w:b/>
          <w:bCs/>
          <w:sz w:val="24"/>
          <w:szCs w:val="24"/>
        </w:rPr>
        <w:t xml:space="preserve"> servicii </w:t>
      </w:r>
      <w:r w:rsidRPr="007403CD">
        <w:rPr>
          <w:rFonts w:ascii="Tahoma" w:hAnsi="Tahoma" w:cs="Tahoma"/>
          <w:bCs/>
          <w:sz w:val="24"/>
          <w:szCs w:val="24"/>
        </w:rPr>
        <w:t xml:space="preserve">au totalizat </w:t>
      </w:r>
      <w:r w:rsidR="00C62BCE" w:rsidRPr="007403CD">
        <w:rPr>
          <w:rFonts w:ascii="Tahoma" w:hAnsi="Tahoma" w:cs="Tahoma"/>
          <w:bCs/>
          <w:sz w:val="24"/>
          <w:szCs w:val="24"/>
        </w:rPr>
        <w:t>31,98</w:t>
      </w:r>
      <w:r w:rsidR="00E401A6" w:rsidRPr="007403CD">
        <w:rPr>
          <w:rFonts w:ascii="Tahoma" w:hAnsi="Tahoma" w:cs="Tahoma"/>
          <w:bCs/>
          <w:sz w:val="24"/>
          <w:szCs w:val="24"/>
        </w:rPr>
        <w:t xml:space="preserve"> miliarde </w:t>
      </w:r>
      <w:r w:rsidR="003A634F">
        <w:rPr>
          <w:rFonts w:ascii="Tahoma" w:hAnsi="Tahoma" w:cs="Tahoma"/>
          <w:bCs/>
          <w:sz w:val="24"/>
          <w:szCs w:val="24"/>
        </w:rPr>
        <w:t>lei</w:t>
      </w:r>
      <w:r w:rsidRPr="007403CD">
        <w:rPr>
          <w:rFonts w:ascii="Tahoma" w:hAnsi="Tahoma" w:cs="Tahoma"/>
          <w:bCs/>
          <w:sz w:val="24"/>
          <w:szCs w:val="24"/>
        </w:rPr>
        <w:t xml:space="preserve"> în creștere cu </w:t>
      </w:r>
      <w:r w:rsidR="00C62BCE" w:rsidRPr="007403CD">
        <w:rPr>
          <w:rFonts w:ascii="Tahoma" w:hAnsi="Tahoma" w:cs="Tahoma"/>
          <w:bCs/>
          <w:sz w:val="24"/>
          <w:szCs w:val="24"/>
        </w:rPr>
        <w:t>16,4</w:t>
      </w:r>
      <w:r w:rsidRPr="007403CD">
        <w:rPr>
          <w:rFonts w:ascii="Tahoma" w:hAnsi="Tahoma" w:cs="Tahoma"/>
          <w:bCs/>
          <w:sz w:val="24"/>
          <w:szCs w:val="24"/>
        </w:rPr>
        <w:t xml:space="preserve">% față de aceeași perioadă a anului precedent </w:t>
      </w:r>
      <w:r w:rsidR="00247A3D" w:rsidRPr="007403CD">
        <w:rPr>
          <w:rFonts w:ascii="Tahoma" w:hAnsi="Tahoma" w:cs="Tahoma"/>
          <w:bCs/>
          <w:sz w:val="24"/>
          <w:szCs w:val="24"/>
        </w:rPr>
        <w:t>și</w:t>
      </w:r>
      <w:r w:rsidRPr="007403CD">
        <w:rPr>
          <w:rFonts w:ascii="Tahoma" w:hAnsi="Tahoma" w:cs="Tahoma"/>
          <w:bCs/>
          <w:sz w:val="24"/>
          <w:szCs w:val="24"/>
        </w:rPr>
        <w:t xml:space="preserve"> s-au realizat în proporție de </w:t>
      </w:r>
      <w:r w:rsidR="00C62BCE" w:rsidRPr="007403CD">
        <w:rPr>
          <w:rFonts w:ascii="Tahoma" w:hAnsi="Tahoma" w:cs="Tahoma"/>
          <w:bCs/>
          <w:sz w:val="24"/>
          <w:szCs w:val="24"/>
        </w:rPr>
        <w:t>97,5</w:t>
      </w:r>
      <w:r w:rsidRPr="007403CD">
        <w:rPr>
          <w:rFonts w:ascii="Tahoma" w:hAnsi="Tahoma" w:cs="Tahoma"/>
          <w:bCs/>
          <w:sz w:val="24"/>
          <w:szCs w:val="24"/>
        </w:rPr>
        <w:t>%.</w:t>
      </w:r>
      <w:r w:rsidR="00C62BCE" w:rsidRPr="007403CD">
        <w:rPr>
          <w:rFonts w:ascii="Tahoma" w:hAnsi="Tahoma" w:cs="Tahoma"/>
          <w:bCs/>
          <w:sz w:val="24"/>
          <w:szCs w:val="24"/>
        </w:rPr>
        <w:t>Ca procent în PIB cheltuielile cu bunuri și servicii au crescut cu 0,1 puncte procentuale de la 2,3 % din PIB cât au fost în semestrul I 2021 la 2,4% din PIB în semestrul I 2022.</w:t>
      </w:r>
    </w:p>
    <w:p w:rsidR="00A1506E" w:rsidRPr="007403CD" w:rsidRDefault="00A1506E" w:rsidP="00A1506E">
      <w:pPr>
        <w:spacing w:after="120" w:line="276" w:lineRule="auto"/>
        <w:ind w:firstLine="0"/>
        <w:rPr>
          <w:rFonts w:ascii="Tahoma" w:hAnsi="Tahoma" w:cs="Tahoma"/>
          <w:bCs/>
          <w:sz w:val="24"/>
          <w:szCs w:val="24"/>
        </w:rPr>
      </w:pPr>
      <w:r w:rsidRPr="007403CD">
        <w:rPr>
          <w:rFonts w:ascii="Tahoma" w:hAnsi="Tahoma" w:cs="Tahoma"/>
          <w:bCs/>
          <w:sz w:val="24"/>
          <w:szCs w:val="24"/>
        </w:rPr>
        <w:t>Creșterea cheltuielilor cu bunuri și servicii s-a manifestat în cazul majorității bugetelor componente ale bugetului general consolidat pe fondul presiunilor inflaționiste înregistrate în anul 2022.</w:t>
      </w:r>
    </w:p>
    <w:p w:rsidR="00BE024F" w:rsidRPr="007403CD" w:rsidRDefault="004D6D76" w:rsidP="00BE024F">
      <w:pPr>
        <w:spacing w:after="120" w:line="276" w:lineRule="auto"/>
        <w:ind w:right="6" w:firstLine="0"/>
        <w:rPr>
          <w:rFonts w:ascii="Tahoma" w:hAnsi="Tahoma" w:cs="Tahoma"/>
          <w:b/>
          <w:i/>
          <w:sz w:val="24"/>
          <w:szCs w:val="24"/>
        </w:rPr>
      </w:pPr>
      <w:r w:rsidRPr="007403CD">
        <w:rPr>
          <w:rFonts w:ascii="Tahoma" w:hAnsi="Tahoma" w:cs="Tahoma"/>
          <w:b/>
          <w:sz w:val="24"/>
          <w:szCs w:val="24"/>
        </w:rPr>
        <w:t>Cheltui</w:t>
      </w:r>
      <w:r w:rsidRPr="007403CD">
        <w:rPr>
          <w:rFonts w:ascii="Tahoma" w:hAnsi="Tahoma" w:cs="Tahoma"/>
          <w:b/>
          <w:bCs/>
          <w:sz w:val="24"/>
          <w:szCs w:val="24"/>
        </w:rPr>
        <w:t xml:space="preserve">elile cu dobânzile </w:t>
      </w:r>
      <w:r w:rsidRPr="007403CD">
        <w:rPr>
          <w:rFonts w:ascii="Tahoma" w:hAnsi="Tahoma" w:cs="Tahoma"/>
          <w:sz w:val="24"/>
          <w:szCs w:val="24"/>
        </w:rPr>
        <w:t xml:space="preserve">au </w:t>
      </w:r>
      <w:r w:rsidR="00D26FEC" w:rsidRPr="007403CD">
        <w:rPr>
          <w:rFonts w:ascii="Tahoma" w:hAnsi="Tahoma" w:cs="Tahoma"/>
          <w:sz w:val="24"/>
          <w:szCs w:val="24"/>
        </w:rPr>
        <w:t xml:space="preserve">fost în sumă de </w:t>
      </w:r>
      <w:r w:rsidR="00A1506E" w:rsidRPr="007403CD">
        <w:rPr>
          <w:rFonts w:ascii="Tahoma" w:hAnsi="Tahoma" w:cs="Tahoma"/>
          <w:sz w:val="24"/>
          <w:szCs w:val="24"/>
        </w:rPr>
        <w:t>13,02</w:t>
      </w:r>
      <w:r w:rsidR="00D26FEC" w:rsidRPr="007403CD">
        <w:rPr>
          <w:rFonts w:ascii="Tahoma" w:hAnsi="Tahoma" w:cs="Tahoma"/>
          <w:sz w:val="24"/>
          <w:szCs w:val="24"/>
        </w:rPr>
        <w:t xml:space="preserve"> miliarde </w:t>
      </w:r>
      <w:r w:rsidR="003A634F">
        <w:rPr>
          <w:rFonts w:ascii="Tahoma" w:hAnsi="Tahoma" w:cs="Tahoma"/>
          <w:sz w:val="24"/>
          <w:szCs w:val="24"/>
        </w:rPr>
        <w:t>lei</w:t>
      </w:r>
      <w:r w:rsidR="00B07E4B" w:rsidRPr="007403CD">
        <w:rPr>
          <w:rFonts w:ascii="Tahoma" w:hAnsi="Tahoma" w:cs="Tahoma"/>
          <w:sz w:val="24"/>
          <w:szCs w:val="24"/>
        </w:rPr>
        <w:t xml:space="preserve"> </w:t>
      </w:r>
      <w:r w:rsidR="00D26FEC" w:rsidRPr="007403CD">
        <w:rPr>
          <w:rFonts w:ascii="Tahoma" w:hAnsi="Tahoma" w:cs="Tahoma"/>
          <w:sz w:val="24"/>
          <w:szCs w:val="24"/>
        </w:rPr>
        <w:t>(</w:t>
      </w:r>
      <w:r w:rsidR="00A1506E" w:rsidRPr="007403CD">
        <w:rPr>
          <w:rFonts w:ascii="Tahoma" w:hAnsi="Tahoma" w:cs="Tahoma"/>
          <w:sz w:val="24"/>
          <w:szCs w:val="24"/>
        </w:rPr>
        <w:t>1,0</w:t>
      </w:r>
      <w:r w:rsidR="00D26FEC" w:rsidRPr="007403CD">
        <w:rPr>
          <w:rFonts w:ascii="Tahoma" w:hAnsi="Tahoma" w:cs="Tahoma"/>
          <w:sz w:val="24"/>
          <w:szCs w:val="24"/>
        </w:rPr>
        <w:t xml:space="preserve">% din PIB) </w:t>
      </w:r>
      <w:r w:rsidRPr="007403CD">
        <w:rPr>
          <w:rFonts w:ascii="Tahoma" w:hAnsi="Tahoma" w:cs="Tahoma"/>
          <w:bCs/>
          <w:sz w:val="24"/>
          <w:szCs w:val="24"/>
        </w:rPr>
        <w:t xml:space="preserve">cu </w:t>
      </w:r>
      <w:r w:rsidR="00A1506E" w:rsidRPr="007403CD">
        <w:rPr>
          <w:rFonts w:ascii="Tahoma" w:hAnsi="Tahoma" w:cs="Tahoma"/>
          <w:bCs/>
          <w:sz w:val="24"/>
          <w:szCs w:val="24"/>
        </w:rPr>
        <w:t>47,9</w:t>
      </w:r>
      <w:r w:rsidRPr="007403CD">
        <w:rPr>
          <w:rFonts w:ascii="Tahoma" w:hAnsi="Tahoma" w:cs="Tahoma"/>
          <w:bCs/>
          <w:sz w:val="24"/>
          <w:szCs w:val="24"/>
        </w:rPr>
        <w:t xml:space="preserve">% </w:t>
      </w:r>
      <w:r w:rsidR="00AF6727" w:rsidRPr="007403CD">
        <w:rPr>
          <w:rFonts w:ascii="Tahoma" w:hAnsi="Tahoma" w:cs="Tahoma"/>
          <w:bCs/>
          <w:sz w:val="24"/>
          <w:szCs w:val="24"/>
        </w:rPr>
        <w:t xml:space="preserve">mai mari </w:t>
      </w:r>
      <w:r w:rsidRPr="007403CD">
        <w:rPr>
          <w:rFonts w:ascii="Tahoma" w:hAnsi="Tahoma" w:cs="Tahoma"/>
          <w:bCs/>
          <w:sz w:val="24"/>
          <w:szCs w:val="24"/>
        </w:rPr>
        <w:t>comparativ cu primul semestru al anului 20</w:t>
      </w:r>
      <w:r w:rsidR="00AF6727" w:rsidRPr="007403CD">
        <w:rPr>
          <w:rFonts w:ascii="Tahoma" w:hAnsi="Tahoma" w:cs="Tahoma"/>
          <w:bCs/>
          <w:sz w:val="24"/>
          <w:szCs w:val="24"/>
        </w:rPr>
        <w:t>2</w:t>
      </w:r>
      <w:r w:rsidR="00A1506E" w:rsidRPr="007403CD">
        <w:rPr>
          <w:rFonts w:ascii="Tahoma" w:hAnsi="Tahoma" w:cs="Tahoma"/>
          <w:bCs/>
          <w:sz w:val="24"/>
          <w:szCs w:val="24"/>
        </w:rPr>
        <w:t>1</w:t>
      </w:r>
      <w:r w:rsidRPr="007403CD">
        <w:rPr>
          <w:rFonts w:ascii="Tahoma" w:hAnsi="Tahoma" w:cs="Tahoma"/>
          <w:bCs/>
          <w:sz w:val="24"/>
          <w:szCs w:val="24"/>
        </w:rPr>
        <w:t xml:space="preserve">, gradul de realizare </w:t>
      </w:r>
      <w:r w:rsidR="00AF6727" w:rsidRPr="007403CD">
        <w:rPr>
          <w:rFonts w:ascii="Tahoma" w:hAnsi="Tahoma" w:cs="Tahoma"/>
          <w:bCs/>
          <w:sz w:val="24"/>
          <w:szCs w:val="24"/>
        </w:rPr>
        <w:t xml:space="preserve">al cheltuielilor programate </w:t>
      </w:r>
      <w:r w:rsidRPr="007403CD">
        <w:rPr>
          <w:rFonts w:ascii="Tahoma" w:hAnsi="Tahoma" w:cs="Tahoma"/>
          <w:bCs/>
          <w:sz w:val="24"/>
          <w:szCs w:val="24"/>
        </w:rPr>
        <w:t>pe</w:t>
      </w:r>
      <w:r w:rsidR="00AF6727" w:rsidRPr="007403CD">
        <w:rPr>
          <w:rFonts w:ascii="Tahoma" w:hAnsi="Tahoma" w:cs="Tahoma"/>
          <w:bCs/>
          <w:sz w:val="24"/>
          <w:szCs w:val="24"/>
        </w:rPr>
        <w:t xml:space="preserve">ntru </w:t>
      </w:r>
      <w:r w:rsidRPr="007403CD">
        <w:rPr>
          <w:rFonts w:ascii="Tahoma" w:hAnsi="Tahoma" w:cs="Tahoma"/>
          <w:bCs/>
          <w:sz w:val="24"/>
          <w:szCs w:val="24"/>
        </w:rPr>
        <w:t>semestrul I 20</w:t>
      </w:r>
      <w:r w:rsidR="001B5DB9" w:rsidRPr="007403CD">
        <w:rPr>
          <w:rFonts w:ascii="Tahoma" w:hAnsi="Tahoma" w:cs="Tahoma"/>
          <w:bCs/>
          <w:sz w:val="24"/>
          <w:szCs w:val="24"/>
        </w:rPr>
        <w:t>2</w:t>
      </w:r>
      <w:r w:rsidR="00A1506E" w:rsidRPr="007403CD">
        <w:rPr>
          <w:rFonts w:ascii="Tahoma" w:hAnsi="Tahoma" w:cs="Tahoma"/>
          <w:bCs/>
          <w:sz w:val="24"/>
          <w:szCs w:val="24"/>
        </w:rPr>
        <w:t>2</w:t>
      </w:r>
      <w:r w:rsidRPr="007403CD">
        <w:rPr>
          <w:rFonts w:ascii="Tahoma" w:hAnsi="Tahoma" w:cs="Tahoma"/>
          <w:bCs/>
          <w:sz w:val="24"/>
          <w:szCs w:val="24"/>
        </w:rPr>
        <w:t xml:space="preserve"> fiind de </w:t>
      </w:r>
      <w:r w:rsidR="00A1506E" w:rsidRPr="007403CD">
        <w:rPr>
          <w:rFonts w:ascii="Tahoma" w:hAnsi="Tahoma" w:cs="Tahoma"/>
          <w:bCs/>
          <w:sz w:val="24"/>
          <w:szCs w:val="24"/>
        </w:rPr>
        <w:t>98,5</w:t>
      </w:r>
      <w:r w:rsidRPr="007403CD">
        <w:rPr>
          <w:rFonts w:ascii="Tahoma" w:hAnsi="Tahoma" w:cs="Tahoma"/>
          <w:bCs/>
          <w:sz w:val="24"/>
          <w:szCs w:val="24"/>
        </w:rPr>
        <w:t>%.</w:t>
      </w:r>
      <w:r w:rsidR="00ED73F0" w:rsidRPr="007403CD">
        <w:rPr>
          <w:rFonts w:ascii="Tahoma" w:hAnsi="Tahoma" w:cs="Tahoma"/>
          <w:bCs/>
          <w:sz w:val="24"/>
          <w:szCs w:val="24"/>
        </w:rPr>
        <w:t xml:space="preserve"> </w:t>
      </w:r>
      <w:r w:rsidR="00A1506E" w:rsidRPr="007403CD">
        <w:rPr>
          <w:rFonts w:ascii="Tahoma" w:hAnsi="Tahoma" w:cs="Tahoma"/>
          <w:bCs/>
          <w:sz w:val="24"/>
          <w:szCs w:val="24"/>
        </w:rPr>
        <w:t>Cheltuielile cu dobânzile au crescut cu 0,2 puncte procentuale ca raport în PIB de la 0,8% din PIB în semestrul I 2021 la 1% din PIB în semestrul I 2022.</w:t>
      </w:r>
      <w:r w:rsidR="00BE024F" w:rsidRPr="007403CD">
        <w:rPr>
          <w:rFonts w:ascii="Tahoma" w:hAnsi="Tahoma" w:cs="Tahoma"/>
          <w:sz w:val="24"/>
          <w:szCs w:val="24"/>
        </w:rPr>
        <w:t xml:space="preserve"> Evoluția cheltuielilor cu dobânzile s-a datorat creșterii ratelor de dobândă în contextul inflaționist manifestat îndeosebi începând cu a doua parte a anului 2021, atât pe plan intern cât și internațional, cât și ca urmare a incertitudinilor generate de conflictul armat din Ucraina. </w:t>
      </w:r>
    </w:p>
    <w:p w:rsidR="008A5E1F" w:rsidRPr="007403CD" w:rsidRDefault="004D6D76" w:rsidP="008A5E1F">
      <w:pPr>
        <w:spacing w:before="120" w:after="120" w:line="276" w:lineRule="auto"/>
        <w:ind w:firstLine="0"/>
        <w:rPr>
          <w:rFonts w:ascii="Tahoma" w:eastAsia="Calibri" w:hAnsi="Tahoma" w:cs="Tahoma"/>
          <w:sz w:val="24"/>
          <w:szCs w:val="24"/>
        </w:rPr>
      </w:pPr>
      <w:r w:rsidRPr="007403CD">
        <w:rPr>
          <w:rFonts w:ascii="Tahoma" w:hAnsi="Tahoma" w:cs="Tahoma"/>
          <w:b/>
          <w:bCs/>
          <w:sz w:val="24"/>
          <w:szCs w:val="24"/>
        </w:rPr>
        <w:t xml:space="preserve">Cheltuielile cu subvențiile </w:t>
      </w:r>
      <w:r w:rsidRPr="007403CD">
        <w:rPr>
          <w:rFonts w:ascii="Tahoma" w:hAnsi="Tahoma" w:cs="Tahoma"/>
          <w:bCs/>
          <w:sz w:val="24"/>
          <w:szCs w:val="24"/>
        </w:rPr>
        <w:t xml:space="preserve">au însumat </w:t>
      </w:r>
      <w:r w:rsidR="00A1506E" w:rsidRPr="007403CD">
        <w:rPr>
          <w:rFonts w:ascii="Tahoma" w:hAnsi="Tahoma" w:cs="Tahoma"/>
          <w:bCs/>
          <w:sz w:val="24"/>
          <w:szCs w:val="24"/>
        </w:rPr>
        <w:t>5,64</w:t>
      </w:r>
      <w:r w:rsidRPr="007403CD">
        <w:rPr>
          <w:rFonts w:ascii="Tahoma" w:hAnsi="Tahoma" w:cs="Tahoma"/>
          <w:bCs/>
          <w:sz w:val="24"/>
          <w:szCs w:val="24"/>
        </w:rPr>
        <w:t xml:space="preserve"> mili</w:t>
      </w:r>
      <w:r w:rsidR="00AF6727" w:rsidRPr="007403CD">
        <w:rPr>
          <w:rFonts w:ascii="Tahoma" w:hAnsi="Tahoma" w:cs="Tahoma"/>
          <w:bCs/>
          <w:sz w:val="24"/>
          <w:szCs w:val="24"/>
        </w:rPr>
        <w:t>arde</w:t>
      </w:r>
      <w:r w:rsidRPr="007403CD">
        <w:rPr>
          <w:rFonts w:ascii="Tahoma" w:hAnsi="Tahoma" w:cs="Tahoma"/>
          <w:bCs/>
          <w:sz w:val="24"/>
          <w:szCs w:val="24"/>
        </w:rPr>
        <w:t xml:space="preserve"> </w:t>
      </w:r>
      <w:r w:rsidR="003A634F">
        <w:rPr>
          <w:rFonts w:ascii="Tahoma" w:hAnsi="Tahoma" w:cs="Tahoma"/>
          <w:bCs/>
          <w:sz w:val="24"/>
          <w:szCs w:val="24"/>
        </w:rPr>
        <w:t>lei</w:t>
      </w:r>
      <w:r w:rsidRPr="007403CD">
        <w:rPr>
          <w:rFonts w:ascii="Tahoma" w:hAnsi="Tahoma" w:cs="Tahoma"/>
          <w:bCs/>
          <w:sz w:val="24"/>
          <w:szCs w:val="24"/>
        </w:rPr>
        <w:t xml:space="preserve"> (0,</w:t>
      </w:r>
      <w:r w:rsidR="00A1506E" w:rsidRPr="007403CD">
        <w:rPr>
          <w:rFonts w:ascii="Tahoma" w:hAnsi="Tahoma" w:cs="Tahoma"/>
          <w:bCs/>
          <w:sz w:val="24"/>
          <w:szCs w:val="24"/>
        </w:rPr>
        <w:t>4</w:t>
      </w:r>
      <w:r w:rsidRPr="007403CD">
        <w:rPr>
          <w:rFonts w:ascii="Tahoma" w:hAnsi="Tahoma" w:cs="Tahoma"/>
          <w:bCs/>
          <w:sz w:val="24"/>
          <w:szCs w:val="24"/>
        </w:rPr>
        <w:t xml:space="preserve">% din PIB) cu </w:t>
      </w:r>
      <w:r w:rsidR="00A1506E" w:rsidRPr="007403CD">
        <w:rPr>
          <w:rFonts w:ascii="Tahoma" w:hAnsi="Tahoma" w:cs="Tahoma"/>
          <w:bCs/>
          <w:sz w:val="24"/>
          <w:szCs w:val="24"/>
        </w:rPr>
        <w:t>72,9</w:t>
      </w:r>
      <w:r w:rsidRPr="007403CD">
        <w:rPr>
          <w:rFonts w:ascii="Tahoma" w:hAnsi="Tahoma" w:cs="Tahoma"/>
          <w:bCs/>
          <w:sz w:val="24"/>
          <w:szCs w:val="24"/>
        </w:rPr>
        <w:t xml:space="preserve">% mai </w:t>
      </w:r>
      <w:r w:rsidR="00742FB9" w:rsidRPr="007403CD">
        <w:rPr>
          <w:rFonts w:ascii="Tahoma" w:hAnsi="Tahoma" w:cs="Tahoma"/>
          <w:bCs/>
          <w:sz w:val="24"/>
          <w:szCs w:val="24"/>
        </w:rPr>
        <w:t>mari</w:t>
      </w:r>
      <w:r w:rsidRPr="007403CD">
        <w:rPr>
          <w:rFonts w:ascii="Tahoma" w:hAnsi="Tahoma" w:cs="Tahoma"/>
          <w:bCs/>
          <w:sz w:val="24"/>
          <w:szCs w:val="24"/>
        </w:rPr>
        <w:t xml:space="preserve"> comparativ cu aceeași perioadă a anului anterior, </w:t>
      </w:r>
      <w:r w:rsidR="00583D0F" w:rsidRPr="007403CD">
        <w:rPr>
          <w:rFonts w:ascii="Tahoma" w:hAnsi="Tahoma" w:cs="Tahoma"/>
          <w:bCs/>
          <w:sz w:val="24"/>
          <w:szCs w:val="24"/>
        </w:rPr>
        <w:t xml:space="preserve">gradul de realizare </w:t>
      </w:r>
      <w:r w:rsidR="00AF6727" w:rsidRPr="007403CD">
        <w:rPr>
          <w:rFonts w:ascii="Tahoma" w:hAnsi="Tahoma" w:cs="Tahoma"/>
          <w:bCs/>
          <w:sz w:val="24"/>
          <w:szCs w:val="24"/>
        </w:rPr>
        <w:t>al cheltuielilor programate pentru semestrul I 202</w:t>
      </w:r>
      <w:r w:rsidR="00742FB9" w:rsidRPr="007403CD">
        <w:rPr>
          <w:rFonts w:ascii="Tahoma" w:hAnsi="Tahoma" w:cs="Tahoma"/>
          <w:bCs/>
          <w:sz w:val="24"/>
          <w:szCs w:val="24"/>
        </w:rPr>
        <w:t>2</w:t>
      </w:r>
      <w:r w:rsidR="00AF6727" w:rsidRPr="007403CD">
        <w:rPr>
          <w:rFonts w:ascii="Tahoma" w:hAnsi="Tahoma" w:cs="Tahoma"/>
          <w:bCs/>
          <w:sz w:val="24"/>
          <w:szCs w:val="24"/>
        </w:rPr>
        <w:t xml:space="preserve"> fiind de </w:t>
      </w:r>
      <w:r w:rsidR="00742FB9" w:rsidRPr="007403CD">
        <w:rPr>
          <w:rFonts w:ascii="Tahoma" w:hAnsi="Tahoma" w:cs="Tahoma"/>
          <w:bCs/>
          <w:sz w:val="24"/>
          <w:szCs w:val="24"/>
        </w:rPr>
        <w:t>77,3</w:t>
      </w:r>
      <w:r w:rsidR="00AF6727" w:rsidRPr="007403CD">
        <w:rPr>
          <w:rFonts w:ascii="Tahoma" w:hAnsi="Tahoma" w:cs="Tahoma"/>
          <w:bCs/>
          <w:sz w:val="24"/>
          <w:szCs w:val="24"/>
        </w:rPr>
        <w:t>%</w:t>
      </w:r>
      <w:r w:rsidRPr="007403CD">
        <w:rPr>
          <w:rFonts w:ascii="Tahoma" w:hAnsi="Tahoma" w:cs="Tahoma"/>
          <w:bCs/>
          <w:sz w:val="24"/>
          <w:szCs w:val="24"/>
        </w:rPr>
        <w:t>.</w:t>
      </w:r>
      <w:r w:rsidR="001B5DB9" w:rsidRPr="007403CD">
        <w:rPr>
          <w:rFonts w:ascii="Tahoma" w:hAnsi="Tahoma" w:cs="Tahoma"/>
          <w:sz w:val="24"/>
          <w:szCs w:val="24"/>
        </w:rPr>
        <w:t xml:space="preserve"> C</w:t>
      </w:r>
      <w:r w:rsidR="001B5DB9" w:rsidRPr="007403CD">
        <w:rPr>
          <w:rFonts w:ascii="Tahoma" w:hAnsi="Tahoma" w:cs="Tahoma"/>
          <w:bCs/>
          <w:sz w:val="24"/>
          <w:szCs w:val="24"/>
        </w:rPr>
        <w:t>ea mai mare parte dintre aceste cheltuieli au reprezentat alocări către sectorul agrico</w:t>
      </w:r>
      <w:r w:rsidR="00EB1916" w:rsidRPr="007403CD">
        <w:rPr>
          <w:rFonts w:ascii="Tahoma" w:hAnsi="Tahoma" w:cs="Tahoma"/>
          <w:bCs/>
          <w:sz w:val="24"/>
          <w:szCs w:val="24"/>
        </w:rPr>
        <w:t>l și transporturi, respectiv subv</w:t>
      </w:r>
      <w:r w:rsidR="001B5DB9" w:rsidRPr="007403CD">
        <w:rPr>
          <w:rFonts w:ascii="Tahoma" w:hAnsi="Tahoma" w:cs="Tahoma"/>
          <w:bCs/>
          <w:sz w:val="24"/>
          <w:szCs w:val="24"/>
        </w:rPr>
        <w:t>enții pentru sprijinirea pro</w:t>
      </w:r>
      <w:r w:rsidR="00A35247" w:rsidRPr="007403CD">
        <w:rPr>
          <w:rFonts w:ascii="Tahoma" w:hAnsi="Tahoma" w:cs="Tahoma"/>
          <w:bCs/>
          <w:sz w:val="24"/>
          <w:szCs w:val="24"/>
        </w:rPr>
        <w:t>ducătorilor agricoli</w:t>
      </w:r>
      <w:r w:rsidR="00B07E4B" w:rsidRPr="007403CD">
        <w:rPr>
          <w:rFonts w:ascii="Tahoma" w:hAnsi="Tahoma" w:cs="Tahoma"/>
          <w:bCs/>
          <w:sz w:val="24"/>
          <w:szCs w:val="24"/>
        </w:rPr>
        <w:t xml:space="preserve"> </w:t>
      </w:r>
      <w:r w:rsidR="00A35247" w:rsidRPr="007403CD">
        <w:rPr>
          <w:rFonts w:ascii="Tahoma" w:hAnsi="Tahoma" w:cs="Tahoma"/>
          <w:bCs/>
          <w:sz w:val="24"/>
          <w:szCs w:val="24"/>
        </w:rPr>
        <w:t xml:space="preserve">și </w:t>
      </w:r>
      <w:r w:rsidR="001B5DB9" w:rsidRPr="007403CD">
        <w:rPr>
          <w:rFonts w:ascii="Tahoma" w:hAnsi="Tahoma" w:cs="Tahoma"/>
          <w:bCs/>
          <w:sz w:val="24"/>
          <w:szCs w:val="24"/>
        </w:rPr>
        <w:t>pentru transportul călătorilor</w:t>
      </w:r>
      <w:r w:rsidR="008A5E1F" w:rsidRPr="007403CD">
        <w:rPr>
          <w:rFonts w:ascii="Tahoma" w:hAnsi="Tahoma" w:cs="Tahoma"/>
          <w:bCs/>
          <w:sz w:val="24"/>
          <w:szCs w:val="24"/>
        </w:rPr>
        <w:t>,</w:t>
      </w:r>
      <w:r w:rsidR="008A5E1F" w:rsidRPr="007403CD">
        <w:rPr>
          <w:rFonts w:ascii="Tahoma" w:eastAsia="Calibri" w:hAnsi="Tahoma" w:cs="Tahoma"/>
          <w:sz w:val="24"/>
          <w:szCs w:val="24"/>
        </w:rPr>
        <w:t xml:space="preserve"> precum și pentru schema de compensare pentru consumul de energie electrica și gaze naturale al consumatorilor noncasnici pentru sezonul rece 2021-2022.</w:t>
      </w:r>
    </w:p>
    <w:p w:rsidR="00EC61E9" w:rsidRPr="007403CD" w:rsidRDefault="001B5DB9" w:rsidP="00742FB9">
      <w:pPr>
        <w:spacing w:before="240" w:line="276" w:lineRule="auto"/>
        <w:ind w:firstLine="0"/>
        <w:contextualSpacing/>
        <w:rPr>
          <w:rFonts w:ascii="Tahoma" w:hAnsi="Tahoma" w:cs="Tahoma"/>
          <w:bCs/>
          <w:sz w:val="24"/>
          <w:szCs w:val="24"/>
        </w:rPr>
      </w:pPr>
      <w:r w:rsidRPr="007403CD">
        <w:rPr>
          <w:rFonts w:ascii="Tahoma" w:hAnsi="Tahoma" w:cs="Tahoma"/>
          <w:b/>
          <w:bCs/>
          <w:sz w:val="24"/>
          <w:szCs w:val="24"/>
        </w:rPr>
        <w:t>Cheltuielile cu asistența socială</w:t>
      </w:r>
      <w:r w:rsidRPr="007403CD">
        <w:rPr>
          <w:rFonts w:ascii="Tahoma" w:hAnsi="Tahoma" w:cs="Tahoma"/>
          <w:bCs/>
          <w:sz w:val="24"/>
          <w:szCs w:val="24"/>
        </w:rPr>
        <w:t xml:space="preserve"> au fost de </w:t>
      </w:r>
      <w:r w:rsidR="00742FB9" w:rsidRPr="007403CD">
        <w:rPr>
          <w:rFonts w:ascii="Tahoma" w:hAnsi="Tahoma" w:cs="Tahoma"/>
          <w:bCs/>
          <w:sz w:val="24"/>
          <w:szCs w:val="24"/>
        </w:rPr>
        <w:t xml:space="preserve">87,88 </w:t>
      </w:r>
      <w:r w:rsidR="00AF6727" w:rsidRPr="007403CD">
        <w:rPr>
          <w:rFonts w:ascii="Tahoma" w:hAnsi="Tahoma" w:cs="Tahoma"/>
          <w:bCs/>
          <w:sz w:val="24"/>
          <w:szCs w:val="24"/>
        </w:rPr>
        <w:t>miliarde</w:t>
      </w:r>
      <w:r w:rsidR="00742FB9" w:rsidRPr="007403CD">
        <w:rPr>
          <w:rFonts w:ascii="Tahoma" w:hAnsi="Tahoma" w:cs="Tahoma"/>
          <w:bCs/>
          <w:sz w:val="24"/>
          <w:szCs w:val="24"/>
        </w:rPr>
        <w:t xml:space="preserve"> </w:t>
      </w:r>
      <w:r w:rsidR="003A634F">
        <w:rPr>
          <w:rFonts w:ascii="Tahoma" w:hAnsi="Tahoma" w:cs="Tahoma"/>
          <w:bCs/>
          <w:sz w:val="24"/>
          <w:szCs w:val="24"/>
        </w:rPr>
        <w:t>lei</w:t>
      </w:r>
      <w:r w:rsidR="00AF6727" w:rsidRPr="007403CD">
        <w:rPr>
          <w:rFonts w:ascii="Tahoma" w:hAnsi="Tahoma" w:cs="Tahoma"/>
          <w:bCs/>
          <w:sz w:val="24"/>
          <w:szCs w:val="24"/>
        </w:rPr>
        <w:t xml:space="preserve"> (6</w:t>
      </w:r>
      <w:r w:rsidR="00742FB9" w:rsidRPr="007403CD">
        <w:rPr>
          <w:rFonts w:ascii="Tahoma" w:hAnsi="Tahoma" w:cs="Tahoma"/>
          <w:bCs/>
          <w:sz w:val="24"/>
          <w:szCs w:val="24"/>
        </w:rPr>
        <w:t>,4</w:t>
      </w:r>
      <w:r w:rsidR="00AF6727" w:rsidRPr="007403CD">
        <w:rPr>
          <w:rFonts w:ascii="Tahoma" w:hAnsi="Tahoma" w:cs="Tahoma"/>
          <w:bCs/>
          <w:sz w:val="24"/>
          <w:szCs w:val="24"/>
        </w:rPr>
        <w:t>% din PIB)</w:t>
      </w:r>
      <w:r w:rsidRPr="007403CD">
        <w:rPr>
          <w:rFonts w:ascii="Tahoma" w:hAnsi="Tahoma" w:cs="Tahoma"/>
          <w:bCs/>
          <w:sz w:val="24"/>
          <w:szCs w:val="24"/>
        </w:rPr>
        <w:t xml:space="preserve"> în creștere cu </w:t>
      </w:r>
      <w:r w:rsidR="00742FB9" w:rsidRPr="007403CD">
        <w:rPr>
          <w:rFonts w:ascii="Tahoma" w:hAnsi="Tahoma" w:cs="Tahoma"/>
          <w:bCs/>
          <w:sz w:val="24"/>
          <w:szCs w:val="24"/>
        </w:rPr>
        <w:t>16,8</w:t>
      </w:r>
      <w:r w:rsidRPr="007403CD">
        <w:rPr>
          <w:rFonts w:ascii="Tahoma" w:hAnsi="Tahoma" w:cs="Tahoma"/>
          <w:bCs/>
          <w:sz w:val="24"/>
          <w:szCs w:val="24"/>
        </w:rPr>
        <w:t>% comparativ cu aceeași perioadă a anului precedent</w:t>
      </w:r>
      <w:r w:rsidR="00EC61E9" w:rsidRPr="007403CD">
        <w:rPr>
          <w:rFonts w:ascii="Tahoma" w:hAnsi="Tahoma" w:cs="Tahoma"/>
          <w:bCs/>
          <w:sz w:val="24"/>
          <w:szCs w:val="24"/>
        </w:rPr>
        <w:t xml:space="preserve"> și s-au efectuat în proporție de </w:t>
      </w:r>
      <w:r w:rsidR="00AF6727" w:rsidRPr="007403CD">
        <w:rPr>
          <w:rFonts w:ascii="Tahoma" w:hAnsi="Tahoma" w:cs="Tahoma"/>
          <w:bCs/>
          <w:sz w:val="24"/>
          <w:szCs w:val="24"/>
        </w:rPr>
        <w:t>98,</w:t>
      </w:r>
      <w:r w:rsidR="00742FB9" w:rsidRPr="007403CD">
        <w:rPr>
          <w:rFonts w:ascii="Tahoma" w:hAnsi="Tahoma" w:cs="Tahoma"/>
          <w:bCs/>
          <w:sz w:val="24"/>
          <w:szCs w:val="24"/>
        </w:rPr>
        <w:t>6</w:t>
      </w:r>
      <w:r w:rsidR="00EC61E9" w:rsidRPr="007403CD">
        <w:rPr>
          <w:rFonts w:ascii="Tahoma" w:hAnsi="Tahoma" w:cs="Tahoma"/>
          <w:bCs/>
          <w:sz w:val="24"/>
          <w:szCs w:val="24"/>
        </w:rPr>
        <w:t>% comparativ cu programul semestrial.</w:t>
      </w:r>
    </w:p>
    <w:p w:rsidR="00742FB9" w:rsidRPr="007403CD" w:rsidRDefault="00742FB9" w:rsidP="00742FB9">
      <w:pPr>
        <w:spacing w:line="276" w:lineRule="auto"/>
        <w:ind w:firstLine="0"/>
        <w:rPr>
          <w:rFonts w:ascii="Tahoma" w:hAnsi="Tahoma" w:cs="Tahoma"/>
          <w:sz w:val="24"/>
          <w:szCs w:val="24"/>
        </w:rPr>
      </w:pPr>
      <w:r w:rsidRPr="007403CD">
        <w:rPr>
          <w:rFonts w:ascii="Tahoma" w:hAnsi="Tahoma" w:cs="Tahoma"/>
          <w:sz w:val="24"/>
          <w:szCs w:val="24"/>
        </w:rPr>
        <w:t xml:space="preserve">Evoluția cheltuielilor cu asistența socială a fost influențată, în principal, de majorarea de la 1 ianuarie 2022, a punctului de pensie cu 10%, respectiv de la 1.442 </w:t>
      </w:r>
      <w:r w:rsidR="003A634F">
        <w:rPr>
          <w:rFonts w:ascii="Tahoma" w:hAnsi="Tahoma" w:cs="Tahoma"/>
          <w:sz w:val="24"/>
          <w:szCs w:val="24"/>
        </w:rPr>
        <w:t>lei</w:t>
      </w:r>
      <w:r w:rsidRPr="007403CD">
        <w:rPr>
          <w:rFonts w:ascii="Tahoma" w:hAnsi="Tahoma" w:cs="Tahoma"/>
          <w:sz w:val="24"/>
          <w:szCs w:val="24"/>
        </w:rPr>
        <w:t xml:space="preserve"> la 1.586 </w:t>
      </w:r>
      <w:r w:rsidR="003A634F">
        <w:rPr>
          <w:rFonts w:ascii="Tahoma" w:hAnsi="Tahoma" w:cs="Tahoma"/>
          <w:sz w:val="24"/>
          <w:szCs w:val="24"/>
        </w:rPr>
        <w:t>lei</w:t>
      </w:r>
      <w:r w:rsidRPr="007403CD">
        <w:rPr>
          <w:rFonts w:ascii="Tahoma" w:hAnsi="Tahoma" w:cs="Tahoma"/>
          <w:sz w:val="24"/>
          <w:szCs w:val="24"/>
        </w:rPr>
        <w:t xml:space="preserve">, a nivelului îndemnizației sociale pentru pensionari (pensia minimă) de la 800 </w:t>
      </w:r>
      <w:r w:rsidR="003A634F">
        <w:rPr>
          <w:rFonts w:ascii="Tahoma" w:hAnsi="Tahoma" w:cs="Tahoma"/>
          <w:sz w:val="24"/>
          <w:szCs w:val="24"/>
        </w:rPr>
        <w:t>lei</w:t>
      </w:r>
      <w:r w:rsidRPr="007403CD">
        <w:rPr>
          <w:rFonts w:ascii="Tahoma" w:hAnsi="Tahoma" w:cs="Tahoma"/>
          <w:sz w:val="24"/>
          <w:szCs w:val="24"/>
        </w:rPr>
        <w:t xml:space="preserve"> la </w:t>
      </w:r>
      <w:r w:rsidRPr="007403CD">
        <w:rPr>
          <w:rFonts w:ascii="Tahoma" w:hAnsi="Tahoma" w:cs="Tahoma"/>
          <w:sz w:val="24"/>
          <w:szCs w:val="24"/>
        </w:rPr>
        <w:lastRenderedPageBreak/>
        <w:t xml:space="preserve">1.000 </w:t>
      </w:r>
      <w:r w:rsidR="003A634F">
        <w:rPr>
          <w:rFonts w:ascii="Tahoma" w:hAnsi="Tahoma" w:cs="Tahoma"/>
          <w:sz w:val="24"/>
          <w:szCs w:val="24"/>
        </w:rPr>
        <w:t>lei</w:t>
      </w:r>
      <w:r w:rsidRPr="007403CD">
        <w:rPr>
          <w:rFonts w:ascii="Tahoma" w:hAnsi="Tahoma" w:cs="Tahoma"/>
          <w:sz w:val="24"/>
          <w:szCs w:val="24"/>
        </w:rPr>
        <w:t xml:space="preserve">, de acordarea unui ajutor financiar pentru pensionarii sistemului public de pensii cu pensii mai mici sau egale cu 1.600 de </w:t>
      </w:r>
      <w:r w:rsidR="003A634F">
        <w:rPr>
          <w:rFonts w:ascii="Tahoma" w:hAnsi="Tahoma" w:cs="Tahoma"/>
          <w:sz w:val="24"/>
          <w:szCs w:val="24"/>
        </w:rPr>
        <w:t>lei</w:t>
      </w:r>
      <w:r w:rsidRPr="007403CD">
        <w:rPr>
          <w:rFonts w:ascii="Tahoma" w:hAnsi="Tahoma" w:cs="Tahoma"/>
          <w:sz w:val="24"/>
          <w:szCs w:val="24"/>
        </w:rPr>
        <w:t xml:space="preserve">, astfel încât toți cei care se încadrează în această categorie să aibă un venit de 2.200 de </w:t>
      </w:r>
      <w:r w:rsidR="003A634F">
        <w:rPr>
          <w:rFonts w:ascii="Tahoma" w:hAnsi="Tahoma" w:cs="Tahoma"/>
          <w:sz w:val="24"/>
          <w:szCs w:val="24"/>
        </w:rPr>
        <w:t>lei</w:t>
      </w:r>
      <w:r w:rsidRPr="007403CD">
        <w:rPr>
          <w:rFonts w:ascii="Tahoma" w:hAnsi="Tahoma" w:cs="Tahoma"/>
          <w:sz w:val="24"/>
          <w:szCs w:val="24"/>
        </w:rPr>
        <w:t>, în luna ianuarie 2022, precum și de acordarea ce</w:t>
      </w:r>
      <w:r w:rsidR="003A634F">
        <w:rPr>
          <w:rFonts w:ascii="Tahoma" w:hAnsi="Tahoma" w:cs="Tahoma"/>
          <w:sz w:val="24"/>
          <w:szCs w:val="24"/>
        </w:rPr>
        <w:t>lei</w:t>
      </w:r>
      <w:r w:rsidRPr="007403CD">
        <w:rPr>
          <w:rFonts w:ascii="Tahoma" w:hAnsi="Tahoma" w:cs="Tahoma"/>
          <w:sz w:val="24"/>
          <w:szCs w:val="24"/>
        </w:rPr>
        <w:t xml:space="preserve"> de-a 13-a indemnizații pentru persoanele cu dizabilități. </w:t>
      </w:r>
    </w:p>
    <w:p w:rsidR="008A5E1F" w:rsidRPr="007403CD" w:rsidRDefault="00742FB9" w:rsidP="00742FB9">
      <w:pPr>
        <w:spacing w:line="276" w:lineRule="auto"/>
        <w:ind w:firstLine="0"/>
        <w:rPr>
          <w:rFonts w:ascii="Tahoma" w:hAnsi="Tahoma" w:cs="Tahoma"/>
          <w:sz w:val="24"/>
          <w:szCs w:val="24"/>
        </w:rPr>
      </w:pPr>
      <w:r w:rsidRPr="007403CD">
        <w:rPr>
          <w:rFonts w:ascii="Tahoma" w:hAnsi="Tahoma" w:cs="Tahoma"/>
          <w:sz w:val="24"/>
          <w:szCs w:val="24"/>
        </w:rPr>
        <w:t xml:space="preserve">Totodată, se reflectă majorarea alocației de stat pentru copii, astfel, alocația de stat pentru copii crește, începând cu 1 ianuarie 2022, la 600 de </w:t>
      </w:r>
      <w:r w:rsidR="003A634F">
        <w:rPr>
          <w:rFonts w:ascii="Tahoma" w:hAnsi="Tahoma" w:cs="Tahoma"/>
          <w:sz w:val="24"/>
          <w:szCs w:val="24"/>
        </w:rPr>
        <w:t>lei</w:t>
      </w:r>
      <w:r w:rsidRPr="007403CD">
        <w:rPr>
          <w:rFonts w:ascii="Tahoma" w:hAnsi="Tahoma" w:cs="Tahoma"/>
          <w:sz w:val="24"/>
          <w:szCs w:val="24"/>
        </w:rPr>
        <w:t xml:space="preserve"> pentru copiii în vârstă de până la 2 ani sau până la 3 ani, în cazul copilului cu handicap. Totodată, copiii cu handicap beneficiază de această sumă până la împlinirea vârstei de 18 ani. De asemenea, s-a majorat la 243 de </w:t>
      </w:r>
      <w:r w:rsidR="003A634F">
        <w:rPr>
          <w:rFonts w:ascii="Tahoma" w:hAnsi="Tahoma" w:cs="Tahoma"/>
          <w:sz w:val="24"/>
          <w:szCs w:val="24"/>
        </w:rPr>
        <w:t>lei</w:t>
      </w:r>
      <w:r w:rsidRPr="007403CD">
        <w:rPr>
          <w:rFonts w:ascii="Tahoma" w:hAnsi="Tahoma" w:cs="Tahoma"/>
          <w:sz w:val="24"/>
          <w:szCs w:val="24"/>
        </w:rPr>
        <w:t xml:space="preserve"> alocația de stat pentru copiii cu vârsta cuprinsă între 2 ani şi 18 ani, dar și pentru tinerii de peste 18 ani care urmează cursurile liceale sau profesionale, până la terminarea acestora, inclusiv pentru cei cu handicap care urmează o formă de învățământ preuniversitar prevăzută de lege, dar nu mai târziu de împlinirea vârstei de 26 de ani.</w:t>
      </w:r>
      <w:r w:rsidR="008A5E1F" w:rsidRPr="007403CD">
        <w:rPr>
          <w:rFonts w:ascii="Tahoma" w:hAnsi="Tahoma" w:cs="Tahoma"/>
          <w:sz w:val="24"/>
          <w:szCs w:val="24"/>
          <w:highlight w:val="yellow"/>
        </w:rPr>
        <w:t xml:space="preserve"> </w:t>
      </w:r>
    </w:p>
    <w:p w:rsidR="00742FB9" w:rsidRPr="007403CD" w:rsidRDefault="008A5E1F" w:rsidP="00742FB9">
      <w:pPr>
        <w:spacing w:line="276" w:lineRule="auto"/>
        <w:ind w:firstLine="0"/>
        <w:rPr>
          <w:rFonts w:ascii="Tahoma" w:hAnsi="Tahoma" w:cs="Tahoma"/>
          <w:sz w:val="24"/>
          <w:szCs w:val="24"/>
        </w:rPr>
      </w:pPr>
      <w:r w:rsidRPr="007403CD">
        <w:rPr>
          <w:rFonts w:ascii="Tahoma" w:hAnsi="Tahoma" w:cs="Tahoma"/>
          <w:sz w:val="24"/>
          <w:szCs w:val="24"/>
        </w:rPr>
        <w:t xml:space="preserve">Cheltuielile cu asistența socială au fost influențate și de plățile suportate de la bugetul de stat pentru compensarea facturilor pentru energie electrică și gaze naturale, </w:t>
      </w:r>
      <w:r w:rsidR="00ED73F0" w:rsidRPr="007403CD">
        <w:rPr>
          <w:rFonts w:ascii="Tahoma" w:hAnsi="Tahoma" w:cs="Tahoma"/>
          <w:sz w:val="24"/>
          <w:szCs w:val="24"/>
        </w:rPr>
        <w:t>care</w:t>
      </w:r>
      <w:r w:rsidRPr="007403CD">
        <w:rPr>
          <w:rFonts w:ascii="Tahoma" w:hAnsi="Tahoma" w:cs="Tahoma"/>
          <w:sz w:val="24"/>
          <w:szCs w:val="24"/>
        </w:rPr>
        <w:t xml:space="preserve"> până la finele lunii iunie 2022, au fost în sumă de </w:t>
      </w:r>
      <w:r w:rsidR="00487959" w:rsidRPr="007403CD">
        <w:rPr>
          <w:rFonts w:ascii="Tahoma" w:hAnsi="Tahoma" w:cs="Tahoma"/>
          <w:sz w:val="24"/>
          <w:szCs w:val="24"/>
        </w:rPr>
        <w:t xml:space="preserve">1,013 miliarde </w:t>
      </w:r>
      <w:r w:rsidR="003A634F">
        <w:rPr>
          <w:rFonts w:ascii="Tahoma" w:hAnsi="Tahoma" w:cs="Tahoma"/>
          <w:sz w:val="24"/>
          <w:szCs w:val="24"/>
        </w:rPr>
        <w:t>lei</w:t>
      </w:r>
      <w:r w:rsidRPr="007403CD">
        <w:rPr>
          <w:rFonts w:ascii="Tahoma" w:hAnsi="Tahoma" w:cs="Tahoma"/>
          <w:sz w:val="24"/>
          <w:szCs w:val="24"/>
        </w:rPr>
        <w:t>.</w:t>
      </w:r>
    </w:p>
    <w:p w:rsidR="00781BE6" w:rsidRPr="007403CD" w:rsidRDefault="004D6D76" w:rsidP="008A5E1F">
      <w:pPr>
        <w:spacing w:before="120" w:after="120" w:line="276" w:lineRule="auto"/>
        <w:ind w:firstLine="0"/>
        <w:rPr>
          <w:rFonts w:ascii="Tahoma" w:eastAsia="Times New Roman" w:hAnsi="Tahoma" w:cs="Tahoma"/>
          <w:bCs/>
          <w:sz w:val="24"/>
          <w:szCs w:val="24"/>
        </w:rPr>
      </w:pPr>
      <w:r w:rsidRPr="007403CD">
        <w:rPr>
          <w:rFonts w:ascii="Tahoma" w:eastAsia="Arial" w:hAnsi="Tahoma" w:cs="Tahoma"/>
          <w:b/>
          <w:sz w:val="24"/>
          <w:szCs w:val="24"/>
          <w:shd w:val="clear" w:color="auto" w:fill="FFFFFF"/>
        </w:rPr>
        <w:t>Cheltuielile cu alte transferuri</w:t>
      </w:r>
      <w:r w:rsidRPr="007403CD">
        <w:rPr>
          <w:rFonts w:ascii="Tahoma" w:eastAsia="Arial" w:hAnsi="Tahoma" w:cs="Tahoma"/>
          <w:sz w:val="24"/>
          <w:szCs w:val="24"/>
          <w:shd w:val="clear" w:color="auto" w:fill="FFFFFF"/>
        </w:rPr>
        <w:t xml:space="preserve"> au fost în sumă de </w:t>
      </w:r>
      <w:r w:rsidR="00AF6727" w:rsidRPr="007403CD">
        <w:rPr>
          <w:rFonts w:ascii="Tahoma" w:eastAsia="Arial" w:hAnsi="Tahoma" w:cs="Tahoma"/>
          <w:sz w:val="24"/>
          <w:szCs w:val="24"/>
          <w:shd w:val="clear" w:color="auto" w:fill="FFFFFF"/>
        </w:rPr>
        <w:t>1</w:t>
      </w:r>
      <w:r w:rsidR="00ED73F0" w:rsidRPr="007403CD">
        <w:rPr>
          <w:rFonts w:ascii="Tahoma" w:eastAsia="Arial" w:hAnsi="Tahoma" w:cs="Tahoma"/>
          <w:sz w:val="24"/>
          <w:szCs w:val="24"/>
          <w:shd w:val="clear" w:color="auto" w:fill="FFFFFF"/>
        </w:rPr>
        <w:t>2</w:t>
      </w:r>
      <w:r w:rsidR="00AF6727" w:rsidRPr="007403CD">
        <w:rPr>
          <w:rFonts w:ascii="Tahoma" w:eastAsia="Arial" w:hAnsi="Tahoma" w:cs="Tahoma"/>
          <w:sz w:val="24"/>
          <w:szCs w:val="24"/>
          <w:shd w:val="clear" w:color="auto" w:fill="FFFFFF"/>
        </w:rPr>
        <w:t>,</w:t>
      </w:r>
      <w:r w:rsidR="008A5E1F" w:rsidRPr="007403CD">
        <w:rPr>
          <w:rFonts w:ascii="Tahoma" w:eastAsia="Arial" w:hAnsi="Tahoma" w:cs="Tahoma"/>
          <w:sz w:val="24"/>
          <w:szCs w:val="24"/>
          <w:shd w:val="clear" w:color="auto" w:fill="FFFFFF"/>
        </w:rPr>
        <w:t>89</w:t>
      </w:r>
      <w:r w:rsidR="00B07E4B" w:rsidRPr="007403CD">
        <w:rPr>
          <w:rFonts w:ascii="Tahoma" w:eastAsia="Arial" w:hAnsi="Tahoma" w:cs="Tahoma"/>
          <w:sz w:val="24"/>
          <w:szCs w:val="24"/>
          <w:shd w:val="clear" w:color="auto" w:fill="FFFFFF"/>
        </w:rPr>
        <w:t xml:space="preserve"> </w:t>
      </w:r>
      <w:r w:rsidR="009C7DAD" w:rsidRPr="007403CD">
        <w:rPr>
          <w:rFonts w:ascii="Tahoma" w:eastAsia="Arial" w:hAnsi="Tahoma" w:cs="Tahoma"/>
          <w:sz w:val="24"/>
          <w:szCs w:val="24"/>
          <w:shd w:val="clear" w:color="auto" w:fill="FFFFFF"/>
        </w:rPr>
        <w:t xml:space="preserve">miliarde </w:t>
      </w:r>
      <w:r w:rsidR="003A634F">
        <w:rPr>
          <w:rFonts w:ascii="Tahoma" w:eastAsia="Arial" w:hAnsi="Tahoma" w:cs="Tahoma"/>
          <w:sz w:val="24"/>
          <w:szCs w:val="24"/>
          <w:shd w:val="clear" w:color="auto" w:fill="FFFFFF"/>
        </w:rPr>
        <w:t>lei</w:t>
      </w:r>
      <w:r w:rsidRPr="007403CD">
        <w:rPr>
          <w:rFonts w:ascii="Tahoma" w:eastAsia="Arial" w:hAnsi="Tahoma" w:cs="Tahoma"/>
          <w:sz w:val="24"/>
          <w:szCs w:val="24"/>
          <w:shd w:val="clear" w:color="auto" w:fill="FFFFFF"/>
        </w:rPr>
        <w:t xml:space="preserve"> (</w:t>
      </w:r>
      <w:r w:rsidR="008A5E1F" w:rsidRPr="007403CD">
        <w:rPr>
          <w:rFonts w:ascii="Tahoma" w:eastAsia="Arial" w:hAnsi="Tahoma" w:cs="Tahoma"/>
          <w:sz w:val="24"/>
          <w:szCs w:val="24"/>
          <w:shd w:val="clear" w:color="auto" w:fill="FFFFFF"/>
        </w:rPr>
        <w:t>0,9</w:t>
      </w:r>
      <w:r w:rsidRPr="007403CD">
        <w:rPr>
          <w:rFonts w:ascii="Tahoma" w:eastAsia="Arial" w:hAnsi="Tahoma" w:cs="Tahoma"/>
          <w:sz w:val="24"/>
          <w:szCs w:val="24"/>
          <w:shd w:val="clear" w:color="auto" w:fill="FFFFFF"/>
        </w:rPr>
        <w:t>% din PIB</w:t>
      </w:r>
      <w:r w:rsidR="00781BE6" w:rsidRPr="007403CD">
        <w:rPr>
          <w:rFonts w:ascii="Tahoma" w:eastAsia="Arial" w:hAnsi="Tahoma" w:cs="Tahoma"/>
          <w:sz w:val="24"/>
          <w:szCs w:val="24"/>
          <w:shd w:val="clear" w:color="auto" w:fill="FFFFFF"/>
        </w:rPr>
        <w:t xml:space="preserve">) au fost cu </w:t>
      </w:r>
      <w:r w:rsidR="008A5E1F" w:rsidRPr="007403CD">
        <w:rPr>
          <w:rFonts w:ascii="Tahoma" w:eastAsia="Arial" w:hAnsi="Tahoma" w:cs="Tahoma"/>
          <w:sz w:val="24"/>
          <w:szCs w:val="24"/>
          <w:shd w:val="clear" w:color="auto" w:fill="FFFFFF"/>
        </w:rPr>
        <w:t>13,5</w:t>
      </w:r>
      <w:r w:rsidRPr="007403CD">
        <w:rPr>
          <w:rFonts w:ascii="Tahoma" w:eastAsia="Arial" w:hAnsi="Tahoma" w:cs="Tahoma"/>
          <w:sz w:val="24"/>
          <w:szCs w:val="24"/>
          <w:shd w:val="clear" w:color="auto" w:fill="FFFFFF"/>
        </w:rPr>
        <w:t>% mai mari decât plățile efectuate în semestrul I 20</w:t>
      </w:r>
      <w:r w:rsidR="00D148DD" w:rsidRPr="007403CD">
        <w:rPr>
          <w:rFonts w:ascii="Tahoma" w:eastAsia="Arial" w:hAnsi="Tahoma" w:cs="Tahoma"/>
          <w:sz w:val="24"/>
          <w:szCs w:val="24"/>
          <w:shd w:val="clear" w:color="auto" w:fill="FFFFFF"/>
        </w:rPr>
        <w:t>2</w:t>
      </w:r>
      <w:r w:rsidR="008A5E1F" w:rsidRPr="007403CD">
        <w:rPr>
          <w:rFonts w:ascii="Tahoma" w:eastAsia="Arial" w:hAnsi="Tahoma" w:cs="Tahoma"/>
          <w:sz w:val="24"/>
          <w:szCs w:val="24"/>
          <w:shd w:val="clear" w:color="auto" w:fill="FFFFFF"/>
        </w:rPr>
        <w:t>1</w:t>
      </w:r>
      <w:r w:rsidRPr="007403CD">
        <w:rPr>
          <w:rFonts w:ascii="Tahoma" w:eastAsia="Arial" w:hAnsi="Tahoma" w:cs="Tahoma"/>
          <w:sz w:val="24"/>
          <w:szCs w:val="24"/>
          <w:shd w:val="clear" w:color="auto" w:fill="FFFFFF"/>
        </w:rPr>
        <w:t>. Comparativ cu nivelul pr</w:t>
      </w:r>
      <w:r w:rsidR="00781BE6" w:rsidRPr="007403CD">
        <w:rPr>
          <w:rFonts w:ascii="Tahoma" w:eastAsia="Arial" w:hAnsi="Tahoma" w:cs="Tahoma"/>
          <w:sz w:val="24"/>
          <w:szCs w:val="24"/>
          <w:shd w:val="clear" w:color="auto" w:fill="FFFFFF"/>
        </w:rPr>
        <w:t>ogramat a se efectua pe primul semestru</w:t>
      </w:r>
      <w:r w:rsidRPr="007403CD">
        <w:rPr>
          <w:rFonts w:ascii="Tahoma" w:eastAsia="Arial" w:hAnsi="Tahoma" w:cs="Tahoma"/>
          <w:sz w:val="24"/>
          <w:szCs w:val="24"/>
          <w:shd w:val="clear" w:color="auto" w:fill="FFFFFF"/>
        </w:rPr>
        <w:t xml:space="preserve"> cheltuielile cu alte transferuri s-au efectuat în proporție de </w:t>
      </w:r>
      <w:r w:rsidR="008A5E1F" w:rsidRPr="007403CD">
        <w:rPr>
          <w:rFonts w:ascii="Tahoma" w:eastAsia="Arial" w:hAnsi="Tahoma" w:cs="Tahoma"/>
          <w:sz w:val="24"/>
          <w:szCs w:val="24"/>
          <w:shd w:val="clear" w:color="auto" w:fill="FFFFFF"/>
        </w:rPr>
        <w:t>80,1</w:t>
      </w:r>
      <w:r w:rsidRPr="007403CD">
        <w:rPr>
          <w:rFonts w:ascii="Tahoma" w:eastAsia="Arial" w:hAnsi="Tahoma" w:cs="Tahoma"/>
          <w:sz w:val="24"/>
          <w:szCs w:val="24"/>
          <w:shd w:val="clear" w:color="auto" w:fill="FFFFFF"/>
        </w:rPr>
        <w:t>%.</w:t>
      </w:r>
    </w:p>
    <w:p w:rsidR="002F2E52" w:rsidRPr="007403CD" w:rsidRDefault="000104AF" w:rsidP="008A5E1F">
      <w:pPr>
        <w:spacing w:before="120" w:after="120" w:line="276" w:lineRule="auto"/>
        <w:ind w:firstLine="0"/>
        <w:rPr>
          <w:rFonts w:ascii="Tahoma" w:eastAsia="Arial" w:hAnsi="Tahoma" w:cs="Tahoma"/>
          <w:sz w:val="24"/>
          <w:szCs w:val="24"/>
          <w:shd w:val="clear" w:color="auto" w:fill="FFFFFF"/>
        </w:rPr>
      </w:pPr>
      <w:r w:rsidRPr="007403CD">
        <w:rPr>
          <w:rFonts w:ascii="Tahoma" w:eastAsia="Arial" w:hAnsi="Tahoma" w:cs="Tahoma"/>
          <w:b/>
          <w:sz w:val="24"/>
          <w:szCs w:val="24"/>
          <w:shd w:val="clear" w:color="auto" w:fill="FFFFFF"/>
        </w:rPr>
        <w:t>Cheltuielile privind proiectele finanțate din fonduri externe nerambursabile</w:t>
      </w:r>
      <w:r w:rsidRPr="007403CD">
        <w:rPr>
          <w:rFonts w:ascii="Tahoma" w:eastAsia="Arial" w:hAnsi="Tahoma" w:cs="Tahoma"/>
          <w:sz w:val="24"/>
          <w:szCs w:val="24"/>
          <w:shd w:val="clear" w:color="auto" w:fill="FFFFFF"/>
        </w:rPr>
        <w:t xml:space="preserve"> (inclusiv subvențiile de la Uniunea Europeană aferente agriculturii</w:t>
      </w:r>
      <w:r w:rsidR="0063517C" w:rsidRPr="007403CD">
        <w:rPr>
          <w:rFonts w:ascii="Tahoma" w:eastAsia="Arial" w:hAnsi="Tahoma" w:cs="Tahoma"/>
          <w:sz w:val="24"/>
          <w:szCs w:val="24"/>
          <w:shd w:val="clear" w:color="auto" w:fill="FFFFFF"/>
        </w:rPr>
        <w:t xml:space="preserve"> și cheltuielile cu proiectele cu </w:t>
      </w:r>
      <w:r w:rsidR="003D5C26" w:rsidRPr="007403CD">
        <w:rPr>
          <w:rFonts w:ascii="Tahoma" w:eastAsia="Arial" w:hAnsi="Tahoma" w:cs="Tahoma"/>
          <w:sz w:val="24"/>
          <w:szCs w:val="24"/>
          <w:shd w:val="clear" w:color="auto" w:fill="FFFFFF"/>
        </w:rPr>
        <w:t>finanțare</w:t>
      </w:r>
      <w:r w:rsidR="0063517C" w:rsidRPr="007403CD">
        <w:rPr>
          <w:rFonts w:ascii="Tahoma" w:eastAsia="Arial" w:hAnsi="Tahoma" w:cs="Tahoma"/>
          <w:sz w:val="24"/>
          <w:szCs w:val="24"/>
          <w:shd w:val="clear" w:color="auto" w:fill="FFFFFF"/>
        </w:rPr>
        <w:t xml:space="preserve"> din sumele </w:t>
      </w:r>
      <w:r w:rsidR="003D5C26" w:rsidRPr="007403CD">
        <w:rPr>
          <w:rFonts w:ascii="Tahoma" w:eastAsia="Arial" w:hAnsi="Tahoma" w:cs="Tahoma"/>
          <w:sz w:val="24"/>
          <w:szCs w:val="24"/>
          <w:shd w:val="clear" w:color="auto" w:fill="FFFFFF"/>
        </w:rPr>
        <w:t>reprezentând</w:t>
      </w:r>
      <w:r w:rsidR="0063517C" w:rsidRPr="007403CD">
        <w:rPr>
          <w:rFonts w:ascii="Tahoma" w:eastAsia="Arial" w:hAnsi="Tahoma" w:cs="Tahoma"/>
          <w:sz w:val="24"/>
          <w:szCs w:val="24"/>
          <w:shd w:val="clear" w:color="auto" w:fill="FFFFFF"/>
        </w:rPr>
        <w:t xml:space="preserve"> asi</w:t>
      </w:r>
      <w:r w:rsidR="003D5C26">
        <w:rPr>
          <w:rFonts w:ascii="Tahoma" w:eastAsia="Arial" w:hAnsi="Tahoma" w:cs="Tahoma"/>
          <w:sz w:val="24"/>
          <w:szCs w:val="24"/>
          <w:shd w:val="clear" w:color="auto" w:fill="FFFFFF"/>
        </w:rPr>
        <w:t>stenta financiara nerambursabilă</w:t>
      </w:r>
      <w:r w:rsidR="0063517C" w:rsidRPr="007403CD">
        <w:rPr>
          <w:rFonts w:ascii="Tahoma" w:eastAsia="Arial" w:hAnsi="Tahoma" w:cs="Tahoma"/>
          <w:sz w:val="24"/>
          <w:szCs w:val="24"/>
          <w:shd w:val="clear" w:color="auto" w:fill="FFFFFF"/>
        </w:rPr>
        <w:t xml:space="preserve"> aferenta PNRR</w:t>
      </w:r>
      <w:r w:rsidRPr="007403CD">
        <w:rPr>
          <w:rFonts w:ascii="Tahoma" w:eastAsia="Arial" w:hAnsi="Tahoma" w:cs="Tahoma"/>
          <w:sz w:val="24"/>
          <w:szCs w:val="24"/>
          <w:shd w:val="clear" w:color="auto" w:fill="FFFFFF"/>
        </w:rPr>
        <w:t xml:space="preserve">) au fost de </w:t>
      </w:r>
      <w:r w:rsidR="00125676" w:rsidRPr="007403CD">
        <w:rPr>
          <w:rFonts w:ascii="Tahoma" w:eastAsia="Arial" w:hAnsi="Tahoma" w:cs="Tahoma"/>
          <w:sz w:val="24"/>
          <w:szCs w:val="24"/>
          <w:shd w:val="clear" w:color="auto" w:fill="FFFFFF"/>
        </w:rPr>
        <w:t>16,0</w:t>
      </w:r>
      <w:r w:rsidR="0063517C" w:rsidRPr="007403CD">
        <w:rPr>
          <w:rFonts w:ascii="Tahoma" w:eastAsia="Arial" w:hAnsi="Tahoma" w:cs="Tahoma"/>
          <w:sz w:val="24"/>
          <w:szCs w:val="24"/>
          <w:shd w:val="clear" w:color="auto" w:fill="FFFFFF"/>
        </w:rPr>
        <w:t xml:space="preserve">8 </w:t>
      </w:r>
      <w:r w:rsidR="000C2870" w:rsidRPr="007403CD">
        <w:rPr>
          <w:rFonts w:ascii="Tahoma" w:eastAsia="Arial" w:hAnsi="Tahoma" w:cs="Tahoma"/>
          <w:sz w:val="24"/>
          <w:szCs w:val="24"/>
          <w:shd w:val="clear" w:color="auto" w:fill="FFFFFF"/>
        </w:rPr>
        <w:t>miliarde</w:t>
      </w:r>
      <w:r w:rsidRPr="007403CD">
        <w:rPr>
          <w:rFonts w:ascii="Tahoma" w:eastAsia="Arial" w:hAnsi="Tahoma" w:cs="Tahoma"/>
          <w:sz w:val="24"/>
          <w:szCs w:val="24"/>
          <w:shd w:val="clear" w:color="auto" w:fill="FFFFFF"/>
        </w:rPr>
        <w:t xml:space="preserve"> </w:t>
      </w:r>
      <w:r w:rsidR="003A634F">
        <w:rPr>
          <w:rFonts w:ascii="Tahoma" w:eastAsia="Arial" w:hAnsi="Tahoma" w:cs="Tahoma"/>
          <w:sz w:val="24"/>
          <w:szCs w:val="24"/>
          <w:shd w:val="clear" w:color="auto" w:fill="FFFFFF"/>
        </w:rPr>
        <w:t>lei</w:t>
      </w:r>
      <w:r w:rsidR="0063517C" w:rsidRPr="007403CD">
        <w:rPr>
          <w:rFonts w:ascii="Tahoma" w:eastAsia="Arial" w:hAnsi="Tahoma" w:cs="Tahoma"/>
          <w:sz w:val="24"/>
          <w:szCs w:val="24"/>
          <w:shd w:val="clear" w:color="auto" w:fill="FFFFFF"/>
        </w:rPr>
        <w:t xml:space="preserve"> </w:t>
      </w:r>
      <w:r w:rsidR="00D148DD" w:rsidRPr="007403CD">
        <w:rPr>
          <w:rFonts w:ascii="Tahoma" w:eastAsia="Arial" w:hAnsi="Tahoma" w:cs="Tahoma"/>
          <w:sz w:val="24"/>
          <w:szCs w:val="24"/>
          <w:shd w:val="clear" w:color="auto" w:fill="FFFFFF"/>
        </w:rPr>
        <w:t>(1,2% din PIB)</w:t>
      </w:r>
      <w:r w:rsidRPr="007403CD">
        <w:rPr>
          <w:rFonts w:ascii="Tahoma" w:eastAsia="Arial" w:hAnsi="Tahoma" w:cs="Tahoma"/>
          <w:sz w:val="24"/>
          <w:szCs w:val="24"/>
          <w:shd w:val="clear" w:color="auto" w:fill="FFFFFF"/>
        </w:rPr>
        <w:t xml:space="preserve">, cu </w:t>
      </w:r>
      <w:r w:rsidR="0010647A" w:rsidRPr="007403CD">
        <w:rPr>
          <w:rFonts w:ascii="Tahoma" w:eastAsia="Arial" w:hAnsi="Tahoma" w:cs="Tahoma"/>
          <w:sz w:val="24"/>
          <w:szCs w:val="24"/>
          <w:shd w:val="clear" w:color="auto" w:fill="FFFFFF"/>
        </w:rPr>
        <w:t>16,</w:t>
      </w:r>
      <w:r w:rsidR="0063517C" w:rsidRPr="007403CD">
        <w:rPr>
          <w:rFonts w:ascii="Tahoma" w:eastAsia="Arial" w:hAnsi="Tahoma" w:cs="Tahoma"/>
          <w:sz w:val="24"/>
          <w:szCs w:val="24"/>
          <w:shd w:val="clear" w:color="auto" w:fill="FFFFFF"/>
        </w:rPr>
        <w:t>9</w:t>
      </w:r>
      <w:r w:rsidRPr="007403CD">
        <w:rPr>
          <w:rFonts w:ascii="Tahoma" w:eastAsia="Arial" w:hAnsi="Tahoma" w:cs="Tahoma"/>
          <w:sz w:val="24"/>
          <w:szCs w:val="24"/>
          <w:shd w:val="clear" w:color="auto" w:fill="FFFFFF"/>
        </w:rPr>
        <w:t>% mai mari comparativ cu aceeași perioadă a anului precedent.</w:t>
      </w:r>
      <w:r w:rsidR="0010647A" w:rsidRPr="007403CD">
        <w:rPr>
          <w:rFonts w:ascii="Tahoma" w:eastAsia="Arial" w:hAnsi="Tahoma" w:cs="Tahoma"/>
          <w:sz w:val="24"/>
          <w:szCs w:val="24"/>
          <w:shd w:val="clear" w:color="auto" w:fill="FFFFFF"/>
        </w:rPr>
        <w:t xml:space="preserve"> Cheltuielile privind proiectele finanțate din fonduri externe nerambursabile s-au efectuat în proporție de </w:t>
      </w:r>
      <w:r w:rsidR="0063517C" w:rsidRPr="007403CD">
        <w:rPr>
          <w:rFonts w:ascii="Tahoma" w:eastAsia="Arial" w:hAnsi="Tahoma" w:cs="Tahoma"/>
          <w:sz w:val="24"/>
          <w:szCs w:val="24"/>
          <w:shd w:val="clear" w:color="auto" w:fill="FFFFFF"/>
        </w:rPr>
        <w:t>53</w:t>
      </w:r>
      <w:r w:rsidR="0010647A" w:rsidRPr="007403CD">
        <w:rPr>
          <w:rFonts w:ascii="Tahoma" w:eastAsia="Arial" w:hAnsi="Tahoma" w:cs="Tahoma"/>
          <w:sz w:val="24"/>
          <w:szCs w:val="24"/>
          <w:shd w:val="clear" w:color="auto" w:fill="FFFFFF"/>
        </w:rPr>
        <w:t>,8% din nivelul programat pentru perioada analizată.</w:t>
      </w:r>
    </w:p>
    <w:p w:rsidR="007B08BF" w:rsidRPr="007403CD" w:rsidRDefault="004D6D76" w:rsidP="00231E72">
      <w:pPr>
        <w:spacing w:after="120" w:line="276" w:lineRule="auto"/>
        <w:ind w:firstLine="0"/>
        <w:rPr>
          <w:rFonts w:ascii="Tahoma" w:eastAsia="Arial" w:hAnsi="Tahoma" w:cs="Tahoma"/>
          <w:sz w:val="24"/>
          <w:szCs w:val="24"/>
          <w:shd w:val="clear" w:color="auto" w:fill="FFFFFF"/>
        </w:rPr>
      </w:pPr>
      <w:r w:rsidRPr="007403CD">
        <w:rPr>
          <w:rFonts w:ascii="Tahoma" w:eastAsia="Arial" w:hAnsi="Tahoma" w:cs="Tahoma"/>
          <w:b/>
          <w:sz w:val="24"/>
          <w:szCs w:val="24"/>
          <w:shd w:val="clear" w:color="auto" w:fill="FFFFFF"/>
        </w:rPr>
        <w:t>Cheltuielile pentru investiții</w:t>
      </w:r>
      <w:r w:rsidRPr="007403CD">
        <w:rPr>
          <w:rFonts w:ascii="Tahoma" w:eastAsia="Arial" w:hAnsi="Tahoma" w:cs="Tahoma"/>
          <w:sz w:val="24"/>
          <w:szCs w:val="24"/>
          <w:shd w:val="clear" w:color="auto" w:fill="FFFFFF"/>
        </w:rPr>
        <w:t xml:space="preserve">, care includ cheltuielile de capital, precum și cele aferente programelor de dezvoltare finanțate din surse interne și externe, au însumat </w:t>
      </w:r>
      <w:r w:rsidR="00F80F55" w:rsidRPr="007403CD">
        <w:rPr>
          <w:rFonts w:ascii="Tahoma" w:eastAsia="Arial" w:hAnsi="Tahoma" w:cs="Tahoma"/>
          <w:sz w:val="24"/>
          <w:szCs w:val="24"/>
          <w:shd w:val="clear" w:color="auto" w:fill="FFFFFF"/>
        </w:rPr>
        <w:t>21,</w:t>
      </w:r>
      <w:r w:rsidR="00F27091" w:rsidRPr="007403CD">
        <w:rPr>
          <w:rFonts w:ascii="Tahoma" w:eastAsia="Arial" w:hAnsi="Tahoma" w:cs="Tahoma"/>
          <w:sz w:val="24"/>
          <w:szCs w:val="24"/>
          <w:shd w:val="clear" w:color="auto" w:fill="FFFFFF"/>
        </w:rPr>
        <w:t>01</w:t>
      </w:r>
      <w:r w:rsidR="00F80F55" w:rsidRPr="007403CD">
        <w:rPr>
          <w:rFonts w:ascii="Tahoma" w:eastAsia="Arial" w:hAnsi="Tahoma" w:cs="Tahoma"/>
          <w:sz w:val="24"/>
          <w:szCs w:val="24"/>
          <w:shd w:val="clear" w:color="auto" w:fill="FFFFFF"/>
        </w:rPr>
        <w:t xml:space="preserve"> miliarde </w:t>
      </w:r>
      <w:r w:rsidR="003A634F">
        <w:rPr>
          <w:rFonts w:ascii="Tahoma" w:eastAsia="Arial" w:hAnsi="Tahoma" w:cs="Tahoma"/>
          <w:sz w:val="24"/>
          <w:szCs w:val="24"/>
          <w:shd w:val="clear" w:color="auto" w:fill="FFFFFF"/>
        </w:rPr>
        <w:t>lei</w:t>
      </w:r>
      <w:r w:rsidR="00F80F55" w:rsidRPr="007403CD">
        <w:rPr>
          <w:rFonts w:ascii="Tahoma" w:eastAsia="Arial" w:hAnsi="Tahoma" w:cs="Tahoma"/>
          <w:sz w:val="24"/>
          <w:szCs w:val="24"/>
          <w:shd w:val="clear" w:color="auto" w:fill="FFFFFF"/>
        </w:rPr>
        <w:t xml:space="preserve"> (1,</w:t>
      </w:r>
      <w:r w:rsidR="00F27091" w:rsidRPr="007403CD">
        <w:rPr>
          <w:rFonts w:ascii="Tahoma" w:eastAsia="Arial" w:hAnsi="Tahoma" w:cs="Tahoma"/>
          <w:sz w:val="24"/>
          <w:szCs w:val="24"/>
          <w:shd w:val="clear" w:color="auto" w:fill="FFFFFF"/>
        </w:rPr>
        <w:t>5</w:t>
      </w:r>
      <w:r w:rsidR="00F80F55" w:rsidRPr="007403CD">
        <w:rPr>
          <w:rFonts w:ascii="Tahoma" w:eastAsia="Arial" w:hAnsi="Tahoma" w:cs="Tahoma"/>
          <w:sz w:val="24"/>
          <w:szCs w:val="24"/>
          <w:shd w:val="clear" w:color="auto" w:fill="FFFFFF"/>
        </w:rPr>
        <w:t>% din PIB</w:t>
      </w:r>
      <w:r w:rsidR="003D5C26">
        <w:rPr>
          <w:rFonts w:ascii="Tahoma" w:eastAsia="Arial" w:hAnsi="Tahoma" w:cs="Tahoma"/>
          <w:sz w:val="24"/>
          <w:szCs w:val="24"/>
          <w:shd w:val="clear" w:color="auto" w:fill="FFFFFF"/>
        </w:rPr>
        <w:t>).</w:t>
      </w:r>
      <w:r w:rsidR="00F80F55" w:rsidRPr="007403CD">
        <w:rPr>
          <w:rFonts w:ascii="Tahoma" w:eastAsia="Arial" w:hAnsi="Tahoma" w:cs="Tahoma"/>
          <w:sz w:val="24"/>
          <w:szCs w:val="24"/>
          <w:shd w:val="clear" w:color="auto" w:fill="FFFFFF"/>
        </w:rPr>
        <w:t xml:space="preserve"> </w:t>
      </w:r>
      <w:r w:rsidR="007B08BF" w:rsidRPr="007403CD">
        <w:rPr>
          <w:rFonts w:ascii="Tahoma" w:eastAsia="Arial" w:hAnsi="Tahoma" w:cs="Tahoma"/>
          <w:sz w:val="24"/>
          <w:szCs w:val="24"/>
          <w:shd w:val="clear" w:color="auto" w:fill="FFFFFF"/>
        </w:rPr>
        <w:t xml:space="preserve">De asemenea, se observă o creștere mai accentuată a </w:t>
      </w:r>
      <w:r w:rsidR="00231E72" w:rsidRPr="007403CD">
        <w:rPr>
          <w:rFonts w:ascii="Tahoma" w:eastAsia="Arial" w:hAnsi="Tahoma" w:cs="Tahoma"/>
          <w:sz w:val="24"/>
          <w:szCs w:val="24"/>
          <w:shd w:val="clear" w:color="auto" w:fill="FFFFFF"/>
        </w:rPr>
        <w:t>proiectelor de investiții</w:t>
      </w:r>
      <w:r w:rsidR="007B08BF" w:rsidRPr="007403CD">
        <w:rPr>
          <w:rFonts w:ascii="Tahoma" w:eastAsia="Arial" w:hAnsi="Tahoma" w:cs="Tahoma"/>
          <w:sz w:val="24"/>
          <w:szCs w:val="24"/>
          <w:shd w:val="clear" w:color="auto" w:fill="FFFFFF"/>
        </w:rPr>
        <w:t xml:space="preserve"> finanțate din fonduri externe nerambursabile postaderare, acestea reprezentând </w:t>
      </w:r>
      <w:r w:rsidR="00F27091" w:rsidRPr="007403CD">
        <w:rPr>
          <w:rFonts w:ascii="Tahoma" w:eastAsia="Arial" w:hAnsi="Tahoma" w:cs="Tahoma"/>
          <w:sz w:val="24"/>
          <w:szCs w:val="24"/>
          <w:shd w:val="clear" w:color="auto" w:fill="FFFFFF"/>
        </w:rPr>
        <w:t>57,1</w:t>
      </w:r>
      <w:r w:rsidR="007B08BF" w:rsidRPr="007403CD">
        <w:rPr>
          <w:rFonts w:ascii="Tahoma" w:eastAsia="Arial" w:hAnsi="Tahoma" w:cs="Tahoma"/>
          <w:sz w:val="24"/>
          <w:szCs w:val="24"/>
          <w:shd w:val="clear" w:color="auto" w:fill="FFFFFF"/>
        </w:rPr>
        <w:t>% din totalul cheltuielilor pentru investiții pe primele șase luni ale anului 202</w:t>
      </w:r>
      <w:r w:rsidR="006E0ADC" w:rsidRPr="007403CD">
        <w:rPr>
          <w:rFonts w:ascii="Tahoma" w:eastAsia="Arial" w:hAnsi="Tahoma" w:cs="Tahoma"/>
          <w:sz w:val="24"/>
          <w:szCs w:val="24"/>
          <w:shd w:val="clear" w:color="auto" w:fill="FFFFFF"/>
        </w:rPr>
        <w:t>2</w:t>
      </w:r>
      <w:r w:rsidR="00231E72" w:rsidRPr="007403CD">
        <w:rPr>
          <w:rFonts w:ascii="Tahoma" w:eastAsia="Arial" w:hAnsi="Tahoma" w:cs="Tahoma"/>
          <w:sz w:val="24"/>
          <w:szCs w:val="24"/>
          <w:shd w:val="clear" w:color="auto" w:fill="FFFFFF"/>
        </w:rPr>
        <w:t>.</w:t>
      </w:r>
      <w:r w:rsidR="007B08BF" w:rsidRPr="007403CD">
        <w:rPr>
          <w:rFonts w:ascii="Tahoma" w:eastAsia="Arial" w:hAnsi="Tahoma" w:cs="Tahoma"/>
          <w:sz w:val="24"/>
          <w:szCs w:val="24"/>
          <w:shd w:val="clear" w:color="auto" w:fill="FFFFFF"/>
        </w:rPr>
        <w:t xml:space="preserve"> </w:t>
      </w:r>
    </w:p>
    <w:p w:rsidR="002355F0" w:rsidRPr="007403CD" w:rsidRDefault="002355F0" w:rsidP="008A5E1F">
      <w:pPr>
        <w:spacing w:after="120" w:line="276" w:lineRule="auto"/>
        <w:ind w:right="11" w:firstLine="0"/>
        <w:rPr>
          <w:rFonts w:ascii="Tahoma" w:hAnsi="Tahoma" w:cs="Tahoma"/>
          <w:sz w:val="24"/>
          <w:szCs w:val="24"/>
        </w:rPr>
      </w:pPr>
      <w:r w:rsidRPr="007403CD">
        <w:rPr>
          <w:rFonts w:ascii="Tahoma" w:hAnsi="Tahoma" w:cs="Tahoma"/>
          <w:sz w:val="24"/>
          <w:szCs w:val="24"/>
        </w:rPr>
        <w:t>Principalele obiective de investiții distincte pentru care s-au efectuat plăți în semestrul I al anului 2022 sunt: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Drum expres Craiova Pitești și legăturile la drumurile existente – </w:t>
      </w:r>
      <w:r w:rsidR="00571230" w:rsidRPr="007403CD">
        <w:rPr>
          <w:rFonts w:ascii="Tahoma" w:hAnsi="Tahoma" w:cs="Tahoma"/>
          <w:sz w:val="24"/>
          <w:szCs w:val="24"/>
        </w:rPr>
        <w:t>0,50</w:t>
      </w:r>
      <w:r w:rsidRPr="007403CD">
        <w:rPr>
          <w:rFonts w:ascii="Tahoma" w:hAnsi="Tahoma" w:cs="Tahoma"/>
          <w:sz w:val="24"/>
          <w:szCs w:val="24"/>
        </w:rPr>
        <w:t xml:space="preserve"> m</w:t>
      </w:r>
      <w:r w:rsidR="00571230" w:rsidRPr="007403CD">
        <w:rPr>
          <w:rFonts w:ascii="Tahoma" w:hAnsi="Tahoma" w:cs="Tahoma"/>
          <w:sz w:val="24"/>
          <w:szCs w:val="24"/>
        </w:rPr>
        <w:t>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Reabilitarea liniei C.F. F</w:t>
      </w:r>
      <w:r w:rsidR="003A634F">
        <w:rPr>
          <w:rFonts w:ascii="Tahoma" w:hAnsi="Tahoma" w:cs="Tahoma"/>
          <w:sz w:val="24"/>
          <w:szCs w:val="24"/>
        </w:rPr>
        <w:t>lei</w:t>
      </w:r>
      <w:r w:rsidRPr="007403CD">
        <w:rPr>
          <w:rFonts w:ascii="Tahoma" w:hAnsi="Tahoma" w:cs="Tahoma"/>
          <w:sz w:val="24"/>
          <w:szCs w:val="24"/>
        </w:rPr>
        <w:t xml:space="preserve">tiera - Curtici - Simeria, parte componenta a Coridorului IV Pan-European pentru </w:t>
      </w:r>
      <w:r w:rsidR="003D5C26" w:rsidRPr="007403CD">
        <w:rPr>
          <w:rFonts w:ascii="Tahoma" w:hAnsi="Tahoma" w:cs="Tahoma"/>
          <w:sz w:val="24"/>
          <w:szCs w:val="24"/>
        </w:rPr>
        <w:t>circulația</w:t>
      </w:r>
      <w:r w:rsidRPr="007403CD">
        <w:rPr>
          <w:rFonts w:ascii="Tahoma" w:hAnsi="Tahoma" w:cs="Tahoma"/>
          <w:sz w:val="24"/>
          <w:szCs w:val="24"/>
        </w:rPr>
        <w:t xml:space="preserve"> trenurilor cu viteza maxima de </w:t>
      </w:r>
      <w:r w:rsidRPr="007403CD">
        <w:rPr>
          <w:rFonts w:ascii="Tahoma" w:hAnsi="Tahoma" w:cs="Tahoma"/>
          <w:sz w:val="24"/>
          <w:szCs w:val="24"/>
        </w:rPr>
        <w:lastRenderedPageBreak/>
        <w:t>160 km/h; T</w:t>
      </w:r>
      <w:r w:rsidR="003A634F">
        <w:rPr>
          <w:rFonts w:ascii="Tahoma" w:hAnsi="Tahoma" w:cs="Tahoma"/>
          <w:sz w:val="24"/>
          <w:szCs w:val="24"/>
        </w:rPr>
        <w:t>lei</w:t>
      </w:r>
      <w:r w:rsidRPr="007403CD">
        <w:rPr>
          <w:rFonts w:ascii="Tahoma" w:hAnsi="Tahoma" w:cs="Tahoma"/>
          <w:sz w:val="24"/>
          <w:szCs w:val="24"/>
        </w:rPr>
        <w:t>sonul 2: km 614 - Gurasada si T</w:t>
      </w:r>
      <w:r w:rsidR="003A634F">
        <w:rPr>
          <w:rFonts w:ascii="Tahoma" w:hAnsi="Tahoma" w:cs="Tahoma"/>
          <w:sz w:val="24"/>
          <w:szCs w:val="24"/>
        </w:rPr>
        <w:t>lei</w:t>
      </w:r>
      <w:r w:rsidRPr="007403CD">
        <w:rPr>
          <w:rFonts w:ascii="Tahoma" w:hAnsi="Tahoma" w:cs="Tahoma"/>
          <w:sz w:val="24"/>
          <w:szCs w:val="24"/>
        </w:rPr>
        <w:t xml:space="preserve">sonul 3: Gurasada - Simeria – </w:t>
      </w:r>
      <w:r w:rsidR="00571230" w:rsidRPr="007403CD">
        <w:rPr>
          <w:rFonts w:ascii="Tahoma" w:hAnsi="Tahoma" w:cs="Tahoma"/>
          <w:sz w:val="24"/>
          <w:szCs w:val="24"/>
        </w:rPr>
        <w:t>0,46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Autostrada Brașov – Târgu Mureș – Cluj - Oradea – </w:t>
      </w:r>
      <w:r w:rsidR="00571230" w:rsidRPr="007403CD">
        <w:rPr>
          <w:rFonts w:ascii="Tahoma" w:hAnsi="Tahoma" w:cs="Tahoma"/>
          <w:sz w:val="24"/>
          <w:szCs w:val="24"/>
        </w:rPr>
        <w:t>0,45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Autostrada Sibiu – Pitești – </w:t>
      </w:r>
      <w:r w:rsidR="00571230" w:rsidRPr="007403CD">
        <w:rPr>
          <w:rFonts w:ascii="Tahoma" w:hAnsi="Tahoma" w:cs="Tahoma"/>
          <w:sz w:val="24"/>
          <w:szCs w:val="24"/>
        </w:rPr>
        <w:t>0,28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Pod suspendat peste Dunăre în zona Brăila – </w:t>
      </w:r>
      <w:r w:rsidR="00571230" w:rsidRPr="007403CD">
        <w:rPr>
          <w:rFonts w:ascii="Tahoma" w:hAnsi="Tahoma" w:cs="Tahoma"/>
          <w:sz w:val="24"/>
          <w:szCs w:val="24"/>
        </w:rPr>
        <w:t>0,25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Autostrada  de Centură București  - Sector Centură Sud km.52+700 - km 100+900 – </w:t>
      </w:r>
      <w:r w:rsidR="00571230" w:rsidRPr="007403CD">
        <w:rPr>
          <w:rFonts w:ascii="Tahoma" w:hAnsi="Tahoma" w:cs="Tahoma"/>
          <w:sz w:val="24"/>
          <w:szCs w:val="24"/>
        </w:rPr>
        <w:t xml:space="preserve">0,23 miliarde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Autostrada Orăștie-Sibiu, kilometrul 0 + 000 - 82 + 200 – </w:t>
      </w:r>
      <w:r w:rsidR="00571230" w:rsidRPr="007403CD">
        <w:rPr>
          <w:rFonts w:ascii="Tahoma" w:hAnsi="Tahoma" w:cs="Tahoma"/>
          <w:sz w:val="24"/>
          <w:szCs w:val="24"/>
        </w:rPr>
        <w:t>0,15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Autostrada Sebeș - Turda – </w:t>
      </w:r>
      <w:r w:rsidR="00571230" w:rsidRPr="007403CD">
        <w:rPr>
          <w:rFonts w:ascii="Tahoma" w:hAnsi="Tahoma" w:cs="Tahoma"/>
          <w:sz w:val="24"/>
          <w:szCs w:val="24"/>
        </w:rPr>
        <w:t>0,</w:t>
      </w:r>
      <w:r w:rsidRPr="007403CD">
        <w:rPr>
          <w:rFonts w:ascii="Tahoma" w:hAnsi="Tahoma" w:cs="Tahoma"/>
          <w:sz w:val="24"/>
          <w:szCs w:val="24"/>
        </w:rPr>
        <w:t>10</w:t>
      </w:r>
      <w:r w:rsidR="00571230" w:rsidRPr="007403CD">
        <w:rPr>
          <w:rFonts w:ascii="Tahoma" w:hAnsi="Tahoma" w:cs="Tahoma"/>
          <w:sz w:val="24"/>
          <w:szCs w:val="24"/>
        </w:rPr>
        <w:t xml:space="preserve">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Lărgire la 4 benzi Centura București Sud între A2 km 23+600 și A1 km 55+520 – </w:t>
      </w:r>
      <w:r w:rsidR="00571230" w:rsidRPr="007403CD">
        <w:rPr>
          <w:rFonts w:ascii="Tahoma" w:hAnsi="Tahoma" w:cs="Tahoma"/>
          <w:sz w:val="24"/>
          <w:szCs w:val="24"/>
        </w:rPr>
        <w:t>0,99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Varianta de ocolire Târgu Jiu – </w:t>
      </w:r>
      <w:r w:rsidR="00571230" w:rsidRPr="007403CD">
        <w:rPr>
          <w:rFonts w:ascii="Tahoma" w:hAnsi="Tahoma" w:cs="Tahoma"/>
          <w:sz w:val="24"/>
          <w:szCs w:val="24"/>
        </w:rPr>
        <w:t xml:space="preserve">0,06 miliarde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Modernizarea liniei C.F. </w:t>
      </w:r>
      <w:r w:rsidR="003D5C26" w:rsidRPr="007403CD">
        <w:rPr>
          <w:rFonts w:ascii="Tahoma" w:hAnsi="Tahoma" w:cs="Tahoma"/>
          <w:sz w:val="24"/>
          <w:szCs w:val="24"/>
        </w:rPr>
        <w:t>București</w:t>
      </w:r>
      <w:r w:rsidRPr="007403CD">
        <w:rPr>
          <w:rFonts w:ascii="Tahoma" w:hAnsi="Tahoma" w:cs="Tahoma"/>
          <w:sz w:val="24"/>
          <w:szCs w:val="24"/>
        </w:rPr>
        <w:t xml:space="preserve"> Nord - Jilava - Giurgiu Nord - Giurgiu Nord F</w:t>
      </w:r>
      <w:r w:rsidR="003A634F">
        <w:rPr>
          <w:rFonts w:ascii="Tahoma" w:hAnsi="Tahoma" w:cs="Tahoma"/>
          <w:sz w:val="24"/>
          <w:szCs w:val="24"/>
        </w:rPr>
        <w:t>lei</w:t>
      </w:r>
      <w:r w:rsidRPr="007403CD">
        <w:rPr>
          <w:rFonts w:ascii="Tahoma" w:hAnsi="Tahoma" w:cs="Tahoma"/>
          <w:sz w:val="24"/>
          <w:szCs w:val="24"/>
        </w:rPr>
        <w:t xml:space="preserve">tiera. Lotul 1 : Redeschiderea </w:t>
      </w:r>
      <w:r w:rsidR="003D5C26" w:rsidRPr="007403CD">
        <w:rPr>
          <w:rFonts w:ascii="Tahoma" w:hAnsi="Tahoma" w:cs="Tahoma"/>
          <w:sz w:val="24"/>
          <w:szCs w:val="24"/>
        </w:rPr>
        <w:t>circulației</w:t>
      </w:r>
      <w:r w:rsidRPr="007403CD">
        <w:rPr>
          <w:rFonts w:ascii="Tahoma" w:hAnsi="Tahoma" w:cs="Tahoma"/>
          <w:sz w:val="24"/>
          <w:szCs w:val="24"/>
        </w:rPr>
        <w:t xml:space="preserve"> feroviare pe pod, peste </w:t>
      </w:r>
      <w:r w:rsidR="003D5C26" w:rsidRPr="007403CD">
        <w:rPr>
          <w:rFonts w:ascii="Tahoma" w:hAnsi="Tahoma" w:cs="Tahoma"/>
          <w:sz w:val="24"/>
          <w:szCs w:val="24"/>
        </w:rPr>
        <w:t>râul</w:t>
      </w:r>
      <w:r w:rsidRPr="007403CD">
        <w:rPr>
          <w:rFonts w:ascii="Tahoma" w:hAnsi="Tahoma" w:cs="Tahoma"/>
          <w:sz w:val="24"/>
          <w:szCs w:val="24"/>
        </w:rPr>
        <w:t xml:space="preserve"> </w:t>
      </w:r>
      <w:r w:rsidR="003D5C26" w:rsidRPr="007403CD">
        <w:rPr>
          <w:rFonts w:ascii="Tahoma" w:hAnsi="Tahoma" w:cs="Tahoma"/>
          <w:sz w:val="24"/>
          <w:szCs w:val="24"/>
        </w:rPr>
        <w:t>Argeș</w:t>
      </w:r>
      <w:r w:rsidRPr="007403CD">
        <w:rPr>
          <w:rFonts w:ascii="Tahoma" w:hAnsi="Tahoma" w:cs="Tahoma"/>
          <w:sz w:val="24"/>
          <w:szCs w:val="24"/>
        </w:rPr>
        <w:t xml:space="preserve"> intre Vidra si Comana – </w:t>
      </w:r>
      <w:r w:rsidR="00571230" w:rsidRPr="007403CD">
        <w:rPr>
          <w:rFonts w:ascii="Tahoma" w:hAnsi="Tahoma" w:cs="Tahoma"/>
          <w:sz w:val="24"/>
          <w:szCs w:val="24"/>
        </w:rPr>
        <w:t>0,06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Modernizare DN 29D </w:t>
      </w:r>
      <w:r w:rsidR="003D5C26" w:rsidRPr="007403CD">
        <w:rPr>
          <w:rFonts w:ascii="Tahoma" w:hAnsi="Tahoma" w:cs="Tahoma"/>
          <w:sz w:val="24"/>
          <w:szCs w:val="24"/>
        </w:rPr>
        <w:t>Botoșani</w:t>
      </w:r>
      <w:r w:rsidRPr="007403CD">
        <w:rPr>
          <w:rFonts w:ascii="Tahoma" w:hAnsi="Tahoma" w:cs="Tahoma"/>
          <w:sz w:val="24"/>
          <w:szCs w:val="24"/>
        </w:rPr>
        <w:t xml:space="preserve"> - </w:t>
      </w:r>
      <w:r w:rsidR="003D5C26" w:rsidRPr="007403CD">
        <w:rPr>
          <w:rFonts w:ascii="Tahoma" w:hAnsi="Tahoma" w:cs="Tahoma"/>
          <w:sz w:val="24"/>
          <w:szCs w:val="24"/>
        </w:rPr>
        <w:t>Ștefănești</w:t>
      </w:r>
      <w:r w:rsidRPr="007403CD">
        <w:rPr>
          <w:rFonts w:ascii="Tahoma" w:hAnsi="Tahoma" w:cs="Tahoma"/>
          <w:sz w:val="24"/>
          <w:szCs w:val="24"/>
        </w:rPr>
        <w:t xml:space="preserve">, km 2+800 - km 18+500 si km 21+800 - km 48+146 – </w:t>
      </w:r>
      <w:r w:rsidR="00571230" w:rsidRPr="007403CD">
        <w:rPr>
          <w:rFonts w:ascii="Tahoma" w:hAnsi="Tahoma" w:cs="Tahoma"/>
          <w:sz w:val="24"/>
          <w:szCs w:val="24"/>
        </w:rPr>
        <w:t>0,0</w:t>
      </w:r>
      <w:r w:rsidRPr="007403CD">
        <w:rPr>
          <w:rFonts w:ascii="Tahoma" w:hAnsi="Tahoma" w:cs="Tahoma"/>
          <w:sz w:val="24"/>
          <w:szCs w:val="24"/>
        </w:rPr>
        <w:t>5</w:t>
      </w:r>
      <w:r w:rsidR="00571230" w:rsidRPr="007403CD">
        <w:rPr>
          <w:rFonts w:ascii="Tahoma" w:hAnsi="Tahoma" w:cs="Tahoma"/>
          <w:sz w:val="24"/>
          <w:szCs w:val="24"/>
        </w:rPr>
        <w:t xml:space="preserve"> miliarde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Drum de legătură DN 5 - Șoseaua de centură - Pod Prieteniei km 61+400 – </w:t>
      </w:r>
      <w:r w:rsidR="00571230" w:rsidRPr="007403CD">
        <w:rPr>
          <w:rFonts w:ascii="Tahoma" w:hAnsi="Tahoma" w:cs="Tahoma"/>
          <w:sz w:val="24"/>
          <w:szCs w:val="24"/>
        </w:rPr>
        <w:t xml:space="preserve">0,04 miliarde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Reabilitare DN 76 (E79) Deva Oradea km 0+000 - km 184+390 – </w:t>
      </w:r>
      <w:r w:rsidR="00571230" w:rsidRPr="007403CD">
        <w:rPr>
          <w:rFonts w:ascii="Tahoma" w:hAnsi="Tahoma" w:cs="Tahoma"/>
          <w:sz w:val="24"/>
          <w:szCs w:val="24"/>
        </w:rPr>
        <w:t>0,04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Varianta de ocolire a municipiului Satu Mare – </w:t>
      </w:r>
      <w:r w:rsidR="00571230" w:rsidRPr="007403CD">
        <w:rPr>
          <w:rFonts w:ascii="Tahoma" w:hAnsi="Tahoma" w:cs="Tahoma"/>
          <w:sz w:val="24"/>
          <w:szCs w:val="24"/>
        </w:rPr>
        <w:t xml:space="preserve">0,03 </w:t>
      </w:r>
      <w:r w:rsidRPr="007403CD">
        <w:rPr>
          <w:rFonts w:ascii="Tahoma" w:hAnsi="Tahoma" w:cs="Tahoma"/>
          <w:sz w:val="24"/>
          <w:szCs w:val="24"/>
        </w:rPr>
        <w:t>mi</w:t>
      </w:r>
      <w:r w:rsidR="00571230" w:rsidRPr="007403CD">
        <w:rPr>
          <w:rFonts w:ascii="Tahoma" w:hAnsi="Tahoma" w:cs="Tahoma"/>
          <w:sz w:val="24"/>
          <w:szCs w:val="24"/>
        </w:rPr>
        <w:t>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2355F0" w:rsidRPr="007403CD" w:rsidRDefault="002355F0" w:rsidP="00B10B85">
      <w:pPr>
        <w:spacing w:after="120" w:line="276" w:lineRule="auto"/>
        <w:ind w:left="992" w:hanging="312"/>
        <w:rPr>
          <w:rFonts w:ascii="Tahoma" w:hAnsi="Tahoma" w:cs="Tahoma"/>
          <w:sz w:val="24"/>
          <w:szCs w:val="24"/>
        </w:rPr>
      </w:pPr>
      <w:r w:rsidRPr="007403CD">
        <w:rPr>
          <w:rFonts w:ascii="Tahoma" w:hAnsi="Tahoma" w:cs="Tahoma"/>
          <w:sz w:val="24"/>
          <w:szCs w:val="24"/>
        </w:rPr>
        <w:t xml:space="preserve">● Drum de </w:t>
      </w:r>
      <w:r w:rsidR="003D5C26" w:rsidRPr="007403CD">
        <w:rPr>
          <w:rFonts w:ascii="Tahoma" w:hAnsi="Tahoma" w:cs="Tahoma"/>
          <w:sz w:val="24"/>
          <w:szCs w:val="24"/>
        </w:rPr>
        <w:t>legătură</w:t>
      </w:r>
      <w:r w:rsidRPr="007403CD">
        <w:rPr>
          <w:rFonts w:ascii="Tahoma" w:hAnsi="Tahoma" w:cs="Tahoma"/>
          <w:sz w:val="24"/>
          <w:szCs w:val="24"/>
        </w:rPr>
        <w:t xml:space="preserve"> autostrada A1 Arad - Timișoara - DN69, </w:t>
      </w:r>
      <w:r w:rsidR="003D5C26" w:rsidRPr="007403CD">
        <w:rPr>
          <w:rFonts w:ascii="Tahoma" w:hAnsi="Tahoma" w:cs="Tahoma"/>
          <w:sz w:val="24"/>
          <w:szCs w:val="24"/>
        </w:rPr>
        <w:t>județul</w:t>
      </w:r>
      <w:r w:rsidRPr="007403CD">
        <w:rPr>
          <w:rFonts w:ascii="Tahoma" w:hAnsi="Tahoma" w:cs="Tahoma"/>
          <w:sz w:val="24"/>
          <w:szCs w:val="24"/>
        </w:rPr>
        <w:t xml:space="preserve"> Timiș – </w:t>
      </w:r>
      <w:r w:rsidR="00571230" w:rsidRPr="007403CD">
        <w:rPr>
          <w:rFonts w:ascii="Tahoma" w:hAnsi="Tahoma" w:cs="Tahoma"/>
          <w:sz w:val="24"/>
          <w:szCs w:val="24"/>
        </w:rPr>
        <w:t>0,0</w:t>
      </w:r>
      <w:r w:rsidRPr="007403CD">
        <w:rPr>
          <w:rFonts w:ascii="Tahoma" w:hAnsi="Tahoma" w:cs="Tahoma"/>
          <w:sz w:val="24"/>
          <w:szCs w:val="24"/>
        </w:rPr>
        <w:t>3</w:t>
      </w:r>
      <w:r w:rsidR="00571230" w:rsidRPr="007403CD">
        <w:rPr>
          <w:rFonts w:ascii="Tahoma" w:hAnsi="Tahoma" w:cs="Tahoma"/>
          <w:sz w:val="24"/>
          <w:szCs w:val="24"/>
        </w:rPr>
        <w:t xml:space="preserve"> miliarde</w:t>
      </w:r>
      <w:r w:rsidRPr="007403CD">
        <w:rPr>
          <w:rFonts w:ascii="Tahoma" w:hAnsi="Tahoma" w:cs="Tahoma"/>
          <w:sz w:val="24"/>
          <w:szCs w:val="24"/>
        </w:rPr>
        <w:t xml:space="preserve"> </w:t>
      </w:r>
      <w:r w:rsidR="003A634F">
        <w:rPr>
          <w:rFonts w:ascii="Tahoma" w:hAnsi="Tahoma" w:cs="Tahoma"/>
          <w:sz w:val="24"/>
          <w:szCs w:val="24"/>
        </w:rPr>
        <w:t>lei</w:t>
      </w:r>
      <w:r w:rsidR="00571230" w:rsidRPr="007403CD">
        <w:rPr>
          <w:rFonts w:ascii="Tahoma" w:hAnsi="Tahoma" w:cs="Tahoma"/>
          <w:sz w:val="24"/>
          <w:szCs w:val="24"/>
        </w:rPr>
        <w:t>.</w:t>
      </w:r>
    </w:p>
    <w:p w:rsidR="009A25E5" w:rsidRPr="007403CD" w:rsidRDefault="00F86B91" w:rsidP="00B10B85">
      <w:pPr>
        <w:spacing w:after="120" w:line="276" w:lineRule="auto"/>
        <w:ind w:firstLine="0"/>
        <w:rPr>
          <w:rFonts w:ascii="Trebuchet MS" w:hAnsi="Trebuchet MS" w:cs="Tahoma"/>
          <w:sz w:val="24"/>
          <w:szCs w:val="24"/>
        </w:rPr>
      </w:pPr>
      <w:r w:rsidRPr="00F86B91">
        <w:rPr>
          <w:noProof/>
          <w:lang w:val="en-US"/>
        </w:rPr>
        <w:lastRenderedPageBreak/>
        <w:drawing>
          <wp:inline distT="0" distB="0" distL="0" distR="0">
            <wp:extent cx="5693410" cy="48279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3410" cy="4827905"/>
                    </a:xfrm>
                    <a:prstGeom prst="rect">
                      <a:avLst/>
                    </a:prstGeom>
                    <a:noFill/>
                    <a:ln>
                      <a:noFill/>
                    </a:ln>
                  </pic:spPr>
                </pic:pic>
              </a:graphicData>
            </a:graphic>
          </wp:inline>
        </w:drawing>
      </w:r>
    </w:p>
    <w:p w:rsidR="00B07E4B" w:rsidRPr="007403CD" w:rsidRDefault="004D6D76" w:rsidP="00EF0091">
      <w:pPr>
        <w:keepNext/>
        <w:keepLines/>
        <w:spacing w:after="240" w:line="276" w:lineRule="auto"/>
        <w:ind w:firstLine="0"/>
        <w:rPr>
          <w:rFonts w:ascii="Tahoma" w:hAnsi="Tahoma" w:cs="Tahoma"/>
          <w:sz w:val="24"/>
          <w:szCs w:val="24"/>
        </w:rPr>
      </w:pPr>
      <w:r w:rsidRPr="007403CD">
        <w:rPr>
          <w:rFonts w:ascii="Tahoma" w:hAnsi="Tahoma" w:cs="Tahoma"/>
          <w:b/>
          <w:sz w:val="24"/>
          <w:szCs w:val="24"/>
        </w:rPr>
        <w:lastRenderedPageBreak/>
        <w:t>Stocul plăților restante</w:t>
      </w:r>
      <w:r w:rsidRPr="007403CD">
        <w:rPr>
          <w:rFonts w:ascii="Tahoma" w:hAnsi="Tahoma" w:cs="Tahoma"/>
          <w:sz w:val="24"/>
          <w:szCs w:val="24"/>
        </w:rPr>
        <w:t xml:space="preserve"> raportate la data de 30 iunie 20</w:t>
      </w:r>
      <w:r w:rsidR="00F326AB" w:rsidRPr="007403CD">
        <w:rPr>
          <w:rFonts w:ascii="Tahoma" w:hAnsi="Tahoma" w:cs="Tahoma"/>
          <w:sz w:val="24"/>
          <w:szCs w:val="24"/>
        </w:rPr>
        <w:t>2</w:t>
      </w:r>
      <w:r w:rsidR="003F3604" w:rsidRPr="007403CD">
        <w:rPr>
          <w:rFonts w:ascii="Tahoma" w:hAnsi="Tahoma" w:cs="Tahoma"/>
          <w:sz w:val="24"/>
          <w:szCs w:val="24"/>
        </w:rPr>
        <w:t>2</w:t>
      </w:r>
      <w:r w:rsidRPr="007403CD">
        <w:rPr>
          <w:rFonts w:ascii="Tahoma" w:hAnsi="Tahoma" w:cs="Tahoma"/>
          <w:sz w:val="24"/>
          <w:szCs w:val="24"/>
        </w:rPr>
        <w:t xml:space="preserve"> a fost în sumă totală de </w:t>
      </w:r>
      <w:r w:rsidR="003F3604" w:rsidRPr="007403CD">
        <w:rPr>
          <w:rFonts w:ascii="Tahoma" w:hAnsi="Tahoma" w:cs="Tahoma"/>
          <w:sz w:val="24"/>
          <w:szCs w:val="24"/>
        </w:rPr>
        <w:t>1.199,6</w:t>
      </w:r>
      <w:r w:rsidRPr="007403CD">
        <w:rPr>
          <w:rFonts w:ascii="Tahoma" w:hAnsi="Tahoma" w:cs="Tahoma"/>
          <w:sz w:val="24"/>
          <w:szCs w:val="24"/>
        </w:rPr>
        <w:t xml:space="preserve"> milioane </w:t>
      </w:r>
      <w:r w:rsidR="003A634F">
        <w:rPr>
          <w:rFonts w:ascii="Tahoma" w:hAnsi="Tahoma" w:cs="Tahoma"/>
          <w:sz w:val="24"/>
          <w:szCs w:val="24"/>
        </w:rPr>
        <w:t>lei</w:t>
      </w:r>
      <w:r w:rsidRPr="007403CD">
        <w:rPr>
          <w:rFonts w:ascii="Tahoma" w:hAnsi="Tahoma" w:cs="Tahoma"/>
          <w:sz w:val="24"/>
          <w:szCs w:val="24"/>
        </w:rPr>
        <w:t xml:space="preserve">, cu </w:t>
      </w:r>
      <w:r w:rsidR="003F3604" w:rsidRPr="007403CD">
        <w:rPr>
          <w:rFonts w:ascii="Tahoma" w:hAnsi="Tahoma" w:cs="Tahoma"/>
          <w:sz w:val="24"/>
          <w:szCs w:val="24"/>
        </w:rPr>
        <w:t>4,1</w:t>
      </w:r>
      <w:r w:rsidRPr="007403CD">
        <w:rPr>
          <w:rFonts w:ascii="Tahoma" w:hAnsi="Tahoma" w:cs="Tahoma"/>
          <w:sz w:val="24"/>
          <w:szCs w:val="24"/>
        </w:rPr>
        <w:t xml:space="preserve">% </w:t>
      </w:r>
      <w:r w:rsidR="007414A5" w:rsidRPr="007403CD">
        <w:rPr>
          <w:rFonts w:ascii="Tahoma" w:hAnsi="Tahoma" w:cs="Tahoma"/>
          <w:sz w:val="24"/>
          <w:szCs w:val="24"/>
        </w:rPr>
        <w:t>sub</w:t>
      </w:r>
      <w:r w:rsidRPr="007403CD">
        <w:rPr>
          <w:rFonts w:ascii="Tahoma" w:hAnsi="Tahoma" w:cs="Tahoma"/>
          <w:sz w:val="24"/>
          <w:szCs w:val="24"/>
        </w:rPr>
        <w:t xml:space="preserve"> nivelul înregistrat la data de 30 iunie 20</w:t>
      </w:r>
      <w:r w:rsidR="007414A5" w:rsidRPr="007403CD">
        <w:rPr>
          <w:rFonts w:ascii="Tahoma" w:hAnsi="Tahoma" w:cs="Tahoma"/>
          <w:sz w:val="24"/>
          <w:szCs w:val="24"/>
        </w:rPr>
        <w:t>2</w:t>
      </w:r>
      <w:r w:rsidR="003F3604" w:rsidRPr="007403CD">
        <w:rPr>
          <w:rFonts w:ascii="Tahoma" w:hAnsi="Tahoma" w:cs="Tahoma"/>
          <w:sz w:val="24"/>
          <w:szCs w:val="24"/>
        </w:rPr>
        <w:t>1</w:t>
      </w:r>
      <w:r w:rsidRPr="007403CD">
        <w:rPr>
          <w:rFonts w:ascii="Tahoma" w:hAnsi="Tahoma" w:cs="Tahoma"/>
          <w:sz w:val="24"/>
          <w:szCs w:val="24"/>
        </w:rPr>
        <w:t xml:space="preserve">, pe fondul </w:t>
      </w:r>
      <w:r w:rsidR="007414A5" w:rsidRPr="007403CD">
        <w:rPr>
          <w:rFonts w:ascii="Tahoma" w:hAnsi="Tahoma" w:cs="Tahoma"/>
          <w:sz w:val="24"/>
          <w:szCs w:val="24"/>
        </w:rPr>
        <w:t>diminuării</w:t>
      </w:r>
      <w:r w:rsidRPr="007403CD">
        <w:rPr>
          <w:rFonts w:ascii="Tahoma" w:hAnsi="Tahoma" w:cs="Tahoma"/>
          <w:sz w:val="24"/>
          <w:szCs w:val="24"/>
        </w:rPr>
        <w:t xml:space="preserve"> plăților restante în administrația locală cu </w:t>
      </w:r>
      <w:r w:rsidR="003F3604" w:rsidRPr="007403CD">
        <w:rPr>
          <w:rFonts w:ascii="Tahoma" w:hAnsi="Tahoma" w:cs="Tahoma"/>
          <w:sz w:val="24"/>
          <w:szCs w:val="24"/>
        </w:rPr>
        <w:t>6,7</w:t>
      </w:r>
      <w:r w:rsidRPr="007403CD">
        <w:rPr>
          <w:rFonts w:ascii="Tahoma" w:hAnsi="Tahoma" w:cs="Tahoma"/>
          <w:sz w:val="24"/>
          <w:szCs w:val="24"/>
        </w:rPr>
        <w:t>%</w:t>
      </w:r>
      <w:r w:rsidR="003F3604" w:rsidRPr="007403CD">
        <w:rPr>
          <w:rFonts w:ascii="Tahoma" w:hAnsi="Tahoma" w:cs="Tahoma"/>
          <w:sz w:val="24"/>
          <w:szCs w:val="24"/>
        </w:rPr>
        <w:t xml:space="preserve"> și la nivelul bugetului asigurărilor sociale cu 15,5%. </w:t>
      </w:r>
      <w:r w:rsidRPr="007403CD">
        <w:rPr>
          <w:rFonts w:ascii="Tahoma" w:hAnsi="Tahoma" w:cs="Tahoma"/>
          <w:sz w:val="24"/>
          <w:szCs w:val="24"/>
        </w:rPr>
        <w:t>La nivelul administrație</w:t>
      </w:r>
      <w:r w:rsidR="00583D0F" w:rsidRPr="007403CD">
        <w:rPr>
          <w:rFonts w:ascii="Tahoma" w:hAnsi="Tahoma" w:cs="Tahoma"/>
          <w:sz w:val="24"/>
          <w:szCs w:val="24"/>
        </w:rPr>
        <w:t>i</w:t>
      </w:r>
      <w:r w:rsidRPr="007403CD">
        <w:rPr>
          <w:rFonts w:ascii="Tahoma" w:hAnsi="Tahoma" w:cs="Tahoma"/>
          <w:sz w:val="24"/>
          <w:szCs w:val="24"/>
        </w:rPr>
        <w:t xml:space="preserve"> centrale s-a înregistrat o </w:t>
      </w:r>
      <w:r w:rsidR="00F6547E" w:rsidRPr="007403CD">
        <w:rPr>
          <w:rFonts w:ascii="Tahoma" w:hAnsi="Tahoma" w:cs="Tahoma"/>
          <w:sz w:val="24"/>
          <w:szCs w:val="24"/>
        </w:rPr>
        <w:t xml:space="preserve">creștere a plăților restante cu </w:t>
      </w:r>
      <w:r w:rsidR="003F3604" w:rsidRPr="007403CD">
        <w:rPr>
          <w:rFonts w:ascii="Tahoma" w:hAnsi="Tahoma" w:cs="Tahoma"/>
          <w:sz w:val="24"/>
          <w:szCs w:val="24"/>
        </w:rPr>
        <w:t>14,7</w:t>
      </w:r>
      <w:r w:rsidRPr="007403CD">
        <w:rPr>
          <w:rFonts w:ascii="Tahoma" w:hAnsi="Tahoma" w:cs="Tahoma"/>
          <w:sz w:val="24"/>
          <w:szCs w:val="24"/>
        </w:rPr>
        <w:t>% comparativ cu semestrul I 20</w:t>
      </w:r>
      <w:r w:rsidR="007414A5" w:rsidRPr="007403CD">
        <w:rPr>
          <w:rFonts w:ascii="Tahoma" w:hAnsi="Tahoma" w:cs="Tahoma"/>
          <w:sz w:val="24"/>
          <w:szCs w:val="24"/>
        </w:rPr>
        <w:t>2</w:t>
      </w:r>
      <w:r w:rsidR="003F3604" w:rsidRPr="007403CD">
        <w:rPr>
          <w:rFonts w:ascii="Tahoma" w:hAnsi="Tahoma" w:cs="Tahoma"/>
          <w:sz w:val="24"/>
          <w:szCs w:val="24"/>
        </w:rPr>
        <w:t>1.</w:t>
      </w:r>
    </w:p>
    <w:p w:rsidR="003F3604" w:rsidRPr="007403CD" w:rsidRDefault="002C5847" w:rsidP="00EF0091">
      <w:pPr>
        <w:keepNext/>
        <w:keepLines/>
        <w:spacing w:after="240" w:line="276" w:lineRule="auto"/>
        <w:ind w:firstLine="0"/>
        <w:rPr>
          <w:rFonts w:ascii="Tahoma" w:hAnsi="Tahoma" w:cs="Tahoma"/>
          <w:sz w:val="24"/>
          <w:szCs w:val="24"/>
        </w:rPr>
      </w:pPr>
      <w:r w:rsidRPr="007403CD">
        <w:rPr>
          <w:noProof/>
          <w:lang w:val="en-US"/>
        </w:rPr>
        <w:drawing>
          <wp:inline distT="0" distB="0" distL="0" distR="0">
            <wp:extent cx="5759450" cy="217045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170455"/>
                    </a:xfrm>
                    <a:prstGeom prst="rect">
                      <a:avLst/>
                    </a:prstGeom>
                    <a:noFill/>
                    <a:ln>
                      <a:noFill/>
                    </a:ln>
                  </pic:spPr>
                </pic:pic>
              </a:graphicData>
            </a:graphic>
          </wp:inline>
        </w:drawing>
      </w:r>
    </w:p>
    <w:p w:rsidR="00BF6828" w:rsidRPr="007403CD" w:rsidRDefault="004D6D76" w:rsidP="00AF7FD0">
      <w:pPr>
        <w:keepNext/>
        <w:keepLines/>
        <w:spacing w:before="120" w:line="276" w:lineRule="auto"/>
        <w:ind w:firstLine="0"/>
        <w:rPr>
          <w:rFonts w:ascii="Tahoma" w:hAnsi="Tahoma" w:cs="Tahoma"/>
          <w:sz w:val="24"/>
          <w:szCs w:val="24"/>
        </w:rPr>
      </w:pPr>
      <w:r w:rsidRPr="007403CD">
        <w:rPr>
          <w:rFonts w:ascii="Tahoma" w:hAnsi="Tahoma" w:cs="Tahoma"/>
          <w:b/>
          <w:sz w:val="24"/>
          <w:szCs w:val="24"/>
        </w:rPr>
        <w:t>Arieratele</w:t>
      </w:r>
      <w:r w:rsidRPr="007403CD">
        <w:rPr>
          <w:rFonts w:ascii="Tahoma" w:hAnsi="Tahoma" w:cs="Tahoma"/>
          <w:sz w:val="24"/>
          <w:szCs w:val="24"/>
        </w:rPr>
        <w:t xml:space="preserve"> (plățile restante peste 90 de zile) înregistrate la data de 30 iunie 20</w:t>
      </w:r>
      <w:r w:rsidR="005F757C" w:rsidRPr="007403CD">
        <w:rPr>
          <w:rFonts w:ascii="Tahoma" w:hAnsi="Tahoma" w:cs="Tahoma"/>
          <w:sz w:val="24"/>
          <w:szCs w:val="24"/>
        </w:rPr>
        <w:t>2</w:t>
      </w:r>
      <w:r w:rsidR="003F3604" w:rsidRPr="007403CD">
        <w:rPr>
          <w:rFonts w:ascii="Tahoma" w:hAnsi="Tahoma" w:cs="Tahoma"/>
          <w:sz w:val="24"/>
          <w:szCs w:val="24"/>
        </w:rPr>
        <w:t>2</w:t>
      </w:r>
      <w:r w:rsidRPr="007403CD">
        <w:rPr>
          <w:rFonts w:ascii="Tahoma" w:hAnsi="Tahoma" w:cs="Tahoma"/>
          <w:sz w:val="24"/>
          <w:szCs w:val="24"/>
        </w:rPr>
        <w:t xml:space="preserve"> au fost în sumă de </w:t>
      </w:r>
      <w:r w:rsidR="003F3604" w:rsidRPr="007403CD">
        <w:rPr>
          <w:rFonts w:ascii="Tahoma" w:hAnsi="Tahoma" w:cs="Tahoma"/>
          <w:sz w:val="24"/>
          <w:szCs w:val="24"/>
        </w:rPr>
        <w:t>202,8</w:t>
      </w:r>
      <w:r w:rsidRPr="007403CD">
        <w:rPr>
          <w:rFonts w:ascii="Tahoma" w:hAnsi="Tahoma" w:cs="Tahoma"/>
          <w:sz w:val="24"/>
          <w:szCs w:val="24"/>
        </w:rPr>
        <w:t xml:space="preserve"> milioane </w:t>
      </w:r>
      <w:r w:rsidR="003A634F">
        <w:rPr>
          <w:rFonts w:ascii="Tahoma" w:hAnsi="Tahoma" w:cs="Tahoma"/>
          <w:sz w:val="24"/>
          <w:szCs w:val="24"/>
        </w:rPr>
        <w:t>lei</w:t>
      </w:r>
      <w:r w:rsidRPr="007403CD">
        <w:rPr>
          <w:rFonts w:ascii="Tahoma" w:hAnsi="Tahoma" w:cs="Tahoma"/>
          <w:sz w:val="24"/>
          <w:szCs w:val="24"/>
        </w:rPr>
        <w:t xml:space="preserve">, </w:t>
      </w:r>
      <w:r w:rsidR="003F3604" w:rsidRPr="007403CD">
        <w:rPr>
          <w:rFonts w:ascii="Tahoma" w:hAnsi="Tahoma" w:cs="Tahoma"/>
          <w:sz w:val="24"/>
          <w:szCs w:val="24"/>
        </w:rPr>
        <w:t xml:space="preserve">ceea ce reprezintă o reducere </w:t>
      </w:r>
      <w:r w:rsidRPr="007403CD">
        <w:rPr>
          <w:rFonts w:ascii="Tahoma" w:hAnsi="Tahoma" w:cs="Tahoma"/>
          <w:sz w:val="24"/>
          <w:szCs w:val="24"/>
        </w:rPr>
        <w:t xml:space="preserve">cu </w:t>
      </w:r>
      <w:r w:rsidR="003F3604" w:rsidRPr="007403CD">
        <w:rPr>
          <w:rFonts w:ascii="Tahoma" w:hAnsi="Tahoma" w:cs="Tahoma"/>
          <w:sz w:val="24"/>
          <w:szCs w:val="24"/>
        </w:rPr>
        <w:t>21,3%</w:t>
      </w:r>
      <w:r w:rsidRPr="007403CD">
        <w:rPr>
          <w:rFonts w:ascii="Tahoma" w:hAnsi="Tahoma" w:cs="Tahoma"/>
          <w:sz w:val="24"/>
          <w:szCs w:val="24"/>
        </w:rPr>
        <w:t xml:space="preserve"> comparativ cu cele înregistrate la data de 30 iunie 20</w:t>
      </w:r>
      <w:r w:rsidR="00FE2F7D" w:rsidRPr="007403CD">
        <w:rPr>
          <w:rFonts w:ascii="Tahoma" w:hAnsi="Tahoma" w:cs="Tahoma"/>
          <w:sz w:val="24"/>
          <w:szCs w:val="24"/>
        </w:rPr>
        <w:t>2</w:t>
      </w:r>
      <w:r w:rsidR="003F3604" w:rsidRPr="007403CD">
        <w:rPr>
          <w:rFonts w:ascii="Tahoma" w:hAnsi="Tahoma" w:cs="Tahoma"/>
          <w:sz w:val="24"/>
          <w:szCs w:val="24"/>
        </w:rPr>
        <w:t>1</w:t>
      </w:r>
      <w:r w:rsidRPr="007403CD">
        <w:rPr>
          <w:rFonts w:ascii="Tahoma" w:hAnsi="Tahoma" w:cs="Tahoma"/>
          <w:sz w:val="24"/>
          <w:szCs w:val="24"/>
        </w:rPr>
        <w:t xml:space="preserve"> pe fondul </w:t>
      </w:r>
      <w:r w:rsidR="003F3604" w:rsidRPr="007403CD">
        <w:rPr>
          <w:rFonts w:ascii="Tahoma" w:hAnsi="Tahoma" w:cs="Tahoma"/>
          <w:sz w:val="24"/>
          <w:szCs w:val="24"/>
        </w:rPr>
        <w:t>diminuării</w:t>
      </w:r>
      <w:r w:rsidRPr="007403CD">
        <w:rPr>
          <w:rFonts w:ascii="Tahoma" w:hAnsi="Tahoma" w:cs="Tahoma"/>
          <w:sz w:val="24"/>
          <w:szCs w:val="24"/>
        </w:rPr>
        <w:t xml:space="preserve"> arieratelor </w:t>
      </w:r>
      <w:r w:rsidR="00FE2F7D" w:rsidRPr="007403CD">
        <w:rPr>
          <w:rFonts w:ascii="Tahoma" w:hAnsi="Tahoma" w:cs="Tahoma"/>
          <w:sz w:val="24"/>
          <w:szCs w:val="24"/>
        </w:rPr>
        <w:t xml:space="preserve">în administrația locală cu </w:t>
      </w:r>
      <w:r w:rsidR="003F3604" w:rsidRPr="007403CD">
        <w:rPr>
          <w:rFonts w:ascii="Tahoma" w:hAnsi="Tahoma" w:cs="Tahoma"/>
          <w:sz w:val="24"/>
          <w:szCs w:val="24"/>
        </w:rPr>
        <w:t>23,2</w:t>
      </w:r>
      <w:r w:rsidR="00FE2F7D" w:rsidRPr="007403CD">
        <w:rPr>
          <w:rFonts w:ascii="Tahoma" w:hAnsi="Tahoma" w:cs="Tahoma"/>
          <w:sz w:val="24"/>
          <w:szCs w:val="24"/>
        </w:rPr>
        <w:t>%</w:t>
      </w:r>
      <w:r w:rsidR="003F3604" w:rsidRPr="007403CD">
        <w:rPr>
          <w:rFonts w:ascii="Tahoma" w:hAnsi="Tahoma" w:cs="Tahoma"/>
          <w:sz w:val="24"/>
          <w:szCs w:val="24"/>
        </w:rPr>
        <w:t xml:space="preserve"> </w:t>
      </w:r>
      <w:r w:rsidR="00FE2F7D" w:rsidRPr="007403CD">
        <w:rPr>
          <w:rFonts w:ascii="Tahoma" w:hAnsi="Tahoma" w:cs="Tahoma"/>
          <w:sz w:val="24"/>
          <w:szCs w:val="24"/>
        </w:rPr>
        <w:t xml:space="preserve">în timp ce </w:t>
      </w:r>
      <w:r w:rsidRPr="007403CD">
        <w:rPr>
          <w:rFonts w:ascii="Tahoma" w:hAnsi="Tahoma" w:cs="Tahoma"/>
          <w:sz w:val="24"/>
          <w:szCs w:val="24"/>
        </w:rPr>
        <w:t>la nivelul administrației centrale</w:t>
      </w:r>
      <w:r w:rsidR="00FE2F7D" w:rsidRPr="007403CD">
        <w:rPr>
          <w:rFonts w:ascii="Tahoma" w:hAnsi="Tahoma" w:cs="Tahoma"/>
          <w:sz w:val="24"/>
          <w:szCs w:val="24"/>
        </w:rPr>
        <w:t xml:space="preserve"> se constată o </w:t>
      </w:r>
      <w:r w:rsidR="003F3604" w:rsidRPr="007403CD">
        <w:rPr>
          <w:rFonts w:ascii="Tahoma" w:hAnsi="Tahoma" w:cs="Tahoma"/>
          <w:sz w:val="24"/>
          <w:szCs w:val="24"/>
        </w:rPr>
        <w:t>creștere</w:t>
      </w:r>
      <w:r w:rsidR="00FE2F7D" w:rsidRPr="007403CD">
        <w:rPr>
          <w:rFonts w:ascii="Tahoma" w:hAnsi="Tahoma" w:cs="Tahoma"/>
          <w:sz w:val="24"/>
          <w:szCs w:val="24"/>
        </w:rPr>
        <w:t xml:space="preserve"> cu </w:t>
      </w:r>
      <w:r w:rsidR="004357CE" w:rsidRPr="007403CD">
        <w:rPr>
          <w:rFonts w:ascii="Tahoma" w:hAnsi="Tahoma" w:cs="Tahoma"/>
          <w:sz w:val="24"/>
          <w:szCs w:val="24"/>
        </w:rPr>
        <w:t>5,3</w:t>
      </w:r>
      <w:r w:rsidR="00FE2F7D" w:rsidRPr="007403CD">
        <w:rPr>
          <w:rFonts w:ascii="Tahoma" w:hAnsi="Tahoma" w:cs="Tahoma"/>
          <w:sz w:val="24"/>
          <w:szCs w:val="24"/>
        </w:rPr>
        <w:t>%</w:t>
      </w:r>
      <w:r w:rsidRPr="007403CD">
        <w:rPr>
          <w:rFonts w:ascii="Tahoma" w:hAnsi="Tahoma" w:cs="Tahoma"/>
          <w:sz w:val="24"/>
          <w:szCs w:val="24"/>
        </w:rPr>
        <w:t xml:space="preserve">. Arieratele din administrația locală au reprezentat </w:t>
      </w:r>
      <w:r w:rsidR="004357CE" w:rsidRPr="007403CD">
        <w:rPr>
          <w:rFonts w:ascii="Tahoma" w:hAnsi="Tahoma" w:cs="Tahoma"/>
          <w:sz w:val="24"/>
          <w:szCs w:val="24"/>
        </w:rPr>
        <w:t>91,4</w:t>
      </w:r>
      <w:r w:rsidRPr="007403CD">
        <w:rPr>
          <w:rFonts w:ascii="Tahoma" w:hAnsi="Tahoma" w:cs="Tahoma"/>
          <w:sz w:val="24"/>
          <w:szCs w:val="24"/>
        </w:rPr>
        <w:t>% din totalul arieratelor înregistrate la 30 iunie 20</w:t>
      </w:r>
      <w:r w:rsidR="005F757C" w:rsidRPr="007403CD">
        <w:rPr>
          <w:rFonts w:ascii="Tahoma" w:hAnsi="Tahoma" w:cs="Tahoma"/>
          <w:sz w:val="24"/>
          <w:szCs w:val="24"/>
        </w:rPr>
        <w:t>2</w:t>
      </w:r>
      <w:r w:rsidR="004357CE" w:rsidRPr="007403CD">
        <w:rPr>
          <w:rFonts w:ascii="Tahoma" w:hAnsi="Tahoma" w:cs="Tahoma"/>
          <w:sz w:val="24"/>
          <w:szCs w:val="24"/>
        </w:rPr>
        <w:t>2</w:t>
      </w:r>
      <w:r w:rsidRPr="007403CD">
        <w:rPr>
          <w:rFonts w:ascii="Tahoma" w:hAnsi="Tahoma" w:cs="Tahoma"/>
          <w:sz w:val="24"/>
          <w:szCs w:val="24"/>
        </w:rPr>
        <w:t>.</w:t>
      </w:r>
    </w:p>
    <w:p w:rsidR="007C4F03" w:rsidRPr="007403CD" w:rsidRDefault="008A700D" w:rsidP="002A6579">
      <w:pPr>
        <w:keepNext/>
        <w:keepLines/>
        <w:spacing w:line="276" w:lineRule="auto"/>
        <w:ind w:firstLine="567"/>
        <w:rPr>
          <w:rFonts w:ascii="Tahoma" w:hAnsi="Tahoma" w:cs="Tahoma"/>
          <w:sz w:val="24"/>
          <w:szCs w:val="24"/>
        </w:rPr>
      </w:pPr>
      <w:r w:rsidRPr="007403CD">
        <w:rPr>
          <w:rFonts w:ascii="Tahoma" w:hAnsi="Tahoma" w:cs="Tahoma"/>
          <w:sz w:val="24"/>
          <w:szCs w:val="24"/>
        </w:rPr>
        <w:br w:type="page"/>
      </w:r>
    </w:p>
    <w:p w:rsidR="00155F43" w:rsidRPr="007403CD" w:rsidRDefault="00433503" w:rsidP="003C22B5">
      <w:pPr>
        <w:pStyle w:val="ListParagraph"/>
        <w:keepNext/>
        <w:keepLines/>
        <w:spacing w:after="240" w:line="276" w:lineRule="auto"/>
        <w:ind w:left="567"/>
        <w:contextualSpacing w:val="0"/>
        <w:outlineLvl w:val="0"/>
        <w:rPr>
          <w:rFonts w:ascii="Tahoma" w:hAnsi="Tahoma" w:cs="Tahoma"/>
          <w:b/>
          <w:sz w:val="24"/>
          <w:szCs w:val="24"/>
        </w:rPr>
      </w:pPr>
      <w:bookmarkStart w:id="23" w:name="_Toc109657575"/>
      <w:r w:rsidRPr="007403CD">
        <w:rPr>
          <w:rFonts w:ascii="Tahoma" w:hAnsi="Tahoma" w:cs="Tahoma"/>
          <w:b/>
          <w:sz w:val="24"/>
          <w:szCs w:val="24"/>
        </w:rPr>
        <w:lastRenderedPageBreak/>
        <w:t>IV</w:t>
      </w:r>
      <w:r w:rsidR="00C43AD2" w:rsidRPr="007403CD">
        <w:rPr>
          <w:rFonts w:ascii="Tahoma" w:hAnsi="Tahoma" w:cs="Tahoma"/>
          <w:b/>
          <w:sz w:val="24"/>
          <w:szCs w:val="24"/>
        </w:rPr>
        <w:t xml:space="preserve">. Finanțarea deficitului bugetar </w:t>
      </w:r>
      <w:r w:rsidR="00E771E4" w:rsidRPr="007403CD">
        <w:rPr>
          <w:rFonts w:ascii="Tahoma" w:hAnsi="Tahoma" w:cs="Tahoma"/>
          <w:b/>
          <w:sz w:val="24"/>
          <w:szCs w:val="24"/>
        </w:rPr>
        <w:t>și</w:t>
      </w:r>
      <w:r w:rsidR="00C43AD2" w:rsidRPr="007403CD">
        <w:rPr>
          <w:rFonts w:ascii="Tahoma" w:hAnsi="Tahoma" w:cs="Tahoma"/>
          <w:b/>
          <w:sz w:val="24"/>
          <w:szCs w:val="24"/>
        </w:rPr>
        <w:t xml:space="preserve"> datoria publică</w:t>
      </w:r>
      <w:bookmarkEnd w:id="23"/>
    </w:p>
    <w:p w:rsidR="00D31CEE" w:rsidRPr="007403CD" w:rsidRDefault="00433503" w:rsidP="002A6579">
      <w:pPr>
        <w:widowControl w:val="0"/>
        <w:spacing w:after="120" w:line="276" w:lineRule="auto"/>
        <w:ind w:left="720" w:hanging="720"/>
        <w:rPr>
          <w:rFonts w:ascii="Tahoma" w:hAnsi="Tahoma" w:cs="Tahoma"/>
          <w:b/>
          <w:bCs/>
          <w:sz w:val="24"/>
          <w:szCs w:val="24"/>
        </w:rPr>
      </w:pPr>
      <w:bookmarkStart w:id="24" w:name="RANGE!B1:I9"/>
      <w:bookmarkEnd w:id="24"/>
      <w:r w:rsidRPr="007403CD">
        <w:rPr>
          <w:rFonts w:ascii="Tahoma" w:hAnsi="Tahoma" w:cs="Tahoma"/>
          <w:b/>
          <w:bCs/>
          <w:sz w:val="24"/>
          <w:szCs w:val="24"/>
        </w:rPr>
        <w:t>IV</w:t>
      </w:r>
      <w:r w:rsidR="00D31CEE" w:rsidRPr="007403CD">
        <w:rPr>
          <w:rFonts w:ascii="Tahoma" w:hAnsi="Tahoma" w:cs="Tahoma"/>
          <w:b/>
          <w:bCs/>
          <w:sz w:val="24"/>
          <w:szCs w:val="24"/>
        </w:rPr>
        <w:t>.1 Datoria publică</w:t>
      </w:r>
    </w:p>
    <w:p w:rsidR="00433503" w:rsidRPr="007403CD" w:rsidRDefault="00433503" w:rsidP="00231E72">
      <w:pPr>
        <w:widowControl w:val="0"/>
        <w:spacing w:after="120" w:line="276" w:lineRule="auto"/>
        <w:ind w:firstLine="0"/>
        <w:rPr>
          <w:rFonts w:ascii="Tahoma" w:eastAsia="Calibri" w:hAnsi="Tahoma" w:cs="Tahoma"/>
          <w:sz w:val="24"/>
          <w:szCs w:val="24"/>
        </w:rPr>
      </w:pPr>
      <w:r w:rsidRPr="007403CD">
        <w:rPr>
          <w:rFonts w:ascii="Tahoma" w:eastAsia="Calibri" w:hAnsi="Tahoma" w:cs="Tahoma"/>
          <w:sz w:val="24"/>
          <w:szCs w:val="24"/>
        </w:rPr>
        <w:t>Datoria guvernamentală conform metodologiei UE s-a situat la data de 30 aprilie 2022 la un nivel de 49,2% din PIB în creștere, comparativ cu nivelul de 48,8% din PIB, cât s-a înregistrat la sfârșitul anului 2021, situându-se sub plafonul de 60% stabilit prin Tratatul de la Maastricht.</w:t>
      </w:r>
    </w:p>
    <w:p w:rsidR="00433503" w:rsidRPr="007403CD" w:rsidRDefault="00433503" w:rsidP="00231E72">
      <w:pPr>
        <w:widowControl w:val="0"/>
        <w:spacing w:after="120" w:line="276" w:lineRule="auto"/>
        <w:ind w:firstLine="0"/>
        <w:rPr>
          <w:rFonts w:ascii="Tahoma" w:eastAsia="Calibri" w:hAnsi="Tahoma" w:cs="Tahoma"/>
          <w:sz w:val="24"/>
          <w:szCs w:val="24"/>
        </w:rPr>
      </w:pPr>
      <w:r w:rsidRPr="007403CD">
        <w:rPr>
          <w:rFonts w:ascii="Tahoma" w:eastAsia="Calibri" w:hAnsi="Tahoma" w:cs="Tahoma"/>
          <w:sz w:val="24"/>
          <w:szCs w:val="24"/>
        </w:rPr>
        <w:t xml:space="preserve">Din datoria guvernamentală înregistrată la 30 aprilie 2022, datoria internă a administrației publice a reprezentat 24,1% din PIB, iar datoria externă a fost de 25,1% din PIB. </w:t>
      </w:r>
    </w:p>
    <w:p w:rsidR="00433503" w:rsidRPr="007403CD" w:rsidRDefault="00433503" w:rsidP="00231E72">
      <w:pPr>
        <w:widowControl w:val="0"/>
        <w:spacing w:after="120" w:line="276" w:lineRule="auto"/>
        <w:ind w:firstLine="0"/>
        <w:rPr>
          <w:rFonts w:ascii="Tahoma" w:eastAsia="Calibri" w:hAnsi="Tahoma" w:cs="Tahoma"/>
          <w:sz w:val="24"/>
          <w:szCs w:val="24"/>
        </w:rPr>
      </w:pPr>
      <w:r w:rsidRPr="007403CD">
        <w:rPr>
          <w:rFonts w:ascii="Tahoma" w:eastAsia="Calibri" w:hAnsi="Tahoma" w:cs="Tahoma"/>
          <w:sz w:val="24"/>
          <w:szCs w:val="24"/>
        </w:rPr>
        <w:t>Conform datelor publicate de EUROSTAT , la sfârșitul anului 2021, România s-a situat pe locul 19 între statele membre UE ca nivel de îndatorare, de 48,8% din PIB, media datoriei guvernamentale pentru zona Euro (EA 19) fiind de 95,6% din PIB, iar cea pentru UE27 fiind de 88,1% din PIB.</w:t>
      </w:r>
    </w:p>
    <w:p w:rsidR="00D31CEE" w:rsidRPr="007403CD" w:rsidRDefault="00433503" w:rsidP="00231E72">
      <w:pPr>
        <w:widowControl w:val="0"/>
        <w:spacing w:after="120" w:line="276" w:lineRule="auto"/>
        <w:ind w:firstLine="0"/>
        <w:rPr>
          <w:rFonts w:ascii="Tahoma" w:eastAsia="Calibri" w:hAnsi="Tahoma" w:cs="Tahoma"/>
          <w:bCs/>
          <w:sz w:val="24"/>
          <w:szCs w:val="24"/>
        </w:rPr>
      </w:pPr>
      <w:r w:rsidRPr="007403CD">
        <w:rPr>
          <w:rFonts w:ascii="Tahoma" w:eastAsia="Calibri" w:hAnsi="Tahoma" w:cs="Tahoma"/>
          <w:sz w:val="24"/>
          <w:szCs w:val="24"/>
        </w:rPr>
        <w:t>Un număr de 14 state membre au înregistrat, la finele anului 2021, un nivel al datoriei publice guvernamentale în PIB de peste 60% din PIB cele mai ridicate niveluri înregistrându-se în Grecia (193,3%), Italia (150,8%), Portugalia (127,4%), Spania (118,4%), Franța (112,9%), Belgia (108,2%) și Cipru (103,6%).</w:t>
      </w:r>
    </w:p>
    <w:p w:rsidR="00D31CEE" w:rsidRPr="007403CD" w:rsidRDefault="00433503" w:rsidP="003C22B5">
      <w:pPr>
        <w:widowControl w:val="0"/>
        <w:spacing w:before="240" w:after="240" w:line="276" w:lineRule="auto"/>
        <w:ind w:firstLine="0"/>
        <w:rPr>
          <w:rFonts w:ascii="Tahoma" w:eastAsia="MS Mincho" w:hAnsi="Tahoma" w:cs="Tahoma"/>
          <w:sz w:val="24"/>
          <w:szCs w:val="24"/>
          <w:lang w:eastAsia="ja-JP"/>
        </w:rPr>
      </w:pPr>
      <w:r w:rsidRPr="007403CD">
        <w:rPr>
          <w:rFonts w:ascii="Tahoma" w:hAnsi="Tahoma" w:cs="Tahoma"/>
          <w:b/>
          <w:bCs/>
          <w:sz w:val="24"/>
          <w:szCs w:val="24"/>
        </w:rPr>
        <w:t>IV</w:t>
      </w:r>
      <w:r w:rsidR="00D31CEE" w:rsidRPr="007403CD">
        <w:rPr>
          <w:rFonts w:ascii="Tahoma" w:hAnsi="Tahoma" w:cs="Tahoma"/>
          <w:b/>
          <w:bCs/>
          <w:sz w:val="24"/>
          <w:szCs w:val="24"/>
        </w:rPr>
        <w:t xml:space="preserve">.2 Finanțarea deficitului bugetar </w:t>
      </w:r>
    </w:p>
    <w:p w:rsidR="00433503" w:rsidRPr="007403CD" w:rsidRDefault="00433503" w:rsidP="00231E72">
      <w:pPr>
        <w:spacing w:after="120" w:line="276" w:lineRule="auto"/>
        <w:ind w:firstLine="0"/>
        <w:rPr>
          <w:rFonts w:ascii="Tahoma" w:eastAsia="Calibri" w:hAnsi="Tahoma" w:cs="Tahoma"/>
          <w:sz w:val="24"/>
          <w:szCs w:val="24"/>
          <w:lang w:eastAsia="ro-RO"/>
        </w:rPr>
      </w:pPr>
      <w:r w:rsidRPr="007403CD">
        <w:rPr>
          <w:rFonts w:ascii="Tahoma" w:eastAsia="MS Mincho" w:hAnsi="Tahoma" w:cs="Tahoma"/>
          <w:sz w:val="24"/>
          <w:szCs w:val="24"/>
          <w:lang w:eastAsia="ja-JP"/>
        </w:rPr>
        <w:t xml:space="preserve">Finanțarea deficitului bugetar pentru </w:t>
      </w:r>
      <w:r w:rsidRPr="007403CD">
        <w:rPr>
          <w:rFonts w:ascii="Tahoma" w:eastAsia="MS Mincho" w:hAnsi="Tahoma" w:cs="Tahoma"/>
          <w:b/>
          <w:sz w:val="24"/>
          <w:szCs w:val="24"/>
          <w:lang w:eastAsia="ja-JP"/>
        </w:rPr>
        <w:t xml:space="preserve">semestrul I 2022 </w:t>
      </w:r>
      <w:r w:rsidRPr="007403CD">
        <w:rPr>
          <w:rFonts w:ascii="Tahoma" w:eastAsia="MS Mincho" w:hAnsi="Tahoma" w:cs="Tahoma"/>
          <w:sz w:val="24"/>
          <w:szCs w:val="24"/>
          <w:lang w:eastAsia="ja-JP"/>
        </w:rPr>
        <w:t>s-a realizat în principal din surse interne, prin emisiuni de titluri de stat lansate pe piața internă și din surse externe. Sursele necesare refinanțării datoriei publice guvernamentale s-au asigurat în principal de pe piețele pe care s-au emis aceste datorii şi din rezerva financiară în valută la dispoziția MF.</w:t>
      </w:r>
    </w:p>
    <w:p w:rsidR="00433503" w:rsidRPr="007403CD" w:rsidRDefault="00433503" w:rsidP="00231E72">
      <w:pPr>
        <w:autoSpaceDE w:val="0"/>
        <w:autoSpaceDN w:val="0"/>
        <w:adjustRightInd w:val="0"/>
        <w:spacing w:after="120" w:line="276" w:lineRule="auto"/>
        <w:ind w:firstLine="0"/>
        <w:rPr>
          <w:rFonts w:ascii="Tahoma" w:eastAsia="Calibri" w:hAnsi="Tahoma" w:cs="Tahoma"/>
          <w:sz w:val="24"/>
          <w:szCs w:val="24"/>
          <w:lang w:eastAsia="ro-RO"/>
        </w:rPr>
      </w:pPr>
      <w:r w:rsidRPr="007403CD">
        <w:rPr>
          <w:rFonts w:ascii="Tahoma" w:eastAsia="MS Mincho" w:hAnsi="Tahoma" w:cs="Tahoma"/>
          <w:sz w:val="24"/>
          <w:szCs w:val="24"/>
          <w:lang w:eastAsia="ja-JP"/>
        </w:rPr>
        <w:t>Instrumentele de datorie în semestrul I 2022 pentru finanțarea deficitului bugetar şi refinanțarea datoriei publice au fost următoarele:</w:t>
      </w:r>
      <w:r w:rsidRPr="007403CD">
        <w:rPr>
          <w:rFonts w:ascii="Tahoma" w:eastAsia="Calibri" w:hAnsi="Tahoma" w:cs="Tahoma"/>
          <w:sz w:val="24"/>
          <w:szCs w:val="24"/>
          <w:lang w:eastAsia="ro-RO"/>
        </w:rPr>
        <w:t xml:space="preserve"> </w:t>
      </w:r>
    </w:p>
    <w:p w:rsidR="00433503" w:rsidRPr="007403CD" w:rsidRDefault="00433503" w:rsidP="00231E72">
      <w:pPr>
        <w:numPr>
          <w:ilvl w:val="0"/>
          <w:numId w:val="5"/>
        </w:numPr>
        <w:suppressAutoHyphens/>
        <w:spacing w:after="240" w:line="276" w:lineRule="auto"/>
        <w:ind w:left="357" w:hanging="357"/>
        <w:jc w:val="left"/>
        <w:rPr>
          <w:rFonts w:ascii="Tahoma" w:eastAsia="Times New Roman" w:hAnsi="Tahoma" w:cs="Tahoma"/>
          <w:sz w:val="24"/>
          <w:szCs w:val="24"/>
          <w:u w:val="single"/>
          <w:lang w:eastAsia="zh-CN"/>
        </w:rPr>
      </w:pPr>
      <w:r w:rsidRPr="007403CD">
        <w:rPr>
          <w:rFonts w:ascii="Tahoma" w:eastAsia="Times New Roman" w:hAnsi="Tahoma" w:cs="Tahoma"/>
          <w:sz w:val="24"/>
          <w:szCs w:val="24"/>
          <w:u w:val="single"/>
          <w:lang w:eastAsia="zh-CN"/>
        </w:rPr>
        <w:t xml:space="preserve">De pe piața internă : </w:t>
      </w:r>
    </w:p>
    <w:p w:rsidR="00433503" w:rsidRPr="007403CD" w:rsidRDefault="00433503" w:rsidP="00231E72">
      <w:pPr>
        <w:numPr>
          <w:ilvl w:val="1"/>
          <w:numId w:val="5"/>
        </w:numPr>
        <w:suppressAutoHyphens/>
        <w:spacing w:after="0" w:line="276" w:lineRule="auto"/>
        <w:ind w:left="1080"/>
        <w:rPr>
          <w:rFonts w:ascii="Tahoma" w:eastAsia="Times New Roman" w:hAnsi="Tahoma" w:cs="Tahoma"/>
          <w:sz w:val="24"/>
          <w:szCs w:val="24"/>
          <w:lang w:eastAsia="zh-CN"/>
        </w:rPr>
      </w:pPr>
      <w:r w:rsidRPr="007403CD">
        <w:rPr>
          <w:rFonts w:ascii="Tahoma" w:eastAsia="Times New Roman" w:hAnsi="Tahoma" w:cs="Tahoma"/>
          <w:sz w:val="24"/>
          <w:szCs w:val="24"/>
          <w:lang w:eastAsia="zh-CN"/>
        </w:rPr>
        <w:t xml:space="preserve">Licitații de titluri de stat pe piața interbancară: a fost adjudecată suma de 22,3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și respectiv 0,3 mld. EUR, reprezentând un total de aproximativ 23,6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din care:</w:t>
      </w:r>
    </w:p>
    <w:p w:rsidR="00433503" w:rsidRPr="007403CD" w:rsidRDefault="00433503" w:rsidP="00231E72">
      <w:pPr>
        <w:numPr>
          <w:ilvl w:val="1"/>
          <w:numId w:val="4"/>
        </w:numPr>
        <w:suppressAutoHyphens/>
        <w:spacing w:after="0" w:line="276" w:lineRule="auto"/>
        <w:ind w:left="1718" w:hanging="357"/>
        <w:rPr>
          <w:rFonts w:ascii="Tahoma" w:eastAsia="Times New Roman" w:hAnsi="Tahoma" w:cs="Tahoma"/>
          <w:sz w:val="24"/>
          <w:szCs w:val="24"/>
          <w:lang w:eastAsia="zh-CN"/>
        </w:rPr>
      </w:pPr>
      <w:r w:rsidRPr="007403CD">
        <w:rPr>
          <w:rFonts w:ascii="Tahoma" w:eastAsia="Times New Roman" w:hAnsi="Tahoma" w:cs="Tahoma"/>
          <w:sz w:val="24"/>
          <w:szCs w:val="24"/>
          <w:lang w:eastAsia="zh-CN"/>
        </w:rPr>
        <w:t>5,5 % emisiuni de certificate de trezorerie cu discont cu maturitate de până la 12 luni și emisiuni de obligațiuni de tip benchmark cu maturități reziduale până la 1 an;</w:t>
      </w:r>
    </w:p>
    <w:p w:rsidR="00433503" w:rsidRPr="007403CD" w:rsidRDefault="00433503" w:rsidP="00231E72">
      <w:pPr>
        <w:numPr>
          <w:ilvl w:val="1"/>
          <w:numId w:val="4"/>
        </w:numPr>
        <w:suppressAutoHyphens/>
        <w:spacing w:after="0" w:line="276" w:lineRule="auto"/>
        <w:ind w:left="1718" w:hanging="357"/>
        <w:rPr>
          <w:rFonts w:ascii="Tahoma" w:eastAsia="Times New Roman" w:hAnsi="Tahoma" w:cs="Tahoma"/>
          <w:sz w:val="24"/>
          <w:szCs w:val="24"/>
          <w:lang w:eastAsia="zh-CN"/>
        </w:rPr>
      </w:pPr>
      <w:r w:rsidRPr="007403CD">
        <w:rPr>
          <w:rFonts w:ascii="Tahoma" w:eastAsia="Times New Roman" w:hAnsi="Tahoma" w:cs="Tahoma"/>
          <w:sz w:val="24"/>
          <w:szCs w:val="24"/>
          <w:lang w:eastAsia="zh-CN"/>
        </w:rPr>
        <w:t xml:space="preserve">24,3 % emisiuni de obligațiuni de tip benchmark cu maturități reziduale între 1 și 5 ani; și </w:t>
      </w:r>
    </w:p>
    <w:p w:rsidR="00433503" w:rsidRPr="007403CD" w:rsidRDefault="00433503" w:rsidP="00231E72">
      <w:pPr>
        <w:numPr>
          <w:ilvl w:val="1"/>
          <w:numId w:val="4"/>
        </w:numPr>
        <w:suppressAutoHyphens/>
        <w:spacing w:after="0" w:line="276" w:lineRule="auto"/>
        <w:ind w:left="1718" w:hanging="357"/>
        <w:rPr>
          <w:rFonts w:ascii="Tahoma" w:eastAsia="Times New Roman" w:hAnsi="Tahoma" w:cs="Tahoma"/>
          <w:sz w:val="24"/>
          <w:szCs w:val="24"/>
          <w:lang w:eastAsia="zh-CN"/>
        </w:rPr>
      </w:pPr>
      <w:r w:rsidRPr="007403CD">
        <w:rPr>
          <w:rFonts w:ascii="Tahoma" w:eastAsia="Times New Roman" w:hAnsi="Tahoma" w:cs="Tahoma"/>
          <w:sz w:val="24"/>
          <w:szCs w:val="24"/>
          <w:lang w:eastAsia="zh-CN"/>
        </w:rPr>
        <w:t>70,2 % emisiuni de obligațiuni de tip benchmark cu maturități reziduale între 5 și 15 ani.</w:t>
      </w:r>
    </w:p>
    <w:p w:rsidR="00433503" w:rsidRPr="007403CD" w:rsidRDefault="00433503" w:rsidP="00231E72">
      <w:pPr>
        <w:numPr>
          <w:ilvl w:val="1"/>
          <w:numId w:val="5"/>
        </w:numPr>
        <w:suppressAutoHyphens/>
        <w:spacing w:after="240" w:line="276" w:lineRule="auto"/>
        <w:ind w:left="1077"/>
        <w:rPr>
          <w:rFonts w:ascii="Tahoma" w:eastAsia="Times New Roman" w:hAnsi="Tahoma" w:cs="Tahoma"/>
          <w:sz w:val="24"/>
          <w:szCs w:val="24"/>
          <w:lang w:eastAsia="zh-CN"/>
        </w:rPr>
      </w:pPr>
      <w:r w:rsidRPr="007403CD">
        <w:rPr>
          <w:rFonts w:ascii="Tahoma" w:eastAsia="Times New Roman" w:hAnsi="Tahoma" w:cs="Tahoma"/>
          <w:sz w:val="24"/>
          <w:szCs w:val="24"/>
          <w:lang w:eastAsia="zh-CN"/>
        </w:rPr>
        <w:lastRenderedPageBreak/>
        <w:t xml:space="preserve">Titluri de stat pentru populație: în semestrul I 2022 au fost lansate de titluri de stat destinate populației prin programele TEZAUR și FIDELIS în valoare totală de 7,8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Prin programul TEZAUR a fost atrasă suma de 4,4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prin 12 emisiuni cu maturități cuprinse între 1 si 5 ani. Prin programul FIDELIS, prin 8 emisiuni cu maturități de 1 și 3 ani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și 1 și 5 ani (EUR) au fost atrase 2,1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și 275,4 mil. EUR.</w:t>
      </w:r>
    </w:p>
    <w:p w:rsidR="00433503" w:rsidRPr="007403CD" w:rsidRDefault="00433503" w:rsidP="00231E72">
      <w:pPr>
        <w:numPr>
          <w:ilvl w:val="0"/>
          <w:numId w:val="5"/>
        </w:numPr>
        <w:suppressAutoHyphens/>
        <w:spacing w:after="0" w:line="276" w:lineRule="auto"/>
        <w:ind w:left="360"/>
        <w:rPr>
          <w:rFonts w:ascii="Tahoma" w:eastAsia="Times New Roman" w:hAnsi="Tahoma" w:cs="Tahoma"/>
          <w:sz w:val="24"/>
          <w:szCs w:val="24"/>
          <w:lang w:eastAsia="zh-CN"/>
        </w:rPr>
      </w:pPr>
      <w:r w:rsidRPr="007403CD">
        <w:rPr>
          <w:rFonts w:ascii="Tahoma" w:eastAsia="Times New Roman" w:hAnsi="Tahoma" w:cs="Tahoma"/>
          <w:sz w:val="24"/>
          <w:szCs w:val="24"/>
          <w:u w:val="single"/>
          <w:lang w:eastAsia="zh-CN"/>
        </w:rPr>
        <w:t>De pe piața externă a</w:t>
      </w:r>
      <w:r w:rsidRPr="007403CD">
        <w:rPr>
          <w:rFonts w:ascii="Tahoma" w:eastAsia="Times New Roman" w:hAnsi="Tahoma" w:cs="Tahoma"/>
          <w:sz w:val="24"/>
          <w:szCs w:val="24"/>
          <w:lang w:eastAsia="zh-CN"/>
        </w:rPr>
        <w:t xml:space="preserve"> fost atrasă suma de 4,2 mld. USD și 2,5 mld. EUR, prin trei emisiuni de euroobligațiuni, astfel: </w:t>
      </w:r>
    </w:p>
    <w:p w:rsidR="00433503" w:rsidRPr="007403CD" w:rsidRDefault="00433503" w:rsidP="00231E72">
      <w:pPr>
        <w:numPr>
          <w:ilvl w:val="0"/>
          <w:numId w:val="6"/>
        </w:numPr>
        <w:suppressAutoHyphens/>
        <w:spacing w:before="120" w:after="120" w:line="276" w:lineRule="auto"/>
        <w:ind w:left="1718" w:hanging="357"/>
        <w:rPr>
          <w:rFonts w:ascii="Tahoma" w:eastAsia="Times New Roman" w:hAnsi="Tahoma" w:cs="Tahoma"/>
          <w:sz w:val="24"/>
          <w:szCs w:val="24"/>
          <w:lang w:eastAsia="zh-CN"/>
        </w:rPr>
      </w:pPr>
      <w:r w:rsidRPr="007403CD">
        <w:rPr>
          <w:rFonts w:ascii="Tahoma" w:eastAsia="Times New Roman" w:hAnsi="Tahoma" w:cs="Tahoma"/>
          <w:sz w:val="24"/>
          <w:szCs w:val="24"/>
          <w:lang w:eastAsia="zh-CN"/>
        </w:rPr>
        <w:t>în data de 27 ianuarie suma de 2,4 mld. USD printr-o emisiune de euroobligațiuni în două tranșe, din care 1,4 mld. USD cu maturitatea de 5 ani (randament de 3,130%, cupon de 3,000%) și 1,1 mld. USD cu scadența de 10 ani (randament de 3,699%, cupon de 3,625%). Pentru emisiunea de 10 ani au fost acceptate și oferte de preschimbare a titlurilor de stat emise de România în USD cu scadența în 2023 și 2024;</w:t>
      </w:r>
    </w:p>
    <w:p w:rsidR="00433503" w:rsidRPr="007403CD" w:rsidRDefault="00433503" w:rsidP="00231E72">
      <w:pPr>
        <w:numPr>
          <w:ilvl w:val="0"/>
          <w:numId w:val="6"/>
        </w:numPr>
        <w:suppressAutoHyphens/>
        <w:spacing w:before="120" w:after="120" w:line="276" w:lineRule="auto"/>
        <w:ind w:left="1718" w:hanging="357"/>
        <w:rPr>
          <w:rFonts w:ascii="Tahoma" w:eastAsia="Times New Roman" w:hAnsi="Tahoma" w:cs="Tahoma"/>
          <w:sz w:val="24"/>
          <w:szCs w:val="24"/>
          <w:lang w:eastAsia="zh-CN"/>
        </w:rPr>
      </w:pPr>
      <w:r w:rsidRPr="007403CD">
        <w:rPr>
          <w:rFonts w:ascii="Tahoma" w:eastAsia="Times New Roman" w:hAnsi="Tahoma" w:cs="Tahoma"/>
          <w:sz w:val="24"/>
          <w:szCs w:val="24"/>
          <w:lang w:eastAsia="zh-CN"/>
        </w:rPr>
        <w:t>în data de 7 februarie 2022 a fost atrasă suma de 2,5 mld. EUR printr-o emisiune cu două tranșe cu scadență de 6 ani și dobândă de 2,125% pe an, respectiv scadență de 12 ani și dobândă de 3,750% pe an;</w:t>
      </w:r>
    </w:p>
    <w:p w:rsidR="00433503" w:rsidRPr="007403CD" w:rsidRDefault="00433503" w:rsidP="00231E72">
      <w:pPr>
        <w:widowControl w:val="0"/>
        <w:numPr>
          <w:ilvl w:val="0"/>
          <w:numId w:val="6"/>
        </w:numPr>
        <w:spacing w:after="120" w:line="276" w:lineRule="auto"/>
        <w:ind w:left="1718" w:hanging="357"/>
        <w:rPr>
          <w:rFonts w:ascii="Tahoma" w:eastAsia="Times New Roman" w:hAnsi="Tahoma" w:cs="Tahoma"/>
          <w:sz w:val="24"/>
          <w:szCs w:val="24"/>
          <w:lang w:eastAsia="zh-CN"/>
        </w:rPr>
      </w:pPr>
      <w:r w:rsidRPr="007403CD">
        <w:rPr>
          <w:rFonts w:ascii="Tahoma" w:eastAsia="Times New Roman" w:hAnsi="Tahoma" w:cs="Tahoma"/>
          <w:sz w:val="24"/>
          <w:szCs w:val="24"/>
          <w:lang w:eastAsia="zh-CN"/>
        </w:rPr>
        <w:t>în data de 25 mai 2022 a fost atrasă suma de 1,8 mld. USD prin intermediul unei tranzacții cu două tranșe cu scadență de 5 ani și dobândă de pe 5,250% an, respectiv scadență de 12 ani și dobândă de 6,000% pe an.</w:t>
      </w:r>
    </w:p>
    <w:p w:rsidR="00433503" w:rsidRPr="007403CD" w:rsidRDefault="00433503" w:rsidP="00231E72">
      <w:pPr>
        <w:suppressAutoHyphens/>
        <w:spacing w:before="120" w:after="120" w:line="276" w:lineRule="auto"/>
        <w:ind w:firstLine="0"/>
        <w:rPr>
          <w:rFonts w:ascii="Tahoma" w:eastAsia="Times New Roman" w:hAnsi="Tahoma" w:cs="Tahoma"/>
          <w:sz w:val="24"/>
          <w:szCs w:val="24"/>
          <w:lang w:eastAsia="zh-CN"/>
        </w:rPr>
      </w:pPr>
      <w:r w:rsidRPr="007403CD">
        <w:rPr>
          <w:rFonts w:ascii="Tahoma" w:eastAsia="Times New Roman" w:hAnsi="Tahoma" w:cs="Tahoma"/>
          <w:sz w:val="24"/>
          <w:szCs w:val="24"/>
          <w:lang w:eastAsia="zh-CN"/>
        </w:rPr>
        <w:t>Tragerile aferente împrumuturilor contractate de la instituțiile financiare internaționale, în semestrul I 2022, au fost de cca. 460,1 mil EUR. La acestea se adaugă prefinanțarea de cca. 1,9 mld. EUR, reprezentând 13% din împrumutul contractat de România de la UE, în cadrul Mecanismului de Redresare și Reziliență.</w:t>
      </w:r>
    </w:p>
    <w:p w:rsidR="00433503" w:rsidRPr="007403CD" w:rsidRDefault="00433503" w:rsidP="00231E72">
      <w:pPr>
        <w:suppressAutoHyphens/>
        <w:spacing w:before="120" w:after="120" w:line="276" w:lineRule="auto"/>
        <w:ind w:firstLine="0"/>
        <w:rPr>
          <w:rFonts w:ascii="Tahoma" w:eastAsia="Times New Roman" w:hAnsi="Tahoma" w:cs="Tahoma"/>
          <w:sz w:val="24"/>
          <w:szCs w:val="24"/>
          <w:lang w:eastAsia="zh-CN"/>
        </w:rPr>
      </w:pPr>
      <w:r w:rsidRPr="007403CD">
        <w:rPr>
          <w:rFonts w:ascii="Tahoma" w:eastAsia="Times New Roman" w:hAnsi="Tahoma" w:cs="Tahoma"/>
          <w:sz w:val="24"/>
          <w:szCs w:val="24"/>
          <w:lang w:eastAsia="zh-CN"/>
        </w:rPr>
        <w:t xml:space="preserve">Procesul de finanțare externă în primul semestru al anului 2022 a avut în vedere asigurarea </w:t>
      </w:r>
      <w:r w:rsidR="003D5C26" w:rsidRPr="007403CD">
        <w:rPr>
          <w:rFonts w:ascii="Tahoma" w:eastAsia="Times New Roman" w:hAnsi="Tahoma" w:cs="Tahoma"/>
          <w:sz w:val="24"/>
          <w:szCs w:val="24"/>
          <w:lang w:eastAsia="zh-CN"/>
        </w:rPr>
        <w:t>prezenței</w:t>
      </w:r>
      <w:r w:rsidRPr="007403CD">
        <w:rPr>
          <w:rFonts w:ascii="Tahoma" w:eastAsia="Times New Roman" w:hAnsi="Tahoma" w:cs="Tahoma"/>
          <w:sz w:val="24"/>
          <w:szCs w:val="24"/>
          <w:lang w:eastAsia="zh-CN"/>
        </w:rPr>
        <w:t xml:space="preserve"> constante a României pe </w:t>
      </w:r>
      <w:r w:rsidR="003D5C26" w:rsidRPr="007403CD">
        <w:rPr>
          <w:rFonts w:ascii="Tahoma" w:eastAsia="Times New Roman" w:hAnsi="Tahoma" w:cs="Tahoma"/>
          <w:sz w:val="24"/>
          <w:szCs w:val="24"/>
          <w:lang w:eastAsia="zh-CN"/>
        </w:rPr>
        <w:t>piețele</w:t>
      </w:r>
      <w:r w:rsidRPr="007403CD">
        <w:rPr>
          <w:rFonts w:ascii="Tahoma" w:eastAsia="Times New Roman" w:hAnsi="Tahoma" w:cs="Tahoma"/>
          <w:sz w:val="24"/>
          <w:szCs w:val="24"/>
          <w:lang w:eastAsia="zh-CN"/>
        </w:rPr>
        <w:t xml:space="preserve"> externe de capital în </w:t>
      </w:r>
      <w:r w:rsidR="003D5C26" w:rsidRPr="007403CD">
        <w:rPr>
          <w:rFonts w:ascii="Tahoma" w:eastAsia="Times New Roman" w:hAnsi="Tahoma" w:cs="Tahoma"/>
          <w:sz w:val="24"/>
          <w:szCs w:val="24"/>
          <w:lang w:eastAsia="zh-CN"/>
        </w:rPr>
        <w:t>condiții</w:t>
      </w:r>
      <w:r w:rsidRPr="007403CD">
        <w:rPr>
          <w:rFonts w:ascii="Tahoma" w:eastAsia="Times New Roman" w:hAnsi="Tahoma" w:cs="Tahoma"/>
          <w:sz w:val="24"/>
          <w:szCs w:val="24"/>
          <w:lang w:eastAsia="zh-CN"/>
        </w:rPr>
        <w:t xml:space="preserve"> de cost avantajoase pentru România, diversificarea bazei de investitori și consolidarea rezervei financiare în valută la </w:t>
      </w:r>
      <w:r w:rsidR="003D5C26" w:rsidRPr="007403CD">
        <w:rPr>
          <w:rFonts w:ascii="Tahoma" w:eastAsia="Times New Roman" w:hAnsi="Tahoma" w:cs="Tahoma"/>
          <w:sz w:val="24"/>
          <w:szCs w:val="24"/>
          <w:lang w:eastAsia="zh-CN"/>
        </w:rPr>
        <w:t>dispoziția</w:t>
      </w:r>
      <w:r w:rsidRPr="007403CD">
        <w:rPr>
          <w:rFonts w:ascii="Tahoma" w:eastAsia="Times New Roman" w:hAnsi="Tahoma" w:cs="Tahoma"/>
          <w:sz w:val="24"/>
          <w:szCs w:val="24"/>
          <w:lang w:eastAsia="zh-CN"/>
        </w:rPr>
        <w:t xml:space="preserve"> Trezoreriei Statului la un nivel care să acopere până la 4 luni din necesarul brut de </w:t>
      </w:r>
      <w:r w:rsidR="003D5C26" w:rsidRPr="007403CD">
        <w:rPr>
          <w:rFonts w:ascii="Tahoma" w:eastAsia="Times New Roman" w:hAnsi="Tahoma" w:cs="Tahoma"/>
          <w:sz w:val="24"/>
          <w:szCs w:val="24"/>
          <w:lang w:eastAsia="zh-CN"/>
        </w:rPr>
        <w:t>finanțare</w:t>
      </w:r>
      <w:r w:rsidRPr="007403CD">
        <w:rPr>
          <w:rFonts w:ascii="Tahoma" w:eastAsia="Times New Roman" w:hAnsi="Tahoma" w:cs="Tahoma"/>
          <w:sz w:val="24"/>
          <w:szCs w:val="24"/>
          <w:lang w:eastAsia="zh-CN"/>
        </w:rPr>
        <w:t xml:space="preserve">. </w:t>
      </w:r>
    </w:p>
    <w:p w:rsidR="00433503" w:rsidRPr="007403CD" w:rsidRDefault="00433503" w:rsidP="00231E72">
      <w:pPr>
        <w:suppressAutoHyphens/>
        <w:spacing w:before="120" w:after="120" w:line="276" w:lineRule="auto"/>
        <w:ind w:firstLine="0"/>
        <w:rPr>
          <w:rFonts w:ascii="Tahoma" w:eastAsia="Times New Roman" w:hAnsi="Tahoma" w:cs="Tahoma"/>
          <w:sz w:val="24"/>
          <w:szCs w:val="24"/>
          <w:lang w:eastAsia="zh-CN"/>
        </w:rPr>
      </w:pPr>
      <w:r w:rsidRPr="007403CD">
        <w:rPr>
          <w:rFonts w:ascii="Tahoma" w:eastAsia="Times New Roman" w:hAnsi="Tahoma" w:cs="Tahoma"/>
          <w:b/>
          <w:sz w:val="24"/>
          <w:szCs w:val="24"/>
          <w:lang w:eastAsia="zh-CN"/>
        </w:rPr>
        <w:t>Garanțiile guvernamentale</w:t>
      </w:r>
      <w:r w:rsidRPr="007403CD">
        <w:rPr>
          <w:rFonts w:ascii="Tahoma" w:eastAsia="Times New Roman" w:hAnsi="Tahoma" w:cs="Tahoma"/>
          <w:sz w:val="24"/>
          <w:szCs w:val="24"/>
          <w:lang w:eastAsia="zh-CN"/>
        </w:rPr>
        <w:t xml:space="preserve"> acordate de Ministerul Finanțelor în primele 6 luni ale anului 2022 au fost în valoare de aproximativ 10,4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în limita plafonului de 30 mld. </w:t>
      </w:r>
      <w:r w:rsidR="003A634F">
        <w:rPr>
          <w:rFonts w:ascii="Tahoma" w:eastAsia="Times New Roman" w:hAnsi="Tahoma" w:cs="Tahoma"/>
          <w:sz w:val="24"/>
          <w:szCs w:val="24"/>
          <w:lang w:eastAsia="zh-CN"/>
        </w:rPr>
        <w:t>LEI</w:t>
      </w:r>
      <w:r w:rsidRPr="007403CD">
        <w:rPr>
          <w:rFonts w:ascii="Tahoma" w:eastAsia="Times New Roman" w:hAnsi="Tahoma" w:cs="Tahoma"/>
          <w:sz w:val="24"/>
          <w:szCs w:val="24"/>
          <w:lang w:eastAsia="zh-CN"/>
        </w:rPr>
        <w:t xml:space="preserve"> stabilit prin Legea nr. 312/2021 pentru aprobarea plafoanelor unor indicatori </w:t>
      </w:r>
      <w:r w:rsidR="003A634F" w:rsidRPr="007403CD">
        <w:rPr>
          <w:rFonts w:ascii="Tahoma" w:eastAsia="Times New Roman" w:hAnsi="Tahoma" w:cs="Tahoma"/>
          <w:sz w:val="24"/>
          <w:szCs w:val="24"/>
          <w:lang w:eastAsia="zh-CN"/>
        </w:rPr>
        <w:t>specificați</w:t>
      </w:r>
      <w:r w:rsidRPr="007403CD">
        <w:rPr>
          <w:rFonts w:ascii="Tahoma" w:eastAsia="Times New Roman" w:hAnsi="Tahoma" w:cs="Tahoma"/>
          <w:sz w:val="24"/>
          <w:szCs w:val="24"/>
          <w:lang w:eastAsia="zh-CN"/>
        </w:rPr>
        <w:t xml:space="preserve"> în cadrul fiscal-bugetar pe anul 2022.</w:t>
      </w:r>
    </w:p>
    <w:p w:rsidR="00B10B85" w:rsidRPr="007403CD" w:rsidRDefault="00433503" w:rsidP="003C22B5">
      <w:pPr>
        <w:suppressAutoHyphens/>
        <w:spacing w:before="120" w:after="120" w:line="276" w:lineRule="auto"/>
        <w:ind w:firstLine="0"/>
        <w:rPr>
          <w:rFonts w:ascii="Tahoma" w:eastAsia="Calibri" w:hAnsi="Tahoma" w:cs="Tahoma"/>
          <w:b/>
          <w:bCs/>
          <w:sz w:val="24"/>
          <w:szCs w:val="24"/>
        </w:rPr>
      </w:pPr>
      <w:r w:rsidRPr="007403CD">
        <w:rPr>
          <w:rFonts w:ascii="Tahoma" w:eastAsia="Calibri" w:hAnsi="Tahoma" w:cs="Tahoma"/>
          <w:b/>
          <w:bCs/>
          <w:sz w:val="24"/>
          <w:szCs w:val="24"/>
        </w:rPr>
        <w:t>IV</w:t>
      </w:r>
      <w:r w:rsidR="0057284B" w:rsidRPr="007403CD">
        <w:rPr>
          <w:rFonts w:ascii="Tahoma" w:eastAsia="Calibri" w:hAnsi="Tahoma" w:cs="Tahoma"/>
          <w:b/>
          <w:bCs/>
          <w:sz w:val="24"/>
          <w:szCs w:val="24"/>
        </w:rPr>
        <w:t>.3 Datoria publică locală</w:t>
      </w:r>
    </w:p>
    <w:p w:rsidR="00433503" w:rsidRPr="007403CD" w:rsidRDefault="00433503" w:rsidP="00231E72">
      <w:pPr>
        <w:suppressAutoHyphens/>
        <w:spacing w:before="100" w:beforeAutospacing="1" w:after="100" w:afterAutospacing="1" w:line="276" w:lineRule="auto"/>
        <w:ind w:firstLine="0"/>
        <w:rPr>
          <w:rFonts w:ascii="Tahoma" w:eastAsia="MS Mincho" w:hAnsi="Tahoma" w:cs="Tahoma"/>
          <w:sz w:val="24"/>
          <w:szCs w:val="24"/>
          <w:lang w:eastAsia="ja-JP"/>
        </w:rPr>
      </w:pPr>
      <w:r w:rsidRPr="007403CD">
        <w:rPr>
          <w:rFonts w:ascii="Tahoma" w:eastAsia="MS Mincho" w:hAnsi="Tahoma" w:cs="Tahoma"/>
          <w:noProof/>
          <w:sz w:val="24"/>
          <w:szCs w:val="24"/>
          <w:lang w:eastAsia="ja-JP"/>
        </w:rPr>
        <w:t xml:space="preserve">În ceea ce privește tragerile autorizate pentru a fi efectuate în anul 2022 din finanțările rambursabile contractate sau care urmează să fie contractate de către </w:t>
      </w:r>
      <w:r w:rsidRPr="007403CD">
        <w:rPr>
          <w:rFonts w:ascii="Tahoma" w:eastAsia="MS Mincho" w:hAnsi="Tahoma" w:cs="Tahoma"/>
          <w:noProof/>
          <w:sz w:val="24"/>
          <w:szCs w:val="24"/>
          <w:lang w:eastAsia="ja-JP"/>
        </w:rPr>
        <w:lastRenderedPageBreak/>
        <w:t xml:space="preserve">unitățile/subdiviziunile administrativ-teritoriale, acestea sunt în valoare de 2.000 mil. </w:t>
      </w:r>
      <w:r w:rsidR="003A634F">
        <w:rPr>
          <w:rFonts w:ascii="Tahoma" w:eastAsia="MS Mincho" w:hAnsi="Tahoma" w:cs="Tahoma"/>
          <w:noProof/>
          <w:sz w:val="24"/>
          <w:szCs w:val="24"/>
          <w:lang w:eastAsia="ja-JP"/>
        </w:rPr>
        <w:t>LEI</w:t>
      </w:r>
      <w:r w:rsidRPr="007403CD">
        <w:rPr>
          <w:rFonts w:ascii="Tahoma" w:eastAsia="MS Mincho" w:hAnsi="Tahoma" w:cs="Tahoma"/>
          <w:noProof/>
          <w:sz w:val="24"/>
          <w:szCs w:val="24"/>
          <w:lang w:eastAsia="ja-JP"/>
        </w:rPr>
        <w:t xml:space="preserve">, cu încadrare în plafonul anual de 2.000 mil. </w:t>
      </w:r>
      <w:r w:rsidR="003A634F">
        <w:rPr>
          <w:rFonts w:ascii="Tahoma" w:eastAsia="MS Mincho" w:hAnsi="Tahoma" w:cs="Tahoma"/>
          <w:noProof/>
          <w:sz w:val="24"/>
          <w:szCs w:val="24"/>
          <w:lang w:eastAsia="ja-JP"/>
        </w:rPr>
        <w:t>LEI</w:t>
      </w:r>
      <w:r w:rsidRPr="007403CD">
        <w:rPr>
          <w:rFonts w:ascii="Tahoma" w:eastAsia="MS Mincho" w:hAnsi="Tahoma" w:cs="Tahoma"/>
          <w:noProof/>
          <w:sz w:val="24"/>
          <w:szCs w:val="24"/>
          <w:lang w:eastAsia="ja-JP"/>
        </w:rPr>
        <w:t xml:space="preserve">, aprobat prin </w:t>
      </w:r>
      <w:r w:rsidRPr="007403CD">
        <w:rPr>
          <w:rFonts w:ascii="Tahoma" w:eastAsia="MS Mincho" w:hAnsi="Tahoma" w:cs="Tahoma"/>
          <w:i/>
          <w:noProof/>
          <w:sz w:val="24"/>
          <w:szCs w:val="24"/>
          <w:lang w:eastAsia="ja-JP"/>
        </w:rPr>
        <w:t>Legea nr. 312/2021 pentru aprobarea plafoanelor unor indicatori specificaţi în cadrul fiscal-bugetar pe anul  2022</w:t>
      </w:r>
      <w:r w:rsidRPr="007403CD">
        <w:rPr>
          <w:rFonts w:ascii="Tahoma" w:eastAsia="MS Mincho" w:hAnsi="Tahoma" w:cs="Tahoma"/>
          <w:noProof/>
          <w:sz w:val="24"/>
          <w:szCs w:val="24"/>
          <w:lang w:eastAsia="ja-JP"/>
        </w:rPr>
        <w:t xml:space="preserve">. Finanțările rambursabile autorizate în semestrul I al anului 2022 pentru a fi contractate de unitățile/subdiviziunile administrativ-teritoriale pentru realizarea de investiții publice de interes local au fost în valoare de cca. 924,4 mil. </w:t>
      </w:r>
      <w:r w:rsidR="003A634F">
        <w:rPr>
          <w:rFonts w:ascii="Tahoma" w:eastAsia="MS Mincho" w:hAnsi="Tahoma" w:cs="Tahoma"/>
          <w:noProof/>
          <w:sz w:val="24"/>
          <w:szCs w:val="24"/>
          <w:lang w:eastAsia="ja-JP"/>
        </w:rPr>
        <w:t>LEI</w:t>
      </w:r>
      <w:r w:rsidRPr="007403CD">
        <w:rPr>
          <w:rFonts w:ascii="Tahoma" w:eastAsia="MS Mincho" w:hAnsi="Tahoma" w:cs="Tahoma"/>
          <w:noProof/>
          <w:sz w:val="24"/>
          <w:szCs w:val="24"/>
          <w:lang w:eastAsia="ja-JP"/>
        </w:rPr>
        <w:t xml:space="preserve">, în limita plafonului de 1.600 mil. </w:t>
      </w:r>
      <w:r w:rsidR="003A634F">
        <w:rPr>
          <w:rFonts w:ascii="Tahoma" w:eastAsia="MS Mincho" w:hAnsi="Tahoma" w:cs="Tahoma"/>
          <w:noProof/>
          <w:sz w:val="24"/>
          <w:szCs w:val="24"/>
          <w:lang w:eastAsia="ja-JP"/>
        </w:rPr>
        <w:t>LEI</w:t>
      </w:r>
      <w:r w:rsidRPr="007403CD">
        <w:rPr>
          <w:rFonts w:ascii="Tahoma" w:eastAsia="MS Mincho" w:hAnsi="Tahoma" w:cs="Tahoma"/>
          <w:noProof/>
          <w:sz w:val="24"/>
          <w:szCs w:val="24"/>
          <w:lang w:eastAsia="ja-JP"/>
        </w:rPr>
        <w:t xml:space="preserve"> stabilit prin Legea nr. 312/2021. De asemenea, au fost autorizate finanțări rambursabile, în sumă totală de cca. 366,8 mil. </w:t>
      </w:r>
      <w:r w:rsidR="003A634F">
        <w:rPr>
          <w:rFonts w:ascii="Tahoma" w:eastAsia="MS Mincho" w:hAnsi="Tahoma" w:cs="Tahoma"/>
          <w:noProof/>
          <w:sz w:val="24"/>
          <w:szCs w:val="24"/>
          <w:lang w:eastAsia="ja-JP"/>
        </w:rPr>
        <w:t>LEI</w:t>
      </w:r>
      <w:r w:rsidRPr="007403CD">
        <w:rPr>
          <w:rFonts w:ascii="Tahoma" w:eastAsia="MS Mincho" w:hAnsi="Tahoma" w:cs="Tahoma"/>
          <w:noProof/>
          <w:sz w:val="24"/>
          <w:szCs w:val="24"/>
          <w:lang w:eastAsia="ja-JP"/>
        </w:rPr>
        <w:t>, pentru a fi contractate de unitățile administrativ-teritoriale în vederea prefinanțării și/sau cofinanțării de proiecte care beneficiază de fonduri externe nerambursabile de la Uniunea Europeană.</w:t>
      </w:r>
    </w:p>
    <w:p w:rsidR="00C60107" w:rsidRPr="007403CD" w:rsidRDefault="00C60107" w:rsidP="002A6579">
      <w:pPr>
        <w:pStyle w:val="Heading1"/>
        <w:pageBreakBefore/>
        <w:spacing w:after="240" w:line="276" w:lineRule="auto"/>
        <w:ind w:hanging="360"/>
        <w:rPr>
          <w:rFonts w:ascii="Tahoma" w:eastAsia="MS Mincho" w:hAnsi="Tahoma" w:cs="Tahoma"/>
          <w:b/>
          <w:noProof/>
          <w:sz w:val="24"/>
          <w:szCs w:val="24"/>
          <w:lang w:eastAsia="ja-JP"/>
        </w:rPr>
      </w:pPr>
      <w:r w:rsidRPr="007403CD">
        <w:rPr>
          <w:rFonts w:ascii="Tahoma" w:eastAsia="MS Mincho" w:hAnsi="Tahoma" w:cs="Tahoma"/>
          <w:b/>
          <w:noProof/>
          <w:sz w:val="24"/>
          <w:szCs w:val="24"/>
          <w:lang w:eastAsia="ja-JP"/>
        </w:rPr>
        <w:lastRenderedPageBreak/>
        <w:tab/>
      </w:r>
      <w:bookmarkStart w:id="25" w:name="_Toc109657576"/>
      <w:r w:rsidR="007D49B8" w:rsidRPr="007403CD">
        <w:rPr>
          <w:rFonts w:ascii="Tahoma" w:eastAsia="MS Mincho" w:hAnsi="Tahoma" w:cs="Tahoma"/>
          <w:b/>
          <w:noProof/>
          <w:color w:val="auto"/>
          <w:sz w:val="24"/>
          <w:szCs w:val="24"/>
          <w:lang w:eastAsia="ja-JP"/>
        </w:rPr>
        <w:t xml:space="preserve">V. </w:t>
      </w:r>
      <w:r w:rsidRPr="007403CD">
        <w:rPr>
          <w:rFonts w:ascii="Tahoma" w:eastAsia="MS Mincho" w:hAnsi="Tahoma" w:cs="Tahoma"/>
          <w:b/>
          <w:noProof/>
          <w:color w:val="auto"/>
          <w:sz w:val="24"/>
          <w:szCs w:val="24"/>
          <w:lang w:eastAsia="ja-JP"/>
        </w:rPr>
        <w:t>Absorbția fondurilor externe nerambursabile</w:t>
      </w:r>
      <w:bookmarkEnd w:id="25"/>
    </w:p>
    <w:p w:rsidR="009A58E7" w:rsidRPr="007403CD" w:rsidRDefault="009A58E7" w:rsidP="00231E72">
      <w:pPr>
        <w:spacing w:after="120" w:line="276" w:lineRule="auto"/>
        <w:ind w:firstLine="0"/>
        <w:rPr>
          <w:rFonts w:ascii="Tahoma" w:hAnsi="Tahoma" w:cs="Tahoma"/>
          <w:sz w:val="24"/>
          <w:szCs w:val="24"/>
        </w:rPr>
      </w:pPr>
      <w:bookmarkStart w:id="26" w:name="_Toc425320862"/>
      <w:bookmarkStart w:id="27" w:name="_Toc456256938"/>
      <w:bookmarkStart w:id="28" w:name="_Toc456257462"/>
      <w:bookmarkStart w:id="29" w:name="_Toc456258320"/>
      <w:bookmarkStart w:id="30" w:name="_Toc456258425"/>
      <w:r w:rsidRPr="007403CD">
        <w:rPr>
          <w:rFonts w:ascii="Tahoma" w:hAnsi="Tahoma" w:cs="Tahoma"/>
          <w:sz w:val="24"/>
          <w:szCs w:val="24"/>
        </w:rPr>
        <w:t xml:space="preserve">Pentru Cadrul Financiar Multianual (CFM) 2021-2027, România are o alocare totală, de aproximativ 80 mld. euro, din fonduri UE, împărțită astfel: </w:t>
      </w:r>
      <w:r w:rsidRPr="007403CD">
        <w:rPr>
          <w:rFonts w:ascii="Tahoma" w:hAnsi="Tahoma" w:cs="Tahoma"/>
          <w:b/>
          <w:sz w:val="24"/>
          <w:szCs w:val="24"/>
        </w:rPr>
        <w:t xml:space="preserve">pentru CFM 2021-2027 </w:t>
      </w:r>
      <w:r w:rsidRPr="007403CD">
        <w:rPr>
          <w:rFonts w:ascii="Tahoma" w:hAnsi="Tahoma" w:cs="Tahoma"/>
          <w:sz w:val="24"/>
          <w:szCs w:val="24"/>
        </w:rPr>
        <w:t xml:space="preserve">– 51,30 mld. euro (din care 30,30 mld. euro, alocați pentru Politica de coeziune (PC) și 21 mld. euro, alocați pentru Politica agricola comuna (PAC)) și </w:t>
      </w:r>
      <w:r w:rsidRPr="007403CD">
        <w:rPr>
          <w:rFonts w:ascii="Tahoma" w:hAnsi="Tahoma" w:cs="Tahoma"/>
          <w:b/>
          <w:sz w:val="24"/>
          <w:szCs w:val="24"/>
        </w:rPr>
        <w:t>pentru</w:t>
      </w:r>
      <w:r w:rsidRPr="007403CD">
        <w:rPr>
          <w:rFonts w:ascii="Tahoma" w:hAnsi="Tahoma" w:cs="Tahoma"/>
          <w:sz w:val="24"/>
          <w:szCs w:val="24"/>
        </w:rPr>
        <w:t xml:space="preserve"> </w:t>
      </w:r>
      <w:r w:rsidRPr="007403CD">
        <w:rPr>
          <w:rFonts w:ascii="Tahoma" w:hAnsi="Tahoma" w:cs="Tahoma"/>
          <w:b/>
          <w:sz w:val="24"/>
          <w:szCs w:val="24"/>
        </w:rPr>
        <w:t>Next Generation EU/NGUE</w:t>
      </w:r>
      <w:r w:rsidRPr="007403CD">
        <w:rPr>
          <w:rFonts w:ascii="Tahoma" w:hAnsi="Tahoma" w:cs="Tahoma"/>
          <w:sz w:val="24"/>
          <w:szCs w:val="24"/>
        </w:rPr>
        <w:t xml:space="preserve"> (instrumentul de redresare economică) – cca. 30 mld. euro (din care asistență financiară nerambursabilă în valoare de 14.2 mld. euro, alocați pentru Facilitate de Recuperare și Reziliență (RRF), 1,54  mil. euro alocați pentru React-EU</w:t>
      </w:r>
      <w:r w:rsidRPr="007403CD">
        <w:rPr>
          <w:rFonts w:ascii="Tahoma" w:hAnsi="Tahoma" w:cs="Tahoma"/>
          <w:color w:val="FF0000"/>
          <w:sz w:val="24"/>
          <w:szCs w:val="24"/>
        </w:rPr>
        <w:t xml:space="preserve"> </w:t>
      </w:r>
      <w:r w:rsidRPr="007403CD">
        <w:rPr>
          <w:rFonts w:ascii="Tahoma" w:hAnsi="Tahoma" w:cs="Tahoma"/>
          <w:sz w:val="24"/>
          <w:szCs w:val="24"/>
        </w:rPr>
        <w:t xml:space="preserve">și 1.2 mil. euro  alocați pentru Fondul de tranziției justă (JTF)) și 14,9 mld. euro din componenta împrumut aferentă RRF. </w:t>
      </w:r>
    </w:p>
    <w:p w:rsidR="009A58E7" w:rsidRPr="007403CD" w:rsidRDefault="009A58E7" w:rsidP="00231E72">
      <w:pPr>
        <w:spacing w:after="120" w:line="276" w:lineRule="auto"/>
        <w:ind w:firstLine="0"/>
        <w:rPr>
          <w:rFonts w:ascii="Tahoma" w:eastAsia="Calibri" w:hAnsi="Tahoma" w:cs="Tahoma"/>
          <w:sz w:val="24"/>
          <w:szCs w:val="24"/>
          <w:lang w:eastAsia="ro-RO"/>
        </w:rPr>
      </w:pPr>
      <w:r w:rsidRPr="007403CD">
        <w:rPr>
          <w:rFonts w:ascii="Tahoma" w:hAnsi="Tahoma" w:cs="Tahoma"/>
          <w:sz w:val="24"/>
          <w:szCs w:val="24"/>
        </w:rPr>
        <w:t>Până în prezent România a primit 13% din alocarea totală în cadrul RRF în valoare de 1,9 mld. euro în cadrul componentei de împrumut și 1,8 mld. euro sub formă de granturi.</w:t>
      </w:r>
      <w:r w:rsidRPr="007403CD">
        <w:rPr>
          <w:rFonts w:ascii="Tahoma" w:eastAsia="Calibri" w:hAnsi="Tahoma" w:cs="Tahoma"/>
          <w:sz w:val="24"/>
          <w:szCs w:val="24"/>
          <w:lang w:eastAsia="ro-RO"/>
        </w:rPr>
        <w:t xml:space="preserve"> De asemenea, în trimestrul II 2022, România a transmis CE, două cereri de plată, în valoare de 2.037,15 mil.</w:t>
      </w:r>
      <w:r w:rsidRPr="007403CD">
        <w:rPr>
          <w:rFonts w:ascii="Tahoma" w:eastAsia="Calibri" w:hAnsi="Tahoma" w:cs="Tahoma"/>
          <w:b/>
          <w:sz w:val="24"/>
          <w:szCs w:val="24"/>
          <w:lang w:eastAsia="ro-RO"/>
        </w:rPr>
        <w:t xml:space="preserve"> </w:t>
      </w:r>
      <w:r w:rsidRPr="007403CD">
        <w:rPr>
          <w:rFonts w:ascii="Tahoma" w:eastAsia="Calibri" w:hAnsi="Tahoma" w:cs="Tahoma"/>
          <w:sz w:val="24"/>
          <w:szCs w:val="24"/>
          <w:lang w:eastAsia="ro-RO"/>
        </w:rPr>
        <w:t>euro aferentă sprijinului financiar nerambursabil, și respectiv 907,67 mil. euro aferentă sprijinului sub formă de împrumut, plata celor două tranșe urmează a se realiza după evaluarea CE și numai după constatarea îndeplinirii satisfăcătoare a tuturor jaloanelor și țintelor asociate fiecărei cereri de plată.</w:t>
      </w:r>
    </w:p>
    <w:p w:rsidR="009A58E7" w:rsidRPr="007403CD" w:rsidRDefault="009A58E7" w:rsidP="00231E72">
      <w:pPr>
        <w:spacing w:after="120" w:line="276" w:lineRule="auto"/>
        <w:ind w:firstLine="0"/>
        <w:rPr>
          <w:rFonts w:ascii="Tahoma" w:hAnsi="Tahoma" w:cs="Tahoma"/>
          <w:sz w:val="24"/>
          <w:szCs w:val="24"/>
        </w:rPr>
      </w:pPr>
      <w:r w:rsidRPr="007403CD">
        <w:rPr>
          <w:rFonts w:ascii="Tahoma" w:hAnsi="Tahoma" w:cs="Tahoma"/>
          <w:sz w:val="24"/>
          <w:szCs w:val="24"/>
        </w:rPr>
        <w:t xml:space="preserve">În ceea ce privește </w:t>
      </w:r>
      <w:r w:rsidRPr="007403CD">
        <w:rPr>
          <w:rFonts w:ascii="Tahoma" w:hAnsi="Tahoma" w:cs="Tahoma"/>
          <w:b/>
          <w:sz w:val="24"/>
          <w:szCs w:val="24"/>
        </w:rPr>
        <w:t>CFM 2014-2020</w:t>
      </w:r>
      <w:r w:rsidRPr="007403CD">
        <w:rPr>
          <w:rFonts w:ascii="Tahoma" w:hAnsi="Tahoma" w:cs="Tahoma"/>
          <w:sz w:val="24"/>
          <w:szCs w:val="24"/>
        </w:rPr>
        <w:t xml:space="preserve">, sumele primite de România de la bugetul UE, în primul semestru al anului 2022, sunt în sumă de 4,19 mld. euro, din care 0,55 mld. euro reprezintă avansuri, iar rambursările (inclusiv sumele primite din FEGA) sunt în sumă de 3,66 mld. euro. Din punct de vedere al </w:t>
      </w:r>
      <w:r w:rsidR="003A634F" w:rsidRPr="007403CD">
        <w:rPr>
          <w:rFonts w:ascii="Tahoma" w:hAnsi="Tahoma" w:cs="Tahoma"/>
          <w:sz w:val="24"/>
          <w:szCs w:val="24"/>
        </w:rPr>
        <w:t>absorbției</w:t>
      </w:r>
      <w:r w:rsidRPr="007403CD">
        <w:rPr>
          <w:rFonts w:ascii="Tahoma" w:hAnsi="Tahoma" w:cs="Tahoma"/>
          <w:sz w:val="24"/>
          <w:szCs w:val="24"/>
        </w:rPr>
        <w:t xml:space="preserve"> pentru CFM 2014-2020, în anul 2022, cele mai bune rezultate au fost înregistrate de Fondul European pentru Garantare Agricolă (FEGA) prin intermediul căruia s-au atras 1,72 mld. euro (87,47% din suma estimată de 1,97 mld. euro).</w:t>
      </w:r>
    </w:p>
    <w:p w:rsidR="00A41270" w:rsidRPr="007403CD" w:rsidRDefault="005335C0" w:rsidP="00A41270">
      <w:pPr>
        <w:spacing w:after="160" w:line="259" w:lineRule="auto"/>
        <w:ind w:firstLine="0"/>
        <w:rPr>
          <w:rFonts w:ascii="Tahoma" w:hAnsi="Tahoma" w:cs="Tahoma"/>
          <w:sz w:val="24"/>
          <w:szCs w:val="24"/>
        </w:rPr>
      </w:pPr>
      <w:r w:rsidRPr="007403CD">
        <w:rPr>
          <w:noProof/>
          <w:lang w:val="en-US"/>
        </w:rPr>
        <w:drawing>
          <wp:inline distT="0" distB="0" distL="0" distR="0" wp14:anchorId="41EC66AC" wp14:editId="252BA1F6">
            <wp:extent cx="5757545" cy="3124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2402" cy="3137688"/>
                    </a:xfrm>
                    <a:prstGeom prst="rect">
                      <a:avLst/>
                    </a:prstGeom>
                    <a:noFill/>
                    <a:ln>
                      <a:noFill/>
                    </a:ln>
                  </pic:spPr>
                </pic:pic>
              </a:graphicData>
            </a:graphic>
          </wp:inline>
        </w:drawing>
      </w:r>
    </w:p>
    <w:p w:rsidR="005335C0" w:rsidRPr="007403CD" w:rsidRDefault="005335C0" w:rsidP="005335C0">
      <w:pPr>
        <w:spacing w:after="0"/>
        <w:ind w:firstLine="0"/>
        <w:rPr>
          <w:rFonts w:ascii="Arial Unicode MS" w:eastAsia="Times New Roman" w:hAnsi="Arial Unicode MS" w:cs="Arial"/>
          <w:sz w:val="16"/>
          <w:szCs w:val="16"/>
        </w:rPr>
      </w:pPr>
      <w:r w:rsidRPr="007403CD">
        <w:rPr>
          <w:rFonts w:ascii="Arial Unicode MS" w:eastAsia="Times New Roman" w:hAnsi="Arial Unicode MS" w:cs="Arial"/>
          <w:sz w:val="16"/>
          <w:szCs w:val="16"/>
        </w:rPr>
        <w:t>*) Cadrul financiar multianual</w:t>
      </w:r>
    </w:p>
    <w:p w:rsidR="005335C0" w:rsidRPr="007403CD" w:rsidRDefault="005335C0" w:rsidP="00A41270">
      <w:pPr>
        <w:spacing w:after="160" w:line="259" w:lineRule="auto"/>
        <w:ind w:firstLine="0"/>
        <w:rPr>
          <w:rFonts w:ascii="Tahoma" w:hAnsi="Tahoma" w:cs="Tahoma"/>
          <w:sz w:val="24"/>
          <w:szCs w:val="24"/>
        </w:rPr>
      </w:pPr>
      <w:r w:rsidRPr="007403CD">
        <w:rPr>
          <w:noProof/>
          <w:lang w:val="en-US"/>
        </w:rPr>
        <w:lastRenderedPageBreak/>
        <w:drawing>
          <wp:inline distT="0" distB="0" distL="0" distR="0" wp14:anchorId="15F12D2A" wp14:editId="605E7315">
            <wp:extent cx="5758633" cy="26368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4139" cy="2639396"/>
                    </a:xfrm>
                    <a:prstGeom prst="rect">
                      <a:avLst/>
                    </a:prstGeom>
                    <a:noFill/>
                    <a:ln>
                      <a:noFill/>
                    </a:ln>
                  </pic:spPr>
                </pic:pic>
              </a:graphicData>
            </a:graphic>
          </wp:inline>
        </w:drawing>
      </w:r>
    </w:p>
    <w:p w:rsidR="005335C0" w:rsidRPr="007403CD" w:rsidRDefault="005335C0">
      <w:pPr>
        <w:rPr>
          <w:rFonts w:ascii="Tahoma" w:eastAsiaTheme="majorEastAsia" w:hAnsi="Tahoma" w:cs="Tahoma"/>
          <w:b/>
          <w:sz w:val="24"/>
          <w:szCs w:val="24"/>
        </w:rPr>
      </w:pPr>
      <w:r w:rsidRPr="007403CD">
        <w:rPr>
          <w:rFonts w:ascii="Tahoma" w:hAnsi="Tahoma" w:cs="Tahoma"/>
          <w:b/>
          <w:sz w:val="24"/>
          <w:szCs w:val="24"/>
        </w:rPr>
        <w:br w:type="page"/>
      </w:r>
    </w:p>
    <w:p w:rsidR="00C60107" w:rsidRPr="007403CD" w:rsidRDefault="00C60107" w:rsidP="002A6579">
      <w:pPr>
        <w:pStyle w:val="Heading1"/>
        <w:spacing w:after="360" w:line="276" w:lineRule="auto"/>
        <w:ind w:left="374" w:firstLine="706"/>
        <w:rPr>
          <w:rFonts w:ascii="Tahoma" w:hAnsi="Tahoma" w:cs="Tahoma"/>
          <w:b/>
          <w:color w:val="auto"/>
          <w:sz w:val="24"/>
          <w:szCs w:val="24"/>
        </w:rPr>
      </w:pPr>
      <w:bookmarkStart w:id="31" w:name="_Toc109657577"/>
      <w:r w:rsidRPr="007403CD">
        <w:rPr>
          <w:rFonts w:ascii="Tahoma" w:hAnsi="Tahoma" w:cs="Tahoma"/>
          <w:b/>
          <w:color w:val="auto"/>
          <w:sz w:val="24"/>
          <w:szCs w:val="24"/>
        </w:rPr>
        <w:lastRenderedPageBreak/>
        <w:t>Concluzii</w:t>
      </w:r>
      <w:bookmarkEnd w:id="31"/>
    </w:p>
    <w:p w:rsidR="007D3B76" w:rsidRPr="007403CD" w:rsidRDefault="007D3B76" w:rsidP="00231E72">
      <w:pPr>
        <w:pStyle w:val="ListParagraph"/>
        <w:numPr>
          <w:ilvl w:val="1"/>
          <w:numId w:val="49"/>
        </w:numPr>
        <w:spacing w:before="120" w:after="120" w:line="276" w:lineRule="auto"/>
        <w:ind w:left="641" w:hanging="357"/>
        <w:contextualSpacing w:val="0"/>
        <w:rPr>
          <w:rFonts w:ascii="Tahoma" w:eastAsia="Times New Roman" w:hAnsi="Tahoma" w:cs="Tahoma"/>
          <w:sz w:val="24"/>
          <w:szCs w:val="24"/>
        </w:rPr>
      </w:pPr>
      <w:r w:rsidRPr="007403CD">
        <w:rPr>
          <w:rFonts w:ascii="Tahoma" w:eastAsia="Times New Roman" w:hAnsi="Tahoma" w:cs="Tahoma"/>
          <w:sz w:val="24"/>
          <w:szCs w:val="24"/>
        </w:rPr>
        <w:t xml:space="preserve">În primul trimestru din anul 2022, comparativ cu trimestrul I 2021 produsul intern brut s-a majorat  </w:t>
      </w:r>
      <w:r w:rsidR="007669DC" w:rsidRPr="007403CD">
        <w:rPr>
          <w:rFonts w:ascii="Tahoma" w:eastAsia="Times New Roman" w:hAnsi="Tahoma" w:cs="Tahoma"/>
          <w:sz w:val="24"/>
          <w:szCs w:val="24"/>
        </w:rPr>
        <w:t>față</w:t>
      </w:r>
      <w:r w:rsidRPr="007403CD">
        <w:rPr>
          <w:rFonts w:ascii="Tahoma" w:eastAsia="Times New Roman" w:hAnsi="Tahoma" w:cs="Tahoma"/>
          <w:sz w:val="24"/>
          <w:szCs w:val="24"/>
        </w:rPr>
        <w:t xml:space="preserve"> de </w:t>
      </w:r>
      <w:r w:rsidR="007669DC" w:rsidRPr="007403CD">
        <w:rPr>
          <w:rFonts w:ascii="Tahoma" w:eastAsia="Times New Roman" w:hAnsi="Tahoma" w:cs="Tahoma"/>
          <w:sz w:val="24"/>
          <w:szCs w:val="24"/>
        </w:rPr>
        <w:t>aceeași</w:t>
      </w:r>
      <w:r w:rsidRPr="007403CD">
        <w:rPr>
          <w:rFonts w:ascii="Tahoma" w:eastAsia="Times New Roman" w:hAnsi="Tahoma" w:cs="Tahoma"/>
          <w:sz w:val="24"/>
          <w:szCs w:val="24"/>
        </w:rPr>
        <w:t xml:space="preserve"> perioadă din 2021 cu 6,4% (pe serie brută, date provizorii). </w:t>
      </w:r>
      <w:r w:rsidR="007669DC" w:rsidRPr="007403CD">
        <w:rPr>
          <w:rFonts w:ascii="Tahoma" w:eastAsia="Times New Roman" w:hAnsi="Tahoma" w:cs="Tahoma"/>
          <w:sz w:val="24"/>
          <w:szCs w:val="24"/>
        </w:rPr>
        <w:t>Față</w:t>
      </w:r>
      <w:r w:rsidRPr="007403CD">
        <w:rPr>
          <w:rFonts w:ascii="Tahoma" w:eastAsia="Times New Roman" w:hAnsi="Tahoma" w:cs="Tahoma"/>
          <w:sz w:val="24"/>
          <w:szCs w:val="24"/>
        </w:rPr>
        <w:t xml:space="preserve"> de trimestrul IV din 2021, România a avut în trimestrul I 2022 a doua cea mai mare </w:t>
      </w:r>
      <w:r w:rsidR="007669DC" w:rsidRPr="007403CD">
        <w:rPr>
          <w:rFonts w:ascii="Tahoma" w:eastAsia="Times New Roman" w:hAnsi="Tahoma" w:cs="Tahoma"/>
          <w:sz w:val="24"/>
          <w:szCs w:val="24"/>
        </w:rPr>
        <w:t>creștere</w:t>
      </w:r>
      <w:r w:rsidRPr="007403CD">
        <w:rPr>
          <w:rFonts w:ascii="Tahoma" w:eastAsia="Times New Roman" w:hAnsi="Tahoma" w:cs="Tahoma"/>
          <w:sz w:val="24"/>
          <w:szCs w:val="24"/>
        </w:rPr>
        <w:t xml:space="preserve"> din UE, după Irlanda (10,8%), produsul intern brut avansând cu 5,1% (serie ajustată sezonier). In UE, economia a crescut cu doar 0,6%, iar în zona euro cu 0,5%.</w:t>
      </w:r>
    </w:p>
    <w:p w:rsidR="00095E25" w:rsidRPr="007403CD" w:rsidRDefault="00C60107" w:rsidP="00231E72">
      <w:pPr>
        <w:pStyle w:val="ListParagraph"/>
        <w:numPr>
          <w:ilvl w:val="1"/>
          <w:numId w:val="49"/>
        </w:numPr>
        <w:spacing w:before="120" w:after="120" w:line="276" w:lineRule="auto"/>
        <w:ind w:left="641" w:hanging="357"/>
        <w:contextualSpacing w:val="0"/>
        <w:rPr>
          <w:rFonts w:ascii="Tahoma" w:eastAsia="Times New Roman" w:hAnsi="Tahoma" w:cs="Tahoma"/>
          <w:sz w:val="24"/>
          <w:szCs w:val="24"/>
        </w:rPr>
      </w:pPr>
      <w:r w:rsidRPr="007403CD">
        <w:rPr>
          <w:rFonts w:ascii="Tahoma" w:eastAsia="Times New Roman" w:hAnsi="Tahoma" w:cs="Tahoma"/>
          <w:sz w:val="24"/>
          <w:szCs w:val="24"/>
        </w:rPr>
        <w:t>Soldul bugetului general consolidat la semestrul I 20</w:t>
      </w:r>
      <w:r w:rsidR="000D44BC" w:rsidRPr="007403CD">
        <w:rPr>
          <w:rFonts w:ascii="Tahoma" w:eastAsia="Times New Roman" w:hAnsi="Tahoma" w:cs="Tahoma"/>
          <w:sz w:val="24"/>
          <w:szCs w:val="24"/>
        </w:rPr>
        <w:t>2</w:t>
      </w:r>
      <w:r w:rsidR="00B10B85" w:rsidRPr="007403CD">
        <w:rPr>
          <w:rFonts w:ascii="Tahoma" w:eastAsia="Times New Roman" w:hAnsi="Tahoma" w:cs="Tahoma"/>
          <w:sz w:val="24"/>
          <w:szCs w:val="24"/>
        </w:rPr>
        <w:t>2</w:t>
      </w:r>
      <w:r w:rsidRPr="007403CD">
        <w:rPr>
          <w:rFonts w:ascii="Tahoma" w:eastAsia="Times New Roman" w:hAnsi="Tahoma" w:cs="Tahoma"/>
          <w:sz w:val="24"/>
          <w:szCs w:val="24"/>
        </w:rPr>
        <w:t xml:space="preserve"> s-a încadrat în ținta stabilită.</w:t>
      </w:r>
      <w:r w:rsidR="009C7DAD" w:rsidRPr="007403CD">
        <w:rPr>
          <w:rFonts w:ascii="Tahoma" w:hAnsi="Tahoma" w:cs="Tahoma"/>
          <w:sz w:val="24"/>
          <w:szCs w:val="24"/>
        </w:rPr>
        <w:t xml:space="preserve"> D</w:t>
      </w:r>
      <w:r w:rsidR="00095E25" w:rsidRPr="007403CD">
        <w:rPr>
          <w:rFonts w:ascii="Tahoma" w:eastAsia="Times New Roman" w:hAnsi="Tahoma" w:cs="Tahoma"/>
          <w:sz w:val="24"/>
          <w:szCs w:val="24"/>
        </w:rPr>
        <w:t xml:space="preserve">eficitul înregistrat a fost </w:t>
      </w:r>
      <w:r w:rsidR="002E13BC" w:rsidRPr="007403CD">
        <w:rPr>
          <w:rFonts w:ascii="Tahoma" w:eastAsia="Times New Roman" w:hAnsi="Tahoma" w:cs="Tahoma"/>
          <w:sz w:val="24"/>
          <w:szCs w:val="24"/>
        </w:rPr>
        <w:t xml:space="preserve">influențat </w:t>
      </w:r>
      <w:r w:rsidR="00095E25" w:rsidRPr="007403CD">
        <w:rPr>
          <w:rFonts w:ascii="Tahoma" w:eastAsia="Times New Roman" w:hAnsi="Tahoma" w:cs="Tahoma"/>
          <w:sz w:val="24"/>
          <w:szCs w:val="24"/>
        </w:rPr>
        <w:t xml:space="preserve">de </w:t>
      </w:r>
      <w:r w:rsidR="00B10B85" w:rsidRPr="007403CD">
        <w:rPr>
          <w:rFonts w:ascii="Tahoma" w:eastAsia="Times New Roman" w:hAnsi="Tahoma" w:cs="Tahoma"/>
          <w:sz w:val="24"/>
          <w:szCs w:val="24"/>
        </w:rPr>
        <w:t xml:space="preserve">nerealizarea cheltuielilor programate pentru primul semestru al anului 2022 și de încasările bugetare superioare nivelului programat. </w:t>
      </w:r>
    </w:p>
    <w:p w:rsidR="00B10B85" w:rsidRPr="007403CD" w:rsidRDefault="00B10B85" w:rsidP="00231E72">
      <w:pPr>
        <w:pStyle w:val="ListParagraph"/>
        <w:numPr>
          <w:ilvl w:val="1"/>
          <w:numId w:val="49"/>
        </w:numPr>
        <w:spacing w:before="120" w:after="120" w:line="276" w:lineRule="auto"/>
        <w:ind w:left="641" w:hanging="357"/>
        <w:contextualSpacing w:val="0"/>
        <w:rPr>
          <w:rFonts w:ascii="Tahoma" w:eastAsia="Times New Roman" w:hAnsi="Tahoma" w:cs="Tahoma"/>
          <w:sz w:val="24"/>
          <w:szCs w:val="24"/>
        </w:rPr>
      </w:pPr>
      <w:r w:rsidRPr="007403CD">
        <w:rPr>
          <w:rFonts w:ascii="Tahoma" w:hAnsi="Tahoma" w:cs="Tahoma"/>
          <w:sz w:val="24"/>
          <w:szCs w:val="24"/>
        </w:rPr>
        <w:t>Datoria guvernamentală conform metodologiei UE s-a situat la data de 30 aprilie 2022 la un nivel de 49,2% din PIB în creștere, comparativ cu nivelul de 48,8% din PIB, cât s-a înregistrat la sfârșitul anului 2021, situându-se sub plafonul de 60% stabilit prin Tratatul de la Maastricht</w:t>
      </w:r>
      <w:r w:rsidR="007669DC">
        <w:rPr>
          <w:rFonts w:ascii="Tahoma" w:hAnsi="Tahoma" w:cs="Tahoma"/>
          <w:sz w:val="24"/>
          <w:szCs w:val="24"/>
        </w:rPr>
        <w:t xml:space="preserve"> </w:t>
      </w:r>
      <w:r w:rsidRPr="007403CD">
        <w:rPr>
          <w:rFonts w:ascii="Tahoma" w:hAnsi="Tahoma" w:cs="Tahoma"/>
          <w:sz w:val="24"/>
          <w:szCs w:val="24"/>
        </w:rPr>
        <w:t xml:space="preserve">cât și sub </w:t>
      </w:r>
      <w:r w:rsidRPr="007403CD">
        <w:rPr>
          <w:rFonts w:ascii="Tahoma" w:eastAsia="Times New Roman" w:hAnsi="Tahoma" w:cs="Tahoma"/>
          <w:sz w:val="24"/>
          <w:szCs w:val="24"/>
        </w:rPr>
        <w:t xml:space="preserve">plafonul de 49,8% din PIB stabilit prin Legea nr. 312/2021, pentru aprobarea plafoanelor unor indicatori </w:t>
      </w:r>
      <w:r w:rsidR="007669DC" w:rsidRPr="007403CD">
        <w:rPr>
          <w:rFonts w:ascii="Tahoma" w:eastAsia="Times New Roman" w:hAnsi="Tahoma" w:cs="Tahoma"/>
          <w:sz w:val="24"/>
          <w:szCs w:val="24"/>
        </w:rPr>
        <w:t>specificați</w:t>
      </w:r>
      <w:r w:rsidRPr="007403CD">
        <w:rPr>
          <w:rFonts w:ascii="Tahoma" w:eastAsia="Times New Roman" w:hAnsi="Tahoma" w:cs="Tahoma"/>
          <w:sz w:val="24"/>
          <w:szCs w:val="24"/>
        </w:rPr>
        <w:t xml:space="preserve"> în cadrul fiscal-bugetar pe anul 2022</w:t>
      </w:r>
      <w:r w:rsidR="00631554" w:rsidRPr="007403CD">
        <w:rPr>
          <w:rFonts w:ascii="Tahoma" w:eastAsia="Times New Roman" w:hAnsi="Tahoma" w:cs="Tahoma"/>
          <w:sz w:val="24"/>
          <w:szCs w:val="24"/>
        </w:rPr>
        <w:t>.</w:t>
      </w:r>
    </w:p>
    <w:p w:rsidR="00C60107" w:rsidRPr="007403CD" w:rsidRDefault="00C60107" w:rsidP="00231E72">
      <w:pPr>
        <w:pStyle w:val="ListParagraph"/>
        <w:widowControl w:val="0"/>
        <w:numPr>
          <w:ilvl w:val="1"/>
          <w:numId w:val="49"/>
        </w:numPr>
        <w:spacing w:before="120" w:after="120" w:line="276" w:lineRule="auto"/>
        <w:ind w:left="641" w:hanging="357"/>
        <w:contextualSpacing w:val="0"/>
        <w:rPr>
          <w:rFonts w:ascii="Tahoma" w:hAnsi="Tahoma" w:cs="Tahoma"/>
          <w:sz w:val="24"/>
          <w:szCs w:val="24"/>
        </w:rPr>
      </w:pPr>
      <w:r w:rsidRPr="007403CD">
        <w:rPr>
          <w:rFonts w:ascii="Tahoma" w:hAnsi="Tahoma" w:cs="Tahoma"/>
          <w:sz w:val="24"/>
          <w:szCs w:val="24"/>
        </w:rPr>
        <w:t xml:space="preserve">Veniturile bugetului general consolidat au fost </w:t>
      </w:r>
      <w:r w:rsidR="002E13BC" w:rsidRPr="007403CD">
        <w:rPr>
          <w:rFonts w:ascii="Tahoma" w:hAnsi="Tahoma" w:cs="Tahoma"/>
          <w:sz w:val="24"/>
          <w:szCs w:val="24"/>
        </w:rPr>
        <w:t xml:space="preserve">superioare </w:t>
      </w:r>
      <w:r w:rsidRPr="007403CD">
        <w:rPr>
          <w:rFonts w:ascii="Tahoma" w:hAnsi="Tahoma" w:cs="Tahoma"/>
          <w:sz w:val="24"/>
          <w:szCs w:val="24"/>
        </w:rPr>
        <w:t>încasărilor din perioada similară a anului anterior, atât în termeni nominali cât și ca raport</w:t>
      </w:r>
      <w:r w:rsidR="00B10B85" w:rsidRPr="007403CD">
        <w:rPr>
          <w:rFonts w:ascii="Tahoma" w:hAnsi="Tahoma" w:cs="Tahoma"/>
          <w:sz w:val="24"/>
          <w:szCs w:val="24"/>
        </w:rPr>
        <w:t xml:space="preserve"> </w:t>
      </w:r>
      <w:r w:rsidRPr="007403CD">
        <w:rPr>
          <w:rFonts w:ascii="Tahoma" w:hAnsi="Tahoma" w:cs="Tahoma"/>
          <w:sz w:val="24"/>
          <w:szCs w:val="24"/>
        </w:rPr>
        <w:t>în PIB</w:t>
      </w:r>
      <w:r w:rsidR="00B76831" w:rsidRPr="007403CD">
        <w:rPr>
          <w:rFonts w:ascii="Tahoma" w:hAnsi="Tahoma" w:cs="Tahoma"/>
          <w:sz w:val="24"/>
          <w:szCs w:val="24"/>
        </w:rPr>
        <w:t>,</w:t>
      </w:r>
      <w:r w:rsidR="00BA087F" w:rsidRPr="007403CD">
        <w:rPr>
          <w:rFonts w:ascii="Tahoma" w:hAnsi="Tahoma" w:cs="Tahoma"/>
          <w:sz w:val="24"/>
          <w:szCs w:val="24"/>
        </w:rPr>
        <w:t xml:space="preserve"> </w:t>
      </w:r>
      <w:r w:rsidR="00B76831" w:rsidRPr="007403CD">
        <w:rPr>
          <w:rFonts w:ascii="Tahoma" w:hAnsi="Tahoma" w:cs="Tahoma"/>
          <w:sz w:val="24"/>
          <w:szCs w:val="24"/>
        </w:rPr>
        <w:t>în principal, ca urmare a</w:t>
      </w:r>
      <w:r w:rsidR="00BA087F" w:rsidRPr="007403CD">
        <w:rPr>
          <w:rFonts w:ascii="Tahoma" w:hAnsi="Tahoma" w:cs="Tahoma"/>
          <w:sz w:val="24"/>
          <w:szCs w:val="24"/>
        </w:rPr>
        <w:t xml:space="preserve"> creșterii veniturilor din economia internă </w:t>
      </w:r>
      <w:r w:rsidR="006E0ADC" w:rsidRPr="007403CD">
        <w:rPr>
          <w:rFonts w:ascii="Tahoma" w:hAnsi="Tahoma" w:cs="Tahoma"/>
          <w:sz w:val="24"/>
          <w:szCs w:val="24"/>
        </w:rPr>
        <w:t xml:space="preserve">pe fondul </w:t>
      </w:r>
      <w:r w:rsidR="00BA087F" w:rsidRPr="007403CD">
        <w:rPr>
          <w:rFonts w:ascii="Tahoma" w:hAnsi="Tahoma" w:cs="Tahoma"/>
          <w:sz w:val="24"/>
          <w:szCs w:val="24"/>
        </w:rPr>
        <w:t xml:space="preserve">creșterii presiunilor inflaționiste și a creșterii economice înregistrate în prima parte a anului. </w:t>
      </w:r>
    </w:p>
    <w:p w:rsidR="00107683" w:rsidRPr="007403CD" w:rsidRDefault="00254FAB" w:rsidP="00231E72">
      <w:pPr>
        <w:pStyle w:val="ListParagraph"/>
        <w:numPr>
          <w:ilvl w:val="1"/>
          <w:numId w:val="49"/>
        </w:numPr>
        <w:spacing w:before="120" w:after="120" w:line="276" w:lineRule="auto"/>
        <w:ind w:left="641" w:hanging="357"/>
        <w:contextualSpacing w:val="0"/>
        <w:rPr>
          <w:rFonts w:ascii="Tahoma" w:eastAsia="Times New Roman" w:hAnsi="Tahoma" w:cs="Tahoma"/>
          <w:sz w:val="24"/>
          <w:szCs w:val="24"/>
        </w:rPr>
      </w:pPr>
      <w:r w:rsidRPr="007403CD">
        <w:rPr>
          <w:rFonts w:ascii="Tahoma" w:eastAsia="Times New Roman" w:hAnsi="Tahoma" w:cs="Tahoma"/>
          <w:sz w:val="24"/>
          <w:szCs w:val="24"/>
        </w:rPr>
        <w:t>Absorbția</w:t>
      </w:r>
      <w:r w:rsidR="00C60107" w:rsidRPr="007403CD">
        <w:rPr>
          <w:rFonts w:ascii="Tahoma" w:eastAsia="Times New Roman" w:hAnsi="Tahoma" w:cs="Tahoma"/>
          <w:sz w:val="24"/>
          <w:szCs w:val="24"/>
        </w:rPr>
        <w:t xml:space="preserve"> fondurilor externe nerambursabile reprezintă </w:t>
      </w:r>
      <w:r w:rsidR="00E30356" w:rsidRPr="007403CD">
        <w:rPr>
          <w:rFonts w:ascii="Tahoma" w:eastAsia="Times New Roman" w:hAnsi="Tahoma" w:cs="Tahoma"/>
          <w:sz w:val="24"/>
          <w:szCs w:val="24"/>
        </w:rPr>
        <w:t xml:space="preserve">o prioritate pentru România și </w:t>
      </w:r>
      <w:r w:rsidR="00107683" w:rsidRPr="007403CD">
        <w:rPr>
          <w:rFonts w:ascii="Tahoma" w:eastAsia="Times New Roman" w:hAnsi="Tahoma" w:cs="Tahoma"/>
          <w:sz w:val="24"/>
          <w:szCs w:val="24"/>
        </w:rPr>
        <w:t>deși sumele din fonduri externe nerambursabile încasate în semestrul I 202</w:t>
      </w:r>
      <w:r w:rsidR="00BA087F" w:rsidRPr="007403CD">
        <w:rPr>
          <w:rFonts w:ascii="Tahoma" w:eastAsia="Times New Roman" w:hAnsi="Tahoma" w:cs="Tahoma"/>
          <w:sz w:val="24"/>
          <w:szCs w:val="24"/>
        </w:rPr>
        <w:t>2</w:t>
      </w:r>
      <w:r w:rsidR="00107683" w:rsidRPr="007403CD">
        <w:rPr>
          <w:rFonts w:ascii="Tahoma" w:eastAsia="Times New Roman" w:hAnsi="Tahoma" w:cs="Tahoma"/>
          <w:sz w:val="24"/>
          <w:szCs w:val="24"/>
        </w:rPr>
        <w:t xml:space="preserve"> au fost considerabil mai mari comparativ cu semestrul I 202</w:t>
      </w:r>
      <w:r w:rsidR="00BA087F" w:rsidRPr="007403CD">
        <w:rPr>
          <w:rFonts w:ascii="Tahoma" w:eastAsia="Times New Roman" w:hAnsi="Tahoma" w:cs="Tahoma"/>
          <w:sz w:val="24"/>
          <w:szCs w:val="24"/>
        </w:rPr>
        <w:t>1</w:t>
      </w:r>
      <w:r w:rsidR="00107683" w:rsidRPr="007403CD">
        <w:rPr>
          <w:rFonts w:ascii="Tahoma" w:eastAsia="Times New Roman" w:hAnsi="Tahoma" w:cs="Tahoma"/>
          <w:sz w:val="24"/>
          <w:szCs w:val="24"/>
        </w:rPr>
        <w:t xml:space="preserve"> totuși acestea s-au situat la un nivel redus față de cel programat pentru perioada analizată. Ca urmare este necesar ca în partea a doua a anului 202</w:t>
      </w:r>
      <w:r w:rsidR="00BA087F" w:rsidRPr="007403CD">
        <w:rPr>
          <w:rFonts w:ascii="Tahoma" w:eastAsia="Times New Roman" w:hAnsi="Tahoma" w:cs="Tahoma"/>
          <w:sz w:val="24"/>
          <w:szCs w:val="24"/>
        </w:rPr>
        <w:t>2</w:t>
      </w:r>
      <w:r w:rsidR="00107683" w:rsidRPr="007403CD">
        <w:rPr>
          <w:rFonts w:ascii="Tahoma" w:eastAsia="Times New Roman" w:hAnsi="Tahoma" w:cs="Tahoma"/>
          <w:sz w:val="24"/>
          <w:szCs w:val="24"/>
        </w:rPr>
        <w:t xml:space="preserve"> să se intensifice eforturile de </w:t>
      </w:r>
      <w:r w:rsidR="00AC49B5" w:rsidRPr="007403CD">
        <w:rPr>
          <w:rFonts w:ascii="Tahoma" w:eastAsia="Times New Roman" w:hAnsi="Tahoma" w:cs="Tahoma"/>
          <w:sz w:val="24"/>
          <w:szCs w:val="24"/>
        </w:rPr>
        <w:t>absorbție</w:t>
      </w:r>
      <w:r w:rsidR="00107683" w:rsidRPr="007403CD">
        <w:rPr>
          <w:rFonts w:ascii="Tahoma" w:eastAsia="Times New Roman" w:hAnsi="Tahoma" w:cs="Tahoma"/>
          <w:sz w:val="24"/>
          <w:szCs w:val="24"/>
        </w:rPr>
        <w:t xml:space="preserve"> a acestor fonduri.</w:t>
      </w:r>
    </w:p>
    <w:p w:rsidR="00C60107" w:rsidRPr="007403CD" w:rsidRDefault="00C60107" w:rsidP="00231E72">
      <w:pPr>
        <w:pStyle w:val="ListParagraph"/>
        <w:numPr>
          <w:ilvl w:val="0"/>
          <w:numId w:val="49"/>
        </w:numPr>
        <w:spacing w:before="120" w:after="120" w:line="276" w:lineRule="auto"/>
        <w:ind w:left="641" w:hanging="357"/>
        <w:contextualSpacing w:val="0"/>
        <w:rPr>
          <w:rFonts w:ascii="Tahoma" w:hAnsi="Tahoma" w:cs="Tahoma"/>
          <w:sz w:val="24"/>
          <w:szCs w:val="24"/>
        </w:rPr>
      </w:pPr>
      <w:r w:rsidRPr="007403CD">
        <w:rPr>
          <w:rFonts w:ascii="Tahoma" w:hAnsi="Tahoma" w:cs="Tahoma"/>
          <w:sz w:val="24"/>
          <w:szCs w:val="24"/>
        </w:rPr>
        <w:t xml:space="preserve">Cheltuielile bugetului general consolidat au fost cu </w:t>
      </w:r>
      <w:r w:rsidR="006E0ADC" w:rsidRPr="007403CD">
        <w:rPr>
          <w:rFonts w:ascii="Tahoma" w:hAnsi="Tahoma" w:cs="Tahoma"/>
          <w:sz w:val="24"/>
          <w:szCs w:val="24"/>
        </w:rPr>
        <w:t>14,3</w:t>
      </w:r>
      <w:r w:rsidRPr="007403CD">
        <w:rPr>
          <w:rFonts w:ascii="Tahoma" w:hAnsi="Tahoma" w:cs="Tahoma"/>
          <w:sz w:val="24"/>
          <w:szCs w:val="24"/>
        </w:rPr>
        <w:t>% mai mari comparativ cu aceeași perioadă a anului anterior, situându-se sub nivelul programat.</w:t>
      </w:r>
    </w:p>
    <w:p w:rsidR="00E940C4" w:rsidRPr="007403CD" w:rsidRDefault="00C60107" w:rsidP="00231E72">
      <w:pPr>
        <w:pStyle w:val="ListParagraph"/>
        <w:numPr>
          <w:ilvl w:val="0"/>
          <w:numId w:val="49"/>
        </w:numPr>
        <w:spacing w:before="240" w:after="120" w:line="276" w:lineRule="auto"/>
        <w:ind w:left="641" w:hanging="357"/>
        <w:contextualSpacing w:val="0"/>
        <w:rPr>
          <w:rFonts w:ascii="Tahoma" w:hAnsi="Tahoma" w:cs="Tahoma"/>
          <w:sz w:val="24"/>
          <w:szCs w:val="24"/>
        </w:rPr>
      </w:pPr>
      <w:r w:rsidRPr="007403CD">
        <w:rPr>
          <w:rFonts w:ascii="Tahoma" w:hAnsi="Tahoma" w:cs="Tahoma"/>
          <w:sz w:val="24"/>
          <w:szCs w:val="24"/>
        </w:rPr>
        <w:t xml:space="preserve">Cheltuielile pentru investiții </w:t>
      </w:r>
      <w:bookmarkEnd w:id="26"/>
      <w:bookmarkEnd w:id="27"/>
      <w:bookmarkEnd w:id="28"/>
      <w:bookmarkEnd w:id="29"/>
      <w:bookmarkEnd w:id="30"/>
      <w:r w:rsidR="006E0ADC" w:rsidRPr="007403CD">
        <w:rPr>
          <w:rFonts w:ascii="Tahoma" w:hAnsi="Tahoma" w:cs="Tahoma"/>
          <w:sz w:val="24"/>
          <w:szCs w:val="24"/>
        </w:rPr>
        <w:t xml:space="preserve">s-au </w:t>
      </w:r>
      <w:r w:rsidR="00631554" w:rsidRPr="007403CD">
        <w:rPr>
          <w:rFonts w:ascii="Tahoma" w:hAnsi="Tahoma" w:cs="Tahoma"/>
          <w:sz w:val="24"/>
          <w:szCs w:val="24"/>
        </w:rPr>
        <w:t>efectuat</w:t>
      </w:r>
      <w:r w:rsidR="006E0ADC" w:rsidRPr="007403CD">
        <w:rPr>
          <w:rFonts w:ascii="Tahoma" w:hAnsi="Tahoma" w:cs="Tahoma"/>
          <w:sz w:val="24"/>
          <w:szCs w:val="24"/>
        </w:rPr>
        <w:t xml:space="preserve"> în principal </w:t>
      </w:r>
      <w:r w:rsidR="00631554" w:rsidRPr="007403CD">
        <w:rPr>
          <w:rFonts w:ascii="Tahoma" w:eastAsia="Arial" w:hAnsi="Tahoma" w:cs="Tahoma"/>
          <w:sz w:val="24"/>
          <w:szCs w:val="24"/>
          <w:shd w:val="clear" w:color="auto" w:fill="FFFFFF"/>
        </w:rPr>
        <w:t>pentru</w:t>
      </w:r>
      <w:r w:rsidR="00E940C4" w:rsidRPr="007403CD">
        <w:rPr>
          <w:rFonts w:ascii="Tahoma" w:eastAsia="Arial" w:hAnsi="Tahoma" w:cs="Tahoma"/>
          <w:sz w:val="24"/>
          <w:szCs w:val="24"/>
          <w:shd w:val="clear" w:color="auto" w:fill="FFFFFF"/>
        </w:rPr>
        <w:t xml:space="preserve"> </w:t>
      </w:r>
      <w:r w:rsidR="006E0ADC" w:rsidRPr="007403CD">
        <w:rPr>
          <w:rFonts w:ascii="Tahoma" w:eastAsia="Arial" w:hAnsi="Tahoma" w:cs="Tahoma"/>
          <w:sz w:val="24"/>
          <w:szCs w:val="24"/>
          <w:shd w:val="clear" w:color="auto" w:fill="FFFFFF"/>
        </w:rPr>
        <w:t>proiectel</w:t>
      </w:r>
      <w:r w:rsidR="00E940C4" w:rsidRPr="007403CD">
        <w:rPr>
          <w:rFonts w:ascii="Tahoma" w:eastAsia="Arial" w:hAnsi="Tahoma" w:cs="Tahoma"/>
          <w:sz w:val="24"/>
          <w:szCs w:val="24"/>
          <w:shd w:val="clear" w:color="auto" w:fill="FFFFFF"/>
        </w:rPr>
        <w:t>e</w:t>
      </w:r>
      <w:r w:rsidR="006E0ADC" w:rsidRPr="007403CD">
        <w:rPr>
          <w:rFonts w:ascii="Tahoma" w:eastAsia="Arial" w:hAnsi="Tahoma" w:cs="Tahoma"/>
          <w:sz w:val="24"/>
          <w:szCs w:val="24"/>
          <w:shd w:val="clear" w:color="auto" w:fill="FFFFFF"/>
        </w:rPr>
        <w:t xml:space="preserve"> finanțate din fonduri externe nerambursabile postaderare, acestea reprezentând 57,1% din totalul cheltuielilor pentru investiții pe primele șase luni ale anului 2022</w:t>
      </w:r>
      <w:r w:rsidR="00E940C4" w:rsidRPr="007403CD">
        <w:rPr>
          <w:rFonts w:ascii="Tahoma" w:eastAsia="Arial" w:hAnsi="Tahoma" w:cs="Tahoma"/>
          <w:sz w:val="24"/>
          <w:szCs w:val="24"/>
          <w:shd w:val="clear" w:color="auto" w:fill="FFFFFF"/>
        </w:rPr>
        <w:t>.</w:t>
      </w:r>
    </w:p>
    <w:p w:rsidR="00D90007" w:rsidRPr="007403CD" w:rsidRDefault="00D90007" w:rsidP="00231E72">
      <w:pPr>
        <w:pStyle w:val="ListParagraph"/>
        <w:numPr>
          <w:ilvl w:val="0"/>
          <w:numId w:val="49"/>
        </w:numPr>
        <w:spacing w:before="240" w:after="120" w:line="276" w:lineRule="auto"/>
        <w:ind w:left="641" w:hanging="357"/>
        <w:contextualSpacing w:val="0"/>
        <w:rPr>
          <w:rFonts w:ascii="Tahoma" w:hAnsi="Tahoma" w:cs="Tahoma"/>
          <w:sz w:val="24"/>
          <w:szCs w:val="24"/>
        </w:rPr>
      </w:pPr>
      <w:r w:rsidRPr="007403CD">
        <w:rPr>
          <w:rFonts w:ascii="Tahoma" w:hAnsi="Tahoma" w:cs="Tahoma"/>
          <w:bCs/>
          <w:sz w:val="24"/>
          <w:szCs w:val="24"/>
        </w:rPr>
        <w:t>Având în vedere execuția bugetară din primul semestru al anului 202</w:t>
      </w:r>
      <w:r w:rsidR="00E940C4" w:rsidRPr="007403CD">
        <w:rPr>
          <w:rFonts w:ascii="Tahoma" w:hAnsi="Tahoma" w:cs="Tahoma"/>
          <w:bCs/>
          <w:sz w:val="24"/>
          <w:szCs w:val="24"/>
        </w:rPr>
        <w:t>2</w:t>
      </w:r>
      <w:r w:rsidRPr="007403CD">
        <w:rPr>
          <w:rFonts w:ascii="Tahoma" w:hAnsi="Tahoma" w:cs="Tahoma"/>
          <w:bCs/>
          <w:sz w:val="24"/>
          <w:szCs w:val="24"/>
        </w:rPr>
        <w:t xml:space="preserve"> apreciem că </w:t>
      </w:r>
      <w:r w:rsidR="00851553" w:rsidRPr="007403CD">
        <w:rPr>
          <w:rFonts w:ascii="Tahoma" w:hAnsi="Tahoma" w:cs="Tahoma"/>
          <w:bCs/>
          <w:sz w:val="24"/>
          <w:szCs w:val="24"/>
        </w:rPr>
        <w:t xml:space="preserve">la acest moment </w:t>
      </w:r>
      <w:r w:rsidRPr="007403CD">
        <w:rPr>
          <w:rFonts w:ascii="Tahoma" w:hAnsi="Tahoma" w:cs="Tahoma"/>
          <w:bCs/>
          <w:sz w:val="24"/>
          <w:szCs w:val="24"/>
        </w:rPr>
        <w:t xml:space="preserve">nu sunt </w:t>
      </w:r>
      <w:r w:rsidR="00851553" w:rsidRPr="007403CD">
        <w:rPr>
          <w:rFonts w:ascii="Tahoma" w:hAnsi="Tahoma" w:cs="Tahoma"/>
          <w:bCs/>
          <w:sz w:val="24"/>
          <w:szCs w:val="24"/>
        </w:rPr>
        <w:t xml:space="preserve">evidente </w:t>
      </w:r>
      <w:r w:rsidRPr="007403CD">
        <w:rPr>
          <w:rFonts w:ascii="Tahoma" w:hAnsi="Tahoma" w:cs="Tahoma"/>
          <w:bCs/>
          <w:sz w:val="24"/>
          <w:szCs w:val="24"/>
        </w:rPr>
        <w:t>elemente care să conduc</w:t>
      </w:r>
      <w:r w:rsidR="000A5141" w:rsidRPr="007403CD">
        <w:rPr>
          <w:rFonts w:ascii="Tahoma" w:hAnsi="Tahoma" w:cs="Tahoma"/>
          <w:bCs/>
          <w:sz w:val="24"/>
          <w:szCs w:val="24"/>
        </w:rPr>
        <w:t>ă</w:t>
      </w:r>
      <w:r w:rsidRPr="007403CD">
        <w:rPr>
          <w:rFonts w:ascii="Tahoma" w:hAnsi="Tahoma" w:cs="Tahoma"/>
          <w:bCs/>
          <w:sz w:val="24"/>
          <w:szCs w:val="24"/>
        </w:rPr>
        <w:t xml:space="preserve"> la depășirea țintei de deficit stabilită inițial.</w:t>
      </w:r>
      <w:r w:rsidR="000A5141" w:rsidRPr="007403CD">
        <w:rPr>
          <w:rFonts w:ascii="Tahoma" w:hAnsi="Tahoma" w:cs="Tahoma"/>
          <w:bCs/>
          <w:sz w:val="24"/>
          <w:szCs w:val="24"/>
        </w:rPr>
        <w:t xml:space="preserve"> Totuși până la sfârșitul anului 202</w:t>
      </w:r>
      <w:r w:rsidR="00E940C4" w:rsidRPr="007403CD">
        <w:rPr>
          <w:rFonts w:ascii="Tahoma" w:hAnsi="Tahoma" w:cs="Tahoma"/>
          <w:bCs/>
          <w:sz w:val="24"/>
          <w:szCs w:val="24"/>
        </w:rPr>
        <w:t>2</w:t>
      </w:r>
      <w:r w:rsidR="000A5141" w:rsidRPr="007403CD">
        <w:rPr>
          <w:rFonts w:ascii="Tahoma" w:hAnsi="Tahoma" w:cs="Tahoma"/>
          <w:bCs/>
          <w:sz w:val="24"/>
          <w:szCs w:val="24"/>
        </w:rPr>
        <w:t xml:space="preserve">, </w:t>
      </w:r>
      <w:r w:rsidR="00E940C4" w:rsidRPr="007403CD">
        <w:rPr>
          <w:rFonts w:ascii="Tahoma" w:hAnsi="Tahoma" w:cs="Tahoma"/>
          <w:bCs/>
          <w:sz w:val="24"/>
          <w:szCs w:val="24"/>
        </w:rPr>
        <w:t>având în vedere contextul macroeconomic dificil generat de presiunea inflaționistă,</w:t>
      </w:r>
      <w:r w:rsidR="00CD0DA2">
        <w:rPr>
          <w:rFonts w:ascii="Tahoma" w:hAnsi="Tahoma" w:cs="Tahoma"/>
          <w:bCs/>
          <w:sz w:val="24"/>
          <w:szCs w:val="24"/>
        </w:rPr>
        <w:t xml:space="preserve"> </w:t>
      </w:r>
      <w:r w:rsidR="00CD0DA2" w:rsidRPr="007403CD">
        <w:rPr>
          <w:rFonts w:ascii="Tahoma" w:hAnsi="Tahoma" w:cs="Tahoma"/>
          <w:sz w:val="24"/>
          <w:szCs w:val="24"/>
        </w:rPr>
        <w:lastRenderedPageBreak/>
        <w:t>compensarea facturilor pentru energie electrică și gaze naturale</w:t>
      </w:r>
      <w:r w:rsidR="00FD001E">
        <w:rPr>
          <w:rFonts w:ascii="Tahoma" w:hAnsi="Tahoma" w:cs="Tahoma"/>
          <w:bCs/>
          <w:sz w:val="24"/>
          <w:szCs w:val="24"/>
        </w:rPr>
        <w:t xml:space="preserve">, </w:t>
      </w:r>
      <w:r w:rsidR="00E940C4" w:rsidRPr="007403CD">
        <w:rPr>
          <w:rFonts w:ascii="Tahoma" w:hAnsi="Tahoma" w:cs="Tahoma"/>
          <w:bCs/>
          <w:sz w:val="24"/>
          <w:szCs w:val="24"/>
        </w:rPr>
        <w:t xml:space="preserve">creșterea costurilor de finanțare precum și de existența conflictului armat din Ucraina, </w:t>
      </w:r>
      <w:r w:rsidR="000A5141" w:rsidRPr="007403CD">
        <w:rPr>
          <w:rFonts w:ascii="Tahoma" w:hAnsi="Tahoma" w:cs="Tahoma"/>
          <w:bCs/>
          <w:sz w:val="24"/>
          <w:szCs w:val="24"/>
        </w:rPr>
        <w:t xml:space="preserve">este recomandată </w:t>
      </w:r>
      <w:r w:rsidR="00851553" w:rsidRPr="007403CD">
        <w:rPr>
          <w:rFonts w:ascii="Tahoma" w:hAnsi="Tahoma" w:cs="Tahoma"/>
          <w:bCs/>
          <w:sz w:val="24"/>
          <w:szCs w:val="24"/>
        </w:rPr>
        <w:t xml:space="preserve">menținerea trendului pozitiv al colectării veniturilor bugetare precum și </w:t>
      </w:r>
      <w:r w:rsidR="000A5141" w:rsidRPr="007403CD">
        <w:rPr>
          <w:rFonts w:ascii="Tahoma" w:hAnsi="Tahoma" w:cs="Tahoma"/>
          <w:bCs/>
          <w:sz w:val="24"/>
          <w:szCs w:val="24"/>
        </w:rPr>
        <w:t>prudență</w:t>
      </w:r>
      <w:r w:rsidR="00E940C4" w:rsidRPr="007403CD">
        <w:rPr>
          <w:rFonts w:ascii="Tahoma" w:hAnsi="Tahoma" w:cs="Tahoma"/>
          <w:bCs/>
          <w:sz w:val="24"/>
          <w:szCs w:val="24"/>
        </w:rPr>
        <w:t xml:space="preserve"> în angajarea de noi cheltuieli </w:t>
      </w:r>
      <w:r w:rsidR="00107683" w:rsidRPr="007403CD">
        <w:rPr>
          <w:rFonts w:ascii="Tahoma" w:hAnsi="Tahoma" w:cs="Tahoma"/>
          <w:bCs/>
          <w:sz w:val="24"/>
          <w:szCs w:val="24"/>
        </w:rPr>
        <w:t xml:space="preserve">și o mai mare rigurozitate </w:t>
      </w:r>
      <w:r w:rsidR="000A5141" w:rsidRPr="007403CD">
        <w:rPr>
          <w:rFonts w:ascii="Tahoma" w:hAnsi="Tahoma" w:cs="Tahoma"/>
          <w:bCs/>
          <w:sz w:val="24"/>
          <w:szCs w:val="24"/>
        </w:rPr>
        <w:t>în programarea cheltuielilor bugetare astfel încât ținta de deficit să fie respectată</w:t>
      </w:r>
      <w:r w:rsidR="00E940C4" w:rsidRPr="007403CD">
        <w:rPr>
          <w:rFonts w:ascii="Tahoma" w:hAnsi="Tahoma" w:cs="Tahoma"/>
          <w:bCs/>
          <w:sz w:val="24"/>
          <w:szCs w:val="24"/>
        </w:rPr>
        <w:t>.</w:t>
      </w:r>
      <w:r w:rsidR="000A5141" w:rsidRPr="007403CD">
        <w:rPr>
          <w:rFonts w:ascii="Tahoma" w:hAnsi="Tahoma" w:cs="Tahoma"/>
          <w:bCs/>
          <w:sz w:val="24"/>
          <w:szCs w:val="24"/>
        </w:rPr>
        <w:t xml:space="preserve"> </w:t>
      </w:r>
    </w:p>
    <w:p w:rsidR="009D0A50" w:rsidRPr="007403CD" w:rsidRDefault="009D0A50" w:rsidP="00631554">
      <w:pPr>
        <w:spacing w:before="240" w:after="240" w:line="276" w:lineRule="auto"/>
        <w:ind w:left="1134" w:firstLine="0"/>
        <w:rPr>
          <w:rFonts w:ascii="Tahoma" w:hAnsi="Tahoma" w:cs="Tahoma"/>
          <w:sz w:val="24"/>
          <w:szCs w:val="24"/>
        </w:rPr>
      </w:pPr>
    </w:p>
    <w:sectPr w:rsidR="009D0A50" w:rsidRPr="007403CD" w:rsidSect="008A700D">
      <w:headerReference w:type="default" r:id="rId21"/>
      <w:footerReference w:type="default" r:id="rId22"/>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72" w:rsidRDefault="00454372" w:rsidP="007C4F03">
      <w:pPr>
        <w:spacing w:after="0"/>
      </w:pPr>
      <w:r>
        <w:separator/>
      </w:r>
    </w:p>
  </w:endnote>
  <w:endnote w:type="continuationSeparator" w:id="0">
    <w:p w:rsidR="00454372" w:rsidRDefault="00454372"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729" w:rsidRDefault="00305729">
    <w:pPr>
      <w:pStyle w:val="Footer"/>
    </w:pPr>
    <w:r>
      <w:rPr>
        <w:noProof/>
        <w:lang w:val="en-US"/>
      </w:rPr>
      <mc:AlternateContent>
        <mc:Choice Requires="wps">
          <w:drawing>
            <wp:anchor distT="0" distB="0" distL="114300" distR="114300" simplePos="0" relativeHeight="251661824" behindDoc="0" locked="0" layoutInCell="1" allowOverlap="1">
              <wp:simplePos x="0" y="0"/>
              <wp:positionH relativeFrom="column">
                <wp:posOffset>92075</wp:posOffset>
              </wp:positionH>
              <wp:positionV relativeFrom="paragraph">
                <wp:posOffset>-170815</wp:posOffset>
              </wp:positionV>
              <wp:extent cx="5943600" cy="27559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75590"/>
                      </a:xfrm>
                      <a:prstGeom prst="rect">
                        <a:avLst/>
                      </a:prstGeom>
                      <a:noFill/>
                      <a:ln w="6350">
                        <a:noFill/>
                      </a:ln>
                      <a:effectLst/>
                    </wps:spPr>
                    <wps:txbx>
                      <w:txbxContent>
                        <w:p w:rsidR="00305729" w:rsidRPr="00FA0A4C" w:rsidRDefault="00454372" w:rsidP="004747C9">
                          <w:pPr>
                            <w:pStyle w:val="Header"/>
                            <w:shd w:val="clear" w:color="auto" w:fill="A8D08D" w:themeFill="accent6" w:themeFillTint="99"/>
                            <w:jc w:val="center"/>
                            <w:rPr>
                              <w:rFonts w:ascii="Tahoma" w:hAnsi="Tahoma" w:cs="Tahoma"/>
                              <w:color w:val="FFFFFF" w:themeColor="background1"/>
                              <w:sz w:val="24"/>
                              <w:szCs w:val="24"/>
                            </w:rPr>
                          </w:pPr>
                          <w:sdt>
                            <w:sdtPr>
                              <w:rPr>
                                <w:rStyle w:val="Emphasis"/>
                                <w:rFonts w:ascii="Tahoma" w:hAnsi="Tahoma" w:cs="Tahoma"/>
                                <w:color w:val="FFFFFF" w:themeColor="background1"/>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305729" w:rsidRPr="00FA0A4C">
                                <w:rPr>
                                  <w:rStyle w:val="Emphasis"/>
                                  <w:rFonts w:ascii="Tahoma" w:hAnsi="Tahoma" w:cs="Tahoma"/>
                                  <w:color w:val="FFFFFF" w:themeColor="background1"/>
                                  <w:sz w:val="24"/>
                                  <w:szCs w:val="24"/>
                                </w:rPr>
                                <w:t>Raport privind situația economică și bugetară</w:t>
                              </w:r>
                            </w:sdtContent>
                          </w:sdt>
                          <w:r w:rsidR="00305729" w:rsidRPr="00FA0A4C">
                            <w:rPr>
                              <w:rStyle w:val="Emphasis"/>
                              <w:rFonts w:ascii="Tahoma" w:hAnsi="Tahoma" w:cs="Tahoma"/>
                              <w:color w:val="FFFFFF" w:themeColor="background1"/>
                              <w:sz w:val="24"/>
                              <w:szCs w:val="24"/>
                            </w:rPr>
                            <w:t xml:space="preserve"> pe primele șase luni ale anului 202</w:t>
                          </w:r>
                          <w:r w:rsidR="00305729">
                            <w:rPr>
                              <w:rStyle w:val="Emphasis"/>
                              <w:rFonts w:ascii="Tahoma" w:hAnsi="Tahoma" w:cs="Tahoma"/>
                              <w:color w:val="FFFFFF" w:themeColor="background1"/>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left:0;text-align:left;margin-left:7.25pt;margin-top:-13.45pt;width:468pt;height:2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" filled="f" stroked="f" strokeweight=".5pt">
              <v:path arrowok="t"/>
              <v:textbox style="mso-fit-shape-to-text:t" inset="0,,0">
                <w:txbxContent>
                  <w:p w:rsidR="00305729" w:rsidRPr="00FA0A4C" w:rsidRDefault="00305729" w:rsidP="004747C9">
                    <w:pPr>
                      <w:pStyle w:val="Header"/>
                      <w:shd w:val="clear" w:color="auto" w:fill="A8D08D" w:themeFill="accent6" w:themeFillTint="99"/>
                      <w:jc w:val="center"/>
                      <w:rPr>
                        <w:rFonts w:ascii="Tahoma" w:hAnsi="Tahoma" w:cs="Tahoma"/>
                        <w:color w:val="FFFFFF" w:themeColor="background1"/>
                        <w:sz w:val="24"/>
                        <w:szCs w:val="24"/>
                      </w:rPr>
                    </w:pPr>
                    <w:sdt>
                      <w:sdtPr>
                        <w:rPr>
                          <w:rStyle w:val="Emphasis"/>
                          <w:rFonts w:ascii="Tahoma" w:hAnsi="Tahoma" w:cs="Tahoma"/>
                          <w:color w:val="FFFFFF" w:themeColor="background1"/>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Content>
                        <w:r w:rsidRPr="00FA0A4C">
                          <w:rPr>
                            <w:rStyle w:val="Emphasis"/>
                            <w:rFonts w:ascii="Tahoma" w:hAnsi="Tahoma" w:cs="Tahoma"/>
                            <w:color w:val="FFFFFF" w:themeColor="background1"/>
                            <w:sz w:val="24"/>
                            <w:szCs w:val="24"/>
                          </w:rPr>
                          <w:t>Raport privind situația economică și bugetară</w:t>
                        </w:r>
                      </w:sdtContent>
                    </w:sdt>
                    <w:r w:rsidRPr="00FA0A4C">
                      <w:rPr>
                        <w:rStyle w:val="Emphasis"/>
                        <w:rFonts w:ascii="Tahoma" w:hAnsi="Tahoma" w:cs="Tahoma"/>
                        <w:color w:val="FFFFFF" w:themeColor="background1"/>
                        <w:sz w:val="24"/>
                        <w:szCs w:val="24"/>
                      </w:rPr>
                      <w:t xml:space="preserve"> pe primele șase luni ale anului 202</w:t>
                    </w:r>
                    <w:r>
                      <w:rPr>
                        <w:rStyle w:val="Emphasis"/>
                        <w:rFonts w:ascii="Tahoma" w:hAnsi="Tahoma" w:cs="Tahoma"/>
                        <w:color w:val="FFFFFF" w:themeColor="background1"/>
                        <w:sz w:val="24"/>
                        <w:szCs w:val="24"/>
                      </w:rPr>
                      <w:t>2</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720725</wp:posOffset>
              </wp:positionH>
              <wp:positionV relativeFrom="paragraph">
                <wp:posOffset>29845</wp:posOffset>
              </wp:positionV>
              <wp:extent cx="5943600" cy="274320"/>
              <wp:effectExtent l="0" t="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4CEC6B" id="Rectangle 165" o:spid="_x0000_s1026" style="position:absolute;margin-left:56.75pt;margin-top:2.35pt;width:468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" fillcolor="white [3212]" stroked="f" strokeweight="1pt">
              <v:fill opacity="0"/>
              <v:path arrowok="t"/>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72" w:rsidRDefault="00454372" w:rsidP="007C4F03">
      <w:pPr>
        <w:spacing w:after="0"/>
      </w:pPr>
      <w:r>
        <w:separator/>
      </w:r>
    </w:p>
  </w:footnote>
  <w:footnote w:type="continuationSeparator" w:id="0">
    <w:p w:rsidR="00454372" w:rsidRDefault="00454372" w:rsidP="007C4F03">
      <w:pPr>
        <w:spacing w:after="0"/>
      </w:pPr>
      <w:r>
        <w:continuationSeparator/>
      </w:r>
    </w:p>
  </w:footnote>
  <w:footnote w:id="1">
    <w:p w:rsidR="00305729" w:rsidRPr="005D3DCD" w:rsidRDefault="00305729" w:rsidP="00DB2872">
      <w:pPr>
        <w:pStyle w:val="FootnoteText"/>
        <w:rPr>
          <w:rFonts w:asciiTheme="minorHAnsi" w:hAnsiTheme="minorHAnsi" w:cstheme="minorHAnsi"/>
        </w:rPr>
      </w:pPr>
      <w:r>
        <w:rPr>
          <w:rStyle w:val="FootnoteReference"/>
        </w:rPr>
        <w:footnoteRef/>
      </w:r>
      <w:r>
        <w:t xml:space="preserve"> </w:t>
      </w:r>
      <w:r w:rsidRPr="005D3DCD">
        <w:rPr>
          <w:rFonts w:asciiTheme="minorHAnsi" w:hAnsiTheme="minorHAnsi" w:cstheme="minorHAnsi"/>
        </w:rPr>
        <w:t xml:space="preserve">dețin o pondere de aproximativ </w:t>
      </w:r>
      <w:r>
        <w:rPr>
          <w:rFonts w:asciiTheme="minorHAnsi" w:hAnsiTheme="minorHAnsi" w:cstheme="minorHAnsi"/>
        </w:rPr>
        <w:t>66,7</w:t>
      </w:r>
      <w:r w:rsidRPr="005D3DCD">
        <w:rPr>
          <w:rFonts w:asciiTheme="minorHAnsi" w:hAnsiTheme="minorHAnsi" w:cstheme="minorHAnsi"/>
        </w:rPr>
        <w:t>% în această categorie</w:t>
      </w:r>
    </w:p>
  </w:footnote>
  <w:footnote w:id="2">
    <w:p w:rsidR="00305729" w:rsidRPr="005D3DCD" w:rsidRDefault="00305729" w:rsidP="00DB2872">
      <w:pPr>
        <w:pStyle w:val="FootnoteText"/>
        <w:rPr>
          <w:rFonts w:asciiTheme="minorHAnsi" w:hAnsiTheme="minorHAnsi" w:cstheme="minorHAnsi"/>
        </w:rPr>
      </w:pPr>
      <w:r>
        <w:rPr>
          <w:rStyle w:val="FootnoteReference"/>
        </w:rPr>
        <w:footnoteRef/>
      </w:r>
      <w:r>
        <w:t xml:space="preserve"> </w:t>
      </w:r>
      <w:r w:rsidRPr="005D3DCD">
        <w:rPr>
          <w:rFonts w:asciiTheme="minorHAnsi" w:hAnsiTheme="minorHAnsi" w:cstheme="minorHAnsi"/>
        </w:rPr>
        <w:t xml:space="preserve">decembrie 2021- </w:t>
      </w:r>
      <w:r>
        <w:rPr>
          <w:rFonts w:asciiTheme="minorHAnsi" w:hAnsiTheme="minorHAnsi" w:cstheme="minorHAnsi"/>
        </w:rPr>
        <w:t>mai</w:t>
      </w:r>
      <w:r w:rsidRPr="005D3DCD">
        <w:rPr>
          <w:rFonts w:asciiTheme="minorHAnsi" w:hAnsiTheme="minorHAnsi" w:cstheme="minorHAnsi"/>
        </w:rPr>
        <w:t xml:space="preserve"> 2022/decembrie 2020-</w:t>
      </w:r>
      <w:r>
        <w:rPr>
          <w:rFonts w:asciiTheme="minorHAnsi" w:hAnsiTheme="minorHAnsi" w:cstheme="minorHAnsi"/>
        </w:rPr>
        <w:t xml:space="preserve">mai </w:t>
      </w:r>
      <w:r w:rsidRPr="005D3DCD">
        <w:rPr>
          <w:rFonts w:asciiTheme="minorHAnsi" w:hAnsiTheme="minorHAnsi" w:cstheme="minorHAnsi"/>
        </w:rPr>
        <w:t>2021</w:t>
      </w:r>
    </w:p>
  </w:footnote>
  <w:footnote w:id="3">
    <w:p w:rsidR="00305729" w:rsidRPr="006809E9" w:rsidRDefault="00305729" w:rsidP="00DB2872">
      <w:pPr>
        <w:pStyle w:val="FootnoteText"/>
        <w:rPr>
          <w:rFonts w:asciiTheme="minorHAnsi" w:hAnsiTheme="minorHAnsi" w:cstheme="minorHAnsi"/>
        </w:rPr>
      </w:pPr>
      <w:r>
        <w:rPr>
          <w:rStyle w:val="FootnoteReference"/>
        </w:rPr>
        <w:footnoteRef/>
      </w:r>
      <w:r>
        <w:t xml:space="preserve"> </w:t>
      </w:r>
      <w:r w:rsidRPr="006809E9">
        <w:rPr>
          <w:rFonts w:asciiTheme="minorHAnsi" w:hAnsiTheme="minorHAnsi" w:cstheme="minorHAnsi"/>
        </w:rPr>
        <w:t>Declarația unică cu termen de depunere</w:t>
      </w:r>
      <w:r>
        <w:rPr>
          <w:rFonts w:asciiTheme="minorHAnsi" w:hAnsiTheme="minorHAnsi" w:cstheme="minorHAnsi"/>
        </w:rPr>
        <w:t xml:space="preserve"> și plată de până la</w:t>
      </w:r>
      <w:r w:rsidRPr="006809E9">
        <w:rPr>
          <w:rFonts w:asciiTheme="minorHAnsi" w:hAnsiTheme="minorHAnsi" w:cstheme="minorHAnsi"/>
        </w:rPr>
        <w:t xml:space="preserve"> 25 mai 2022</w:t>
      </w:r>
    </w:p>
  </w:footnote>
  <w:footnote w:id="4">
    <w:p w:rsidR="00305729" w:rsidRPr="007409C5" w:rsidRDefault="00305729" w:rsidP="00493753">
      <w:pPr>
        <w:pStyle w:val="FootnoteText"/>
        <w:ind w:left="-284" w:hanging="73"/>
        <w:rPr>
          <w:rFonts w:asciiTheme="minorHAnsi" w:hAnsiTheme="minorHAnsi" w:cstheme="minorHAnsi"/>
        </w:rPr>
      </w:pPr>
      <w:r>
        <w:rPr>
          <w:rStyle w:val="FootnoteReference"/>
        </w:rPr>
        <w:footnoteRef/>
      </w:r>
      <w:r>
        <w:t xml:space="preserve"> </w:t>
      </w:r>
      <w:r w:rsidRPr="00B479E8">
        <w:rPr>
          <w:rFonts w:asciiTheme="minorHAnsi" w:hAnsiTheme="minorHAnsi" w:cstheme="minorHAnsi"/>
        </w:rPr>
        <w:t xml:space="preserve">majorarea valorii punctului de pensie </w:t>
      </w:r>
      <w:r w:rsidRPr="007409C5">
        <w:rPr>
          <w:rFonts w:asciiTheme="minorHAnsi" w:hAnsiTheme="minorHAnsi" w:cstheme="minorHAnsi"/>
        </w:rPr>
        <w:t xml:space="preserve">de la 1.442 </w:t>
      </w:r>
      <w:r w:rsidR="003A634F">
        <w:rPr>
          <w:rFonts w:asciiTheme="minorHAnsi" w:hAnsiTheme="minorHAnsi" w:cstheme="minorHAnsi"/>
        </w:rPr>
        <w:t>lei</w:t>
      </w:r>
      <w:r w:rsidRPr="007409C5">
        <w:rPr>
          <w:rFonts w:asciiTheme="minorHAnsi" w:hAnsiTheme="minorHAnsi" w:cstheme="minorHAnsi"/>
        </w:rPr>
        <w:t xml:space="preserve"> la 1.586 </w:t>
      </w:r>
      <w:r w:rsidR="003A634F">
        <w:rPr>
          <w:rFonts w:asciiTheme="minorHAnsi" w:hAnsiTheme="minorHAnsi" w:cstheme="minorHAnsi"/>
        </w:rPr>
        <w:t>lei</w:t>
      </w:r>
      <w:r>
        <w:rPr>
          <w:rFonts w:asciiTheme="minorHAnsi" w:hAnsiTheme="minorHAnsi" w:cstheme="minorHAnsi"/>
        </w:rPr>
        <w:t xml:space="preserve">, începând cu </w:t>
      </w:r>
      <w:r w:rsidRPr="005B4024">
        <w:rPr>
          <w:rFonts w:asciiTheme="minorHAnsi" w:hAnsiTheme="minorHAnsi" w:cstheme="minorHAnsi"/>
        </w:rPr>
        <w:t>data de 1 ianuarie 2022</w:t>
      </w:r>
      <w:r>
        <w:rPr>
          <w:rFonts w:asciiTheme="minorHAnsi" w:hAnsiTheme="minorHAnsi" w:cstheme="minorHAnsi"/>
        </w:rPr>
        <w:t>,</w:t>
      </w:r>
      <w:r w:rsidRPr="005B4024">
        <w:rPr>
          <w:rFonts w:asciiTheme="minorHAnsi" w:hAnsiTheme="minorHAnsi" w:cstheme="minorHAnsi"/>
        </w:rPr>
        <w:t xml:space="preserve"> </w:t>
      </w:r>
      <w:r>
        <w:rPr>
          <w:rFonts w:asciiTheme="minorHAnsi" w:hAnsiTheme="minorHAnsi" w:cstheme="minorHAnsi"/>
        </w:rPr>
        <w:t>conform Ordonanței de urgență a Guvernului nr. 125/2021</w:t>
      </w:r>
      <w:r w:rsidRPr="00C27436">
        <w:rPr>
          <w:rFonts w:asciiTheme="minorHAnsi" w:hAnsiTheme="minorHAnsi" w:cstheme="minorHAnsi"/>
        </w:rPr>
        <w:t xml:space="preserve"> pentru modificarea și completarea </w:t>
      </w:r>
      <w:hyperlink r:id="rId1" w:history="1">
        <w:r>
          <w:rPr>
            <w:rFonts w:asciiTheme="minorHAnsi" w:hAnsiTheme="minorHAnsi" w:cstheme="minorHAnsi"/>
          </w:rPr>
          <w:t>Legii n</w:t>
        </w:r>
        <w:r w:rsidRPr="00C27436">
          <w:rPr>
            <w:rFonts w:asciiTheme="minorHAnsi" w:hAnsiTheme="minorHAnsi" w:cstheme="minorHAnsi"/>
          </w:rPr>
          <w:t>r. 127/2019</w:t>
        </w:r>
      </w:hyperlink>
      <w:r w:rsidRPr="00C27436">
        <w:rPr>
          <w:rFonts w:asciiTheme="minorHAnsi" w:hAnsiTheme="minorHAnsi" w:cstheme="minorHAnsi"/>
        </w:rPr>
        <w:t> privind sistemul public de pensii, precum și pentru modificarea și completarea Ordonanței de urgență a Guvernului nr. 6/2009 privind instituirea pensiei sociale minime garantate</w:t>
      </w:r>
    </w:p>
  </w:footnote>
  <w:footnote w:id="5">
    <w:p w:rsidR="00305729" w:rsidRPr="00727287" w:rsidRDefault="00305729" w:rsidP="00727287">
      <w:pPr>
        <w:pStyle w:val="FootnoteText"/>
        <w:rPr>
          <w:rFonts w:ascii="Calibri" w:hAnsi="Calibri" w:cs="Calibri"/>
        </w:rPr>
      </w:pPr>
      <w:r w:rsidRPr="00727287">
        <w:rPr>
          <w:rStyle w:val="FootnoteReference"/>
          <w:rFonts w:cs="Calibri"/>
        </w:rPr>
        <w:footnoteRef/>
      </w:r>
      <w:r w:rsidRPr="00727287">
        <w:rPr>
          <w:rStyle w:val="FootnoteReference"/>
          <w:rFonts w:cs="Calibri"/>
        </w:rPr>
        <w:t xml:space="preserve"> </w:t>
      </w:r>
      <w:r w:rsidRPr="00727287">
        <w:rPr>
          <w:rFonts w:ascii="Calibri" w:hAnsi="Calibri" w:cs="Calibri"/>
        </w:rPr>
        <w:t>exclusiv restituiri și majorări de întârziere</w:t>
      </w:r>
    </w:p>
  </w:footnote>
  <w:footnote w:id="6">
    <w:p w:rsidR="00305729" w:rsidRPr="00727287" w:rsidRDefault="00305729" w:rsidP="00727287">
      <w:pPr>
        <w:pStyle w:val="FootnoteText"/>
        <w:rPr>
          <w:rFonts w:ascii="Calibri" w:hAnsi="Calibri" w:cs="Calibri"/>
        </w:rPr>
      </w:pPr>
      <w:r w:rsidRPr="00727287">
        <w:rPr>
          <w:rStyle w:val="FootnoteReference"/>
          <w:rFonts w:cs="Calibri"/>
        </w:rPr>
        <w:footnoteRef/>
      </w:r>
      <w:r w:rsidRPr="00727287">
        <w:rPr>
          <w:rFonts w:cs="Calibri"/>
        </w:rPr>
        <w:t xml:space="preserve"> </w:t>
      </w:r>
      <w:r w:rsidRPr="00727287">
        <w:rPr>
          <w:rFonts w:ascii="Calibri" w:hAnsi="Calibri" w:cs="Calibri"/>
        </w:rPr>
        <w:t>TVA din operațiuni interne au crescut cu 19%, iar TVA din importurile de bunuri au crescut cu 30,4%</w:t>
      </w:r>
    </w:p>
  </w:footnote>
  <w:footnote w:id="7">
    <w:p w:rsidR="00305729" w:rsidRPr="00727287" w:rsidRDefault="00305729" w:rsidP="00727287">
      <w:pPr>
        <w:pStyle w:val="FootnoteText"/>
        <w:rPr>
          <w:rFonts w:ascii="Calibri" w:hAnsi="Calibri" w:cs="Calibri"/>
        </w:rPr>
      </w:pPr>
      <w:r w:rsidRPr="00727287">
        <w:rPr>
          <w:rStyle w:val="FootnoteReference"/>
          <w:rFonts w:cs="Calibri"/>
        </w:rPr>
        <w:footnoteRef/>
      </w:r>
      <w:r w:rsidRPr="00727287">
        <w:rPr>
          <w:rStyle w:val="FootnoteReference"/>
          <w:rFonts w:cs="Calibri"/>
        </w:rPr>
        <w:t xml:space="preserve"> </w:t>
      </w:r>
      <w:r w:rsidRPr="00727287">
        <w:rPr>
          <w:rFonts w:ascii="Calibri" w:hAnsi="Calibri" w:cs="Calibri"/>
        </w:rPr>
        <w:t>comunicat de presă INS nr. 170/06 iulie 2022 -  Comerț și servicii</w:t>
      </w:r>
    </w:p>
  </w:footnote>
  <w:footnote w:id="8">
    <w:p w:rsidR="00305729" w:rsidRPr="00727287" w:rsidRDefault="00305729" w:rsidP="00727287">
      <w:pPr>
        <w:pStyle w:val="FootnoteText"/>
        <w:rPr>
          <w:rFonts w:ascii="Calibri" w:hAnsi="Calibri" w:cs="Calibri"/>
        </w:rPr>
      </w:pPr>
      <w:r w:rsidRPr="00727287">
        <w:rPr>
          <w:rStyle w:val="FootnoteReference"/>
          <w:rFonts w:cs="Calibri"/>
        </w:rPr>
        <w:footnoteRef/>
      </w:r>
      <w:r w:rsidRPr="00727287">
        <w:rPr>
          <w:rFonts w:eastAsia="SimSun" w:cs="Calibri"/>
          <w:color w:val="FF0000"/>
          <w:kern w:val="1"/>
          <w:sz w:val="24"/>
          <w:szCs w:val="24"/>
        </w:rPr>
        <w:t xml:space="preserve"> </w:t>
      </w:r>
      <w:r w:rsidRPr="00727287">
        <w:rPr>
          <w:rFonts w:ascii="Calibri" w:hAnsi="Calibri" w:cs="Calibri"/>
        </w:rPr>
        <w:t>comunicat de presă INS nr. 173/11 iulie 2022 - Comerț internațional cu bunuri (calcule interne)</w:t>
      </w:r>
    </w:p>
  </w:footnote>
  <w:footnote w:id="9">
    <w:p w:rsidR="00305729" w:rsidRPr="00992153" w:rsidRDefault="00305729" w:rsidP="000F2751">
      <w:pPr>
        <w:pStyle w:val="FootnoteText"/>
      </w:pPr>
      <w:r>
        <w:rPr>
          <w:rStyle w:val="FootnoteReference"/>
        </w:rPr>
        <w:footnoteRef/>
      </w:r>
      <w:r>
        <w:t xml:space="preserve"> </w:t>
      </w:r>
      <w:r w:rsidRPr="000F2751">
        <w:rPr>
          <w:rFonts w:ascii="Calibri" w:hAnsi="Calibri" w:cs="Calibri"/>
        </w:rPr>
        <w:t>dețin o pondere de 1,8% în totalul accizelor pentru produsele din tutun</w:t>
      </w:r>
    </w:p>
  </w:footnote>
  <w:footnote w:id="10">
    <w:p w:rsidR="00305729" w:rsidRPr="005D3DCD" w:rsidRDefault="00305729" w:rsidP="00330AE1">
      <w:pPr>
        <w:pStyle w:val="FootnoteText"/>
        <w:rPr>
          <w:rFonts w:asciiTheme="minorHAnsi" w:hAnsiTheme="minorHAnsi" w:cstheme="minorHAnsi"/>
        </w:rPr>
      </w:pPr>
      <w:r w:rsidRPr="00781F3A">
        <w:rPr>
          <w:rStyle w:val="FootnoteReference"/>
          <w:rFonts w:cstheme="minorHAnsi"/>
        </w:rPr>
        <w:footnoteRef/>
      </w:r>
      <w:r w:rsidRPr="003C372C">
        <w:rPr>
          <w:rFonts w:eastAsia="SimSun" w:cstheme="minorHAnsi"/>
          <w:color w:val="FF0000"/>
          <w:kern w:val="1"/>
          <w:sz w:val="24"/>
          <w:szCs w:val="24"/>
        </w:rPr>
        <w:t xml:space="preserve"> </w:t>
      </w:r>
      <w:r w:rsidRPr="000319DC">
        <w:rPr>
          <w:rFonts w:asciiTheme="minorHAnsi" w:hAnsiTheme="minorHAnsi" w:cstheme="minorHAnsi"/>
        </w:rPr>
        <w:t>c</w:t>
      </w:r>
      <w:r w:rsidRPr="005D3DCD">
        <w:rPr>
          <w:rFonts w:asciiTheme="minorHAnsi" w:hAnsiTheme="minorHAnsi" w:cstheme="minorHAnsi"/>
        </w:rPr>
        <w:t xml:space="preserve">omunicat de presă INS nr. </w:t>
      </w:r>
      <w:r>
        <w:rPr>
          <w:rFonts w:asciiTheme="minorHAnsi" w:hAnsiTheme="minorHAnsi" w:cstheme="minorHAnsi"/>
        </w:rPr>
        <w:t>173</w:t>
      </w:r>
      <w:r w:rsidRPr="005D3DCD">
        <w:rPr>
          <w:rFonts w:asciiTheme="minorHAnsi" w:hAnsiTheme="minorHAnsi" w:cstheme="minorHAnsi"/>
        </w:rPr>
        <w:t>/1</w:t>
      </w:r>
      <w:r>
        <w:rPr>
          <w:rFonts w:asciiTheme="minorHAnsi" w:hAnsiTheme="minorHAnsi" w:cstheme="minorHAnsi"/>
        </w:rPr>
        <w:t>1</w:t>
      </w:r>
      <w:r w:rsidRPr="005D3DCD">
        <w:rPr>
          <w:rFonts w:asciiTheme="minorHAnsi" w:hAnsiTheme="minorHAnsi" w:cstheme="minorHAnsi"/>
        </w:rPr>
        <w:t xml:space="preserve"> </w:t>
      </w:r>
      <w:r>
        <w:rPr>
          <w:rFonts w:asciiTheme="minorHAnsi" w:hAnsiTheme="minorHAnsi" w:cstheme="minorHAnsi"/>
        </w:rPr>
        <w:t>iulie</w:t>
      </w:r>
      <w:r w:rsidRPr="005D3DCD">
        <w:rPr>
          <w:rFonts w:asciiTheme="minorHAnsi" w:hAnsiTheme="minorHAnsi" w:cstheme="minorHAnsi"/>
        </w:rPr>
        <w:t xml:space="preserve"> 2022 - Comerț internațional cu bunuri (calcule interne)</w:t>
      </w:r>
    </w:p>
  </w:footnote>
  <w:footnote w:id="11">
    <w:p w:rsidR="00305729" w:rsidRPr="00330AE1" w:rsidRDefault="00305729" w:rsidP="00330AE1">
      <w:pPr>
        <w:autoSpaceDE w:val="0"/>
        <w:autoSpaceDN w:val="0"/>
        <w:adjustRightInd w:val="0"/>
        <w:rPr>
          <w:rFonts w:eastAsia="Calibri" w:cs="Calibri"/>
          <w:sz w:val="20"/>
          <w:szCs w:val="20"/>
        </w:rPr>
      </w:pPr>
      <w:r>
        <w:rPr>
          <w:rStyle w:val="FootnoteReference"/>
        </w:rPr>
        <w:footnoteRef/>
      </w:r>
      <w:r>
        <w:t xml:space="preserve"> </w:t>
      </w:r>
      <w:r w:rsidRPr="00330AE1">
        <w:rPr>
          <w:rFonts w:eastAsia="Calibri" w:cs="Calibri"/>
          <w:sz w:val="20"/>
          <w:szCs w:val="20"/>
        </w:rPr>
        <w:t>OUG nr. 130/2021 privind unele măsuri fiscal-bugetare, prorogarea unor termene, precum şi pentru modificarea şi completarea unor acte normative</w:t>
      </w:r>
    </w:p>
    <w:p w:rsidR="00305729" w:rsidRPr="00330AE1" w:rsidRDefault="00305729" w:rsidP="00330AE1">
      <w:pPr>
        <w:pStyle w:val="FootnoteText"/>
        <w:rPr>
          <w:rFonts w:ascii="Calibri" w:hAnsi="Calibri" w:cs="Calibr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2562821"/>
      <w:docPartObj>
        <w:docPartGallery w:val="Page Numbers (Top of Page)"/>
        <w:docPartUnique/>
      </w:docPartObj>
    </w:sdtPr>
    <w:sdtEndPr>
      <w:rPr>
        <w:b/>
        <w:bCs/>
        <w:noProof/>
        <w:color w:val="auto"/>
        <w:spacing w:val="0"/>
      </w:rPr>
    </w:sdtEndPr>
    <w:sdtContent>
      <w:p w:rsidR="00305729" w:rsidRDefault="0030572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60A65" w:rsidRPr="00A60A65">
          <w:rPr>
            <w:b/>
            <w:bCs/>
            <w:noProof/>
          </w:rPr>
          <w:t>1</w:t>
        </w:r>
        <w:r>
          <w:rPr>
            <w:b/>
            <w:bCs/>
            <w:noProof/>
          </w:rPr>
          <w:fldChar w:fldCharType="end"/>
        </w:r>
      </w:p>
    </w:sdtContent>
  </w:sdt>
  <w:p w:rsidR="00305729" w:rsidRDefault="003057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E07"/>
      </v:shape>
    </w:pict>
  </w:numPicBullet>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OpenSymbol" w:hint="default"/>
        <w:color w:val="000000"/>
        <w:kern w:val="0"/>
        <w:position w:val="0"/>
        <w:sz w:val="20"/>
        <w:szCs w:val="20"/>
        <w:vertAlign w:val="baseline"/>
        <w:lang w:val="it-IT" w:eastAsia="zh-CN"/>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hint="default"/>
        <w:szCs w:val="22"/>
        <w:lang w:val="ro-RO"/>
      </w:rPr>
    </w:lvl>
    <w:lvl w:ilvl="1">
      <w:start w:val="1"/>
      <w:numFmt w:val="bullet"/>
      <w:lvlText w:val="o"/>
      <w:lvlJc w:val="left"/>
      <w:pPr>
        <w:tabs>
          <w:tab w:val="num" w:pos="0"/>
        </w:tabs>
        <w:ind w:left="1440" w:hanging="360"/>
      </w:pPr>
      <w:rPr>
        <w:rFonts w:ascii="Courier New" w:hAnsi="Courier New" w:cs="Courier New" w:hint="default"/>
        <w:szCs w:val="22"/>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2"/>
        <w:lang w:val="ro-RO"/>
      </w:rPr>
    </w:lvl>
    <w:lvl w:ilvl="4">
      <w:start w:val="1"/>
      <w:numFmt w:val="bullet"/>
      <w:lvlText w:val="o"/>
      <w:lvlJc w:val="left"/>
      <w:pPr>
        <w:tabs>
          <w:tab w:val="num" w:pos="0"/>
        </w:tabs>
        <w:ind w:left="3600" w:hanging="360"/>
      </w:pPr>
      <w:rPr>
        <w:rFonts w:ascii="Courier New" w:hAnsi="Courier New" w:cs="Courier New" w:hint="default"/>
        <w:szCs w:val="22"/>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2"/>
        <w:lang w:val="ro-RO"/>
      </w:rPr>
    </w:lvl>
    <w:lvl w:ilvl="7">
      <w:start w:val="1"/>
      <w:numFmt w:val="bullet"/>
      <w:lvlText w:val="o"/>
      <w:lvlJc w:val="left"/>
      <w:pPr>
        <w:tabs>
          <w:tab w:val="num" w:pos="0"/>
        </w:tabs>
        <w:ind w:left="5760" w:hanging="360"/>
      </w:pPr>
      <w:rPr>
        <w:rFonts w:ascii="Courier New" w:hAnsi="Courier New" w:cs="Courier New" w:hint="default"/>
        <w:szCs w:val="22"/>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A"/>
    <w:multiLevelType w:val="multilevel"/>
    <w:tmpl w:val="0000000A"/>
    <w:name w:val="WW8Num10"/>
    <w:lvl w:ilvl="0">
      <w:start w:val="1"/>
      <w:numFmt w:val="upperRoman"/>
      <w:lvlText w:val="%1."/>
      <w:lvlJc w:val="left"/>
      <w:pPr>
        <w:tabs>
          <w:tab w:val="num" w:pos="0"/>
        </w:tabs>
        <w:ind w:left="1080" w:hanging="72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E"/>
    <w:multiLevelType w:val="multilevel"/>
    <w:tmpl w:val="0000000E"/>
    <w:name w:val="WW8Num14"/>
    <w:lvl w:ilvl="0">
      <w:start w:val="1"/>
      <w:numFmt w:val="decimal"/>
      <w:suff w:val="space"/>
      <w:lvlText w:val="%1."/>
      <w:lvlJc w:val="left"/>
      <w:pPr>
        <w:tabs>
          <w:tab w:val="num" w:pos="0"/>
        </w:tabs>
        <w:ind w:left="0" w:firstLine="0"/>
      </w:pPr>
      <w:rPr>
        <w:rFonts w:ascii="Calibri" w:eastAsia="Calibri" w:hAnsi="Calibri" w:cs="Calibri"/>
        <w:b/>
        <w:szCs w:val="22"/>
        <w:lang w:val="ro-RO"/>
      </w:rPr>
    </w:lvl>
    <w:lvl w:ilvl="1">
      <w:start w:val="6"/>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10" w15:restartNumberingAfterBreak="0">
    <w:nsid w:val="007A01DE"/>
    <w:multiLevelType w:val="hybridMultilevel"/>
    <w:tmpl w:val="9C5AA078"/>
    <w:lvl w:ilvl="0" w:tplc="A4583D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28B6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0A9D9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2BBA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8B2E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ACFB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CABDB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AA1F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AA9D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29E1BBE"/>
    <w:multiLevelType w:val="hybridMultilevel"/>
    <w:tmpl w:val="DAC4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6E50E8"/>
    <w:multiLevelType w:val="hybridMultilevel"/>
    <w:tmpl w:val="89D42280"/>
    <w:lvl w:ilvl="0" w:tplc="EC2E6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F74013"/>
    <w:multiLevelType w:val="hybridMultilevel"/>
    <w:tmpl w:val="D3C6F250"/>
    <w:lvl w:ilvl="0" w:tplc="6A9EC40E">
      <w:start w:val="1"/>
      <w:numFmt w:val="upperRoman"/>
      <w:lvlText w:val="%1."/>
      <w:lvlJc w:val="left"/>
      <w:pPr>
        <w:ind w:left="432" w:hanging="720"/>
      </w:pPr>
      <w:rPr>
        <w:rFonts w:ascii="Tahoma" w:eastAsiaTheme="minorHAnsi" w:hAnsi="Tahoma" w:cs="Tahoma" w:hint="default"/>
        <w:b/>
        <w:color w:val="auto"/>
        <w:sz w:val="24"/>
        <w:u w:val="single"/>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14" w15:restartNumberingAfterBreak="0">
    <w:nsid w:val="0576264E"/>
    <w:multiLevelType w:val="hybridMultilevel"/>
    <w:tmpl w:val="75F842A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9E4887"/>
    <w:multiLevelType w:val="multilevel"/>
    <w:tmpl w:val="1396D252"/>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2F7299"/>
    <w:multiLevelType w:val="hybridMultilevel"/>
    <w:tmpl w:val="214CA4B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8CF0133"/>
    <w:multiLevelType w:val="hybridMultilevel"/>
    <w:tmpl w:val="BC20AD5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763F17"/>
    <w:multiLevelType w:val="multilevel"/>
    <w:tmpl w:val="01A0D6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9" w15:restartNumberingAfterBreak="0">
    <w:nsid w:val="236041A9"/>
    <w:multiLevelType w:val="hybridMultilevel"/>
    <w:tmpl w:val="822C5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7F7A76"/>
    <w:multiLevelType w:val="hybridMultilevel"/>
    <w:tmpl w:val="5C663990"/>
    <w:lvl w:ilvl="0" w:tplc="B3DEF8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E12140"/>
    <w:multiLevelType w:val="hybridMultilevel"/>
    <w:tmpl w:val="9266B81C"/>
    <w:lvl w:ilvl="0" w:tplc="DFE6320A">
      <w:start w:val="1"/>
      <w:numFmt w:val="bullet"/>
      <w:lvlText w:val=""/>
      <w:lvlJc w:val="left"/>
      <w:pPr>
        <w:tabs>
          <w:tab w:val="num" w:pos="1083"/>
        </w:tabs>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2" w15:restartNumberingAfterBreak="0">
    <w:nsid w:val="2B435324"/>
    <w:multiLevelType w:val="hybridMultilevel"/>
    <w:tmpl w:val="01543D1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2E75001E"/>
    <w:multiLevelType w:val="hybridMultilevel"/>
    <w:tmpl w:val="70086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B5490"/>
    <w:multiLevelType w:val="hybridMultilevel"/>
    <w:tmpl w:val="BFDE1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924D0D"/>
    <w:multiLevelType w:val="hybridMultilevel"/>
    <w:tmpl w:val="2712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C149BC"/>
    <w:multiLevelType w:val="hybridMultilevel"/>
    <w:tmpl w:val="E84E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D23F40"/>
    <w:multiLevelType w:val="hybridMultilevel"/>
    <w:tmpl w:val="0846C178"/>
    <w:lvl w:ilvl="0" w:tplc="53CE5F36">
      <w:start w:val="1"/>
      <w:numFmt w:val="bullet"/>
      <w:lvlText w:val=""/>
      <w:lvlJc w:val="left"/>
      <w:pPr>
        <w:ind w:left="360" w:hanging="360"/>
      </w:pPr>
      <w:rPr>
        <w:rFonts w:ascii="Wingdings" w:hAnsi="Wingdings" w:hint="default"/>
        <w:color w:val="0070C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E55461"/>
    <w:multiLevelType w:val="hybridMultilevel"/>
    <w:tmpl w:val="9C9CA68A"/>
    <w:lvl w:ilvl="0" w:tplc="DFE632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BE01DD"/>
    <w:multiLevelType w:val="hybridMultilevel"/>
    <w:tmpl w:val="B0F676B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BC7A83"/>
    <w:multiLevelType w:val="multilevel"/>
    <w:tmpl w:val="45BC7A8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9517F7"/>
    <w:multiLevelType w:val="hybridMultilevel"/>
    <w:tmpl w:val="3B26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D31EB"/>
    <w:multiLevelType w:val="hybridMultilevel"/>
    <w:tmpl w:val="69766316"/>
    <w:lvl w:ilvl="0" w:tplc="DFE632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B250286"/>
    <w:multiLevelType w:val="multilevel"/>
    <w:tmpl w:val="4B2502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E4E529B"/>
    <w:multiLevelType w:val="hybridMultilevel"/>
    <w:tmpl w:val="21540D54"/>
    <w:lvl w:ilvl="0" w:tplc="04090001">
      <w:start w:val="1"/>
      <w:numFmt w:val="bullet"/>
      <w:lvlText w:val=""/>
      <w:lvlJc w:val="left"/>
      <w:pPr>
        <w:ind w:left="1440" w:hanging="360"/>
      </w:pPr>
      <w:rPr>
        <w:rFonts w:ascii="Symbol" w:hAnsi="Symbol" w:hint="default"/>
      </w:rPr>
    </w:lvl>
    <w:lvl w:ilvl="1" w:tplc="9D0A28F2">
      <w:numFmt w:val="bullet"/>
      <w:lvlText w:val="-"/>
      <w:lvlJc w:val="left"/>
      <w:pPr>
        <w:ind w:left="2490" w:hanging="690"/>
      </w:pPr>
      <w:rPr>
        <w:rFonts w:ascii="Tahoma" w:eastAsia="Times New Roman" w:hAnsi="Tahoma"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188273E"/>
    <w:multiLevelType w:val="hybridMultilevel"/>
    <w:tmpl w:val="9A6CAE3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5B0460"/>
    <w:multiLevelType w:val="hybridMultilevel"/>
    <w:tmpl w:val="0A141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8B4FC7"/>
    <w:multiLevelType w:val="hybridMultilevel"/>
    <w:tmpl w:val="74B6F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A12371"/>
    <w:multiLevelType w:val="hybridMultilevel"/>
    <w:tmpl w:val="98F431A0"/>
    <w:lvl w:ilvl="0" w:tplc="04090007">
      <w:start w:val="1"/>
      <w:numFmt w:val="bullet"/>
      <w:lvlText w:val=""/>
      <w:lvlPicBulletId w:val="0"/>
      <w:lvlJc w:val="left"/>
      <w:pPr>
        <w:ind w:left="360" w:hanging="360"/>
      </w:pPr>
      <w:rPr>
        <w:rFonts w:ascii="Symbol" w:hAnsi="Symbol" w:hint="default"/>
        <w:color w:val="0070C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DE46CD"/>
    <w:multiLevelType w:val="multilevel"/>
    <w:tmpl w:val="35C40A3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B0400E"/>
    <w:multiLevelType w:val="hybridMultilevel"/>
    <w:tmpl w:val="E8A6C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1EA16E5"/>
    <w:multiLevelType w:val="hybridMultilevel"/>
    <w:tmpl w:val="350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0B3D0F"/>
    <w:multiLevelType w:val="multilevel"/>
    <w:tmpl w:val="640B3D0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7823F58"/>
    <w:multiLevelType w:val="hybridMultilevel"/>
    <w:tmpl w:val="A63CE65C"/>
    <w:lvl w:ilvl="0" w:tplc="F814C90E">
      <w:numFmt w:val="bullet"/>
      <w:lvlText w:val="•"/>
      <w:lvlJc w:val="left"/>
      <w:pPr>
        <w:ind w:left="786" w:hanging="360"/>
      </w:pPr>
      <w:rPr>
        <w:rFonts w:ascii="Tahoma" w:eastAsiaTheme="minorHAnsi" w:hAnsi="Tahoma" w:cs="Tahoma"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15:restartNumberingAfterBreak="0">
    <w:nsid w:val="6A173B6C"/>
    <w:multiLevelType w:val="hybridMultilevel"/>
    <w:tmpl w:val="35B84AAE"/>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6B990FBE"/>
    <w:multiLevelType w:val="hybridMultilevel"/>
    <w:tmpl w:val="F9864184"/>
    <w:lvl w:ilvl="0" w:tplc="9D401336">
      <w:start w:val="1"/>
      <w:numFmt w:val="upperRoman"/>
      <w:lvlText w:val="%1."/>
      <w:lvlJc w:val="right"/>
      <w:pPr>
        <w:ind w:left="720" w:hanging="360"/>
      </w:pPr>
      <w:rPr>
        <w:sz w:val="28"/>
        <w:szCs w:val="28"/>
      </w:rPr>
    </w:lvl>
    <w:lvl w:ilvl="1" w:tplc="2AA8CCE6">
      <w:start w:val="1"/>
      <w:numFmt w:val="decimal"/>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1825635"/>
    <w:multiLevelType w:val="hybridMultilevel"/>
    <w:tmpl w:val="DE948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516583"/>
    <w:multiLevelType w:val="hybridMultilevel"/>
    <w:tmpl w:val="DCC045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791A1D"/>
    <w:multiLevelType w:val="hybridMultilevel"/>
    <w:tmpl w:val="A112A414"/>
    <w:lvl w:ilvl="0" w:tplc="32D6A768">
      <w:numFmt w:val="bullet"/>
      <w:lvlText w:val="-"/>
      <w:lvlJc w:val="left"/>
      <w:pPr>
        <w:ind w:left="1080" w:hanging="360"/>
      </w:pPr>
      <w:rPr>
        <w:rFonts w:ascii="Arial" w:eastAsia="Calibri" w:hAnsi="Aria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7C75640"/>
    <w:multiLevelType w:val="hybridMultilevel"/>
    <w:tmpl w:val="2B5247F4"/>
    <w:lvl w:ilvl="0" w:tplc="DFE632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855DF4"/>
    <w:multiLevelType w:val="hybridMultilevel"/>
    <w:tmpl w:val="2888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4F290E"/>
    <w:multiLevelType w:val="hybridMultilevel"/>
    <w:tmpl w:val="7570E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4"/>
  </w:num>
  <w:num w:numId="3">
    <w:abstractNumId w:val="22"/>
  </w:num>
  <w:num w:numId="4">
    <w:abstractNumId w:val="17"/>
  </w:num>
  <w:num w:numId="5">
    <w:abstractNumId w:val="18"/>
  </w:num>
  <w:num w:numId="6">
    <w:abstractNumId w:val="41"/>
  </w:num>
  <w:num w:numId="7">
    <w:abstractNumId w:val="32"/>
  </w:num>
  <w:num w:numId="8">
    <w:abstractNumId w:val="49"/>
  </w:num>
  <w:num w:numId="9">
    <w:abstractNumId w:val="28"/>
  </w:num>
  <w:num w:numId="10">
    <w:abstractNumId w:val="21"/>
  </w:num>
  <w:num w:numId="11">
    <w:abstractNumId w:val="40"/>
  </w:num>
  <w:num w:numId="12">
    <w:abstractNumId w:val="10"/>
  </w:num>
  <w:num w:numId="13">
    <w:abstractNumId w:val="46"/>
  </w:num>
  <w:num w:numId="14">
    <w:abstractNumId w:val="16"/>
  </w:num>
  <w:num w:numId="15">
    <w:abstractNumId w:val="38"/>
  </w:num>
  <w:num w:numId="16">
    <w:abstractNumId w:val="27"/>
  </w:num>
  <w:num w:numId="17">
    <w:abstractNumId w:val="23"/>
  </w:num>
  <w:num w:numId="18">
    <w:abstractNumId w:val="29"/>
  </w:num>
  <w:num w:numId="19">
    <w:abstractNumId w:val="35"/>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34"/>
  </w:num>
  <w:num w:numId="28">
    <w:abstractNumId w:val="24"/>
  </w:num>
  <w:num w:numId="29">
    <w:abstractNumId w:val="11"/>
  </w:num>
  <w:num w:numId="30">
    <w:abstractNumId w:val="47"/>
  </w:num>
  <w:num w:numId="31">
    <w:abstractNumId w:val="50"/>
  </w:num>
  <w:num w:numId="32">
    <w:abstractNumId w:val="51"/>
  </w:num>
  <w:num w:numId="33">
    <w:abstractNumId w:val="19"/>
  </w:num>
  <w:num w:numId="34">
    <w:abstractNumId w:val="12"/>
  </w:num>
  <w:num w:numId="35">
    <w:abstractNumId w:val="25"/>
  </w:num>
  <w:num w:numId="36">
    <w:abstractNumId w:val="48"/>
  </w:num>
  <w:num w:numId="37">
    <w:abstractNumId w:val="20"/>
  </w:num>
  <w:num w:numId="38">
    <w:abstractNumId w:val="37"/>
  </w:num>
  <w:num w:numId="39">
    <w:abstractNumId w:val="31"/>
  </w:num>
  <w:num w:numId="40">
    <w:abstractNumId w:val="26"/>
  </w:num>
  <w:num w:numId="41">
    <w:abstractNumId w:val="36"/>
  </w:num>
  <w:num w:numId="42">
    <w:abstractNumId w:val="43"/>
  </w:num>
  <w:num w:numId="43">
    <w:abstractNumId w:val="42"/>
  </w:num>
  <w:num w:numId="44">
    <w:abstractNumId w:val="39"/>
  </w:num>
  <w:num w:numId="45">
    <w:abstractNumId w:val="33"/>
  </w:num>
  <w:num w:numId="46">
    <w:abstractNumId w:val="15"/>
  </w:num>
  <w:num w:numId="47">
    <w:abstractNumId w:val="30"/>
  </w:num>
  <w:num w:numId="48">
    <w:abstractNumId w:val="13"/>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372E"/>
    <w:rsid w:val="00004284"/>
    <w:rsid w:val="000051D6"/>
    <w:rsid w:val="00006DDD"/>
    <w:rsid w:val="00006FE6"/>
    <w:rsid w:val="000104AF"/>
    <w:rsid w:val="000143E5"/>
    <w:rsid w:val="0002178B"/>
    <w:rsid w:val="00022C4B"/>
    <w:rsid w:val="000237D2"/>
    <w:rsid w:val="0002588E"/>
    <w:rsid w:val="00027127"/>
    <w:rsid w:val="00035122"/>
    <w:rsid w:val="00041F1F"/>
    <w:rsid w:val="00041FC6"/>
    <w:rsid w:val="00045FA5"/>
    <w:rsid w:val="00046193"/>
    <w:rsid w:val="0005391F"/>
    <w:rsid w:val="00060926"/>
    <w:rsid w:val="00060B8F"/>
    <w:rsid w:val="00062C05"/>
    <w:rsid w:val="000651AF"/>
    <w:rsid w:val="0006566D"/>
    <w:rsid w:val="00065E24"/>
    <w:rsid w:val="00065F94"/>
    <w:rsid w:val="00066A53"/>
    <w:rsid w:val="0007115C"/>
    <w:rsid w:val="00072D0B"/>
    <w:rsid w:val="00075D5D"/>
    <w:rsid w:val="000760EA"/>
    <w:rsid w:val="00082A16"/>
    <w:rsid w:val="00083123"/>
    <w:rsid w:val="000875A8"/>
    <w:rsid w:val="00095E25"/>
    <w:rsid w:val="0009615F"/>
    <w:rsid w:val="000A187F"/>
    <w:rsid w:val="000A42BE"/>
    <w:rsid w:val="000A45A8"/>
    <w:rsid w:val="000A467F"/>
    <w:rsid w:val="000A5141"/>
    <w:rsid w:val="000B0BE3"/>
    <w:rsid w:val="000B4020"/>
    <w:rsid w:val="000B4B07"/>
    <w:rsid w:val="000B58BC"/>
    <w:rsid w:val="000B62ED"/>
    <w:rsid w:val="000B6552"/>
    <w:rsid w:val="000C0D1E"/>
    <w:rsid w:val="000C2870"/>
    <w:rsid w:val="000C4F84"/>
    <w:rsid w:val="000C50E2"/>
    <w:rsid w:val="000D2C11"/>
    <w:rsid w:val="000D37E6"/>
    <w:rsid w:val="000D44BC"/>
    <w:rsid w:val="000D46FB"/>
    <w:rsid w:val="000D4824"/>
    <w:rsid w:val="000E2E18"/>
    <w:rsid w:val="000E6911"/>
    <w:rsid w:val="000F1076"/>
    <w:rsid w:val="000F2751"/>
    <w:rsid w:val="000F490F"/>
    <w:rsid w:val="000F4C1E"/>
    <w:rsid w:val="00101413"/>
    <w:rsid w:val="00103FD9"/>
    <w:rsid w:val="00105A75"/>
    <w:rsid w:val="0010647A"/>
    <w:rsid w:val="001069C2"/>
    <w:rsid w:val="00107683"/>
    <w:rsid w:val="00112846"/>
    <w:rsid w:val="00114DB1"/>
    <w:rsid w:val="00125108"/>
    <w:rsid w:val="00125676"/>
    <w:rsid w:val="0013047C"/>
    <w:rsid w:val="00130B57"/>
    <w:rsid w:val="00135155"/>
    <w:rsid w:val="001353BC"/>
    <w:rsid w:val="0014197B"/>
    <w:rsid w:val="00142048"/>
    <w:rsid w:val="00144AEE"/>
    <w:rsid w:val="001465BE"/>
    <w:rsid w:val="00146B8D"/>
    <w:rsid w:val="00147BBC"/>
    <w:rsid w:val="00152A7A"/>
    <w:rsid w:val="001539BB"/>
    <w:rsid w:val="00154D8A"/>
    <w:rsid w:val="00155877"/>
    <w:rsid w:val="00155F43"/>
    <w:rsid w:val="00161C34"/>
    <w:rsid w:val="0016355C"/>
    <w:rsid w:val="00164927"/>
    <w:rsid w:val="001678F2"/>
    <w:rsid w:val="00170CA1"/>
    <w:rsid w:val="00174F48"/>
    <w:rsid w:val="0017578C"/>
    <w:rsid w:val="00175817"/>
    <w:rsid w:val="00176922"/>
    <w:rsid w:val="00180D48"/>
    <w:rsid w:val="00182ADA"/>
    <w:rsid w:val="00183827"/>
    <w:rsid w:val="00183E8F"/>
    <w:rsid w:val="001854D7"/>
    <w:rsid w:val="00191D8D"/>
    <w:rsid w:val="001923CA"/>
    <w:rsid w:val="00196744"/>
    <w:rsid w:val="001975D6"/>
    <w:rsid w:val="00197AF4"/>
    <w:rsid w:val="001A1773"/>
    <w:rsid w:val="001A7A87"/>
    <w:rsid w:val="001B0710"/>
    <w:rsid w:val="001B347E"/>
    <w:rsid w:val="001B5B69"/>
    <w:rsid w:val="001B5DB9"/>
    <w:rsid w:val="001B7BED"/>
    <w:rsid w:val="001C38E5"/>
    <w:rsid w:val="001C550F"/>
    <w:rsid w:val="001C7589"/>
    <w:rsid w:val="001D00F4"/>
    <w:rsid w:val="001D0E4D"/>
    <w:rsid w:val="001D1F40"/>
    <w:rsid w:val="001D24F5"/>
    <w:rsid w:val="001D50A8"/>
    <w:rsid w:val="001D6AFE"/>
    <w:rsid w:val="001D7612"/>
    <w:rsid w:val="001E06CD"/>
    <w:rsid w:val="001E0833"/>
    <w:rsid w:val="001E1FAC"/>
    <w:rsid w:val="001E2C30"/>
    <w:rsid w:val="001E319D"/>
    <w:rsid w:val="001E31E7"/>
    <w:rsid w:val="001E4881"/>
    <w:rsid w:val="001E5189"/>
    <w:rsid w:val="001E69E1"/>
    <w:rsid w:val="001F084B"/>
    <w:rsid w:val="001F1551"/>
    <w:rsid w:val="001F2287"/>
    <w:rsid w:val="001F252C"/>
    <w:rsid w:val="001F3032"/>
    <w:rsid w:val="001F31C5"/>
    <w:rsid w:val="001F321D"/>
    <w:rsid w:val="001F32FE"/>
    <w:rsid w:val="001F3C47"/>
    <w:rsid w:val="001F43A9"/>
    <w:rsid w:val="001F48D1"/>
    <w:rsid w:val="001F4C0B"/>
    <w:rsid w:val="001F5A79"/>
    <w:rsid w:val="00203544"/>
    <w:rsid w:val="00203737"/>
    <w:rsid w:val="00207D12"/>
    <w:rsid w:val="00220441"/>
    <w:rsid w:val="0022310F"/>
    <w:rsid w:val="00223FB5"/>
    <w:rsid w:val="0022607D"/>
    <w:rsid w:val="002272FA"/>
    <w:rsid w:val="0022798C"/>
    <w:rsid w:val="00231E72"/>
    <w:rsid w:val="00232B17"/>
    <w:rsid w:val="00232B3C"/>
    <w:rsid w:val="00233ECC"/>
    <w:rsid w:val="002345FB"/>
    <w:rsid w:val="002355F0"/>
    <w:rsid w:val="002370C1"/>
    <w:rsid w:val="00240A85"/>
    <w:rsid w:val="00241EAF"/>
    <w:rsid w:val="00243772"/>
    <w:rsid w:val="00243CA2"/>
    <w:rsid w:val="0024450C"/>
    <w:rsid w:val="00245C93"/>
    <w:rsid w:val="00246571"/>
    <w:rsid w:val="00246A95"/>
    <w:rsid w:val="00247A3D"/>
    <w:rsid w:val="00247C20"/>
    <w:rsid w:val="0025224B"/>
    <w:rsid w:val="00252971"/>
    <w:rsid w:val="00252A5C"/>
    <w:rsid w:val="002548C2"/>
    <w:rsid w:val="00254FAB"/>
    <w:rsid w:val="00255C16"/>
    <w:rsid w:val="00257DF0"/>
    <w:rsid w:val="00261FFF"/>
    <w:rsid w:val="00262D00"/>
    <w:rsid w:val="00263CFA"/>
    <w:rsid w:val="00267B7C"/>
    <w:rsid w:val="002709B7"/>
    <w:rsid w:val="0027615E"/>
    <w:rsid w:val="0028001B"/>
    <w:rsid w:val="00281576"/>
    <w:rsid w:val="0028202A"/>
    <w:rsid w:val="002833B0"/>
    <w:rsid w:val="00284A41"/>
    <w:rsid w:val="00287682"/>
    <w:rsid w:val="002906CC"/>
    <w:rsid w:val="0029235E"/>
    <w:rsid w:val="0029705B"/>
    <w:rsid w:val="002A09CE"/>
    <w:rsid w:val="002A0B6B"/>
    <w:rsid w:val="002A2249"/>
    <w:rsid w:val="002A5037"/>
    <w:rsid w:val="002A6579"/>
    <w:rsid w:val="002B7453"/>
    <w:rsid w:val="002C20D1"/>
    <w:rsid w:val="002C2A7E"/>
    <w:rsid w:val="002C4907"/>
    <w:rsid w:val="002C4AF9"/>
    <w:rsid w:val="002C5421"/>
    <w:rsid w:val="002C5847"/>
    <w:rsid w:val="002C59D7"/>
    <w:rsid w:val="002C7092"/>
    <w:rsid w:val="002C735C"/>
    <w:rsid w:val="002D2A0A"/>
    <w:rsid w:val="002E037D"/>
    <w:rsid w:val="002E0C30"/>
    <w:rsid w:val="002E13BC"/>
    <w:rsid w:val="002E6D30"/>
    <w:rsid w:val="002E7CD9"/>
    <w:rsid w:val="002F1039"/>
    <w:rsid w:val="002F1D42"/>
    <w:rsid w:val="002F2E52"/>
    <w:rsid w:val="002F6658"/>
    <w:rsid w:val="002F6A9D"/>
    <w:rsid w:val="00305729"/>
    <w:rsid w:val="003058A8"/>
    <w:rsid w:val="00307398"/>
    <w:rsid w:val="00310CE6"/>
    <w:rsid w:val="00314A7F"/>
    <w:rsid w:val="00317481"/>
    <w:rsid w:val="00321DAB"/>
    <w:rsid w:val="00322155"/>
    <w:rsid w:val="00322869"/>
    <w:rsid w:val="00325490"/>
    <w:rsid w:val="00330AE1"/>
    <w:rsid w:val="003349C9"/>
    <w:rsid w:val="00335B91"/>
    <w:rsid w:val="00336A90"/>
    <w:rsid w:val="003377E8"/>
    <w:rsid w:val="00342188"/>
    <w:rsid w:val="00344701"/>
    <w:rsid w:val="00344803"/>
    <w:rsid w:val="0034492A"/>
    <w:rsid w:val="00346FFE"/>
    <w:rsid w:val="00352140"/>
    <w:rsid w:val="0035238C"/>
    <w:rsid w:val="00354017"/>
    <w:rsid w:val="0035563D"/>
    <w:rsid w:val="003559AB"/>
    <w:rsid w:val="00355DAA"/>
    <w:rsid w:val="00356BAF"/>
    <w:rsid w:val="0036088B"/>
    <w:rsid w:val="00363BC9"/>
    <w:rsid w:val="00364FD9"/>
    <w:rsid w:val="0037198B"/>
    <w:rsid w:val="00374ADC"/>
    <w:rsid w:val="003756B8"/>
    <w:rsid w:val="00383DDA"/>
    <w:rsid w:val="0038426B"/>
    <w:rsid w:val="0038491E"/>
    <w:rsid w:val="00384D95"/>
    <w:rsid w:val="003862B4"/>
    <w:rsid w:val="00386E53"/>
    <w:rsid w:val="003939C7"/>
    <w:rsid w:val="00394116"/>
    <w:rsid w:val="0039516A"/>
    <w:rsid w:val="00395E39"/>
    <w:rsid w:val="00395F32"/>
    <w:rsid w:val="00396FCE"/>
    <w:rsid w:val="00397284"/>
    <w:rsid w:val="003A0173"/>
    <w:rsid w:val="003A073E"/>
    <w:rsid w:val="003A2EA5"/>
    <w:rsid w:val="003A3260"/>
    <w:rsid w:val="003A4653"/>
    <w:rsid w:val="003A4DF3"/>
    <w:rsid w:val="003A60AB"/>
    <w:rsid w:val="003A634F"/>
    <w:rsid w:val="003B0A83"/>
    <w:rsid w:val="003B21F0"/>
    <w:rsid w:val="003B2CDF"/>
    <w:rsid w:val="003B3BFB"/>
    <w:rsid w:val="003B4BED"/>
    <w:rsid w:val="003B4EA0"/>
    <w:rsid w:val="003B531C"/>
    <w:rsid w:val="003B67BB"/>
    <w:rsid w:val="003C2245"/>
    <w:rsid w:val="003C22B5"/>
    <w:rsid w:val="003C2741"/>
    <w:rsid w:val="003C3D89"/>
    <w:rsid w:val="003C6123"/>
    <w:rsid w:val="003C6EA0"/>
    <w:rsid w:val="003D0192"/>
    <w:rsid w:val="003D3922"/>
    <w:rsid w:val="003D45EA"/>
    <w:rsid w:val="003D547F"/>
    <w:rsid w:val="003D5C26"/>
    <w:rsid w:val="003E2B48"/>
    <w:rsid w:val="003E4D3E"/>
    <w:rsid w:val="003E5124"/>
    <w:rsid w:val="003E54CD"/>
    <w:rsid w:val="003E578C"/>
    <w:rsid w:val="003E5810"/>
    <w:rsid w:val="003E5F89"/>
    <w:rsid w:val="003F3604"/>
    <w:rsid w:val="003F52E7"/>
    <w:rsid w:val="00406434"/>
    <w:rsid w:val="00406F25"/>
    <w:rsid w:val="00410C9F"/>
    <w:rsid w:val="00417332"/>
    <w:rsid w:val="00420483"/>
    <w:rsid w:val="0042309C"/>
    <w:rsid w:val="00423241"/>
    <w:rsid w:val="00423DE6"/>
    <w:rsid w:val="00424AFB"/>
    <w:rsid w:val="00427577"/>
    <w:rsid w:val="00433503"/>
    <w:rsid w:val="004357CE"/>
    <w:rsid w:val="0044034D"/>
    <w:rsid w:val="004403C4"/>
    <w:rsid w:val="00441064"/>
    <w:rsid w:val="00441939"/>
    <w:rsid w:val="004423E3"/>
    <w:rsid w:val="004438F1"/>
    <w:rsid w:val="00444C93"/>
    <w:rsid w:val="00446370"/>
    <w:rsid w:val="00446691"/>
    <w:rsid w:val="00446D9C"/>
    <w:rsid w:val="00450537"/>
    <w:rsid w:val="0045273D"/>
    <w:rsid w:val="00452E2C"/>
    <w:rsid w:val="00454372"/>
    <w:rsid w:val="00454FF6"/>
    <w:rsid w:val="00460FE7"/>
    <w:rsid w:val="00461A21"/>
    <w:rsid w:val="00462BD1"/>
    <w:rsid w:val="0046391D"/>
    <w:rsid w:val="004643B9"/>
    <w:rsid w:val="00465569"/>
    <w:rsid w:val="00467C3F"/>
    <w:rsid w:val="004718ED"/>
    <w:rsid w:val="0047248B"/>
    <w:rsid w:val="004747C9"/>
    <w:rsid w:val="0047574B"/>
    <w:rsid w:val="0047638C"/>
    <w:rsid w:val="00483010"/>
    <w:rsid w:val="00487959"/>
    <w:rsid w:val="004912D2"/>
    <w:rsid w:val="0049243D"/>
    <w:rsid w:val="00493544"/>
    <w:rsid w:val="00493753"/>
    <w:rsid w:val="00493E89"/>
    <w:rsid w:val="004951E1"/>
    <w:rsid w:val="004A08DA"/>
    <w:rsid w:val="004A0EFF"/>
    <w:rsid w:val="004A3C3B"/>
    <w:rsid w:val="004A771A"/>
    <w:rsid w:val="004B06D1"/>
    <w:rsid w:val="004B1B43"/>
    <w:rsid w:val="004B1BA4"/>
    <w:rsid w:val="004B29EF"/>
    <w:rsid w:val="004B7596"/>
    <w:rsid w:val="004C2007"/>
    <w:rsid w:val="004C393E"/>
    <w:rsid w:val="004D011C"/>
    <w:rsid w:val="004D3BAE"/>
    <w:rsid w:val="004D5C98"/>
    <w:rsid w:val="004D5CE1"/>
    <w:rsid w:val="004D6D76"/>
    <w:rsid w:val="004D7BBF"/>
    <w:rsid w:val="004E2452"/>
    <w:rsid w:val="004E406D"/>
    <w:rsid w:val="004E4C99"/>
    <w:rsid w:val="004E6286"/>
    <w:rsid w:val="004E6491"/>
    <w:rsid w:val="004F494F"/>
    <w:rsid w:val="004F7090"/>
    <w:rsid w:val="00500555"/>
    <w:rsid w:val="0050101A"/>
    <w:rsid w:val="00503B0B"/>
    <w:rsid w:val="005102E2"/>
    <w:rsid w:val="005125A1"/>
    <w:rsid w:val="005252CE"/>
    <w:rsid w:val="00525D24"/>
    <w:rsid w:val="005275F7"/>
    <w:rsid w:val="005310FA"/>
    <w:rsid w:val="00531D75"/>
    <w:rsid w:val="00531E2B"/>
    <w:rsid w:val="00532478"/>
    <w:rsid w:val="00532C95"/>
    <w:rsid w:val="00532D81"/>
    <w:rsid w:val="005335C0"/>
    <w:rsid w:val="005364D7"/>
    <w:rsid w:val="00540515"/>
    <w:rsid w:val="00540A55"/>
    <w:rsid w:val="00542B5F"/>
    <w:rsid w:val="00542CC9"/>
    <w:rsid w:val="005476C0"/>
    <w:rsid w:val="0055033A"/>
    <w:rsid w:val="0055194F"/>
    <w:rsid w:val="00552F13"/>
    <w:rsid w:val="00553F89"/>
    <w:rsid w:val="00553FEF"/>
    <w:rsid w:val="0056154D"/>
    <w:rsid w:val="00563406"/>
    <w:rsid w:val="0056394B"/>
    <w:rsid w:val="0056581A"/>
    <w:rsid w:val="00565CBC"/>
    <w:rsid w:val="005663C4"/>
    <w:rsid w:val="00570371"/>
    <w:rsid w:val="00571230"/>
    <w:rsid w:val="00572238"/>
    <w:rsid w:val="0057284B"/>
    <w:rsid w:val="00575968"/>
    <w:rsid w:val="0057610D"/>
    <w:rsid w:val="00580B8F"/>
    <w:rsid w:val="00583788"/>
    <w:rsid w:val="005838E1"/>
    <w:rsid w:val="00583D0F"/>
    <w:rsid w:val="00584125"/>
    <w:rsid w:val="00593732"/>
    <w:rsid w:val="0059391B"/>
    <w:rsid w:val="00593AD9"/>
    <w:rsid w:val="00593BF0"/>
    <w:rsid w:val="00593EBF"/>
    <w:rsid w:val="005A11EE"/>
    <w:rsid w:val="005A1564"/>
    <w:rsid w:val="005B6AC1"/>
    <w:rsid w:val="005C0BC2"/>
    <w:rsid w:val="005C110D"/>
    <w:rsid w:val="005C1C87"/>
    <w:rsid w:val="005C6217"/>
    <w:rsid w:val="005D1DFE"/>
    <w:rsid w:val="005D4333"/>
    <w:rsid w:val="005D50AA"/>
    <w:rsid w:val="005D7882"/>
    <w:rsid w:val="005D7E97"/>
    <w:rsid w:val="005D7EDA"/>
    <w:rsid w:val="005E1CA4"/>
    <w:rsid w:val="005E75A2"/>
    <w:rsid w:val="005F3D5F"/>
    <w:rsid w:val="005F4FAC"/>
    <w:rsid w:val="005F757C"/>
    <w:rsid w:val="00601209"/>
    <w:rsid w:val="00601CFD"/>
    <w:rsid w:val="00603266"/>
    <w:rsid w:val="00605688"/>
    <w:rsid w:val="006155BE"/>
    <w:rsid w:val="006201A9"/>
    <w:rsid w:val="00625C55"/>
    <w:rsid w:val="006305B7"/>
    <w:rsid w:val="00631554"/>
    <w:rsid w:val="0063517C"/>
    <w:rsid w:val="00640213"/>
    <w:rsid w:val="006407D7"/>
    <w:rsid w:val="00641476"/>
    <w:rsid w:val="00642BCD"/>
    <w:rsid w:val="00642CE8"/>
    <w:rsid w:val="00652CF8"/>
    <w:rsid w:val="0066026C"/>
    <w:rsid w:val="0066051B"/>
    <w:rsid w:val="0066166E"/>
    <w:rsid w:val="006662DC"/>
    <w:rsid w:val="00666AAF"/>
    <w:rsid w:val="006719EC"/>
    <w:rsid w:val="0067249A"/>
    <w:rsid w:val="0067614C"/>
    <w:rsid w:val="00684CFD"/>
    <w:rsid w:val="006877BA"/>
    <w:rsid w:val="00690D36"/>
    <w:rsid w:val="00691938"/>
    <w:rsid w:val="00692CF5"/>
    <w:rsid w:val="00697BF5"/>
    <w:rsid w:val="006A029E"/>
    <w:rsid w:val="006A1B46"/>
    <w:rsid w:val="006A31C3"/>
    <w:rsid w:val="006A580B"/>
    <w:rsid w:val="006A7316"/>
    <w:rsid w:val="006B1124"/>
    <w:rsid w:val="006B3FB0"/>
    <w:rsid w:val="006B43C4"/>
    <w:rsid w:val="006C1E1F"/>
    <w:rsid w:val="006C2F78"/>
    <w:rsid w:val="006D4230"/>
    <w:rsid w:val="006D599B"/>
    <w:rsid w:val="006D6E71"/>
    <w:rsid w:val="006E0ADC"/>
    <w:rsid w:val="006E1B94"/>
    <w:rsid w:val="006E1E76"/>
    <w:rsid w:val="006E4607"/>
    <w:rsid w:val="006E5C9D"/>
    <w:rsid w:val="006E60E3"/>
    <w:rsid w:val="006E6C8A"/>
    <w:rsid w:val="006F1516"/>
    <w:rsid w:val="006F3E60"/>
    <w:rsid w:val="006F4BE5"/>
    <w:rsid w:val="006F6943"/>
    <w:rsid w:val="006F7E8D"/>
    <w:rsid w:val="006F7F65"/>
    <w:rsid w:val="00704D34"/>
    <w:rsid w:val="007111AF"/>
    <w:rsid w:val="00711E39"/>
    <w:rsid w:val="007122F6"/>
    <w:rsid w:val="00714936"/>
    <w:rsid w:val="007167DE"/>
    <w:rsid w:val="00717011"/>
    <w:rsid w:val="007207DF"/>
    <w:rsid w:val="00724E48"/>
    <w:rsid w:val="00725544"/>
    <w:rsid w:val="00727287"/>
    <w:rsid w:val="007350FB"/>
    <w:rsid w:val="00736262"/>
    <w:rsid w:val="007403CD"/>
    <w:rsid w:val="0074137E"/>
    <w:rsid w:val="007414A5"/>
    <w:rsid w:val="00741CC2"/>
    <w:rsid w:val="00742FB9"/>
    <w:rsid w:val="00743B20"/>
    <w:rsid w:val="00746146"/>
    <w:rsid w:val="007476A4"/>
    <w:rsid w:val="00752570"/>
    <w:rsid w:val="007530B8"/>
    <w:rsid w:val="007577B2"/>
    <w:rsid w:val="007614E0"/>
    <w:rsid w:val="0076599F"/>
    <w:rsid w:val="007669DC"/>
    <w:rsid w:val="007679CE"/>
    <w:rsid w:val="00770409"/>
    <w:rsid w:val="007747E1"/>
    <w:rsid w:val="0077567F"/>
    <w:rsid w:val="007773AC"/>
    <w:rsid w:val="00781BE6"/>
    <w:rsid w:val="00782D90"/>
    <w:rsid w:val="007839F1"/>
    <w:rsid w:val="00786028"/>
    <w:rsid w:val="00787C70"/>
    <w:rsid w:val="00790092"/>
    <w:rsid w:val="00791E81"/>
    <w:rsid w:val="00793865"/>
    <w:rsid w:val="00795E7B"/>
    <w:rsid w:val="00796829"/>
    <w:rsid w:val="007A127B"/>
    <w:rsid w:val="007A2B25"/>
    <w:rsid w:val="007A351E"/>
    <w:rsid w:val="007B0021"/>
    <w:rsid w:val="007B08BF"/>
    <w:rsid w:val="007B17E9"/>
    <w:rsid w:val="007B1A18"/>
    <w:rsid w:val="007B4527"/>
    <w:rsid w:val="007B4E33"/>
    <w:rsid w:val="007B7DE2"/>
    <w:rsid w:val="007C0390"/>
    <w:rsid w:val="007C4F03"/>
    <w:rsid w:val="007C6588"/>
    <w:rsid w:val="007C683C"/>
    <w:rsid w:val="007D3B76"/>
    <w:rsid w:val="007D49B8"/>
    <w:rsid w:val="007D5A97"/>
    <w:rsid w:val="007D65E1"/>
    <w:rsid w:val="007E04FF"/>
    <w:rsid w:val="007E0FA3"/>
    <w:rsid w:val="007E5C0F"/>
    <w:rsid w:val="007E60D5"/>
    <w:rsid w:val="007F4DCB"/>
    <w:rsid w:val="007F5818"/>
    <w:rsid w:val="007F7878"/>
    <w:rsid w:val="008036B9"/>
    <w:rsid w:val="00807335"/>
    <w:rsid w:val="00811F59"/>
    <w:rsid w:val="00817B53"/>
    <w:rsid w:val="008202F3"/>
    <w:rsid w:val="0082412C"/>
    <w:rsid w:val="00824400"/>
    <w:rsid w:val="00827AEF"/>
    <w:rsid w:val="00830F0D"/>
    <w:rsid w:val="008341A9"/>
    <w:rsid w:val="008412C1"/>
    <w:rsid w:val="00847368"/>
    <w:rsid w:val="00851553"/>
    <w:rsid w:val="00857E54"/>
    <w:rsid w:val="00860E3D"/>
    <w:rsid w:val="00862FCF"/>
    <w:rsid w:val="008643B0"/>
    <w:rsid w:val="0086691C"/>
    <w:rsid w:val="008671A9"/>
    <w:rsid w:val="008710E6"/>
    <w:rsid w:val="008765E8"/>
    <w:rsid w:val="008807C7"/>
    <w:rsid w:val="008850D6"/>
    <w:rsid w:val="0088572D"/>
    <w:rsid w:val="008863DB"/>
    <w:rsid w:val="0088641E"/>
    <w:rsid w:val="00891FD6"/>
    <w:rsid w:val="00896646"/>
    <w:rsid w:val="008A09B8"/>
    <w:rsid w:val="008A303F"/>
    <w:rsid w:val="008A3A90"/>
    <w:rsid w:val="008A3D57"/>
    <w:rsid w:val="008A401A"/>
    <w:rsid w:val="008A5038"/>
    <w:rsid w:val="008A5E1F"/>
    <w:rsid w:val="008A65A5"/>
    <w:rsid w:val="008A700D"/>
    <w:rsid w:val="008A7F0F"/>
    <w:rsid w:val="008B3560"/>
    <w:rsid w:val="008B41F6"/>
    <w:rsid w:val="008B4FEA"/>
    <w:rsid w:val="008B509B"/>
    <w:rsid w:val="008B5F61"/>
    <w:rsid w:val="008B66B3"/>
    <w:rsid w:val="008C3835"/>
    <w:rsid w:val="008C70D1"/>
    <w:rsid w:val="008D051E"/>
    <w:rsid w:val="008D3109"/>
    <w:rsid w:val="008D4FE6"/>
    <w:rsid w:val="008D6F4B"/>
    <w:rsid w:val="008E3EC0"/>
    <w:rsid w:val="008E4B1D"/>
    <w:rsid w:val="008E79B3"/>
    <w:rsid w:val="008F3967"/>
    <w:rsid w:val="008F794B"/>
    <w:rsid w:val="008F7BBB"/>
    <w:rsid w:val="009015CD"/>
    <w:rsid w:val="009063D5"/>
    <w:rsid w:val="00906A7E"/>
    <w:rsid w:val="00907B10"/>
    <w:rsid w:val="009124C0"/>
    <w:rsid w:val="009125DC"/>
    <w:rsid w:val="0091264D"/>
    <w:rsid w:val="009131FA"/>
    <w:rsid w:val="0091356D"/>
    <w:rsid w:val="009168ED"/>
    <w:rsid w:val="00927413"/>
    <w:rsid w:val="009306A6"/>
    <w:rsid w:val="009306D3"/>
    <w:rsid w:val="009364F0"/>
    <w:rsid w:val="00937CD4"/>
    <w:rsid w:val="00940BDB"/>
    <w:rsid w:val="009414F6"/>
    <w:rsid w:val="00945CDE"/>
    <w:rsid w:val="009470EB"/>
    <w:rsid w:val="00950E71"/>
    <w:rsid w:val="0095144E"/>
    <w:rsid w:val="009528B3"/>
    <w:rsid w:val="00953D2F"/>
    <w:rsid w:val="0095421F"/>
    <w:rsid w:val="009550A2"/>
    <w:rsid w:val="009563D4"/>
    <w:rsid w:val="00956912"/>
    <w:rsid w:val="00962D99"/>
    <w:rsid w:val="00964748"/>
    <w:rsid w:val="0096611E"/>
    <w:rsid w:val="00966841"/>
    <w:rsid w:val="00966F56"/>
    <w:rsid w:val="00967266"/>
    <w:rsid w:val="00967BE6"/>
    <w:rsid w:val="00967C0E"/>
    <w:rsid w:val="00967D74"/>
    <w:rsid w:val="00967F17"/>
    <w:rsid w:val="00970F67"/>
    <w:rsid w:val="009727CF"/>
    <w:rsid w:val="0097351C"/>
    <w:rsid w:val="0097454A"/>
    <w:rsid w:val="00974E1A"/>
    <w:rsid w:val="009754AE"/>
    <w:rsid w:val="00976EAC"/>
    <w:rsid w:val="009774BD"/>
    <w:rsid w:val="009778A4"/>
    <w:rsid w:val="009815B7"/>
    <w:rsid w:val="00987A6E"/>
    <w:rsid w:val="009904E3"/>
    <w:rsid w:val="00992663"/>
    <w:rsid w:val="00992D80"/>
    <w:rsid w:val="00993C27"/>
    <w:rsid w:val="00994357"/>
    <w:rsid w:val="009961AE"/>
    <w:rsid w:val="009A0BD2"/>
    <w:rsid w:val="009A25E5"/>
    <w:rsid w:val="009A58E7"/>
    <w:rsid w:val="009A5AAA"/>
    <w:rsid w:val="009A5B3C"/>
    <w:rsid w:val="009B308F"/>
    <w:rsid w:val="009B41A3"/>
    <w:rsid w:val="009B633E"/>
    <w:rsid w:val="009C2A3D"/>
    <w:rsid w:val="009C6832"/>
    <w:rsid w:val="009C6F21"/>
    <w:rsid w:val="009C7DAD"/>
    <w:rsid w:val="009D0987"/>
    <w:rsid w:val="009D0A50"/>
    <w:rsid w:val="009D12F9"/>
    <w:rsid w:val="009D2DDA"/>
    <w:rsid w:val="009D6D45"/>
    <w:rsid w:val="009E25E4"/>
    <w:rsid w:val="009E28CB"/>
    <w:rsid w:val="009E3601"/>
    <w:rsid w:val="009E565A"/>
    <w:rsid w:val="009F4875"/>
    <w:rsid w:val="009F530E"/>
    <w:rsid w:val="009F540F"/>
    <w:rsid w:val="009F58DB"/>
    <w:rsid w:val="009F5991"/>
    <w:rsid w:val="00A04D92"/>
    <w:rsid w:val="00A04E91"/>
    <w:rsid w:val="00A052E0"/>
    <w:rsid w:val="00A103CF"/>
    <w:rsid w:val="00A12797"/>
    <w:rsid w:val="00A139E7"/>
    <w:rsid w:val="00A13D67"/>
    <w:rsid w:val="00A1506E"/>
    <w:rsid w:val="00A16A2C"/>
    <w:rsid w:val="00A218DA"/>
    <w:rsid w:val="00A22653"/>
    <w:rsid w:val="00A249D5"/>
    <w:rsid w:val="00A26E1A"/>
    <w:rsid w:val="00A33947"/>
    <w:rsid w:val="00A344D2"/>
    <w:rsid w:val="00A34C4D"/>
    <w:rsid w:val="00A35247"/>
    <w:rsid w:val="00A35B54"/>
    <w:rsid w:val="00A374E1"/>
    <w:rsid w:val="00A40CBD"/>
    <w:rsid w:val="00A41270"/>
    <w:rsid w:val="00A442C4"/>
    <w:rsid w:val="00A44484"/>
    <w:rsid w:val="00A47438"/>
    <w:rsid w:val="00A5281E"/>
    <w:rsid w:val="00A575FB"/>
    <w:rsid w:val="00A60A65"/>
    <w:rsid w:val="00A627A5"/>
    <w:rsid w:val="00A627FC"/>
    <w:rsid w:val="00A62D1E"/>
    <w:rsid w:val="00A63A72"/>
    <w:rsid w:val="00A64C15"/>
    <w:rsid w:val="00A7299C"/>
    <w:rsid w:val="00A819FF"/>
    <w:rsid w:val="00A84AAE"/>
    <w:rsid w:val="00A86CA9"/>
    <w:rsid w:val="00A86D78"/>
    <w:rsid w:val="00A86FB2"/>
    <w:rsid w:val="00A90310"/>
    <w:rsid w:val="00A90B77"/>
    <w:rsid w:val="00A92000"/>
    <w:rsid w:val="00A9347D"/>
    <w:rsid w:val="00A9353E"/>
    <w:rsid w:val="00A9590F"/>
    <w:rsid w:val="00A95C7E"/>
    <w:rsid w:val="00AA1EED"/>
    <w:rsid w:val="00AA3311"/>
    <w:rsid w:val="00AA4AEA"/>
    <w:rsid w:val="00AA6F58"/>
    <w:rsid w:val="00AB33F7"/>
    <w:rsid w:val="00AB37A9"/>
    <w:rsid w:val="00AB659D"/>
    <w:rsid w:val="00AC2F73"/>
    <w:rsid w:val="00AC49B5"/>
    <w:rsid w:val="00AC4B34"/>
    <w:rsid w:val="00AC4DFB"/>
    <w:rsid w:val="00AC5A02"/>
    <w:rsid w:val="00AC6679"/>
    <w:rsid w:val="00AC672E"/>
    <w:rsid w:val="00AC7789"/>
    <w:rsid w:val="00AD228D"/>
    <w:rsid w:val="00AD6713"/>
    <w:rsid w:val="00AD76A1"/>
    <w:rsid w:val="00AD795D"/>
    <w:rsid w:val="00AE1944"/>
    <w:rsid w:val="00AE3CDA"/>
    <w:rsid w:val="00AE4A80"/>
    <w:rsid w:val="00AE72B6"/>
    <w:rsid w:val="00AF2E60"/>
    <w:rsid w:val="00AF4AA5"/>
    <w:rsid w:val="00AF5CFF"/>
    <w:rsid w:val="00AF6727"/>
    <w:rsid w:val="00AF7D33"/>
    <w:rsid w:val="00AF7FD0"/>
    <w:rsid w:val="00B008D3"/>
    <w:rsid w:val="00B009FE"/>
    <w:rsid w:val="00B04F04"/>
    <w:rsid w:val="00B07B31"/>
    <w:rsid w:val="00B07E4B"/>
    <w:rsid w:val="00B10B85"/>
    <w:rsid w:val="00B11A59"/>
    <w:rsid w:val="00B148E5"/>
    <w:rsid w:val="00B16822"/>
    <w:rsid w:val="00B16B4E"/>
    <w:rsid w:val="00B21A9C"/>
    <w:rsid w:val="00B2471C"/>
    <w:rsid w:val="00B34009"/>
    <w:rsid w:val="00B435CF"/>
    <w:rsid w:val="00B450D8"/>
    <w:rsid w:val="00B45E6F"/>
    <w:rsid w:val="00B5327A"/>
    <w:rsid w:val="00B53BB3"/>
    <w:rsid w:val="00B541BA"/>
    <w:rsid w:val="00B55097"/>
    <w:rsid w:val="00B56A27"/>
    <w:rsid w:val="00B57278"/>
    <w:rsid w:val="00B573EC"/>
    <w:rsid w:val="00B623BF"/>
    <w:rsid w:val="00B62407"/>
    <w:rsid w:val="00B625AC"/>
    <w:rsid w:val="00B6374D"/>
    <w:rsid w:val="00B647C8"/>
    <w:rsid w:val="00B64F48"/>
    <w:rsid w:val="00B65E35"/>
    <w:rsid w:val="00B7596C"/>
    <w:rsid w:val="00B76831"/>
    <w:rsid w:val="00B76DC7"/>
    <w:rsid w:val="00B8349F"/>
    <w:rsid w:val="00B83B89"/>
    <w:rsid w:val="00B86007"/>
    <w:rsid w:val="00B8712E"/>
    <w:rsid w:val="00B945E2"/>
    <w:rsid w:val="00B959AD"/>
    <w:rsid w:val="00BA087F"/>
    <w:rsid w:val="00BA2D78"/>
    <w:rsid w:val="00BA444B"/>
    <w:rsid w:val="00BA56F1"/>
    <w:rsid w:val="00BA6E6C"/>
    <w:rsid w:val="00BA7EC0"/>
    <w:rsid w:val="00BB0851"/>
    <w:rsid w:val="00BB23A6"/>
    <w:rsid w:val="00BB6124"/>
    <w:rsid w:val="00BC1133"/>
    <w:rsid w:val="00BC12CB"/>
    <w:rsid w:val="00BC3785"/>
    <w:rsid w:val="00BC4A6F"/>
    <w:rsid w:val="00BC6044"/>
    <w:rsid w:val="00BC70E3"/>
    <w:rsid w:val="00BD4E32"/>
    <w:rsid w:val="00BD6D46"/>
    <w:rsid w:val="00BD7225"/>
    <w:rsid w:val="00BD7F81"/>
    <w:rsid w:val="00BE024F"/>
    <w:rsid w:val="00BF4126"/>
    <w:rsid w:val="00BF53AD"/>
    <w:rsid w:val="00BF6126"/>
    <w:rsid w:val="00BF6441"/>
    <w:rsid w:val="00BF6828"/>
    <w:rsid w:val="00C00E3B"/>
    <w:rsid w:val="00C0259A"/>
    <w:rsid w:val="00C133ED"/>
    <w:rsid w:val="00C1502A"/>
    <w:rsid w:val="00C177AA"/>
    <w:rsid w:val="00C17A77"/>
    <w:rsid w:val="00C21D8D"/>
    <w:rsid w:val="00C26256"/>
    <w:rsid w:val="00C265A3"/>
    <w:rsid w:val="00C26D04"/>
    <w:rsid w:val="00C26FE2"/>
    <w:rsid w:val="00C275C5"/>
    <w:rsid w:val="00C27619"/>
    <w:rsid w:val="00C27F72"/>
    <w:rsid w:val="00C3380F"/>
    <w:rsid w:val="00C351B9"/>
    <w:rsid w:val="00C3536F"/>
    <w:rsid w:val="00C36EA2"/>
    <w:rsid w:val="00C375A2"/>
    <w:rsid w:val="00C40A07"/>
    <w:rsid w:val="00C40D75"/>
    <w:rsid w:val="00C410EC"/>
    <w:rsid w:val="00C4132E"/>
    <w:rsid w:val="00C425E2"/>
    <w:rsid w:val="00C426B5"/>
    <w:rsid w:val="00C42E49"/>
    <w:rsid w:val="00C43AD2"/>
    <w:rsid w:val="00C45B65"/>
    <w:rsid w:val="00C52CA7"/>
    <w:rsid w:val="00C60107"/>
    <w:rsid w:val="00C62BCE"/>
    <w:rsid w:val="00C64251"/>
    <w:rsid w:val="00C662AF"/>
    <w:rsid w:val="00C714D4"/>
    <w:rsid w:val="00C75356"/>
    <w:rsid w:val="00C76042"/>
    <w:rsid w:val="00C767FF"/>
    <w:rsid w:val="00C77CAD"/>
    <w:rsid w:val="00C82AAE"/>
    <w:rsid w:val="00C8367B"/>
    <w:rsid w:val="00C83A32"/>
    <w:rsid w:val="00C8524B"/>
    <w:rsid w:val="00C86610"/>
    <w:rsid w:val="00C90D1D"/>
    <w:rsid w:val="00C90ED7"/>
    <w:rsid w:val="00C9249F"/>
    <w:rsid w:val="00CA2597"/>
    <w:rsid w:val="00CA3B04"/>
    <w:rsid w:val="00CA6E98"/>
    <w:rsid w:val="00CB0DBE"/>
    <w:rsid w:val="00CB1A21"/>
    <w:rsid w:val="00CB6389"/>
    <w:rsid w:val="00CB74F0"/>
    <w:rsid w:val="00CC0032"/>
    <w:rsid w:val="00CC4277"/>
    <w:rsid w:val="00CD0DA2"/>
    <w:rsid w:val="00CD629E"/>
    <w:rsid w:val="00CD7EDF"/>
    <w:rsid w:val="00CE0651"/>
    <w:rsid w:val="00CE1F98"/>
    <w:rsid w:val="00CE2273"/>
    <w:rsid w:val="00CE22AC"/>
    <w:rsid w:val="00CE2770"/>
    <w:rsid w:val="00CE6475"/>
    <w:rsid w:val="00CF0E9F"/>
    <w:rsid w:val="00CF2AF0"/>
    <w:rsid w:val="00CF2CD8"/>
    <w:rsid w:val="00CF4AAA"/>
    <w:rsid w:val="00CF5A1F"/>
    <w:rsid w:val="00CF7F6B"/>
    <w:rsid w:val="00D04A87"/>
    <w:rsid w:val="00D10850"/>
    <w:rsid w:val="00D12BA2"/>
    <w:rsid w:val="00D133EF"/>
    <w:rsid w:val="00D14119"/>
    <w:rsid w:val="00D148DD"/>
    <w:rsid w:val="00D21D50"/>
    <w:rsid w:val="00D22C24"/>
    <w:rsid w:val="00D23A20"/>
    <w:rsid w:val="00D246D6"/>
    <w:rsid w:val="00D26276"/>
    <w:rsid w:val="00D26FEC"/>
    <w:rsid w:val="00D3028A"/>
    <w:rsid w:val="00D31CEE"/>
    <w:rsid w:val="00D3288F"/>
    <w:rsid w:val="00D33EB3"/>
    <w:rsid w:val="00D35F1F"/>
    <w:rsid w:val="00D404DE"/>
    <w:rsid w:val="00D44756"/>
    <w:rsid w:val="00D45150"/>
    <w:rsid w:val="00D4626D"/>
    <w:rsid w:val="00D46822"/>
    <w:rsid w:val="00D47F4F"/>
    <w:rsid w:val="00D511A6"/>
    <w:rsid w:val="00D51B3E"/>
    <w:rsid w:val="00D523DD"/>
    <w:rsid w:val="00D5296E"/>
    <w:rsid w:val="00D53AF4"/>
    <w:rsid w:val="00D56048"/>
    <w:rsid w:val="00D57688"/>
    <w:rsid w:val="00D6065B"/>
    <w:rsid w:val="00D6572B"/>
    <w:rsid w:val="00D67DD0"/>
    <w:rsid w:val="00D75673"/>
    <w:rsid w:val="00D756C1"/>
    <w:rsid w:val="00D80060"/>
    <w:rsid w:val="00D853E1"/>
    <w:rsid w:val="00D90007"/>
    <w:rsid w:val="00D90243"/>
    <w:rsid w:val="00D908ED"/>
    <w:rsid w:val="00D90927"/>
    <w:rsid w:val="00D920EB"/>
    <w:rsid w:val="00D95A0A"/>
    <w:rsid w:val="00D97300"/>
    <w:rsid w:val="00DA0ACC"/>
    <w:rsid w:val="00DA17B7"/>
    <w:rsid w:val="00DA2DE0"/>
    <w:rsid w:val="00DA2ED4"/>
    <w:rsid w:val="00DA3E29"/>
    <w:rsid w:val="00DA6A3F"/>
    <w:rsid w:val="00DB1400"/>
    <w:rsid w:val="00DB2872"/>
    <w:rsid w:val="00DB6E88"/>
    <w:rsid w:val="00DB7D0C"/>
    <w:rsid w:val="00DC05C0"/>
    <w:rsid w:val="00DC0ECE"/>
    <w:rsid w:val="00DC146A"/>
    <w:rsid w:val="00DC191D"/>
    <w:rsid w:val="00DC4955"/>
    <w:rsid w:val="00DC4AB9"/>
    <w:rsid w:val="00DC7F79"/>
    <w:rsid w:val="00DD17E0"/>
    <w:rsid w:val="00DD201B"/>
    <w:rsid w:val="00DD550F"/>
    <w:rsid w:val="00DD7EAE"/>
    <w:rsid w:val="00DE3381"/>
    <w:rsid w:val="00DE5842"/>
    <w:rsid w:val="00DF1038"/>
    <w:rsid w:val="00DF66E3"/>
    <w:rsid w:val="00DF6DC8"/>
    <w:rsid w:val="00DF7267"/>
    <w:rsid w:val="00E01344"/>
    <w:rsid w:val="00E0258E"/>
    <w:rsid w:val="00E040A3"/>
    <w:rsid w:val="00E042CB"/>
    <w:rsid w:val="00E04FC0"/>
    <w:rsid w:val="00E06387"/>
    <w:rsid w:val="00E06F2E"/>
    <w:rsid w:val="00E10878"/>
    <w:rsid w:val="00E123A1"/>
    <w:rsid w:val="00E12457"/>
    <w:rsid w:val="00E20257"/>
    <w:rsid w:val="00E20C19"/>
    <w:rsid w:val="00E21431"/>
    <w:rsid w:val="00E22BD3"/>
    <w:rsid w:val="00E23916"/>
    <w:rsid w:val="00E23E51"/>
    <w:rsid w:val="00E244F3"/>
    <w:rsid w:val="00E25A9F"/>
    <w:rsid w:val="00E30356"/>
    <w:rsid w:val="00E3087D"/>
    <w:rsid w:val="00E31696"/>
    <w:rsid w:val="00E31C56"/>
    <w:rsid w:val="00E3539E"/>
    <w:rsid w:val="00E37BD3"/>
    <w:rsid w:val="00E401A6"/>
    <w:rsid w:val="00E44448"/>
    <w:rsid w:val="00E53CD8"/>
    <w:rsid w:val="00E564EA"/>
    <w:rsid w:val="00E62C1B"/>
    <w:rsid w:val="00E65423"/>
    <w:rsid w:val="00E67765"/>
    <w:rsid w:val="00E67938"/>
    <w:rsid w:val="00E67A5A"/>
    <w:rsid w:val="00E706A0"/>
    <w:rsid w:val="00E707FE"/>
    <w:rsid w:val="00E70CFC"/>
    <w:rsid w:val="00E73EFB"/>
    <w:rsid w:val="00E771E4"/>
    <w:rsid w:val="00E77879"/>
    <w:rsid w:val="00E80EAC"/>
    <w:rsid w:val="00E81785"/>
    <w:rsid w:val="00E82DC4"/>
    <w:rsid w:val="00E834D0"/>
    <w:rsid w:val="00E8551C"/>
    <w:rsid w:val="00E869C0"/>
    <w:rsid w:val="00E93F8A"/>
    <w:rsid w:val="00E940C4"/>
    <w:rsid w:val="00E95717"/>
    <w:rsid w:val="00EA0607"/>
    <w:rsid w:val="00EA263E"/>
    <w:rsid w:val="00EA36E7"/>
    <w:rsid w:val="00EA3890"/>
    <w:rsid w:val="00EA4AB2"/>
    <w:rsid w:val="00EA4B52"/>
    <w:rsid w:val="00EA67C2"/>
    <w:rsid w:val="00EB000E"/>
    <w:rsid w:val="00EB02F2"/>
    <w:rsid w:val="00EB1916"/>
    <w:rsid w:val="00EB1E40"/>
    <w:rsid w:val="00EB45BC"/>
    <w:rsid w:val="00EC3259"/>
    <w:rsid w:val="00EC3D46"/>
    <w:rsid w:val="00EC46DD"/>
    <w:rsid w:val="00EC4B9E"/>
    <w:rsid w:val="00EC61E9"/>
    <w:rsid w:val="00EC7AA2"/>
    <w:rsid w:val="00ED0F2E"/>
    <w:rsid w:val="00ED17D7"/>
    <w:rsid w:val="00ED2A71"/>
    <w:rsid w:val="00ED5EC5"/>
    <w:rsid w:val="00ED6C33"/>
    <w:rsid w:val="00ED73F0"/>
    <w:rsid w:val="00EE2635"/>
    <w:rsid w:val="00EE2CFD"/>
    <w:rsid w:val="00EE3F8E"/>
    <w:rsid w:val="00EE569F"/>
    <w:rsid w:val="00EF0091"/>
    <w:rsid w:val="00EF08CA"/>
    <w:rsid w:val="00EF1FD7"/>
    <w:rsid w:val="00EF1FF8"/>
    <w:rsid w:val="00EF4184"/>
    <w:rsid w:val="00EF53A7"/>
    <w:rsid w:val="00EF63CC"/>
    <w:rsid w:val="00F00EB5"/>
    <w:rsid w:val="00F02136"/>
    <w:rsid w:val="00F025AC"/>
    <w:rsid w:val="00F02AD1"/>
    <w:rsid w:val="00F03203"/>
    <w:rsid w:val="00F04FBB"/>
    <w:rsid w:val="00F05D25"/>
    <w:rsid w:val="00F065DE"/>
    <w:rsid w:val="00F06763"/>
    <w:rsid w:val="00F13A40"/>
    <w:rsid w:val="00F1564F"/>
    <w:rsid w:val="00F204DD"/>
    <w:rsid w:val="00F2056F"/>
    <w:rsid w:val="00F213DC"/>
    <w:rsid w:val="00F22950"/>
    <w:rsid w:val="00F248EB"/>
    <w:rsid w:val="00F260A2"/>
    <w:rsid w:val="00F27091"/>
    <w:rsid w:val="00F326AB"/>
    <w:rsid w:val="00F362A1"/>
    <w:rsid w:val="00F362EC"/>
    <w:rsid w:val="00F41DA0"/>
    <w:rsid w:val="00F43428"/>
    <w:rsid w:val="00F4460B"/>
    <w:rsid w:val="00F465D6"/>
    <w:rsid w:val="00F51EDE"/>
    <w:rsid w:val="00F5526A"/>
    <w:rsid w:val="00F60C4C"/>
    <w:rsid w:val="00F612FE"/>
    <w:rsid w:val="00F63836"/>
    <w:rsid w:val="00F63CAF"/>
    <w:rsid w:val="00F645D4"/>
    <w:rsid w:val="00F64F4D"/>
    <w:rsid w:val="00F6547E"/>
    <w:rsid w:val="00F65599"/>
    <w:rsid w:val="00F66BFA"/>
    <w:rsid w:val="00F7638E"/>
    <w:rsid w:val="00F77BD7"/>
    <w:rsid w:val="00F80F55"/>
    <w:rsid w:val="00F83D86"/>
    <w:rsid w:val="00F85CDF"/>
    <w:rsid w:val="00F86B91"/>
    <w:rsid w:val="00F8763B"/>
    <w:rsid w:val="00F91A24"/>
    <w:rsid w:val="00F932A3"/>
    <w:rsid w:val="00F93CAD"/>
    <w:rsid w:val="00F96228"/>
    <w:rsid w:val="00FA0452"/>
    <w:rsid w:val="00FA0A4C"/>
    <w:rsid w:val="00FA372E"/>
    <w:rsid w:val="00FA554F"/>
    <w:rsid w:val="00FA6447"/>
    <w:rsid w:val="00FA64BD"/>
    <w:rsid w:val="00FA6625"/>
    <w:rsid w:val="00FB0FC8"/>
    <w:rsid w:val="00FB55E8"/>
    <w:rsid w:val="00FC1575"/>
    <w:rsid w:val="00FC465F"/>
    <w:rsid w:val="00FD001E"/>
    <w:rsid w:val="00FD1630"/>
    <w:rsid w:val="00FD47E5"/>
    <w:rsid w:val="00FD5E5E"/>
    <w:rsid w:val="00FD6874"/>
    <w:rsid w:val="00FD6879"/>
    <w:rsid w:val="00FD7A40"/>
    <w:rsid w:val="00FD7CCF"/>
    <w:rsid w:val="00FE0BCB"/>
    <w:rsid w:val="00FE0C7D"/>
    <w:rsid w:val="00FE1664"/>
    <w:rsid w:val="00FE274F"/>
    <w:rsid w:val="00FE2F06"/>
    <w:rsid w:val="00FE2F7D"/>
    <w:rsid w:val="00FF13C9"/>
    <w:rsid w:val="00FF1D0A"/>
    <w:rsid w:val="00FF292C"/>
    <w:rsid w:val="00FF5682"/>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7FB8C4-2E74-425D-A3CE-C3370541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A5"/>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7C4F03"/>
    <w:pPr>
      <w:ind w:left="720"/>
      <w:contextualSpacing/>
    </w:pPr>
  </w:style>
  <w:style w:type="paragraph" w:styleId="TOC1">
    <w:name w:val="toc 1"/>
    <w:basedOn w:val="Normal"/>
    <w:next w:val="Normal"/>
    <w:autoRedefine/>
    <w:uiPriority w:val="39"/>
    <w:unhideWhenUsed/>
    <w:rsid w:val="00F4460B"/>
    <w:pPr>
      <w:keepNext/>
      <w:keepLines/>
      <w:tabs>
        <w:tab w:val="left" w:pos="426"/>
        <w:tab w:val="right" w:leader="dot" w:pos="9062"/>
      </w:tabs>
      <w:spacing w:after="240"/>
      <w:ind w:left="72" w:hanging="360"/>
    </w:pPr>
    <w:rPr>
      <w:rFonts w:ascii="Arial" w:hAnsi="Arial" w:cs="Arial"/>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qFormat/>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uiPriority w:val="99"/>
    <w:qFormat/>
    <w:rsid w:val="007C4F03"/>
    <w:rPr>
      <w:vertAlign w:val="superscript"/>
    </w:rPr>
  </w:style>
  <w:style w:type="paragraph" w:styleId="NoSpacing">
    <w:name w:val="No Spacing"/>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iPriority w:val="99"/>
    <w:semiHidden/>
    <w:unhideWhenUsed/>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qFormat/>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1">
    <w:name w:val="Caracter2 Char Char Caracter Char Char Caracter Char Char Caracter Char Char"/>
    <w:basedOn w:val="Normal"/>
    <w:rsid w:val="00791E81"/>
    <w:pPr>
      <w:spacing w:after="0"/>
      <w:ind w:firstLine="0"/>
      <w:jc w:val="left"/>
    </w:pPr>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uiPriority w:val="99"/>
    <w:locked/>
    <w:rsid w:val="00BB23A6"/>
    <w:rPr>
      <w:rFonts w:eastAsia="Calibri"/>
      <w:lang w:val="en-GB"/>
    </w:rPr>
  </w:style>
  <w:style w:type="paragraph" w:customStyle="1" w:styleId="SUPERSChar1">
    <w:name w:val="SUPERS Char1"/>
    <w:basedOn w:val="Normal"/>
    <w:next w:val="Normal"/>
    <w:uiPriority w:val="99"/>
    <w:rsid w:val="00BB23A6"/>
    <w:pPr>
      <w:suppressAutoHyphens/>
      <w:spacing w:after="160" w:line="240" w:lineRule="exact"/>
      <w:ind w:firstLine="0"/>
      <w:jc w:val="left"/>
    </w:pPr>
    <w:rPr>
      <w:rFonts w:ascii="Times New Roman" w:hAnsi="Times New Roman" w:cs="Times New Roman"/>
      <w:sz w:val="20"/>
      <w:szCs w:val="20"/>
      <w:vertAlign w:val="superscript"/>
    </w:rPr>
  </w:style>
  <w:style w:type="paragraph" w:customStyle="1" w:styleId="Caracter2CharCharCaracterCharCharCaracterCharCharCaracterCharChar2">
    <w:name w:val="Caracter2 Char Char Caracter Char Char Caracter Char Char Caracter Char Char"/>
    <w:basedOn w:val="Normal"/>
    <w:rsid w:val="00724E48"/>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3">
    <w:name w:val="Caracter2 Char Char Caracter Char Char Caracter Char Char Caracter Char Char"/>
    <w:basedOn w:val="Normal"/>
    <w:rsid w:val="001F3032"/>
    <w:pPr>
      <w:spacing w:after="0"/>
      <w:ind w:firstLine="0"/>
      <w:jc w:val="left"/>
    </w:pPr>
    <w:rPr>
      <w:rFonts w:ascii="Times New Roman" w:eastAsia="Times New Roman" w:hAnsi="Times New Roman" w:cs="Times New Roman"/>
      <w:sz w:val="24"/>
      <w:szCs w:val="24"/>
      <w:lang w:val="pl-PL" w:eastAsia="pl-PL"/>
    </w:rPr>
  </w:style>
  <w:style w:type="character" w:customStyle="1" w:styleId="y2iqfc">
    <w:name w:val="y2iqfc"/>
    <w:basedOn w:val="DefaultParagraphFont"/>
    <w:rsid w:val="0044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55">
      <w:bodyDiv w:val="1"/>
      <w:marLeft w:val="0"/>
      <w:marRight w:val="0"/>
      <w:marTop w:val="0"/>
      <w:marBottom w:val="0"/>
      <w:divBdr>
        <w:top w:val="none" w:sz="0" w:space="0" w:color="auto"/>
        <w:left w:val="none" w:sz="0" w:space="0" w:color="auto"/>
        <w:bottom w:val="none" w:sz="0" w:space="0" w:color="auto"/>
        <w:right w:val="none" w:sz="0" w:space="0" w:color="auto"/>
      </w:divBdr>
    </w:div>
    <w:div w:id="115025011">
      <w:bodyDiv w:val="1"/>
      <w:marLeft w:val="0"/>
      <w:marRight w:val="0"/>
      <w:marTop w:val="0"/>
      <w:marBottom w:val="0"/>
      <w:divBdr>
        <w:top w:val="none" w:sz="0" w:space="0" w:color="auto"/>
        <w:left w:val="none" w:sz="0" w:space="0" w:color="auto"/>
        <w:bottom w:val="none" w:sz="0" w:space="0" w:color="auto"/>
        <w:right w:val="none" w:sz="0" w:space="0" w:color="auto"/>
      </w:divBdr>
      <w:divsChild>
        <w:div w:id="591552499">
          <w:marLeft w:val="547"/>
          <w:marRight w:val="0"/>
          <w:marTop w:val="0"/>
          <w:marBottom w:val="0"/>
          <w:divBdr>
            <w:top w:val="none" w:sz="0" w:space="0" w:color="auto"/>
            <w:left w:val="none" w:sz="0" w:space="0" w:color="auto"/>
            <w:bottom w:val="none" w:sz="0" w:space="0" w:color="auto"/>
            <w:right w:val="none" w:sz="0" w:space="0" w:color="auto"/>
          </w:divBdr>
        </w:div>
        <w:div w:id="1058211023">
          <w:marLeft w:val="547"/>
          <w:marRight w:val="0"/>
          <w:marTop w:val="200"/>
          <w:marBottom w:val="200"/>
          <w:divBdr>
            <w:top w:val="none" w:sz="0" w:space="0" w:color="auto"/>
            <w:left w:val="none" w:sz="0" w:space="0" w:color="auto"/>
            <w:bottom w:val="none" w:sz="0" w:space="0" w:color="auto"/>
            <w:right w:val="none" w:sz="0" w:space="0" w:color="auto"/>
          </w:divBdr>
        </w:div>
      </w:divsChild>
    </w:div>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224991803">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30062855">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367417453">
      <w:bodyDiv w:val="1"/>
      <w:marLeft w:val="0"/>
      <w:marRight w:val="0"/>
      <w:marTop w:val="0"/>
      <w:marBottom w:val="0"/>
      <w:divBdr>
        <w:top w:val="none" w:sz="0" w:space="0" w:color="auto"/>
        <w:left w:val="none" w:sz="0" w:space="0" w:color="auto"/>
        <w:bottom w:val="none" w:sz="0" w:space="0" w:color="auto"/>
        <w:right w:val="none" w:sz="0" w:space="0" w:color="auto"/>
      </w:divBdr>
    </w:div>
    <w:div w:id="37677832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sChild>
        <w:div w:id="272713846">
          <w:marLeft w:val="547"/>
          <w:marRight w:val="0"/>
          <w:marTop w:val="0"/>
          <w:marBottom w:val="200"/>
          <w:divBdr>
            <w:top w:val="none" w:sz="0" w:space="0" w:color="auto"/>
            <w:left w:val="none" w:sz="0" w:space="0" w:color="auto"/>
            <w:bottom w:val="none" w:sz="0" w:space="0" w:color="auto"/>
            <w:right w:val="none" w:sz="0" w:space="0" w:color="auto"/>
          </w:divBdr>
        </w:div>
        <w:div w:id="949050328">
          <w:marLeft w:val="547"/>
          <w:marRight w:val="0"/>
          <w:marTop w:val="0"/>
          <w:marBottom w:val="200"/>
          <w:divBdr>
            <w:top w:val="none" w:sz="0" w:space="0" w:color="auto"/>
            <w:left w:val="none" w:sz="0" w:space="0" w:color="auto"/>
            <w:bottom w:val="none" w:sz="0" w:space="0" w:color="auto"/>
            <w:right w:val="none" w:sz="0" w:space="0" w:color="auto"/>
          </w:divBdr>
        </w:div>
      </w:divsChild>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69796317">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16247170">
      <w:bodyDiv w:val="1"/>
      <w:marLeft w:val="0"/>
      <w:marRight w:val="0"/>
      <w:marTop w:val="0"/>
      <w:marBottom w:val="0"/>
      <w:divBdr>
        <w:top w:val="none" w:sz="0" w:space="0" w:color="auto"/>
        <w:left w:val="none" w:sz="0" w:space="0" w:color="auto"/>
        <w:bottom w:val="none" w:sz="0" w:space="0" w:color="auto"/>
        <w:right w:val="none" w:sz="0" w:space="0" w:color="auto"/>
      </w:divBdr>
    </w:div>
    <w:div w:id="765076565">
      <w:bodyDiv w:val="1"/>
      <w:marLeft w:val="0"/>
      <w:marRight w:val="0"/>
      <w:marTop w:val="0"/>
      <w:marBottom w:val="0"/>
      <w:divBdr>
        <w:top w:val="none" w:sz="0" w:space="0" w:color="auto"/>
        <w:left w:val="none" w:sz="0" w:space="0" w:color="auto"/>
        <w:bottom w:val="none" w:sz="0" w:space="0" w:color="auto"/>
        <w:right w:val="none" w:sz="0" w:space="0" w:color="auto"/>
      </w:divBdr>
      <w:divsChild>
        <w:div w:id="267737638">
          <w:marLeft w:val="446"/>
          <w:marRight w:val="346"/>
          <w:marTop w:val="120"/>
          <w:marBottom w:val="120"/>
          <w:divBdr>
            <w:top w:val="none" w:sz="0" w:space="0" w:color="auto"/>
            <w:left w:val="none" w:sz="0" w:space="0" w:color="auto"/>
            <w:bottom w:val="none" w:sz="0" w:space="0" w:color="auto"/>
            <w:right w:val="none" w:sz="0" w:space="0" w:color="auto"/>
          </w:divBdr>
        </w:div>
        <w:div w:id="1979189426">
          <w:marLeft w:val="446"/>
          <w:marRight w:val="0"/>
          <w:marTop w:val="0"/>
          <w:marBottom w:val="120"/>
          <w:divBdr>
            <w:top w:val="none" w:sz="0" w:space="0" w:color="auto"/>
            <w:left w:val="none" w:sz="0" w:space="0" w:color="auto"/>
            <w:bottom w:val="none" w:sz="0" w:space="0" w:color="auto"/>
            <w:right w:val="none" w:sz="0" w:space="0" w:color="auto"/>
          </w:divBdr>
        </w:div>
      </w:divsChild>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06051532">
      <w:bodyDiv w:val="1"/>
      <w:marLeft w:val="0"/>
      <w:marRight w:val="0"/>
      <w:marTop w:val="0"/>
      <w:marBottom w:val="0"/>
      <w:divBdr>
        <w:top w:val="none" w:sz="0" w:space="0" w:color="auto"/>
        <w:left w:val="none" w:sz="0" w:space="0" w:color="auto"/>
        <w:bottom w:val="none" w:sz="0" w:space="0" w:color="auto"/>
        <w:right w:val="none" w:sz="0" w:space="0" w:color="auto"/>
      </w:divBdr>
    </w:div>
    <w:div w:id="837500624">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8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07237063">
          <w:marLeft w:val="547"/>
          <w:marRight w:val="0"/>
          <w:marTop w:val="120"/>
          <w:marBottom w:val="120"/>
          <w:divBdr>
            <w:top w:val="none" w:sz="0" w:space="0" w:color="auto"/>
            <w:left w:val="none" w:sz="0" w:space="0" w:color="auto"/>
            <w:bottom w:val="none" w:sz="0" w:space="0" w:color="auto"/>
            <w:right w:val="none" w:sz="0" w:space="0" w:color="auto"/>
          </w:divBdr>
        </w:div>
        <w:div w:id="1663073507">
          <w:marLeft w:val="547"/>
          <w:marRight w:val="0"/>
          <w:marTop w:val="0"/>
          <w:marBottom w:val="200"/>
          <w:divBdr>
            <w:top w:val="none" w:sz="0" w:space="0" w:color="auto"/>
            <w:left w:val="none" w:sz="0" w:space="0" w:color="auto"/>
            <w:bottom w:val="none" w:sz="0" w:space="0" w:color="auto"/>
            <w:right w:val="none" w:sz="0" w:space="0" w:color="auto"/>
          </w:divBdr>
        </w:div>
      </w:divsChild>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23288468">
      <w:bodyDiv w:val="1"/>
      <w:marLeft w:val="0"/>
      <w:marRight w:val="0"/>
      <w:marTop w:val="0"/>
      <w:marBottom w:val="0"/>
      <w:divBdr>
        <w:top w:val="none" w:sz="0" w:space="0" w:color="auto"/>
        <w:left w:val="none" w:sz="0" w:space="0" w:color="auto"/>
        <w:bottom w:val="none" w:sz="0" w:space="0" w:color="auto"/>
        <w:right w:val="none" w:sz="0" w:space="0" w:color="auto"/>
      </w:divBdr>
    </w:div>
    <w:div w:id="10296018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09273163">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208837640">
      <w:bodyDiv w:val="1"/>
      <w:marLeft w:val="0"/>
      <w:marRight w:val="0"/>
      <w:marTop w:val="0"/>
      <w:marBottom w:val="0"/>
      <w:divBdr>
        <w:top w:val="none" w:sz="0" w:space="0" w:color="auto"/>
        <w:left w:val="none" w:sz="0" w:space="0" w:color="auto"/>
        <w:bottom w:val="none" w:sz="0" w:space="0" w:color="auto"/>
        <w:right w:val="none" w:sz="0" w:space="0" w:color="auto"/>
      </w:divBdr>
    </w:div>
    <w:div w:id="1221481420">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44587766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520774390">
      <w:bodyDiv w:val="1"/>
      <w:marLeft w:val="0"/>
      <w:marRight w:val="0"/>
      <w:marTop w:val="0"/>
      <w:marBottom w:val="0"/>
      <w:divBdr>
        <w:top w:val="none" w:sz="0" w:space="0" w:color="auto"/>
        <w:left w:val="none" w:sz="0" w:space="0" w:color="auto"/>
        <w:bottom w:val="none" w:sz="0" w:space="0" w:color="auto"/>
        <w:right w:val="none" w:sz="0" w:space="0" w:color="auto"/>
      </w:divBdr>
    </w:div>
    <w:div w:id="1536582639">
      <w:bodyDiv w:val="1"/>
      <w:marLeft w:val="0"/>
      <w:marRight w:val="0"/>
      <w:marTop w:val="0"/>
      <w:marBottom w:val="0"/>
      <w:divBdr>
        <w:top w:val="none" w:sz="0" w:space="0" w:color="auto"/>
        <w:left w:val="none" w:sz="0" w:space="0" w:color="auto"/>
        <w:bottom w:val="none" w:sz="0" w:space="0" w:color="auto"/>
        <w:right w:val="none" w:sz="0" w:space="0" w:color="auto"/>
      </w:divBdr>
      <w:divsChild>
        <w:div w:id="2140680218">
          <w:marLeft w:val="547"/>
          <w:marRight w:val="0"/>
          <w:marTop w:val="120"/>
          <w:marBottom w:val="120"/>
          <w:divBdr>
            <w:top w:val="none" w:sz="0" w:space="0" w:color="auto"/>
            <w:left w:val="none" w:sz="0" w:space="0" w:color="auto"/>
            <w:bottom w:val="none" w:sz="0" w:space="0" w:color="auto"/>
            <w:right w:val="none" w:sz="0" w:space="0" w:color="auto"/>
          </w:divBdr>
        </w:div>
        <w:div w:id="831025650">
          <w:marLeft w:val="547"/>
          <w:marRight w:val="0"/>
          <w:marTop w:val="120"/>
          <w:marBottom w:val="120"/>
          <w:divBdr>
            <w:top w:val="none" w:sz="0" w:space="0" w:color="auto"/>
            <w:left w:val="none" w:sz="0" w:space="0" w:color="auto"/>
            <w:bottom w:val="none" w:sz="0" w:space="0" w:color="auto"/>
            <w:right w:val="none" w:sz="0" w:space="0" w:color="auto"/>
          </w:divBdr>
        </w:div>
        <w:div w:id="1416511021">
          <w:marLeft w:val="547"/>
          <w:marRight w:val="0"/>
          <w:marTop w:val="0"/>
          <w:marBottom w:val="0"/>
          <w:divBdr>
            <w:top w:val="none" w:sz="0" w:space="0" w:color="auto"/>
            <w:left w:val="none" w:sz="0" w:space="0" w:color="auto"/>
            <w:bottom w:val="none" w:sz="0" w:space="0" w:color="auto"/>
            <w:right w:val="none" w:sz="0" w:space="0" w:color="auto"/>
          </w:divBdr>
        </w:div>
        <w:div w:id="320699091">
          <w:marLeft w:val="547"/>
          <w:marRight w:val="0"/>
          <w:marTop w:val="0"/>
          <w:marBottom w:val="0"/>
          <w:divBdr>
            <w:top w:val="none" w:sz="0" w:space="0" w:color="auto"/>
            <w:left w:val="none" w:sz="0" w:space="0" w:color="auto"/>
            <w:bottom w:val="none" w:sz="0" w:space="0" w:color="auto"/>
            <w:right w:val="none" w:sz="0" w:space="0" w:color="auto"/>
          </w:divBdr>
        </w:div>
        <w:div w:id="18044032">
          <w:marLeft w:val="547"/>
          <w:marRight w:val="0"/>
          <w:marTop w:val="0"/>
          <w:marBottom w:val="200"/>
          <w:divBdr>
            <w:top w:val="none" w:sz="0" w:space="0" w:color="auto"/>
            <w:left w:val="none" w:sz="0" w:space="0" w:color="auto"/>
            <w:bottom w:val="none" w:sz="0" w:space="0" w:color="auto"/>
            <w:right w:val="none" w:sz="0" w:space="0" w:color="auto"/>
          </w:divBdr>
        </w:div>
      </w:divsChild>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006081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49690295">
      <w:bodyDiv w:val="1"/>
      <w:marLeft w:val="0"/>
      <w:marRight w:val="0"/>
      <w:marTop w:val="0"/>
      <w:marBottom w:val="0"/>
      <w:divBdr>
        <w:top w:val="none" w:sz="0" w:space="0" w:color="auto"/>
        <w:left w:val="none" w:sz="0" w:space="0" w:color="auto"/>
        <w:bottom w:val="none" w:sz="0" w:space="0" w:color="auto"/>
        <w:right w:val="none" w:sz="0" w:space="0" w:color="auto"/>
      </w:divBdr>
    </w:div>
    <w:div w:id="176773183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47280183">
      <w:bodyDiv w:val="1"/>
      <w:marLeft w:val="0"/>
      <w:marRight w:val="0"/>
      <w:marTop w:val="0"/>
      <w:marBottom w:val="0"/>
      <w:divBdr>
        <w:top w:val="none" w:sz="0" w:space="0" w:color="auto"/>
        <w:left w:val="none" w:sz="0" w:space="0" w:color="auto"/>
        <w:bottom w:val="none" w:sz="0" w:space="0" w:color="auto"/>
        <w:right w:val="none" w:sz="0" w:space="0" w:color="auto"/>
      </w:divBdr>
      <w:divsChild>
        <w:div w:id="4140132">
          <w:marLeft w:val="547"/>
          <w:marRight w:val="0"/>
          <w:marTop w:val="0"/>
          <w:marBottom w:val="0"/>
          <w:divBdr>
            <w:top w:val="none" w:sz="0" w:space="0" w:color="auto"/>
            <w:left w:val="none" w:sz="0" w:space="0" w:color="auto"/>
            <w:bottom w:val="none" w:sz="0" w:space="0" w:color="auto"/>
            <w:right w:val="none" w:sz="0" w:space="0" w:color="auto"/>
          </w:divBdr>
        </w:div>
        <w:div w:id="2004117303">
          <w:marLeft w:val="547"/>
          <w:marRight w:val="0"/>
          <w:marTop w:val="0"/>
          <w:marBottom w:val="0"/>
          <w:divBdr>
            <w:top w:val="none" w:sz="0" w:space="0" w:color="auto"/>
            <w:left w:val="none" w:sz="0" w:space="0" w:color="auto"/>
            <w:bottom w:val="none" w:sz="0" w:space="0" w:color="auto"/>
            <w:right w:val="none" w:sz="0" w:space="0" w:color="auto"/>
          </w:divBdr>
        </w:div>
        <w:div w:id="535704628">
          <w:marLeft w:val="547"/>
          <w:marRight w:val="0"/>
          <w:marTop w:val="0"/>
          <w:marBottom w:val="200"/>
          <w:divBdr>
            <w:top w:val="none" w:sz="0" w:space="0" w:color="auto"/>
            <w:left w:val="none" w:sz="0" w:space="0" w:color="auto"/>
            <w:bottom w:val="none" w:sz="0" w:space="0" w:color="auto"/>
            <w:right w:val="none" w:sz="0" w:space="0" w:color="auto"/>
          </w:divBdr>
        </w:div>
        <w:div w:id="212815043">
          <w:marLeft w:val="547"/>
          <w:marRight w:val="0"/>
          <w:marTop w:val="0"/>
          <w:marBottom w:val="200"/>
          <w:divBdr>
            <w:top w:val="none" w:sz="0" w:space="0" w:color="auto"/>
            <w:left w:val="none" w:sz="0" w:space="0" w:color="auto"/>
            <w:bottom w:val="none" w:sz="0" w:space="0" w:color="auto"/>
            <w:right w:val="none" w:sz="0" w:space="0" w:color="auto"/>
          </w:divBdr>
        </w:div>
      </w:divsChild>
    </w:div>
    <w:div w:id="1856963042">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15896803">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1943875971">
      <w:bodyDiv w:val="1"/>
      <w:marLeft w:val="0"/>
      <w:marRight w:val="0"/>
      <w:marTop w:val="0"/>
      <w:marBottom w:val="0"/>
      <w:divBdr>
        <w:top w:val="none" w:sz="0" w:space="0" w:color="auto"/>
        <w:left w:val="none" w:sz="0" w:space="0" w:color="auto"/>
        <w:bottom w:val="none" w:sz="0" w:space="0" w:color="auto"/>
        <w:right w:val="none" w:sz="0" w:space="0" w:color="auto"/>
      </w:divBdr>
    </w:div>
    <w:div w:id="1952777883">
      <w:bodyDiv w:val="1"/>
      <w:marLeft w:val="0"/>
      <w:marRight w:val="0"/>
      <w:marTop w:val="0"/>
      <w:marBottom w:val="0"/>
      <w:divBdr>
        <w:top w:val="none" w:sz="0" w:space="0" w:color="auto"/>
        <w:left w:val="none" w:sz="0" w:space="0" w:color="auto"/>
        <w:bottom w:val="none" w:sz="0" w:space="0" w:color="auto"/>
        <w:right w:val="none" w:sz="0" w:space="0" w:color="auto"/>
      </w:divBdr>
    </w:div>
    <w:div w:id="1956937010">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3866809">
      <w:bodyDiv w:val="1"/>
      <w:marLeft w:val="0"/>
      <w:marRight w:val="0"/>
      <w:marTop w:val="0"/>
      <w:marBottom w:val="0"/>
      <w:divBdr>
        <w:top w:val="none" w:sz="0" w:space="0" w:color="auto"/>
        <w:left w:val="none" w:sz="0" w:space="0" w:color="auto"/>
        <w:bottom w:val="none" w:sz="0" w:space="0" w:color="auto"/>
        <w:right w:val="none" w:sz="0" w:space="0" w:color="auto"/>
      </w:divBdr>
    </w:div>
    <w:div w:id="2133089104">
      <w:bodyDiv w:val="1"/>
      <w:marLeft w:val="0"/>
      <w:marRight w:val="0"/>
      <w:marTop w:val="0"/>
      <w:marBottom w:val="0"/>
      <w:divBdr>
        <w:top w:val="none" w:sz="0" w:space="0" w:color="auto"/>
        <w:left w:val="none" w:sz="0" w:space="0" w:color="auto"/>
        <w:bottom w:val="none" w:sz="0" w:space="0" w:color="auto"/>
        <w:right w:val="none" w:sz="0" w:space="0" w:color="auto"/>
      </w:divBdr>
    </w:div>
    <w:div w:id="2142377697">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 w:id="21461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gislatie.just.ro/Public/DetaliiDocumentAfis/21597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D:\2022\Raport%20MFP%20sem.%20I%202022\grafic%20utilizar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Grafic%20evolutia%20comertului%20exterior%20ianuarie%20-%20August%2020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ETURI\baze%20date%20preturi\ipc\RemusC%20IPC%20(total+componente)%20progn%20oficial%20din%20baza%20fixa.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011217031613488E-2"/>
          <c:y val="8.7890013018656898E-2"/>
          <c:w val="0.87443717849430869"/>
          <c:h val="0.63343160618298622"/>
        </c:manualLayout>
      </c:layout>
      <c:barChart>
        <c:barDir val="col"/>
        <c:grouping val="stacked"/>
        <c:varyColors val="0"/>
        <c:ser>
          <c:idx val="1"/>
          <c:order val="1"/>
          <c:tx>
            <c:strRef>
              <c:f>'Sheet1 (2)'!$A$24</c:f>
              <c:strCache>
                <c:ptCount val="1"/>
                <c:pt idx="0">
                  <c:v>Consum final</c:v>
                </c:pt>
              </c:strCache>
            </c:strRef>
          </c:tx>
          <c:spPr>
            <a:solidFill>
              <a:schemeClr val="accent6">
                <a:lumMod val="40000"/>
                <a:lumOff val="60000"/>
              </a:schemeClr>
            </a:solidFill>
          </c:spPr>
          <c:invertIfNegative val="0"/>
          <c:cat>
            <c:strRef>
              <c:f>'Sheet1 (2)'!$B$22:$F$22</c:f>
              <c:strCache>
                <c:ptCount val="5"/>
                <c:pt idx="0">
                  <c:v>Trim I 2021</c:v>
                </c:pt>
                <c:pt idx="1">
                  <c:v>Trim II 2021</c:v>
                </c:pt>
                <c:pt idx="2">
                  <c:v>Trim III 2021</c:v>
                </c:pt>
                <c:pt idx="3">
                  <c:v>Trim IV 2021</c:v>
                </c:pt>
                <c:pt idx="4">
                  <c:v>Trim I 2022</c:v>
                </c:pt>
              </c:strCache>
            </c:strRef>
          </c:cat>
          <c:val>
            <c:numRef>
              <c:f>'Sheet1 (2)'!$B$24:$F$24</c:f>
              <c:numCache>
                <c:formatCode>0.0</c:formatCode>
                <c:ptCount val="5"/>
                <c:pt idx="0">
                  <c:v>-0.30000000000000032</c:v>
                </c:pt>
                <c:pt idx="1">
                  <c:v>7.6</c:v>
                </c:pt>
                <c:pt idx="2">
                  <c:v>5.0999999999999996</c:v>
                </c:pt>
                <c:pt idx="3" formatCode="General">
                  <c:v>6.3</c:v>
                </c:pt>
                <c:pt idx="4">
                  <c:v>5.4</c:v>
                </c:pt>
              </c:numCache>
            </c:numRef>
          </c:val>
          <c:extLst>
            <c:ext xmlns:c16="http://schemas.microsoft.com/office/drawing/2014/chart" uri="{C3380CC4-5D6E-409C-BE32-E72D297353CC}">
              <c16:uniqueId val="{00000000-44CA-435B-99C9-3AD70888075A}"/>
            </c:ext>
          </c:extLst>
        </c:ser>
        <c:ser>
          <c:idx val="2"/>
          <c:order val="2"/>
          <c:tx>
            <c:strRef>
              <c:f>'Sheet1 (2)'!$A$25</c:f>
              <c:strCache>
                <c:ptCount val="1"/>
                <c:pt idx="0">
                  <c:v>Formarea bruta de capital fix</c:v>
                </c:pt>
              </c:strCache>
            </c:strRef>
          </c:tx>
          <c:spPr>
            <a:solidFill>
              <a:srgbClr val="DFD0E6"/>
            </a:solidFill>
          </c:spPr>
          <c:invertIfNegative val="0"/>
          <c:cat>
            <c:strRef>
              <c:f>'Sheet1 (2)'!$B$22:$F$22</c:f>
              <c:strCache>
                <c:ptCount val="5"/>
                <c:pt idx="0">
                  <c:v>Trim I 2021</c:v>
                </c:pt>
                <c:pt idx="1">
                  <c:v>Trim II 2021</c:v>
                </c:pt>
                <c:pt idx="2">
                  <c:v>Trim III 2021</c:v>
                </c:pt>
                <c:pt idx="3">
                  <c:v>Trim IV 2021</c:v>
                </c:pt>
                <c:pt idx="4">
                  <c:v>Trim I 2022</c:v>
                </c:pt>
              </c:strCache>
            </c:strRef>
          </c:cat>
          <c:val>
            <c:numRef>
              <c:f>'Sheet1 (2)'!$B$25:$F$25</c:f>
              <c:numCache>
                <c:formatCode>0.0</c:formatCode>
                <c:ptCount val="5"/>
                <c:pt idx="0">
                  <c:v>1.9000000000000001</c:v>
                </c:pt>
                <c:pt idx="1">
                  <c:v>3.2</c:v>
                </c:pt>
                <c:pt idx="2">
                  <c:v>-0.4</c:v>
                </c:pt>
                <c:pt idx="3" formatCode="General">
                  <c:v>-1.3</c:v>
                </c:pt>
                <c:pt idx="4">
                  <c:v>0.30000000000000032</c:v>
                </c:pt>
              </c:numCache>
            </c:numRef>
          </c:val>
          <c:extLst>
            <c:ext xmlns:c16="http://schemas.microsoft.com/office/drawing/2014/chart" uri="{C3380CC4-5D6E-409C-BE32-E72D297353CC}">
              <c16:uniqueId val="{00000001-44CA-435B-99C9-3AD70888075A}"/>
            </c:ext>
          </c:extLst>
        </c:ser>
        <c:ser>
          <c:idx val="3"/>
          <c:order val="3"/>
          <c:tx>
            <c:strRef>
              <c:f>'Sheet1 (2)'!$A$26</c:f>
              <c:strCache>
                <c:ptCount val="1"/>
                <c:pt idx="0">
                  <c:v>Variatia stocurilor</c:v>
                </c:pt>
              </c:strCache>
            </c:strRef>
          </c:tx>
          <c:spPr>
            <a:solidFill>
              <a:schemeClr val="accent4">
                <a:lumMod val="40000"/>
                <a:lumOff val="60000"/>
              </a:schemeClr>
            </a:solidFill>
          </c:spPr>
          <c:invertIfNegative val="0"/>
          <c:cat>
            <c:strRef>
              <c:f>'Sheet1 (2)'!$B$22:$F$22</c:f>
              <c:strCache>
                <c:ptCount val="5"/>
                <c:pt idx="0">
                  <c:v>Trim I 2021</c:v>
                </c:pt>
                <c:pt idx="1">
                  <c:v>Trim II 2021</c:v>
                </c:pt>
                <c:pt idx="2">
                  <c:v>Trim III 2021</c:v>
                </c:pt>
                <c:pt idx="3">
                  <c:v>Trim IV 2021</c:v>
                </c:pt>
                <c:pt idx="4">
                  <c:v>Trim I 2022</c:v>
                </c:pt>
              </c:strCache>
            </c:strRef>
          </c:cat>
          <c:val>
            <c:numRef>
              <c:f>'Sheet1 (2)'!$B$26:$F$26</c:f>
              <c:numCache>
                <c:formatCode>0.0</c:formatCode>
                <c:ptCount val="5"/>
                <c:pt idx="0">
                  <c:v>0.5</c:v>
                </c:pt>
                <c:pt idx="1">
                  <c:v>6.8</c:v>
                </c:pt>
                <c:pt idx="2">
                  <c:v>3.6</c:v>
                </c:pt>
                <c:pt idx="3" formatCode="General">
                  <c:v>-2.2000000000000002</c:v>
                </c:pt>
                <c:pt idx="4">
                  <c:v>0.4</c:v>
                </c:pt>
              </c:numCache>
            </c:numRef>
          </c:val>
          <c:extLst>
            <c:ext xmlns:c16="http://schemas.microsoft.com/office/drawing/2014/chart" uri="{C3380CC4-5D6E-409C-BE32-E72D297353CC}">
              <c16:uniqueId val="{00000002-44CA-435B-99C9-3AD70888075A}"/>
            </c:ext>
          </c:extLst>
        </c:ser>
        <c:ser>
          <c:idx val="4"/>
          <c:order val="4"/>
          <c:tx>
            <c:strRef>
              <c:f>'Sheet1 (2)'!$A$27</c:f>
              <c:strCache>
                <c:ptCount val="1"/>
                <c:pt idx="0">
                  <c:v>Export net</c:v>
                </c:pt>
              </c:strCache>
            </c:strRef>
          </c:tx>
          <c:spPr>
            <a:solidFill>
              <a:schemeClr val="accent1">
                <a:lumMod val="40000"/>
                <a:lumOff val="60000"/>
              </a:schemeClr>
            </a:solidFill>
          </c:spPr>
          <c:invertIfNegative val="0"/>
          <c:cat>
            <c:strRef>
              <c:f>'Sheet1 (2)'!$B$22:$F$22</c:f>
              <c:strCache>
                <c:ptCount val="5"/>
                <c:pt idx="0">
                  <c:v>Trim I 2021</c:v>
                </c:pt>
                <c:pt idx="1">
                  <c:v>Trim II 2021</c:v>
                </c:pt>
                <c:pt idx="2">
                  <c:v>Trim III 2021</c:v>
                </c:pt>
                <c:pt idx="3">
                  <c:v>Trim IV 2021</c:v>
                </c:pt>
                <c:pt idx="4">
                  <c:v>Trim I 2022</c:v>
                </c:pt>
              </c:strCache>
            </c:strRef>
          </c:cat>
          <c:val>
            <c:numRef>
              <c:f>'Sheet1 (2)'!$B$27:$F$27</c:f>
              <c:numCache>
                <c:formatCode>0.0</c:formatCode>
                <c:ptCount val="5"/>
                <c:pt idx="0">
                  <c:v>-2.2000000000000002</c:v>
                </c:pt>
                <c:pt idx="1">
                  <c:v>-2.2000000000000002</c:v>
                </c:pt>
                <c:pt idx="2">
                  <c:v>-1.4</c:v>
                </c:pt>
                <c:pt idx="3" formatCode="General">
                  <c:v>-0.4</c:v>
                </c:pt>
                <c:pt idx="4">
                  <c:v>0.30000000000000032</c:v>
                </c:pt>
              </c:numCache>
            </c:numRef>
          </c:val>
          <c:extLst>
            <c:ext xmlns:c16="http://schemas.microsoft.com/office/drawing/2014/chart" uri="{C3380CC4-5D6E-409C-BE32-E72D297353CC}">
              <c16:uniqueId val="{00000003-44CA-435B-99C9-3AD70888075A}"/>
            </c:ext>
          </c:extLst>
        </c:ser>
        <c:dLbls>
          <c:showLegendKey val="0"/>
          <c:showVal val="0"/>
          <c:showCatName val="0"/>
          <c:showSerName val="0"/>
          <c:showPercent val="0"/>
          <c:showBubbleSize val="0"/>
        </c:dLbls>
        <c:gapWidth val="289"/>
        <c:overlap val="100"/>
        <c:axId val="152672896"/>
        <c:axId val="152932736"/>
      </c:barChart>
      <c:lineChart>
        <c:grouping val="standard"/>
        <c:varyColors val="0"/>
        <c:ser>
          <c:idx val="0"/>
          <c:order val="0"/>
          <c:tx>
            <c:strRef>
              <c:f>'Sheet1 (2)'!$A$23</c:f>
              <c:strCache>
                <c:ptCount val="1"/>
                <c:pt idx="0">
                  <c:v>PIB</c:v>
                </c:pt>
              </c:strCache>
            </c:strRef>
          </c:tx>
          <c:spPr>
            <a:ln w="22225">
              <a:solidFill>
                <a:schemeClr val="accent1">
                  <a:lumMod val="75000"/>
                </a:schemeClr>
              </a:solidFill>
              <a:prstDash val="sysDash"/>
            </a:ln>
          </c:spPr>
          <c:marker>
            <c:symbol val="none"/>
          </c:marker>
          <c:dLbls>
            <c:dLbl>
              <c:idx val="0"/>
              <c:layout>
                <c:manualLayout>
                  <c:x val="-9.0974718897669865E-2"/>
                  <c:y val="-2.81609208145949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4CA-435B-99C9-3AD70888075A}"/>
                </c:ext>
              </c:extLst>
            </c:dLbl>
            <c:dLbl>
              <c:idx val="1"/>
              <c:layout>
                <c:manualLayout>
                  <c:x val="2.5270755249352756E-2"/>
                  <c:y val="-2.0114943438996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4CA-435B-99C9-3AD70888075A}"/>
                </c:ext>
              </c:extLst>
            </c:dLbl>
            <c:dLbl>
              <c:idx val="2"/>
              <c:layout>
                <c:manualLayout>
                  <c:x val="0"/>
                  <c:y val="-5.2298852941390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4CA-435B-99C9-3AD70888075A}"/>
                </c:ext>
              </c:extLst>
            </c:dLbl>
            <c:dLbl>
              <c:idx val="3"/>
              <c:layout>
                <c:manualLayout>
                  <c:x val="1.2635377624676359E-2"/>
                  <c:y val="-6.8390807692587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CA-435B-99C9-3AD70888075A}"/>
                </c:ext>
              </c:extLst>
            </c:dLbl>
            <c:dLbl>
              <c:idx val="4"/>
              <c:layout>
                <c:manualLayout>
                  <c:x val="-2.7797830774288015E-2"/>
                  <c:y val="-3.2183909502394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4CA-435B-99C9-3AD70888075A}"/>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(2)'!$B$22:$F$22</c:f>
              <c:strCache>
                <c:ptCount val="5"/>
                <c:pt idx="0">
                  <c:v>Trim I 2021</c:v>
                </c:pt>
                <c:pt idx="1">
                  <c:v>Trim II 2021</c:v>
                </c:pt>
                <c:pt idx="2">
                  <c:v>Trim III 2021</c:v>
                </c:pt>
                <c:pt idx="3">
                  <c:v>Trim IV 2021</c:v>
                </c:pt>
                <c:pt idx="4">
                  <c:v>Trim I 2022</c:v>
                </c:pt>
              </c:strCache>
            </c:strRef>
          </c:cat>
          <c:val>
            <c:numRef>
              <c:f>'Sheet1 (2)'!$B$23:$F$23</c:f>
              <c:numCache>
                <c:formatCode>0.0</c:formatCode>
                <c:ptCount val="5"/>
                <c:pt idx="0">
                  <c:v>-0.1</c:v>
                </c:pt>
                <c:pt idx="1">
                  <c:v>15.4</c:v>
                </c:pt>
                <c:pt idx="2">
                  <c:v>6.9</c:v>
                </c:pt>
                <c:pt idx="3" formatCode="General">
                  <c:v>2.4</c:v>
                </c:pt>
                <c:pt idx="4">
                  <c:v>6.4</c:v>
                </c:pt>
              </c:numCache>
            </c:numRef>
          </c:val>
          <c:smooth val="1"/>
          <c:extLst>
            <c:ext xmlns:c16="http://schemas.microsoft.com/office/drawing/2014/chart" uri="{C3380CC4-5D6E-409C-BE32-E72D297353CC}">
              <c16:uniqueId val="{00000009-44CA-435B-99C9-3AD70888075A}"/>
            </c:ext>
          </c:extLst>
        </c:ser>
        <c:dLbls>
          <c:showLegendKey val="0"/>
          <c:showVal val="0"/>
          <c:showCatName val="0"/>
          <c:showSerName val="0"/>
          <c:showPercent val="0"/>
          <c:showBubbleSize val="0"/>
        </c:dLbls>
        <c:marker val="1"/>
        <c:smooth val="0"/>
        <c:axId val="152672896"/>
        <c:axId val="152932736"/>
      </c:lineChart>
      <c:catAx>
        <c:axId val="152672896"/>
        <c:scaling>
          <c:orientation val="minMax"/>
        </c:scaling>
        <c:delete val="0"/>
        <c:axPos val="b"/>
        <c:numFmt formatCode="General" sourceLinked="0"/>
        <c:majorTickMark val="out"/>
        <c:minorTickMark val="none"/>
        <c:tickLblPos val="low"/>
        <c:txPr>
          <a:bodyPr/>
          <a:lstStyle/>
          <a:p>
            <a:pPr>
              <a:defRPr b="1"/>
            </a:pPr>
            <a:endParaRPr lang="en-US"/>
          </a:p>
        </c:txPr>
        <c:crossAx val="152932736"/>
        <c:crosses val="autoZero"/>
        <c:auto val="1"/>
        <c:lblAlgn val="ctr"/>
        <c:lblOffset val="100"/>
        <c:noMultiLvlLbl val="0"/>
      </c:catAx>
      <c:valAx>
        <c:axId val="152932736"/>
        <c:scaling>
          <c:orientation val="minMax"/>
          <c:max val="18"/>
          <c:min val="-6"/>
        </c:scaling>
        <c:delete val="0"/>
        <c:axPos val="l"/>
        <c:majorGridlines>
          <c:spPr>
            <a:ln>
              <a:solidFill>
                <a:schemeClr val="bg1">
                  <a:lumMod val="95000"/>
                </a:schemeClr>
              </a:solidFill>
            </a:ln>
          </c:spPr>
        </c:majorGridlines>
        <c:numFmt formatCode="0.0" sourceLinked="1"/>
        <c:majorTickMark val="out"/>
        <c:minorTickMark val="none"/>
        <c:tickLblPos val="nextTo"/>
        <c:txPr>
          <a:bodyPr/>
          <a:lstStyle/>
          <a:p>
            <a:pPr>
              <a:defRPr b="1"/>
            </a:pPr>
            <a:endParaRPr lang="en-US"/>
          </a:p>
        </c:txPr>
        <c:crossAx val="152672896"/>
        <c:crosses val="autoZero"/>
        <c:crossBetween val="between"/>
        <c:majorUnit val="4"/>
      </c:valAx>
      <c:spPr>
        <a:solidFill>
          <a:schemeClr val="bg1">
            <a:lumMod val="95000"/>
          </a:schemeClr>
        </a:solidFill>
      </c:spPr>
    </c:plotArea>
    <c:legend>
      <c:legendPos val="b"/>
      <c:layout>
        <c:manualLayout>
          <c:xMode val="edge"/>
          <c:yMode val="edge"/>
          <c:x val="7.2817979724497134E-2"/>
          <c:y val="0.82408230718084452"/>
          <c:w val="0.9271820129666053"/>
          <c:h val="0.14628790597736968"/>
        </c:manualLayout>
      </c:layout>
      <c:overlay val="0"/>
    </c:legend>
    <c:plotVisOnly val="1"/>
    <c:dispBlanksAs val="gap"/>
    <c:showDLblsOverMax val="0"/>
  </c:chart>
  <c:spPr>
    <a:solidFill>
      <a:schemeClr val="bg1">
        <a:lumMod val="95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autoTitleDeleted val="1"/>
    <c:view3D>
      <c:rotX val="0"/>
      <c:rotY val="20"/>
      <c:depthPercent val="90"/>
      <c:rAngAx val="0"/>
      <c:perspective val="0"/>
    </c:view3D>
    <c:floor>
      <c:thickness val="0"/>
    </c:floor>
    <c:sideWall>
      <c:thickness val="0"/>
      <c:spPr>
        <a:noFill/>
      </c:spPr>
    </c:sideWall>
    <c:backWall>
      <c:thickness val="0"/>
      <c:spPr>
        <a:noFill/>
      </c:spPr>
    </c:backWall>
    <c:plotArea>
      <c:layout>
        <c:manualLayout>
          <c:layoutTarget val="inner"/>
          <c:xMode val="edge"/>
          <c:yMode val="edge"/>
          <c:x val="0.11317191057253786"/>
          <c:y val="5.8736544251840231E-2"/>
          <c:w val="0.82455630786807566"/>
          <c:h val="0.71504230958589865"/>
        </c:manualLayout>
      </c:layout>
      <c:bar3DChart>
        <c:barDir val="col"/>
        <c:grouping val="clustered"/>
        <c:varyColors val="0"/>
        <c:ser>
          <c:idx val="1"/>
          <c:order val="0"/>
          <c:tx>
            <c:strRef>
              <c:f>'Grafic lunar comert'!$A$9</c:f>
              <c:strCache>
                <c:ptCount val="1"/>
                <c:pt idx="0">
                  <c:v>Export FOB</c:v>
                </c:pt>
              </c:strCache>
            </c:strRef>
          </c:tx>
          <c:spPr>
            <a:solidFill>
              <a:srgbClr val="008000"/>
            </a:solidFill>
            <a:ln>
              <a:solidFill>
                <a:schemeClr val="accent6">
                  <a:lumMod val="75000"/>
                </a:schemeClr>
              </a:solidFill>
            </a:ln>
          </c:spPr>
          <c:invertIfNegative val="0"/>
          <c:dLbls>
            <c:delete val="1"/>
          </c:dLbls>
          <c:cat>
            <c:strRef>
              <c:f>'Grafic lunar comert'!$B$8:$I$8</c:f>
              <c:strCache>
                <c:ptCount val="5"/>
                <c:pt idx="0">
                  <c:v>ian</c:v>
                </c:pt>
                <c:pt idx="1">
                  <c:v>feb</c:v>
                </c:pt>
                <c:pt idx="2">
                  <c:v>mart</c:v>
                </c:pt>
                <c:pt idx="3">
                  <c:v>apr</c:v>
                </c:pt>
                <c:pt idx="4">
                  <c:v>mai</c:v>
                </c:pt>
              </c:strCache>
            </c:strRef>
          </c:cat>
          <c:val>
            <c:numRef>
              <c:f>'Grafic lunar comert'!$B$9:$I$9</c:f>
              <c:numCache>
                <c:formatCode>0.0</c:formatCode>
                <c:ptCount val="5"/>
                <c:pt idx="0">
                  <c:v>6759</c:v>
                </c:pt>
                <c:pt idx="1">
                  <c:v>7042</c:v>
                </c:pt>
                <c:pt idx="2">
                  <c:v>8232.2999999999811</c:v>
                </c:pt>
                <c:pt idx="3">
                  <c:v>6888.2</c:v>
                </c:pt>
                <c:pt idx="4">
                  <c:v>7997.4</c:v>
                </c:pt>
              </c:numCache>
            </c:numRef>
          </c:val>
          <c:extLst>
            <c:ext xmlns:c16="http://schemas.microsoft.com/office/drawing/2014/chart" uri="{C3380CC4-5D6E-409C-BE32-E72D297353CC}">
              <c16:uniqueId val="{00000000-FF05-4368-84EF-AD47FFAD6431}"/>
            </c:ext>
          </c:extLst>
        </c:ser>
        <c:ser>
          <c:idx val="2"/>
          <c:order val="1"/>
          <c:tx>
            <c:strRef>
              <c:f>'Grafic lunar comert'!$A$10</c:f>
              <c:strCache>
                <c:ptCount val="1"/>
                <c:pt idx="0">
                  <c:v>Import CIF</c:v>
                </c:pt>
              </c:strCache>
            </c:strRef>
          </c:tx>
          <c:spPr>
            <a:solidFill>
              <a:srgbClr val="00CC66"/>
            </a:solidFill>
            <a:ln>
              <a:solidFill>
                <a:srgbClr val="008000"/>
              </a:solidFill>
            </a:ln>
          </c:spPr>
          <c:invertIfNegative val="0"/>
          <c:dLbls>
            <c:delete val="1"/>
          </c:dLbls>
          <c:cat>
            <c:strRef>
              <c:f>'Grafic lunar comert'!$B$8:$I$8</c:f>
              <c:strCache>
                <c:ptCount val="5"/>
                <c:pt idx="0">
                  <c:v>ian</c:v>
                </c:pt>
                <c:pt idx="1">
                  <c:v>feb</c:v>
                </c:pt>
                <c:pt idx="2">
                  <c:v>mart</c:v>
                </c:pt>
                <c:pt idx="3">
                  <c:v>apr</c:v>
                </c:pt>
                <c:pt idx="4">
                  <c:v>mai</c:v>
                </c:pt>
              </c:strCache>
            </c:strRef>
          </c:cat>
          <c:val>
            <c:numRef>
              <c:f>'Grafic lunar comert'!$B$10:$I$10</c:f>
              <c:numCache>
                <c:formatCode>0.0</c:formatCode>
                <c:ptCount val="5"/>
                <c:pt idx="0">
                  <c:v>8890.5</c:v>
                </c:pt>
                <c:pt idx="1">
                  <c:v>9521.1</c:v>
                </c:pt>
                <c:pt idx="2">
                  <c:v>10811.6</c:v>
                </c:pt>
                <c:pt idx="3">
                  <c:v>9716.4</c:v>
                </c:pt>
                <c:pt idx="4">
                  <c:v>10720.1</c:v>
                </c:pt>
              </c:numCache>
            </c:numRef>
          </c:val>
          <c:extLst>
            <c:ext xmlns:c16="http://schemas.microsoft.com/office/drawing/2014/chart" uri="{C3380CC4-5D6E-409C-BE32-E72D297353CC}">
              <c16:uniqueId val="{00000001-FF05-4368-84EF-AD47FFAD6431}"/>
            </c:ext>
          </c:extLst>
        </c:ser>
        <c:ser>
          <c:idx val="3"/>
          <c:order val="2"/>
          <c:tx>
            <c:strRef>
              <c:f>'Grafic lunar comert'!$A$11</c:f>
              <c:strCache>
                <c:ptCount val="1"/>
                <c:pt idx="0">
                  <c:v>Sold</c:v>
                </c:pt>
              </c:strCache>
            </c:strRef>
          </c:tx>
          <c:spPr>
            <a:solidFill>
              <a:srgbClr val="66FFFF"/>
            </a:solidFill>
            <a:ln>
              <a:solidFill>
                <a:srgbClr val="00CC66"/>
              </a:solidFill>
            </a:ln>
          </c:spPr>
          <c:invertIfNegative val="0"/>
          <c:dLbls>
            <c:dLbl>
              <c:idx val="0"/>
              <c:layout>
                <c:manualLayout>
                  <c:x val="-2.2050716648291165E-3"/>
                  <c:y val="1.05067261706547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05-4368-84EF-AD47FFAD6431}"/>
                </c:ext>
              </c:extLst>
            </c:dLbl>
            <c:dLbl>
              <c:idx val="1"/>
              <c:layout>
                <c:manualLayout>
                  <c:x val="-1.5116026703938781E-3"/>
                  <c:y val="1.7743225521955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05-4368-84EF-AD47FFAD6431}"/>
                </c:ext>
              </c:extLst>
            </c:dLbl>
            <c:dLbl>
              <c:idx val="2"/>
              <c:layout>
                <c:manualLayout>
                  <c:x val="0"/>
                  <c:y val="1.9854773835809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05-4368-84EF-AD47FFAD6431}"/>
                </c:ext>
              </c:extLst>
            </c:dLbl>
            <c:dLbl>
              <c:idx val="3"/>
              <c:layout>
                <c:manualLayout>
                  <c:x val="0"/>
                  <c:y val="1.41176380149978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05-4368-84EF-AD47FFAD6431}"/>
                </c:ext>
              </c:extLst>
            </c:dLbl>
            <c:dLbl>
              <c:idx val="4"/>
              <c:layout>
                <c:manualLayout>
                  <c:x val="-1.9828282214447643E-3"/>
                  <c:y val="1.2042429437142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05-4368-84EF-AD47FFAD6431}"/>
                </c:ext>
              </c:extLst>
            </c:dLbl>
            <c:dLbl>
              <c:idx val="6"/>
              <c:layout>
                <c:manualLayout>
                  <c:x val="-1.114982496823333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05-4368-84EF-AD47FFAD643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 lunar comert'!$B$8:$I$8</c:f>
              <c:strCache>
                <c:ptCount val="5"/>
                <c:pt idx="0">
                  <c:v>ian</c:v>
                </c:pt>
                <c:pt idx="1">
                  <c:v>feb</c:v>
                </c:pt>
                <c:pt idx="2">
                  <c:v>mart</c:v>
                </c:pt>
                <c:pt idx="3">
                  <c:v>apr</c:v>
                </c:pt>
                <c:pt idx="4">
                  <c:v>mai</c:v>
                </c:pt>
              </c:strCache>
            </c:strRef>
          </c:cat>
          <c:val>
            <c:numRef>
              <c:f>'Grafic lunar comert'!$B$11:$I$11</c:f>
              <c:numCache>
                <c:formatCode>0.0</c:formatCode>
                <c:ptCount val="5"/>
                <c:pt idx="0">
                  <c:v>-2131.5</c:v>
                </c:pt>
                <c:pt idx="1">
                  <c:v>-2479.1000000000004</c:v>
                </c:pt>
                <c:pt idx="2">
                  <c:v>-2579.3000000000011</c:v>
                </c:pt>
                <c:pt idx="3">
                  <c:v>-2828.2</c:v>
                </c:pt>
                <c:pt idx="4">
                  <c:v>-2722.7000000000007</c:v>
                </c:pt>
              </c:numCache>
            </c:numRef>
          </c:val>
          <c:extLst>
            <c:ext xmlns:c16="http://schemas.microsoft.com/office/drawing/2014/chart" uri="{C3380CC4-5D6E-409C-BE32-E72D297353CC}">
              <c16:uniqueId val="{00000008-FF05-4368-84EF-AD47FFAD6431}"/>
            </c:ext>
          </c:extLst>
        </c:ser>
        <c:dLbls>
          <c:showLegendKey val="0"/>
          <c:showVal val="1"/>
          <c:showCatName val="0"/>
          <c:showSerName val="0"/>
          <c:showPercent val="0"/>
          <c:showBubbleSize val="0"/>
        </c:dLbls>
        <c:gapWidth val="33"/>
        <c:gapDepth val="143"/>
        <c:shape val="box"/>
        <c:axId val="163590912"/>
        <c:axId val="165765120"/>
        <c:axId val="0"/>
      </c:bar3DChart>
      <c:catAx>
        <c:axId val="163590912"/>
        <c:scaling>
          <c:orientation val="minMax"/>
        </c:scaling>
        <c:delete val="0"/>
        <c:axPos val="b"/>
        <c:numFmt formatCode="General" sourceLinked="1"/>
        <c:majorTickMark val="none"/>
        <c:minorTickMark val="none"/>
        <c:tickLblPos val="low"/>
        <c:crossAx val="165765120"/>
        <c:crosses val="autoZero"/>
        <c:auto val="1"/>
        <c:lblAlgn val="ctr"/>
        <c:lblOffset val="100"/>
        <c:noMultiLvlLbl val="0"/>
      </c:catAx>
      <c:valAx>
        <c:axId val="165765120"/>
        <c:scaling>
          <c:orientation val="minMax"/>
        </c:scaling>
        <c:delete val="0"/>
        <c:axPos val="l"/>
        <c:majorGridlines/>
        <c:title>
          <c:tx>
            <c:rich>
              <a:bodyPr rot="0" vert="horz"/>
              <a:lstStyle/>
              <a:p>
                <a:pPr>
                  <a:defRPr/>
                </a:pPr>
                <a:r>
                  <a:rPr lang="en-US"/>
                  <a:t> - mil. euro -</a:t>
                </a:r>
              </a:p>
            </c:rich>
          </c:tx>
          <c:layout>
            <c:manualLayout>
              <c:xMode val="edge"/>
              <c:yMode val="edge"/>
              <c:x val="0.86177794754707682"/>
              <c:y val="2.1077046879307828E-3"/>
            </c:manualLayout>
          </c:layout>
          <c:overlay val="0"/>
          <c:spPr>
            <a:noFill/>
          </c:spPr>
        </c:title>
        <c:numFmt formatCode="0" sourceLinked="0"/>
        <c:majorTickMark val="out"/>
        <c:minorTickMark val="none"/>
        <c:tickLblPos val="nextTo"/>
        <c:spPr>
          <a:noFill/>
          <a:ln w="6350">
            <a:solidFill>
              <a:sysClr val="windowText" lastClr="000000"/>
            </a:solidFill>
          </a:ln>
          <a:effectLst>
            <a:outerShdw blurRad="50800" dist="50800" dir="5400000" sx="105000" sy="105000" algn="ctr" rotWithShape="0">
              <a:sysClr val="window" lastClr="FFFFFF"/>
            </a:outerShdw>
          </a:effectLst>
        </c:spPr>
        <c:txPr>
          <a:bodyPr rot="0"/>
          <a:lstStyle/>
          <a:p>
            <a:pPr>
              <a:defRPr/>
            </a:pPr>
            <a:endParaRPr lang="en-US"/>
          </a:p>
        </c:txPr>
        <c:crossAx val="163590912"/>
        <c:crosses val="autoZero"/>
        <c:crossBetween val="between"/>
      </c:valAx>
      <c:spPr>
        <a:noFill/>
      </c:spPr>
    </c:plotArea>
    <c:legend>
      <c:legendPos val="b"/>
      <c:layout>
        <c:manualLayout>
          <c:xMode val="edge"/>
          <c:yMode val="edge"/>
          <c:x val="0"/>
          <c:y val="0.89658724454301253"/>
          <c:w val="0.98879111720737445"/>
          <c:h val="9.4546558714356452E-2"/>
        </c:manualLayout>
      </c:layout>
      <c:overlay val="0"/>
    </c:legend>
    <c:plotVisOnly val="1"/>
    <c:dispBlanksAs val="gap"/>
    <c:showDLblsOverMax val="0"/>
  </c:chart>
  <c:spPr>
    <a:solidFill>
      <a:schemeClr val="bg1">
        <a:lumMod val="85000"/>
        <a:alpha val="50000"/>
      </a:schemeClr>
    </a:solidFill>
    <a:ln>
      <a:solidFill>
        <a:sysClr val="windowText" lastClr="000000"/>
      </a:solidFill>
    </a:ln>
    <a:scene3d>
      <a:camera prst="orthographicFront"/>
      <a:lightRig rig="threePt" dir="t"/>
    </a:scene3d>
    <a:sp3d>
      <a:bevelT w="0" h="0"/>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0"/>
      <c:rotY val="0"/>
      <c:rAngAx val="0"/>
      <c:perspective val="0"/>
    </c:view3D>
    <c:floor>
      <c:thickness val="0"/>
    </c:floor>
    <c:sideWall>
      <c:thickness val="0"/>
      <c:spPr>
        <a:solidFill>
          <a:sysClr val="window" lastClr="FFFFFF">
            <a:lumMod val="85000"/>
            <a:alpha val="22000"/>
          </a:sysClr>
        </a:solidFill>
      </c:spPr>
    </c:sideWall>
    <c:backWall>
      <c:thickness val="0"/>
      <c:spPr>
        <a:solidFill>
          <a:sysClr val="window" lastClr="FFFFFF">
            <a:lumMod val="85000"/>
            <a:alpha val="22000"/>
          </a:sysClr>
        </a:solidFill>
      </c:spPr>
    </c:backWall>
    <c:plotArea>
      <c:layout>
        <c:manualLayout>
          <c:layoutTarget val="inner"/>
          <c:xMode val="edge"/>
          <c:yMode val="edge"/>
          <c:x val="6.4847691894793988E-2"/>
          <c:y val="0.11233359746434231"/>
          <c:w val="0.92792448413888584"/>
          <c:h val="0.66190592533896864"/>
        </c:manualLayout>
      </c:layout>
      <c:bar3DChart>
        <c:barDir val="col"/>
        <c:grouping val="stacked"/>
        <c:varyColors val="0"/>
        <c:ser>
          <c:idx val="0"/>
          <c:order val="0"/>
          <c:tx>
            <c:v>Bunuri alimentare</c:v>
          </c:tx>
          <c:spPr>
            <a:solidFill>
              <a:srgbClr val="008000"/>
            </a:solidFill>
          </c:spPr>
          <c:invertIfNegative val="0"/>
          <c:cat>
            <c:strRef>
              <c:f>'grafic contributii 2019-2022'!$C$16:$C$45</c:f>
              <c:strCache>
                <c:ptCount val="30"/>
                <c:pt idx="0">
                  <c:v>ian.20</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ian.21</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ian.22</c:v>
                </c:pt>
                <c:pt idx="25">
                  <c:v>februarie</c:v>
                </c:pt>
                <c:pt idx="26">
                  <c:v>martie</c:v>
                </c:pt>
                <c:pt idx="27">
                  <c:v>aprilie</c:v>
                </c:pt>
                <c:pt idx="28">
                  <c:v>mai</c:v>
                </c:pt>
                <c:pt idx="29">
                  <c:v>iunie</c:v>
                </c:pt>
              </c:strCache>
            </c:strRef>
          </c:cat>
          <c:val>
            <c:numRef>
              <c:f>'grafic contributii 2019-2022'!$D$16:$D$45</c:f>
              <c:numCache>
                <c:formatCode>0.00</c:formatCode>
                <c:ptCount val="30"/>
                <c:pt idx="0">
                  <c:v>1.4873741804585996</c:v>
                </c:pt>
                <c:pt idx="1">
                  <c:v>1.2803000003794078</c:v>
                </c:pt>
                <c:pt idx="2">
                  <c:v>1.5990701605114581</c:v>
                </c:pt>
                <c:pt idx="3">
                  <c:v>1.7921599868356821</c:v>
                </c:pt>
                <c:pt idx="4">
                  <c:v>1.6439735746931303</c:v>
                </c:pt>
                <c:pt idx="5">
                  <c:v>1.6749644449415881</c:v>
                </c:pt>
                <c:pt idx="6">
                  <c:v>1.7458302444838079</c:v>
                </c:pt>
                <c:pt idx="7">
                  <c:v>1.7065910438990337</c:v>
                </c:pt>
                <c:pt idx="8">
                  <c:v>1.5528571850781621</c:v>
                </c:pt>
                <c:pt idx="9">
                  <c:v>1.3598807739177261</c:v>
                </c:pt>
                <c:pt idx="10">
                  <c:v>1.1927936755142738</c:v>
                </c:pt>
                <c:pt idx="11">
                  <c:v>1.0152267643251718</c:v>
                </c:pt>
                <c:pt idx="12">
                  <c:v>0.88299387831909293</c:v>
                </c:pt>
                <c:pt idx="13">
                  <c:v>0.82744227372370671</c:v>
                </c:pt>
                <c:pt idx="14">
                  <c:v>0.48789190889348288</c:v>
                </c:pt>
                <c:pt idx="15">
                  <c:v>0.23380440605372541</c:v>
                </c:pt>
                <c:pt idx="16">
                  <c:v>0.46779286540396431</c:v>
                </c:pt>
                <c:pt idx="17">
                  <c:v>0.66472244086185595</c:v>
                </c:pt>
                <c:pt idx="18">
                  <c:v>0.71654982397630962</c:v>
                </c:pt>
                <c:pt idx="19">
                  <c:v>0.8300361033679603</c:v>
                </c:pt>
                <c:pt idx="20">
                  <c:v>1.3068663952228634</c:v>
                </c:pt>
                <c:pt idx="21">
                  <c:v>1.6104070907169241</c:v>
                </c:pt>
                <c:pt idx="22">
                  <c:v>1.8730128084118773</c:v>
                </c:pt>
                <c:pt idx="23">
                  <c:v>2.0530199510603202</c:v>
                </c:pt>
                <c:pt idx="24">
                  <c:v>2.3919413224313244</c:v>
                </c:pt>
                <c:pt idx="25">
                  <c:v>2.9204563412927151</c:v>
                </c:pt>
                <c:pt idx="26">
                  <c:v>3.6993325234864112</c:v>
                </c:pt>
                <c:pt idx="27">
                  <c:v>4.4705548184072699</c:v>
                </c:pt>
                <c:pt idx="28">
                  <c:v>4.7062184940608525</c:v>
                </c:pt>
                <c:pt idx="29">
                  <c:v>4.8443160715525675</c:v>
                </c:pt>
              </c:numCache>
            </c:numRef>
          </c:val>
          <c:extLst>
            <c:ext xmlns:c16="http://schemas.microsoft.com/office/drawing/2014/chart" uri="{C3380CC4-5D6E-409C-BE32-E72D297353CC}">
              <c16:uniqueId val="{00000000-DD6B-4739-8EC6-6CC5C649A1F8}"/>
            </c:ext>
          </c:extLst>
        </c:ser>
        <c:ser>
          <c:idx val="1"/>
          <c:order val="1"/>
          <c:tx>
            <c:v>Bunuri nealimentare</c:v>
          </c:tx>
          <c:spPr>
            <a:solidFill>
              <a:srgbClr val="00CC66"/>
            </a:solidFill>
          </c:spPr>
          <c:invertIfNegative val="0"/>
          <c:cat>
            <c:strRef>
              <c:f>'grafic contributii 2019-2022'!$C$16:$C$45</c:f>
              <c:strCache>
                <c:ptCount val="30"/>
                <c:pt idx="0">
                  <c:v>ian.20</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ian.21</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ian.22</c:v>
                </c:pt>
                <c:pt idx="25">
                  <c:v>februarie</c:v>
                </c:pt>
                <c:pt idx="26">
                  <c:v>martie</c:v>
                </c:pt>
                <c:pt idx="27">
                  <c:v>aprilie</c:v>
                </c:pt>
                <c:pt idx="28">
                  <c:v>mai</c:v>
                </c:pt>
                <c:pt idx="29">
                  <c:v>iunie</c:v>
                </c:pt>
              </c:strCache>
            </c:strRef>
          </c:cat>
          <c:val>
            <c:numRef>
              <c:f>'grafic contributii 2019-2022'!$E$16:$E$45</c:f>
              <c:numCache>
                <c:formatCode>0.00</c:formatCode>
                <c:ptCount val="30"/>
                <c:pt idx="0">
                  <c:v>1.2943527392488183</c:v>
                </c:pt>
                <c:pt idx="1">
                  <c:v>0.98463708209140743</c:v>
                </c:pt>
                <c:pt idx="2">
                  <c:v>0.67364144708535456</c:v>
                </c:pt>
                <c:pt idx="3">
                  <c:v>0.25817708825419905</c:v>
                </c:pt>
                <c:pt idx="4">
                  <c:v>7.3415225377800153E-2</c:v>
                </c:pt>
                <c:pt idx="5">
                  <c:v>0.32708273519537495</c:v>
                </c:pt>
                <c:pt idx="6">
                  <c:v>0.42715020738244519</c:v>
                </c:pt>
                <c:pt idx="7">
                  <c:v>0.36258418860363034</c:v>
                </c:pt>
                <c:pt idx="8">
                  <c:v>0.29812596144775416</c:v>
                </c:pt>
                <c:pt idx="9">
                  <c:v>0.2916572814174429</c:v>
                </c:pt>
                <c:pt idx="10">
                  <c:v>0.37537978762341029</c:v>
                </c:pt>
                <c:pt idx="11">
                  <c:v>0.48997037396027243</c:v>
                </c:pt>
                <c:pt idx="12">
                  <c:v>1.5870689936964488</c:v>
                </c:pt>
                <c:pt idx="13">
                  <c:v>1.8555283867069639</c:v>
                </c:pt>
                <c:pt idx="14">
                  <c:v>2.1322982708023832</c:v>
                </c:pt>
                <c:pt idx="15">
                  <c:v>2.5408936470933412</c:v>
                </c:pt>
                <c:pt idx="16">
                  <c:v>2.7815766173624819</c:v>
                </c:pt>
                <c:pt idx="17">
                  <c:v>2.7845696332675494</c:v>
                </c:pt>
                <c:pt idx="18">
                  <c:v>3.7295435604936382</c:v>
                </c:pt>
                <c:pt idx="19">
                  <c:v>3.8633617245689296</c:v>
                </c:pt>
                <c:pt idx="20">
                  <c:v>4.2517090800294834</c:v>
                </c:pt>
                <c:pt idx="21">
                  <c:v>5.5594783622343824</c:v>
                </c:pt>
                <c:pt idx="22">
                  <c:v>5.1160142557522708</c:v>
                </c:pt>
                <c:pt idx="23">
                  <c:v>5.2354007608061703</c:v>
                </c:pt>
                <c:pt idx="24">
                  <c:v>5.0260125347680775</c:v>
                </c:pt>
                <c:pt idx="25">
                  <c:v>4.6063137334017474</c:v>
                </c:pt>
                <c:pt idx="26">
                  <c:v>5.3629510934664752</c:v>
                </c:pt>
                <c:pt idx="27">
                  <c:v>8.0730205860391688</c:v>
                </c:pt>
                <c:pt idx="28">
                  <c:v>8.4856175219471268</c:v>
                </c:pt>
                <c:pt idx="29">
                  <c:v>8.8465258208741915</c:v>
                </c:pt>
              </c:numCache>
            </c:numRef>
          </c:val>
          <c:extLst>
            <c:ext xmlns:c16="http://schemas.microsoft.com/office/drawing/2014/chart" uri="{C3380CC4-5D6E-409C-BE32-E72D297353CC}">
              <c16:uniqueId val="{00000001-DD6B-4739-8EC6-6CC5C649A1F8}"/>
            </c:ext>
          </c:extLst>
        </c:ser>
        <c:ser>
          <c:idx val="2"/>
          <c:order val="2"/>
          <c:tx>
            <c:v>Servicii</c:v>
          </c:tx>
          <c:spPr>
            <a:solidFill>
              <a:srgbClr val="66FFFF"/>
            </a:solidFill>
          </c:spPr>
          <c:invertIfNegative val="0"/>
          <c:cat>
            <c:strRef>
              <c:f>'grafic contributii 2019-2022'!$C$16:$C$45</c:f>
              <c:strCache>
                <c:ptCount val="30"/>
                <c:pt idx="0">
                  <c:v>ian.20</c:v>
                </c:pt>
                <c:pt idx="1">
                  <c:v>februarie</c:v>
                </c:pt>
                <c:pt idx="2">
                  <c:v>martie</c:v>
                </c:pt>
                <c:pt idx="3">
                  <c:v>aprilie</c:v>
                </c:pt>
                <c:pt idx="4">
                  <c:v>mai</c:v>
                </c:pt>
                <c:pt idx="5">
                  <c:v>iunie</c:v>
                </c:pt>
                <c:pt idx="6">
                  <c:v>iulie</c:v>
                </c:pt>
                <c:pt idx="7">
                  <c:v>august</c:v>
                </c:pt>
                <c:pt idx="8">
                  <c:v>septembrie</c:v>
                </c:pt>
                <c:pt idx="9">
                  <c:v>octombrie</c:v>
                </c:pt>
                <c:pt idx="10">
                  <c:v>noiembrie</c:v>
                </c:pt>
                <c:pt idx="11">
                  <c:v>decembrie</c:v>
                </c:pt>
                <c:pt idx="12">
                  <c:v>ian.21</c:v>
                </c:pt>
                <c:pt idx="13">
                  <c:v>februarie</c:v>
                </c:pt>
                <c:pt idx="14">
                  <c:v>martie</c:v>
                </c:pt>
                <c:pt idx="15">
                  <c:v>aprilie</c:v>
                </c:pt>
                <c:pt idx="16">
                  <c:v>mai</c:v>
                </c:pt>
                <c:pt idx="17">
                  <c:v>iunie</c:v>
                </c:pt>
                <c:pt idx="18">
                  <c:v>iulie</c:v>
                </c:pt>
                <c:pt idx="19">
                  <c:v>august</c:v>
                </c:pt>
                <c:pt idx="20">
                  <c:v>septembrie</c:v>
                </c:pt>
                <c:pt idx="21">
                  <c:v>octombrie</c:v>
                </c:pt>
                <c:pt idx="22">
                  <c:v>noiembrie</c:v>
                </c:pt>
                <c:pt idx="23">
                  <c:v>decembrie</c:v>
                </c:pt>
                <c:pt idx="24">
                  <c:v>ian.22</c:v>
                </c:pt>
                <c:pt idx="25">
                  <c:v>februarie</c:v>
                </c:pt>
                <c:pt idx="26">
                  <c:v>martie</c:v>
                </c:pt>
                <c:pt idx="27">
                  <c:v>aprilie</c:v>
                </c:pt>
                <c:pt idx="28">
                  <c:v>mai</c:v>
                </c:pt>
                <c:pt idx="29">
                  <c:v>iunie</c:v>
                </c:pt>
              </c:strCache>
            </c:strRef>
          </c:cat>
          <c:val>
            <c:numRef>
              <c:f>'grafic contributii 2019-2022'!$F$16:$F$45</c:f>
              <c:numCache>
                <c:formatCode>0.00</c:formatCode>
                <c:ptCount val="30"/>
                <c:pt idx="0">
                  <c:v>0.81471893330485146</c:v>
                </c:pt>
                <c:pt idx="1">
                  <c:v>0.78090672741915379</c:v>
                </c:pt>
                <c:pt idx="2">
                  <c:v>0.77133199579216749</c:v>
                </c:pt>
                <c:pt idx="3">
                  <c:v>0.62114051179710361</c:v>
                </c:pt>
                <c:pt idx="4">
                  <c:v>0.52870534449005702</c:v>
                </c:pt>
                <c:pt idx="5">
                  <c:v>0.56506600292415166</c:v>
                </c:pt>
                <c:pt idx="6">
                  <c:v>0.61012041025016983</c:v>
                </c:pt>
                <c:pt idx="7">
                  <c:v>0.6029219897382847</c:v>
                </c:pt>
                <c:pt idx="8">
                  <c:v>0.58756189576938977</c:v>
                </c:pt>
                <c:pt idx="9">
                  <c:v>0.57969281979678888</c:v>
                </c:pt>
                <c:pt idx="10">
                  <c:v>0.56302642606178233</c:v>
                </c:pt>
                <c:pt idx="11">
                  <c:v>0.54672401367260104</c:v>
                </c:pt>
                <c:pt idx="12">
                  <c:v>0.5141961579389035</c:v>
                </c:pt>
                <c:pt idx="13">
                  <c:v>0.47618826291292116</c:v>
                </c:pt>
                <c:pt idx="14">
                  <c:v>0.45309475898863699</c:v>
                </c:pt>
                <c:pt idx="15">
                  <c:v>0.53625470157578714</c:v>
                </c:pt>
                <c:pt idx="16">
                  <c:v>0.57018886448902462</c:v>
                </c:pt>
                <c:pt idx="17">
                  <c:v>0.54610536372925567</c:v>
                </c:pt>
                <c:pt idx="18">
                  <c:v>0.56211654927403309</c:v>
                </c:pt>
                <c:pt idx="19">
                  <c:v>0.60862401332303184</c:v>
                </c:pt>
                <c:pt idx="20">
                  <c:v>0.76964719038409057</c:v>
                </c:pt>
                <c:pt idx="21">
                  <c:v>0.81297303821538869</c:v>
                </c:pt>
                <c:pt idx="22">
                  <c:v>0.84022987762672074</c:v>
                </c:pt>
                <c:pt idx="23">
                  <c:v>0.92087734774591457</c:v>
                </c:pt>
                <c:pt idx="24">
                  <c:v>0.99549189402335869</c:v>
                </c:pt>
                <c:pt idx="25">
                  <c:v>1.069489998240009</c:v>
                </c:pt>
                <c:pt idx="26">
                  <c:v>1.1490736328074778</c:v>
                </c:pt>
                <c:pt idx="27">
                  <c:v>1.2512684718171618</c:v>
                </c:pt>
                <c:pt idx="28">
                  <c:v>1.3152554893809385</c:v>
                </c:pt>
                <c:pt idx="29">
                  <c:v>1.3740547314436828</c:v>
                </c:pt>
              </c:numCache>
            </c:numRef>
          </c:val>
          <c:extLst>
            <c:ext xmlns:c16="http://schemas.microsoft.com/office/drawing/2014/chart" uri="{C3380CC4-5D6E-409C-BE32-E72D297353CC}">
              <c16:uniqueId val="{00000002-DD6B-4739-8EC6-6CC5C649A1F8}"/>
            </c:ext>
          </c:extLst>
        </c:ser>
        <c:dLbls>
          <c:showLegendKey val="0"/>
          <c:showVal val="0"/>
          <c:showCatName val="0"/>
          <c:showSerName val="0"/>
          <c:showPercent val="0"/>
          <c:showBubbleSize val="0"/>
        </c:dLbls>
        <c:gapWidth val="150"/>
        <c:shape val="cylinder"/>
        <c:axId val="131868160"/>
        <c:axId val="131869696"/>
        <c:axId val="0"/>
      </c:bar3DChart>
      <c:catAx>
        <c:axId val="131868160"/>
        <c:scaling>
          <c:orientation val="minMax"/>
        </c:scaling>
        <c:delete val="0"/>
        <c:axPos val="b"/>
        <c:numFmt formatCode="General" sourceLinked="0"/>
        <c:majorTickMark val="out"/>
        <c:minorTickMark val="none"/>
        <c:tickLblPos val="nextTo"/>
        <c:txPr>
          <a:bodyPr rot="-2100000"/>
          <a:lstStyle/>
          <a:p>
            <a:pPr>
              <a:defRPr sz="800"/>
            </a:pPr>
            <a:endParaRPr lang="en-US"/>
          </a:p>
        </c:txPr>
        <c:crossAx val="131869696"/>
        <c:crosses val="autoZero"/>
        <c:auto val="1"/>
        <c:lblAlgn val="ctr"/>
        <c:lblOffset val="100"/>
        <c:noMultiLvlLbl val="0"/>
      </c:catAx>
      <c:valAx>
        <c:axId val="131869696"/>
        <c:scaling>
          <c:orientation val="minMax"/>
        </c:scaling>
        <c:delete val="0"/>
        <c:axPos val="l"/>
        <c:majorGridlines>
          <c:spPr>
            <a:ln>
              <a:solidFill>
                <a:schemeClr val="bg1">
                  <a:lumMod val="85000"/>
                </a:schemeClr>
              </a:solidFill>
            </a:ln>
          </c:spPr>
        </c:majorGridlines>
        <c:numFmt formatCode="0" sourceLinked="0"/>
        <c:majorTickMark val="out"/>
        <c:minorTickMark val="none"/>
        <c:tickLblPos val="nextTo"/>
        <c:spPr>
          <a:ln>
            <a:noFill/>
          </a:ln>
        </c:spPr>
        <c:crossAx val="131868160"/>
        <c:crosses val="autoZero"/>
        <c:crossBetween val="between"/>
      </c:valAx>
      <c:spPr>
        <a:solidFill>
          <a:sysClr val="window" lastClr="FFFFFF">
            <a:lumMod val="95000"/>
            <a:alpha val="54000"/>
          </a:sysClr>
        </a:solidFill>
      </c:spPr>
    </c:plotArea>
    <c:legend>
      <c:legendPos val="b"/>
      <c:layout>
        <c:manualLayout>
          <c:xMode val="edge"/>
          <c:yMode val="edge"/>
          <c:x val="0.1605625537160667"/>
          <c:y val="0.93999467793193192"/>
          <c:w val="0.74233506382844461"/>
          <c:h val="5.7711619070594994E-2"/>
        </c:manualLayout>
      </c:layout>
      <c:overlay val="0"/>
      <c:txPr>
        <a:bodyPr/>
        <a:lstStyle/>
        <a:p>
          <a:pPr>
            <a:defRPr sz="800"/>
          </a:pPr>
          <a:endParaRPr lang="en-US"/>
        </a:p>
      </c:txPr>
    </c:legend>
    <c:plotVisOnly val="1"/>
    <c:dispBlanksAs val="gap"/>
    <c:showDLblsOverMax val="0"/>
  </c:chart>
  <c:spPr>
    <a:solidFill>
      <a:schemeClr val="bg1">
        <a:lumMod val="85000"/>
        <a:alpha val="4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77653-7518-4849-A651-50204AB7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38</Pages>
  <Words>10975</Words>
  <Characters>62562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Office07</Company>
  <LinksUpToDate>false</LinksUpToDate>
  <CharactersWithSpaces>73391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creator>FLORIN-ANDREI DAIA</dc:creator>
  <cp:lastModifiedBy>ROXANA-DESPINA MADIRJAC</cp:lastModifiedBy>
  <cp:revision>62</cp:revision>
  <cp:lastPrinted>2020-09-15T08:20:00Z</cp:lastPrinted>
  <dcterms:created xsi:type="dcterms:W3CDTF">2021-08-13T11:18:00Z</dcterms:created>
  <dcterms:modified xsi:type="dcterms:W3CDTF">2022-08-11T13:59:00Z</dcterms:modified>
</cp:coreProperties>
</file>