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76EB" w:rsidRPr="0014303D" w:rsidRDefault="00C93688" w:rsidP="000276EB">
      <w:pPr>
        <w:pStyle w:val="Heading1"/>
        <w:ind w:left="1440" w:firstLine="0"/>
        <w:rPr>
          <w:rFonts w:ascii="Trebuchet MS" w:hAnsi="Trebuchet MS"/>
          <w:lang w:val="ro-RO"/>
        </w:rPr>
      </w:pPr>
      <w:r w:rsidRPr="0014303D">
        <w:rPr>
          <w:rFonts w:ascii="Trebuchet MS" w:hAnsi="Trebuchet MS"/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2E08F89C" wp14:editId="293633DE">
                <wp:simplePos x="0" y="0"/>
                <wp:positionH relativeFrom="column">
                  <wp:posOffset>1083310</wp:posOffset>
                </wp:positionH>
                <wp:positionV relativeFrom="paragraph">
                  <wp:posOffset>-5715</wp:posOffset>
                </wp:positionV>
                <wp:extent cx="3962400" cy="75247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5A9" w:rsidRPr="00C93688" w:rsidRDefault="000605A9" w:rsidP="000276EB">
                            <w:pPr>
                              <w:pStyle w:val="Heading1"/>
                              <w:spacing w:line="360" w:lineRule="auto"/>
                              <w:rPr>
                                <w:rFonts w:ascii="Trajan Pro" w:hAnsi="Trajan Pro" w:cs="Arial"/>
                                <w:szCs w:val="22"/>
                                <w:u w:val="single"/>
                                <w:lang w:val="ro-RO"/>
                              </w:rPr>
                            </w:pPr>
                            <w:r w:rsidRPr="00C93688">
                              <w:rPr>
                                <w:rFonts w:ascii="Trajan Pro" w:hAnsi="Trajan Pro" w:cs="Arial"/>
                                <w:color w:val="333333"/>
                                <w:sz w:val="32"/>
                                <w:szCs w:val="32"/>
                                <w:lang w:val="ro-RO"/>
                              </w:rPr>
                              <w:t xml:space="preserve">Ministerul  Finanțelor  </w:t>
                            </w:r>
                          </w:p>
                          <w:p w:rsidR="000605A9" w:rsidRPr="00C93688" w:rsidRDefault="005F0F24" w:rsidP="000276EB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rajan Pro" w:hAnsi="Trajan Pro" w:cs="Arial"/>
                                <w:b/>
                                <w:bCs/>
                                <w:lang w:val="ro-RO"/>
                              </w:rPr>
                            </w:pPr>
                            <w:r w:rsidRPr="00C93688">
                              <w:rPr>
                                <w:rFonts w:ascii="Trajan Pro" w:hAnsi="Trajan Pro" w:cs="Arial"/>
                                <w:b/>
                                <w:bCs/>
                                <w:lang w:val="ro-RO"/>
                              </w:rPr>
                              <w:t>Cabinet Secretar de Stat</w:t>
                            </w:r>
                          </w:p>
                          <w:p w:rsidR="000605A9" w:rsidRDefault="000605A9" w:rsidP="000276EB">
                            <w:pPr>
                              <w:spacing w:line="360" w:lineRule="auto"/>
                            </w:pPr>
                            <w:r>
                              <w:rPr>
                                <w:rFonts w:ascii="Franklin Gothic Medium" w:hAnsi="Franklin Gothic Medium" w:cs="Franklin Gothic Medium"/>
                                <w:b/>
                                <w:color w:val="FFFFFF"/>
                                <w:sz w:val="28"/>
                                <w:szCs w:val="28"/>
                                <w:lang w:val="ro-RO"/>
                              </w:rPr>
                              <w:t>Cabinet  Secretar  de  Stat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8F89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5.3pt;margin-top:-.45pt;width:312pt;height:59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" stroked="f">
                <v:fill opacity="0"/>
                <v:textbox inset="0,0,0,0">
                  <w:txbxContent>
                    <w:p w:rsidR="000605A9" w:rsidRPr="00C93688" w:rsidRDefault="000605A9" w:rsidP="000276EB">
                      <w:pPr>
                        <w:pStyle w:val="Heading1"/>
                        <w:spacing w:line="360" w:lineRule="auto"/>
                        <w:rPr>
                          <w:rFonts w:ascii="Trajan Pro" w:hAnsi="Trajan Pro" w:cs="Arial"/>
                          <w:szCs w:val="22"/>
                          <w:u w:val="single"/>
                          <w:lang w:val="ro-RO"/>
                        </w:rPr>
                      </w:pPr>
                      <w:r w:rsidRPr="00C93688">
                        <w:rPr>
                          <w:rFonts w:ascii="Trajan Pro" w:hAnsi="Trajan Pro" w:cs="Arial"/>
                          <w:color w:val="333333"/>
                          <w:sz w:val="32"/>
                          <w:szCs w:val="32"/>
                          <w:lang w:val="ro-RO"/>
                        </w:rPr>
                        <w:t xml:space="preserve">Ministerul  Finanțelor  </w:t>
                      </w:r>
                    </w:p>
                    <w:p w:rsidR="000605A9" w:rsidRPr="00C93688" w:rsidRDefault="005F0F24" w:rsidP="000276EB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rajan Pro" w:hAnsi="Trajan Pro" w:cs="Arial"/>
                          <w:b/>
                          <w:bCs/>
                          <w:lang w:val="ro-RO"/>
                        </w:rPr>
                      </w:pPr>
                      <w:r w:rsidRPr="00C93688">
                        <w:rPr>
                          <w:rFonts w:ascii="Trajan Pro" w:hAnsi="Trajan Pro" w:cs="Arial"/>
                          <w:b/>
                          <w:bCs/>
                          <w:lang w:val="ro-RO"/>
                        </w:rPr>
                        <w:t>Cabinet Secretar de Stat</w:t>
                      </w:r>
                    </w:p>
                    <w:p w:rsidR="000605A9" w:rsidRDefault="000605A9" w:rsidP="000276EB">
                      <w:pPr>
                        <w:spacing w:line="360" w:lineRule="auto"/>
                      </w:pPr>
                      <w:r>
                        <w:rPr>
                          <w:rFonts w:ascii="Franklin Gothic Medium" w:hAnsi="Franklin Gothic Medium" w:cs="Franklin Gothic Medium"/>
                          <w:b/>
                          <w:color w:val="FFFFFF"/>
                          <w:sz w:val="28"/>
                          <w:szCs w:val="28"/>
                          <w:lang w:val="ro-RO"/>
                        </w:rPr>
                        <w:t>Cabinet  Secretar  de  Stat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0" wp14:anchorId="52184DCD" wp14:editId="096D9AC1">
            <wp:simplePos x="0" y="0"/>
            <wp:positionH relativeFrom="column">
              <wp:posOffset>-80010</wp:posOffset>
            </wp:positionH>
            <wp:positionV relativeFrom="margin">
              <wp:align>top</wp:align>
            </wp:positionV>
            <wp:extent cx="1019175" cy="1028700"/>
            <wp:effectExtent l="0" t="0" r="9525" b="0"/>
            <wp:wrapThrough wrapText="bothSides">
              <wp:wrapPolygon edited="0">
                <wp:start x="6864" y="0"/>
                <wp:lineTo x="4845" y="800"/>
                <wp:lineTo x="0" y="5600"/>
                <wp:lineTo x="0" y="15200"/>
                <wp:lineTo x="3230" y="19200"/>
                <wp:lineTo x="6460" y="21200"/>
                <wp:lineTo x="6864" y="21200"/>
                <wp:lineTo x="14535" y="21200"/>
                <wp:lineTo x="15342" y="21200"/>
                <wp:lineTo x="18168" y="19200"/>
                <wp:lineTo x="21398" y="15600"/>
                <wp:lineTo x="21398" y="5200"/>
                <wp:lineTo x="17361" y="1200"/>
                <wp:lineTo x="14535" y="0"/>
                <wp:lineTo x="6864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6EB" w:rsidRPr="0014303D">
        <w:rPr>
          <w:rFonts w:ascii="Trebuchet MS" w:eastAsia="Franklin Gothic Demi" w:hAnsi="Trebuchet MS" w:cs="Franklin Gothic Demi"/>
          <w:b w:val="0"/>
          <w:szCs w:val="22"/>
          <w:lang w:val="ro-RO"/>
        </w:rPr>
        <w:t xml:space="preserve">      </w:t>
      </w:r>
    </w:p>
    <w:p w:rsidR="000276EB" w:rsidRPr="0014303D" w:rsidRDefault="000276EB" w:rsidP="000276EB">
      <w:pPr>
        <w:rPr>
          <w:rFonts w:ascii="Trebuchet MS" w:hAnsi="Trebuchet MS" w:cs="Arial"/>
          <w:bCs/>
          <w:sz w:val="22"/>
          <w:szCs w:val="22"/>
          <w:lang w:val="ro-RO"/>
        </w:rPr>
      </w:pPr>
      <w:r w:rsidRPr="0014303D">
        <w:rPr>
          <w:rFonts w:ascii="Trebuchet MS" w:eastAsia="Franklin Gothic Demi" w:hAnsi="Trebuchet MS" w:cs="Franklin Gothic Demi"/>
          <w:sz w:val="22"/>
          <w:szCs w:val="22"/>
          <w:lang w:val="ro-RO"/>
        </w:rPr>
        <w:t xml:space="preserve">  </w:t>
      </w:r>
    </w:p>
    <w:p w:rsidR="000276EB" w:rsidRPr="0014303D" w:rsidRDefault="000276EB" w:rsidP="000276EB">
      <w:pPr>
        <w:rPr>
          <w:rFonts w:ascii="Trebuchet MS" w:hAnsi="Trebuchet MS" w:cs="Arial"/>
          <w:bCs/>
          <w:sz w:val="22"/>
          <w:szCs w:val="22"/>
          <w:lang w:val="ro-RO"/>
        </w:rPr>
      </w:pPr>
    </w:p>
    <w:p w:rsidR="00666BE6" w:rsidRPr="0014303D" w:rsidRDefault="00666BE6" w:rsidP="00666BE6">
      <w:pPr>
        <w:numPr>
          <w:ilvl w:val="6"/>
          <w:numId w:val="2"/>
        </w:numPr>
        <w:rPr>
          <w:rFonts w:ascii="Trebuchet MS" w:hAnsi="Trebuchet MS" w:cs="Franklin Gothic Medium"/>
          <w:b/>
          <w:sz w:val="22"/>
          <w:szCs w:val="22"/>
          <w:lang w:val="ro-RO"/>
        </w:rPr>
      </w:pPr>
      <w:r w:rsidRPr="0014303D">
        <w:rPr>
          <w:rFonts w:ascii="Trebuchet MS" w:hAnsi="Trebuchet MS" w:cs="Arial"/>
          <w:b/>
          <w:lang w:val="ro-RO"/>
        </w:rPr>
        <w:t xml:space="preserve">             </w:t>
      </w:r>
    </w:p>
    <w:p w:rsidR="00DE1D70" w:rsidRPr="0014303D" w:rsidRDefault="00DE1D70" w:rsidP="00666BE6">
      <w:pPr>
        <w:numPr>
          <w:ilvl w:val="6"/>
          <w:numId w:val="2"/>
        </w:numPr>
        <w:rPr>
          <w:rFonts w:ascii="Trebuchet MS" w:hAnsi="Trebuchet MS" w:cs="Franklin Gothic Medium"/>
          <w:b/>
          <w:sz w:val="22"/>
          <w:szCs w:val="22"/>
          <w:lang w:val="ro-RO"/>
        </w:rPr>
      </w:pPr>
      <w:r w:rsidRPr="0014303D">
        <w:rPr>
          <w:rFonts w:ascii="Trebuchet MS" w:hAnsi="Trebuchet MS" w:cs="Franklin Gothic Medium"/>
          <w:b/>
          <w:sz w:val="22"/>
          <w:szCs w:val="22"/>
          <w:lang w:val="ro-RO"/>
        </w:rPr>
        <w:t xml:space="preserve"> </w:t>
      </w:r>
    </w:p>
    <w:p w:rsidR="00666BE6" w:rsidRPr="0014303D" w:rsidRDefault="00C93688" w:rsidP="00666BE6">
      <w:pPr>
        <w:numPr>
          <w:ilvl w:val="6"/>
          <w:numId w:val="2"/>
        </w:numPr>
        <w:rPr>
          <w:rFonts w:ascii="Trebuchet MS" w:hAnsi="Trebuchet MS" w:cs="Franklin Gothic Medium"/>
          <w:b/>
          <w:sz w:val="22"/>
          <w:szCs w:val="22"/>
          <w:lang w:val="ro-RO"/>
        </w:rPr>
      </w:pPr>
      <w:r>
        <w:rPr>
          <w:rFonts w:ascii="Trebuchet MS" w:hAnsi="Trebuchet MS" w:cs="Arial"/>
          <w:b/>
          <w:lang w:val="ro-RO"/>
        </w:rPr>
        <w:t xml:space="preserve">   Nr.</w:t>
      </w:r>
      <w:r w:rsidR="001E3B9A" w:rsidRPr="0014303D">
        <w:rPr>
          <w:rFonts w:ascii="Trebuchet MS" w:hAnsi="Trebuchet MS" w:cs="Arial"/>
          <w:b/>
          <w:lang w:val="ro-RO"/>
        </w:rPr>
        <w:t xml:space="preserve">  </w:t>
      </w:r>
      <w:r>
        <w:rPr>
          <w:rFonts w:ascii="Trebuchet MS" w:hAnsi="Trebuchet MS" w:cs="Arial"/>
          <w:b/>
          <w:lang w:val="ro-RO"/>
        </w:rPr>
        <w:t>475.349</w:t>
      </w:r>
      <w:r w:rsidR="001E3B9A" w:rsidRPr="0014303D">
        <w:rPr>
          <w:rFonts w:ascii="Trebuchet MS" w:hAnsi="Trebuchet MS" w:cs="Arial"/>
          <w:b/>
          <w:lang w:val="ro-RO"/>
        </w:rPr>
        <w:t xml:space="preserve"> </w:t>
      </w:r>
      <w:r w:rsidR="00084B5C" w:rsidRPr="0014303D">
        <w:rPr>
          <w:rFonts w:ascii="Trebuchet MS" w:hAnsi="Trebuchet MS" w:cs="Arial"/>
          <w:b/>
          <w:lang w:val="ro-RO"/>
        </w:rPr>
        <w:t xml:space="preserve">/  </w:t>
      </w:r>
      <w:r w:rsidR="00354A5E" w:rsidRPr="0014303D">
        <w:rPr>
          <w:rFonts w:ascii="Trebuchet MS" w:hAnsi="Trebuchet MS" w:cs="Arial"/>
          <w:b/>
          <w:lang w:val="ro-RO"/>
        </w:rPr>
        <w:t xml:space="preserve">  </w:t>
      </w:r>
      <w:r w:rsidR="00F72557" w:rsidRPr="0014303D">
        <w:rPr>
          <w:rFonts w:ascii="Trebuchet MS" w:hAnsi="Trebuchet MS" w:cs="Arial"/>
          <w:b/>
          <w:lang w:val="ro-RO"/>
        </w:rPr>
        <w:t xml:space="preserve"> </w:t>
      </w:r>
      <w:r w:rsidR="00084B5C" w:rsidRPr="0014303D">
        <w:rPr>
          <w:rFonts w:ascii="Trebuchet MS" w:hAnsi="Trebuchet MS" w:cs="Arial"/>
          <w:b/>
          <w:lang w:val="ro-RO"/>
        </w:rPr>
        <w:t>.</w:t>
      </w:r>
      <w:r w:rsidR="000467A6">
        <w:rPr>
          <w:rFonts w:ascii="Trebuchet MS" w:hAnsi="Trebuchet MS" w:cs="Arial"/>
          <w:b/>
          <w:lang w:val="ro-RO"/>
        </w:rPr>
        <w:t xml:space="preserve">  05</w:t>
      </w:r>
      <w:r w:rsidR="00666BE6" w:rsidRPr="0014303D">
        <w:rPr>
          <w:rFonts w:ascii="Trebuchet MS" w:hAnsi="Trebuchet MS" w:cs="Arial"/>
          <w:b/>
          <w:lang w:val="ro-RO"/>
        </w:rPr>
        <w:t xml:space="preserve"> .20</w:t>
      </w:r>
      <w:r w:rsidR="00D94476" w:rsidRPr="0014303D">
        <w:rPr>
          <w:rFonts w:ascii="Trebuchet MS" w:hAnsi="Trebuchet MS" w:cs="Arial"/>
          <w:b/>
          <w:lang w:val="ro-RO"/>
        </w:rPr>
        <w:t>2</w:t>
      </w:r>
      <w:r w:rsidR="001F7A0C" w:rsidRPr="0014303D">
        <w:rPr>
          <w:rFonts w:ascii="Trebuchet MS" w:hAnsi="Trebuchet MS" w:cs="Arial"/>
          <w:b/>
          <w:lang w:val="ro-RO"/>
        </w:rPr>
        <w:t>2</w:t>
      </w:r>
    </w:p>
    <w:p w:rsidR="000276EB" w:rsidRPr="0014303D" w:rsidRDefault="000276EB" w:rsidP="00C93688">
      <w:pPr>
        <w:rPr>
          <w:rFonts w:ascii="Trebuchet MS" w:hAnsi="Trebuchet MS" w:cs="Arial"/>
          <w:szCs w:val="20"/>
          <w:lang w:val="ro-RO"/>
        </w:rPr>
      </w:pPr>
    </w:p>
    <w:p w:rsidR="000276EB" w:rsidRPr="0014303D" w:rsidRDefault="000276EB" w:rsidP="000276EB">
      <w:pPr>
        <w:jc w:val="right"/>
        <w:rPr>
          <w:rFonts w:ascii="Trebuchet MS" w:hAnsi="Trebuchet MS" w:cs="Arial"/>
          <w:szCs w:val="20"/>
          <w:lang w:val="ro-RO"/>
        </w:rPr>
      </w:pPr>
    </w:p>
    <w:p w:rsidR="000276EB" w:rsidRPr="0014303D" w:rsidRDefault="000276EB" w:rsidP="000276EB">
      <w:pPr>
        <w:ind w:left="5760" w:firstLine="720"/>
        <w:jc w:val="center"/>
        <w:rPr>
          <w:rFonts w:ascii="Trebuchet MS" w:hAnsi="Trebuchet MS" w:cs="Arial"/>
          <w:szCs w:val="20"/>
          <w:lang w:val="ro-RO"/>
        </w:rPr>
      </w:pPr>
      <w:r w:rsidRPr="0014303D">
        <w:rPr>
          <w:rFonts w:ascii="Trebuchet MS" w:hAnsi="Trebuchet MS" w:cs="Arial"/>
          <w:szCs w:val="20"/>
          <w:lang w:val="ro-RO"/>
        </w:rPr>
        <w:t>Avizat</w:t>
      </w:r>
    </w:p>
    <w:p w:rsidR="000276EB" w:rsidRPr="0014303D" w:rsidRDefault="000276EB" w:rsidP="000276EB">
      <w:pPr>
        <w:jc w:val="right"/>
        <w:rPr>
          <w:rFonts w:ascii="Trebuchet MS" w:hAnsi="Trebuchet MS" w:cs="Arial"/>
          <w:szCs w:val="20"/>
          <w:lang w:val="ro-RO"/>
        </w:rPr>
      </w:pPr>
    </w:p>
    <w:p w:rsidR="000276EB" w:rsidRPr="0014303D" w:rsidRDefault="000276EB" w:rsidP="000276EB">
      <w:pPr>
        <w:jc w:val="center"/>
        <w:rPr>
          <w:rFonts w:ascii="Trebuchet MS" w:hAnsi="Trebuchet MS" w:cs="Arial"/>
          <w:szCs w:val="20"/>
          <w:lang w:val="ro-RO"/>
        </w:rPr>
      </w:pPr>
      <w:r w:rsidRPr="0014303D">
        <w:rPr>
          <w:rFonts w:ascii="Trebuchet MS" w:hAnsi="Trebuchet MS" w:cs="Arial"/>
          <w:szCs w:val="20"/>
          <w:lang w:val="ro-RO"/>
        </w:rPr>
        <w:tab/>
      </w:r>
      <w:r w:rsidRPr="0014303D">
        <w:rPr>
          <w:rFonts w:ascii="Trebuchet MS" w:hAnsi="Trebuchet MS" w:cs="Arial"/>
          <w:szCs w:val="20"/>
          <w:lang w:val="ro-RO"/>
        </w:rPr>
        <w:tab/>
      </w:r>
      <w:r w:rsidRPr="0014303D">
        <w:rPr>
          <w:rFonts w:ascii="Trebuchet MS" w:hAnsi="Trebuchet MS" w:cs="Arial"/>
          <w:szCs w:val="20"/>
          <w:lang w:val="ro-RO"/>
        </w:rPr>
        <w:tab/>
      </w:r>
      <w:r w:rsidRPr="0014303D">
        <w:rPr>
          <w:rFonts w:ascii="Trebuchet MS" w:hAnsi="Trebuchet MS" w:cs="Arial"/>
          <w:szCs w:val="20"/>
          <w:lang w:val="ro-RO"/>
        </w:rPr>
        <w:tab/>
      </w:r>
      <w:r w:rsidRPr="0014303D">
        <w:rPr>
          <w:rFonts w:ascii="Trebuchet MS" w:hAnsi="Trebuchet MS" w:cs="Arial"/>
          <w:szCs w:val="20"/>
          <w:lang w:val="ro-RO"/>
        </w:rPr>
        <w:tab/>
      </w:r>
      <w:r w:rsidRPr="0014303D">
        <w:rPr>
          <w:rFonts w:ascii="Trebuchet MS" w:hAnsi="Trebuchet MS" w:cs="Arial"/>
          <w:szCs w:val="20"/>
          <w:lang w:val="ro-RO"/>
        </w:rPr>
        <w:tab/>
      </w:r>
      <w:r w:rsidRPr="0014303D">
        <w:rPr>
          <w:rFonts w:ascii="Trebuchet MS" w:hAnsi="Trebuchet MS" w:cs="Arial"/>
          <w:szCs w:val="20"/>
          <w:lang w:val="ro-RO"/>
        </w:rPr>
        <w:tab/>
      </w:r>
      <w:r w:rsidRPr="0014303D">
        <w:rPr>
          <w:rFonts w:ascii="Trebuchet MS" w:hAnsi="Trebuchet MS" w:cs="Arial"/>
          <w:szCs w:val="20"/>
          <w:lang w:val="ro-RO"/>
        </w:rPr>
        <w:tab/>
      </w:r>
      <w:r w:rsidRPr="0014303D">
        <w:rPr>
          <w:rFonts w:ascii="Trebuchet MS" w:hAnsi="Trebuchet MS" w:cs="Arial"/>
          <w:szCs w:val="20"/>
          <w:lang w:val="ro-RO"/>
        </w:rPr>
        <w:tab/>
        <w:t xml:space="preserve">Ministrul finanțelor </w:t>
      </w:r>
    </w:p>
    <w:p w:rsidR="000276EB" w:rsidRPr="0014303D" w:rsidRDefault="000276EB" w:rsidP="000276EB">
      <w:pPr>
        <w:jc w:val="right"/>
        <w:rPr>
          <w:rFonts w:ascii="Trebuchet MS" w:hAnsi="Trebuchet MS" w:cs="Arial"/>
          <w:szCs w:val="20"/>
          <w:lang w:val="ro-RO"/>
        </w:rPr>
      </w:pPr>
    </w:p>
    <w:p w:rsidR="000276EB" w:rsidRPr="0014303D" w:rsidRDefault="000276EB" w:rsidP="000276EB">
      <w:pPr>
        <w:jc w:val="right"/>
        <w:rPr>
          <w:rFonts w:ascii="Trebuchet MS" w:hAnsi="Trebuchet MS" w:cs="Arial"/>
          <w:bCs/>
          <w:sz w:val="22"/>
          <w:szCs w:val="22"/>
          <w:u w:val="single"/>
          <w:lang w:val="ro-RO"/>
        </w:rPr>
      </w:pPr>
    </w:p>
    <w:p w:rsidR="000276EB" w:rsidRDefault="000276EB" w:rsidP="000276EB">
      <w:pPr>
        <w:rPr>
          <w:rFonts w:ascii="Trebuchet MS" w:hAnsi="Trebuchet MS" w:cs="Arial"/>
          <w:bCs/>
          <w:sz w:val="22"/>
          <w:szCs w:val="22"/>
          <w:u w:val="single"/>
          <w:lang w:val="ro-RO"/>
        </w:rPr>
      </w:pPr>
    </w:p>
    <w:p w:rsidR="00C93688" w:rsidRPr="0014303D" w:rsidRDefault="00C93688" w:rsidP="000276EB">
      <w:pPr>
        <w:rPr>
          <w:rFonts w:ascii="Trebuchet MS" w:hAnsi="Trebuchet MS" w:cs="Arial"/>
          <w:bCs/>
          <w:sz w:val="22"/>
          <w:szCs w:val="22"/>
          <w:u w:val="single"/>
          <w:lang w:val="ro-RO"/>
        </w:rPr>
      </w:pPr>
    </w:p>
    <w:p w:rsidR="000276EB" w:rsidRPr="0014303D" w:rsidRDefault="000276EB" w:rsidP="000276EB">
      <w:pPr>
        <w:rPr>
          <w:rFonts w:ascii="Trebuchet MS" w:hAnsi="Trebuchet MS" w:cs="Arial"/>
          <w:bCs/>
          <w:sz w:val="22"/>
          <w:szCs w:val="22"/>
          <w:u w:val="single"/>
          <w:lang w:val="ro-RO"/>
        </w:rPr>
      </w:pPr>
    </w:p>
    <w:p w:rsidR="000276EB" w:rsidRPr="00C93688" w:rsidRDefault="000276EB" w:rsidP="000276EB">
      <w:pPr>
        <w:spacing w:line="360" w:lineRule="auto"/>
        <w:jc w:val="center"/>
        <w:rPr>
          <w:rFonts w:ascii="Trebuchet MS" w:hAnsi="Trebuchet MS" w:cs="Arial"/>
          <w:b/>
          <w:sz w:val="28"/>
          <w:szCs w:val="28"/>
          <w:lang w:val="ro-RO"/>
        </w:rPr>
      </w:pPr>
      <w:r w:rsidRPr="00C93688">
        <w:rPr>
          <w:rFonts w:ascii="Trebuchet MS" w:hAnsi="Trebuchet MS" w:cs="Arial"/>
          <w:b/>
          <w:sz w:val="28"/>
          <w:szCs w:val="28"/>
          <w:lang w:val="ro-RO"/>
        </w:rPr>
        <w:t>NOTĂ</w:t>
      </w:r>
    </w:p>
    <w:p w:rsidR="000276EB" w:rsidRPr="0014303D" w:rsidRDefault="000276EB" w:rsidP="000276EB">
      <w:pPr>
        <w:spacing w:line="360" w:lineRule="auto"/>
        <w:jc w:val="center"/>
        <w:rPr>
          <w:rFonts w:ascii="Trebuchet MS" w:hAnsi="Trebuchet MS" w:cs="Arial"/>
          <w:lang w:val="ro-RO"/>
        </w:rPr>
      </w:pPr>
    </w:p>
    <w:p w:rsidR="000276EB" w:rsidRPr="0014303D" w:rsidRDefault="000276EB" w:rsidP="000276EB">
      <w:pPr>
        <w:tabs>
          <w:tab w:val="left" w:pos="1701"/>
        </w:tabs>
        <w:spacing w:line="360" w:lineRule="auto"/>
        <w:jc w:val="center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 xml:space="preserve">privind cheltuielile de investiții publice ale ordonatorilor principali de credite ai Bugetului de stat, </w:t>
      </w:r>
      <w:r w:rsidR="00CE64DB" w:rsidRPr="0014303D">
        <w:rPr>
          <w:rFonts w:ascii="Trebuchet MS" w:hAnsi="Trebuchet MS" w:cs="Arial"/>
          <w:lang w:val="ro-RO"/>
        </w:rPr>
        <w:t>B</w:t>
      </w:r>
      <w:r w:rsidRPr="0014303D">
        <w:rPr>
          <w:rFonts w:ascii="Trebuchet MS" w:hAnsi="Trebuchet MS" w:cs="Arial"/>
          <w:lang w:val="ro-RO"/>
        </w:rPr>
        <w:t>ugetului Fondului național unic de asigurări sociale de sănătate, Bugetului asigurărilor sociale de stat și Bugetului asigurărilor pentru șomaj în per</w:t>
      </w:r>
      <w:r w:rsidR="00442254" w:rsidRPr="0014303D">
        <w:rPr>
          <w:rFonts w:ascii="Trebuchet MS" w:hAnsi="Trebuchet MS" w:cs="Arial"/>
          <w:lang w:val="ro-RO"/>
        </w:rPr>
        <w:t>ioada 01 ianuarie</w:t>
      </w:r>
      <w:r w:rsidR="001E3B9A" w:rsidRPr="0014303D">
        <w:rPr>
          <w:rFonts w:ascii="Trebuchet MS" w:hAnsi="Trebuchet MS" w:cs="Arial"/>
          <w:lang w:val="ro-RO"/>
        </w:rPr>
        <w:t xml:space="preserve"> – 31</w:t>
      </w:r>
      <w:r w:rsidR="00442254" w:rsidRPr="0014303D">
        <w:rPr>
          <w:rFonts w:ascii="Trebuchet MS" w:hAnsi="Trebuchet MS" w:cs="Arial"/>
          <w:lang w:val="ro-RO"/>
        </w:rPr>
        <w:t xml:space="preserve"> martie </w:t>
      </w:r>
      <w:r w:rsidR="00D94476" w:rsidRPr="0014303D">
        <w:rPr>
          <w:rFonts w:ascii="Trebuchet MS" w:hAnsi="Trebuchet MS" w:cs="Arial"/>
          <w:lang w:val="ro-RO"/>
        </w:rPr>
        <w:t>202</w:t>
      </w:r>
      <w:r w:rsidR="001F7A0C" w:rsidRPr="0014303D">
        <w:rPr>
          <w:rFonts w:ascii="Trebuchet MS" w:hAnsi="Trebuchet MS" w:cs="Arial"/>
          <w:lang w:val="ro-RO"/>
        </w:rPr>
        <w:t>2</w:t>
      </w:r>
      <w:r w:rsidRPr="0014303D">
        <w:rPr>
          <w:rFonts w:ascii="Trebuchet MS" w:hAnsi="Trebuchet MS" w:cs="Arial"/>
          <w:lang w:val="ro-RO"/>
        </w:rPr>
        <w:t xml:space="preserve"> comparativ c</w:t>
      </w:r>
      <w:r w:rsidR="001E3B9A" w:rsidRPr="0014303D">
        <w:rPr>
          <w:rFonts w:ascii="Trebuchet MS" w:hAnsi="Trebuchet MS" w:cs="Arial"/>
          <w:lang w:val="ro-RO"/>
        </w:rPr>
        <w:t>u aceeași perioadă a anului 202</w:t>
      </w:r>
      <w:r w:rsidR="001F7A0C" w:rsidRPr="0014303D">
        <w:rPr>
          <w:rFonts w:ascii="Trebuchet MS" w:hAnsi="Trebuchet MS" w:cs="Arial"/>
          <w:lang w:val="ro-RO"/>
        </w:rPr>
        <w:t>1</w:t>
      </w:r>
      <w:r w:rsidRPr="0014303D">
        <w:rPr>
          <w:rFonts w:ascii="Trebuchet MS" w:hAnsi="Trebuchet MS" w:cs="Arial"/>
          <w:lang w:val="ro-RO"/>
        </w:rPr>
        <w:t xml:space="preserve"> </w:t>
      </w:r>
    </w:p>
    <w:p w:rsidR="000276EB" w:rsidRPr="0014303D" w:rsidRDefault="000276EB" w:rsidP="000276EB">
      <w:pPr>
        <w:tabs>
          <w:tab w:val="left" w:pos="1701"/>
        </w:tabs>
        <w:spacing w:line="360" w:lineRule="auto"/>
        <w:jc w:val="center"/>
        <w:rPr>
          <w:rFonts w:ascii="Trebuchet MS" w:hAnsi="Trebuchet MS" w:cs="Arial"/>
          <w:lang w:val="ro-RO"/>
        </w:rPr>
      </w:pPr>
    </w:p>
    <w:p w:rsidR="000276EB" w:rsidRPr="0014303D" w:rsidRDefault="009E3402" w:rsidP="009E3402">
      <w:pPr>
        <w:tabs>
          <w:tab w:val="left" w:pos="8010"/>
        </w:tabs>
        <w:ind w:firstLine="720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ab/>
      </w:r>
    </w:p>
    <w:p w:rsidR="000276EB" w:rsidRPr="0014303D" w:rsidRDefault="000276EB" w:rsidP="000276EB">
      <w:pPr>
        <w:spacing w:line="360" w:lineRule="auto"/>
        <w:ind w:firstLine="720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 xml:space="preserve">Potrivit programului de </w:t>
      </w:r>
      <w:proofErr w:type="spellStart"/>
      <w:r w:rsidRPr="0014303D">
        <w:rPr>
          <w:rFonts w:ascii="Trebuchet MS" w:hAnsi="Trebuchet MS" w:cs="Arial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lang w:val="ro-RO"/>
        </w:rPr>
        <w:t xml:space="preserve"> publice aprobat ca anexă la bugetele ordonatorilor principali de credit</w:t>
      </w:r>
      <w:r w:rsidR="004512AE" w:rsidRPr="0014303D">
        <w:rPr>
          <w:rFonts w:ascii="Trebuchet MS" w:hAnsi="Trebuchet MS" w:cs="Arial"/>
          <w:lang w:val="ro-RO"/>
        </w:rPr>
        <w:t>e ai bugetului de stat prin</w:t>
      </w:r>
      <w:r w:rsidRPr="0014303D">
        <w:rPr>
          <w:rFonts w:ascii="Trebuchet MS" w:hAnsi="Trebuchet MS" w:cs="Arial"/>
          <w:lang w:val="ro-RO"/>
        </w:rPr>
        <w:t xml:space="preserve"> </w:t>
      </w:r>
      <w:r w:rsidRPr="0014303D">
        <w:rPr>
          <w:rFonts w:ascii="Trebuchet MS" w:hAnsi="Trebuchet MS" w:cs="Arial"/>
          <w:i/>
          <w:lang w:val="ro-RO"/>
        </w:rPr>
        <w:t xml:space="preserve">Legea nr. </w:t>
      </w:r>
      <w:r w:rsidR="001F7A0C" w:rsidRPr="0014303D">
        <w:rPr>
          <w:rFonts w:ascii="Trebuchet MS" w:hAnsi="Trebuchet MS" w:cs="Arial"/>
          <w:i/>
          <w:lang w:val="ro-RO"/>
        </w:rPr>
        <w:t>317</w:t>
      </w:r>
      <w:r w:rsidRPr="0014303D">
        <w:rPr>
          <w:rFonts w:ascii="Trebuchet MS" w:hAnsi="Trebuchet MS" w:cs="Arial"/>
          <w:i/>
          <w:lang w:val="ro-RO"/>
        </w:rPr>
        <w:t>/20</w:t>
      </w:r>
      <w:r w:rsidR="00765AAD" w:rsidRPr="0014303D">
        <w:rPr>
          <w:rFonts w:ascii="Trebuchet MS" w:hAnsi="Trebuchet MS" w:cs="Arial"/>
          <w:i/>
          <w:lang w:val="ro-RO"/>
        </w:rPr>
        <w:t>2</w:t>
      </w:r>
      <w:r w:rsidR="001E3B9A" w:rsidRPr="0014303D">
        <w:rPr>
          <w:rFonts w:ascii="Trebuchet MS" w:hAnsi="Trebuchet MS" w:cs="Arial"/>
          <w:i/>
          <w:lang w:val="ro-RO"/>
        </w:rPr>
        <w:t>1</w:t>
      </w:r>
      <w:r w:rsidRPr="0014303D">
        <w:rPr>
          <w:rFonts w:ascii="Trebuchet MS" w:hAnsi="Trebuchet MS" w:cs="Arial"/>
          <w:i/>
          <w:lang w:val="ro-RO"/>
        </w:rPr>
        <w:t xml:space="preserve"> privind bugetul de stat pe anul 20</w:t>
      </w:r>
      <w:r w:rsidR="00765AAD" w:rsidRPr="0014303D">
        <w:rPr>
          <w:rFonts w:ascii="Trebuchet MS" w:hAnsi="Trebuchet MS" w:cs="Arial"/>
          <w:i/>
          <w:lang w:val="ro-RO"/>
        </w:rPr>
        <w:t>2</w:t>
      </w:r>
      <w:r w:rsidR="001F7A0C" w:rsidRPr="0014303D">
        <w:rPr>
          <w:rFonts w:ascii="Trebuchet MS" w:hAnsi="Trebuchet MS" w:cs="Arial"/>
          <w:i/>
          <w:lang w:val="ro-RO"/>
        </w:rPr>
        <w:t>2</w:t>
      </w:r>
      <w:r w:rsidRPr="0014303D">
        <w:rPr>
          <w:rFonts w:ascii="Trebuchet MS" w:hAnsi="Trebuchet MS" w:cs="Arial"/>
          <w:lang w:val="ro-RO"/>
        </w:rPr>
        <w:t xml:space="preserve">, </w:t>
      </w:r>
      <w:r w:rsidR="00EB681F" w:rsidRPr="0014303D">
        <w:rPr>
          <w:rFonts w:ascii="Trebuchet MS" w:hAnsi="Trebuchet MS" w:cs="Arial"/>
          <w:lang w:val="ro-RO"/>
        </w:rPr>
        <w:t xml:space="preserve">creditele bugetare </w:t>
      </w:r>
      <w:r w:rsidRPr="0014303D">
        <w:rPr>
          <w:rFonts w:ascii="Trebuchet MS" w:hAnsi="Trebuchet MS" w:cs="Arial"/>
          <w:lang w:val="ro-RO"/>
        </w:rPr>
        <w:t xml:space="preserve">alocate pentru cheltuielile de </w:t>
      </w:r>
      <w:proofErr w:type="spellStart"/>
      <w:r w:rsidRPr="0014303D">
        <w:rPr>
          <w:rFonts w:ascii="Trebuchet MS" w:hAnsi="Trebuchet MS" w:cs="Arial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lang w:val="ro-RO"/>
        </w:rPr>
        <w:t xml:space="preserve"> în anul 20</w:t>
      </w:r>
      <w:r w:rsidR="00765AAD" w:rsidRPr="0014303D">
        <w:rPr>
          <w:rFonts w:ascii="Trebuchet MS" w:hAnsi="Trebuchet MS" w:cs="Arial"/>
          <w:lang w:val="ro-RO"/>
        </w:rPr>
        <w:t>2</w:t>
      </w:r>
      <w:r w:rsidR="001F7A0C" w:rsidRPr="0014303D">
        <w:rPr>
          <w:rFonts w:ascii="Trebuchet MS" w:hAnsi="Trebuchet MS" w:cs="Arial"/>
          <w:lang w:val="ro-RO"/>
        </w:rPr>
        <w:t>2</w:t>
      </w:r>
      <w:r w:rsidRPr="0014303D">
        <w:rPr>
          <w:rFonts w:ascii="Trebuchet MS" w:hAnsi="Trebuchet MS" w:cs="Arial"/>
          <w:lang w:val="ro-RO"/>
        </w:rPr>
        <w:t xml:space="preserve"> și actualizate la data de 31 </w:t>
      </w:r>
      <w:r w:rsidR="001E3B9A" w:rsidRPr="0014303D">
        <w:rPr>
          <w:rFonts w:ascii="Trebuchet MS" w:hAnsi="Trebuchet MS" w:cs="Arial"/>
          <w:lang w:val="ro-RO"/>
        </w:rPr>
        <w:t>martie</w:t>
      </w:r>
      <w:r w:rsidRPr="0014303D">
        <w:rPr>
          <w:rFonts w:ascii="Trebuchet MS" w:hAnsi="Trebuchet MS" w:cs="Arial"/>
          <w:lang w:val="ro-RO"/>
        </w:rPr>
        <w:t xml:space="preserve"> 20</w:t>
      </w:r>
      <w:r w:rsidR="00765AAD" w:rsidRPr="0014303D">
        <w:rPr>
          <w:rFonts w:ascii="Trebuchet MS" w:hAnsi="Trebuchet MS" w:cs="Arial"/>
          <w:lang w:val="ro-RO"/>
        </w:rPr>
        <w:t>2</w:t>
      </w:r>
      <w:r w:rsidR="001F7A0C" w:rsidRPr="0014303D">
        <w:rPr>
          <w:rFonts w:ascii="Trebuchet MS" w:hAnsi="Trebuchet MS" w:cs="Arial"/>
          <w:lang w:val="ro-RO"/>
        </w:rPr>
        <w:t>2</w:t>
      </w:r>
      <w:r w:rsidRPr="0014303D">
        <w:rPr>
          <w:rFonts w:ascii="Trebuchet MS" w:hAnsi="Trebuchet MS" w:cs="Arial"/>
          <w:lang w:val="ro-RO"/>
        </w:rPr>
        <w:t xml:space="preserve"> </w:t>
      </w:r>
      <w:r w:rsidR="00885BA4">
        <w:rPr>
          <w:rFonts w:ascii="Trebuchet MS" w:hAnsi="Trebuchet MS" w:cs="Arial"/>
          <w:lang w:val="ro-RO"/>
        </w:rPr>
        <w:t>sunt</w:t>
      </w:r>
      <w:r w:rsidR="00EB681F" w:rsidRPr="0014303D">
        <w:rPr>
          <w:rFonts w:ascii="Trebuchet MS" w:hAnsi="Trebuchet MS" w:cs="Arial"/>
          <w:lang w:val="ro-RO"/>
        </w:rPr>
        <w:t xml:space="preserve"> </w:t>
      </w:r>
      <w:r w:rsidRPr="0014303D">
        <w:rPr>
          <w:rFonts w:ascii="Trebuchet MS" w:hAnsi="Trebuchet MS" w:cs="Arial"/>
          <w:lang w:val="ro-RO"/>
        </w:rPr>
        <w:t xml:space="preserve">în sumă de </w:t>
      </w:r>
      <w:r w:rsidR="003A6A7A" w:rsidRPr="0014303D">
        <w:rPr>
          <w:rFonts w:ascii="Trebuchet MS" w:hAnsi="Trebuchet MS" w:cs="Arial"/>
          <w:lang w:val="ro-RO"/>
        </w:rPr>
        <w:t>28.752</w:t>
      </w:r>
      <w:r w:rsidRPr="0014303D">
        <w:rPr>
          <w:rFonts w:ascii="Trebuchet MS" w:hAnsi="Trebuchet MS" w:cs="Arial"/>
          <w:lang w:val="ro-RO"/>
        </w:rPr>
        <w:t xml:space="preserve"> milioane lei pe total surse </w:t>
      </w:r>
      <w:r w:rsidR="00BC0115" w:rsidRPr="0014303D">
        <w:rPr>
          <w:rFonts w:ascii="Trebuchet MS" w:hAnsi="Trebuchet MS" w:cs="Arial"/>
          <w:lang w:val="ro-RO"/>
        </w:rPr>
        <w:t xml:space="preserve">de </w:t>
      </w:r>
      <w:proofErr w:type="spellStart"/>
      <w:r w:rsidR="00BC0115" w:rsidRPr="0014303D">
        <w:rPr>
          <w:rFonts w:ascii="Trebuchet MS" w:hAnsi="Trebuchet MS" w:cs="Arial"/>
          <w:lang w:val="ro-RO"/>
        </w:rPr>
        <w:t>finanţare</w:t>
      </w:r>
      <w:proofErr w:type="spellEnd"/>
      <w:r w:rsidR="00BC0115" w:rsidRPr="0014303D">
        <w:rPr>
          <w:rFonts w:ascii="Trebuchet MS" w:hAnsi="Trebuchet MS" w:cs="Arial"/>
          <w:lang w:val="ro-RO"/>
        </w:rPr>
        <w:t xml:space="preserve">, din care suma de </w:t>
      </w:r>
      <w:r w:rsidR="003A6A7A" w:rsidRPr="0014303D">
        <w:rPr>
          <w:rFonts w:ascii="Trebuchet MS" w:hAnsi="Trebuchet MS" w:cs="Arial"/>
          <w:lang w:val="ro-RO"/>
        </w:rPr>
        <w:t xml:space="preserve">27.050 </w:t>
      </w:r>
      <w:r w:rsidRPr="0014303D">
        <w:rPr>
          <w:rFonts w:ascii="Trebuchet MS" w:hAnsi="Trebuchet MS" w:cs="Arial"/>
          <w:lang w:val="ro-RO"/>
        </w:rPr>
        <w:t xml:space="preserve">milioane lei de la bugetul </w:t>
      </w:r>
      <w:r w:rsidR="00BC0115" w:rsidRPr="0014303D">
        <w:rPr>
          <w:rFonts w:ascii="Trebuchet MS" w:hAnsi="Trebuchet MS" w:cs="Arial"/>
          <w:lang w:val="ro-RO"/>
        </w:rPr>
        <w:t>de stat, în timp ce în anul 20</w:t>
      </w:r>
      <w:r w:rsidR="003A6A7A" w:rsidRPr="0014303D">
        <w:rPr>
          <w:rFonts w:ascii="Trebuchet MS" w:hAnsi="Trebuchet MS" w:cs="Arial"/>
          <w:lang w:val="ro-RO"/>
        </w:rPr>
        <w:t>21</w:t>
      </w:r>
      <w:r w:rsidRPr="0014303D">
        <w:rPr>
          <w:rFonts w:ascii="Trebuchet MS" w:hAnsi="Trebuchet MS" w:cs="Arial"/>
          <w:lang w:val="ro-RO"/>
        </w:rPr>
        <w:t xml:space="preserve"> pentru cheltuielile de </w:t>
      </w:r>
      <w:proofErr w:type="spellStart"/>
      <w:r w:rsidRPr="0014303D">
        <w:rPr>
          <w:rFonts w:ascii="Trebuchet MS" w:hAnsi="Trebuchet MS" w:cs="Arial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lang w:val="ro-RO"/>
        </w:rPr>
        <w:t xml:space="preserve"> aprobate prin </w:t>
      </w:r>
      <w:r w:rsidR="00BC0115" w:rsidRPr="0014303D">
        <w:rPr>
          <w:rFonts w:ascii="Trebuchet MS" w:hAnsi="Trebuchet MS" w:cs="Arial"/>
          <w:i/>
          <w:lang w:val="ro-RO"/>
        </w:rPr>
        <w:t>Lege</w:t>
      </w:r>
      <w:r w:rsidR="00765AAD" w:rsidRPr="0014303D">
        <w:rPr>
          <w:rFonts w:ascii="Trebuchet MS" w:hAnsi="Trebuchet MS" w:cs="Arial"/>
          <w:i/>
          <w:lang w:val="ro-RO"/>
        </w:rPr>
        <w:t xml:space="preserve">a nr. </w:t>
      </w:r>
      <w:r w:rsidR="003A6A7A" w:rsidRPr="0014303D">
        <w:rPr>
          <w:rFonts w:ascii="Trebuchet MS" w:hAnsi="Trebuchet MS" w:cs="Arial"/>
          <w:i/>
          <w:lang w:val="ro-RO"/>
        </w:rPr>
        <w:t>1</w:t>
      </w:r>
      <w:r w:rsidR="00765AAD" w:rsidRPr="0014303D">
        <w:rPr>
          <w:rFonts w:ascii="Trebuchet MS" w:hAnsi="Trebuchet MS" w:cs="Arial"/>
          <w:i/>
          <w:lang w:val="ro-RO"/>
        </w:rPr>
        <w:t>5</w:t>
      </w:r>
      <w:r w:rsidRPr="0014303D">
        <w:rPr>
          <w:rFonts w:ascii="Trebuchet MS" w:hAnsi="Trebuchet MS" w:cs="Arial"/>
          <w:i/>
          <w:lang w:val="ro-RO"/>
        </w:rPr>
        <w:t>/20</w:t>
      </w:r>
      <w:r w:rsidR="001E3B9A" w:rsidRPr="0014303D">
        <w:rPr>
          <w:rFonts w:ascii="Trebuchet MS" w:hAnsi="Trebuchet MS" w:cs="Arial"/>
          <w:i/>
          <w:lang w:val="ro-RO"/>
        </w:rPr>
        <w:t>2</w:t>
      </w:r>
      <w:r w:rsidR="003A6A7A" w:rsidRPr="0014303D">
        <w:rPr>
          <w:rFonts w:ascii="Trebuchet MS" w:hAnsi="Trebuchet MS" w:cs="Arial"/>
          <w:i/>
          <w:lang w:val="ro-RO"/>
        </w:rPr>
        <w:t>1</w:t>
      </w:r>
      <w:r w:rsidRPr="0014303D">
        <w:rPr>
          <w:rFonts w:ascii="Trebuchet MS" w:hAnsi="Trebuchet MS" w:cs="Arial"/>
          <w:i/>
          <w:lang w:val="ro-RO"/>
        </w:rPr>
        <w:t xml:space="preserve"> privind bugetul de stat pe anul 20</w:t>
      </w:r>
      <w:r w:rsidR="007760AF" w:rsidRPr="0014303D">
        <w:rPr>
          <w:rFonts w:ascii="Trebuchet MS" w:hAnsi="Trebuchet MS" w:cs="Arial"/>
          <w:i/>
          <w:lang w:val="ro-RO"/>
        </w:rPr>
        <w:t>2</w:t>
      </w:r>
      <w:r w:rsidR="003A6A7A" w:rsidRPr="0014303D">
        <w:rPr>
          <w:rFonts w:ascii="Trebuchet MS" w:hAnsi="Trebuchet MS" w:cs="Arial"/>
          <w:i/>
          <w:lang w:val="ro-RO"/>
        </w:rPr>
        <w:t>1</w:t>
      </w:r>
      <w:r w:rsidRPr="0014303D">
        <w:rPr>
          <w:rFonts w:ascii="Trebuchet MS" w:hAnsi="Trebuchet MS" w:cs="Arial"/>
          <w:lang w:val="ro-RO"/>
        </w:rPr>
        <w:t>, au fost</w:t>
      </w:r>
      <w:r w:rsidR="00EB681F" w:rsidRPr="0014303D">
        <w:rPr>
          <w:rFonts w:ascii="Trebuchet MS" w:hAnsi="Trebuchet MS" w:cs="Arial"/>
          <w:lang w:val="ro-RO"/>
        </w:rPr>
        <w:t xml:space="preserve"> alocate credite bugetare</w:t>
      </w:r>
      <w:r w:rsidRPr="0014303D">
        <w:rPr>
          <w:rFonts w:ascii="Trebuchet MS" w:hAnsi="Trebuchet MS" w:cs="Arial"/>
          <w:lang w:val="ro-RO"/>
        </w:rPr>
        <w:t xml:space="preserve"> în sumă de </w:t>
      </w:r>
      <w:r w:rsidR="003A6A7A" w:rsidRPr="0014303D">
        <w:rPr>
          <w:rFonts w:ascii="Trebuchet MS" w:hAnsi="Trebuchet MS" w:cs="Arial"/>
          <w:lang w:val="ro-RO"/>
        </w:rPr>
        <w:t>24.162</w:t>
      </w:r>
      <w:r w:rsidRPr="0014303D">
        <w:rPr>
          <w:rFonts w:ascii="Trebuchet MS" w:hAnsi="Trebuchet MS" w:cs="Arial"/>
          <w:lang w:val="ro-RO"/>
        </w:rPr>
        <w:t xml:space="preserve"> milioane lei pe total surse de </w:t>
      </w:r>
      <w:proofErr w:type="spellStart"/>
      <w:r w:rsidRPr="0014303D">
        <w:rPr>
          <w:rFonts w:ascii="Trebuchet MS" w:hAnsi="Trebuchet MS" w:cs="Arial"/>
          <w:lang w:val="ro-RO"/>
        </w:rPr>
        <w:t>finanţare</w:t>
      </w:r>
      <w:proofErr w:type="spellEnd"/>
      <w:r w:rsidRPr="0014303D">
        <w:rPr>
          <w:rFonts w:ascii="Trebuchet MS" w:hAnsi="Trebuchet MS" w:cs="Arial"/>
          <w:lang w:val="ro-RO"/>
        </w:rPr>
        <w:t xml:space="preserve">, din care suma de </w:t>
      </w:r>
      <w:r w:rsidR="003A6A7A" w:rsidRPr="0014303D">
        <w:rPr>
          <w:rFonts w:ascii="Trebuchet MS" w:hAnsi="Trebuchet MS" w:cs="Arial"/>
          <w:lang w:val="ro-RO"/>
        </w:rPr>
        <w:t>20.423</w:t>
      </w:r>
      <w:r w:rsidRPr="0014303D">
        <w:rPr>
          <w:rFonts w:ascii="Trebuchet MS" w:hAnsi="Trebuchet MS" w:cs="Arial"/>
          <w:lang w:val="ro-RO"/>
        </w:rPr>
        <w:t xml:space="preserve"> milioane lei de la bugetul de stat.</w:t>
      </w:r>
    </w:p>
    <w:p w:rsidR="002D0526" w:rsidRPr="0014303D" w:rsidRDefault="002D0526" w:rsidP="000276EB">
      <w:pPr>
        <w:spacing w:line="360" w:lineRule="auto"/>
        <w:ind w:firstLine="720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>Precizăm faptul că,</w:t>
      </w:r>
      <w:r w:rsidR="009B160C" w:rsidRPr="0014303D">
        <w:rPr>
          <w:rFonts w:ascii="Trebuchet MS" w:hAnsi="Trebuchet MS" w:cs="Arial"/>
          <w:lang w:val="ro-RO"/>
        </w:rPr>
        <w:t xml:space="preserve"> în programul de investiții</w:t>
      </w:r>
      <w:r w:rsidRPr="0014303D">
        <w:rPr>
          <w:rFonts w:ascii="Trebuchet MS" w:hAnsi="Trebuchet MS" w:cs="Arial"/>
          <w:lang w:val="ro-RO"/>
        </w:rPr>
        <w:t xml:space="preserve"> </w:t>
      </w:r>
      <w:r w:rsidR="00F56FBE" w:rsidRPr="0014303D">
        <w:rPr>
          <w:rFonts w:ascii="Trebuchet MS" w:hAnsi="Trebuchet MS" w:cs="Arial"/>
          <w:lang w:val="ro-RO"/>
        </w:rPr>
        <w:t xml:space="preserve">publice al </w:t>
      </w:r>
      <w:r w:rsidRPr="0014303D">
        <w:rPr>
          <w:rFonts w:ascii="Trebuchet MS" w:hAnsi="Trebuchet MS" w:cs="Arial"/>
          <w:lang w:val="ro-RO"/>
        </w:rPr>
        <w:t>Ministerul</w:t>
      </w:r>
      <w:r w:rsidR="00F56FBE" w:rsidRPr="0014303D">
        <w:rPr>
          <w:rFonts w:ascii="Trebuchet MS" w:hAnsi="Trebuchet MS" w:cs="Arial"/>
          <w:lang w:val="ro-RO"/>
        </w:rPr>
        <w:t>ui</w:t>
      </w:r>
      <w:r w:rsidRPr="0014303D">
        <w:rPr>
          <w:rFonts w:ascii="Trebuchet MS" w:hAnsi="Trebuchet MS" w:cs="Arial"/>
          <w:lang w:val="ro-RO"/>
        </w:rPr>
        <w:t xml:space="preserve"> Dezvoltării</w:t>
      </w:r>
      <w:r w:rsidR="005907E1" w:rsidRPr="0014303D">
        <w:rPr>
          <w:rFonts w:ascii="Trebuchet MS" w:hAnsi="Trebuchet MS" w:cs="Arial"/>
          <w:lang w:val="ro-RO"/>
        </w:rPr>
        <w:t xml:space="preserve">, Lucrărilor Publice </w:t>
      </w:r>
      <w:r w:rsidR="00A7688D" w:rsidRPr="0014303D">
        <w:rPr>
          <w:rFonts w:ascii="Trebuchet MS" w:hAnsi="Trebuchet MS" w:cs="Arial"/>
          <w:lang w:val="ro-RO"/>
        </w:rPr>
        <w:t>și Administrației</w:t>
      </w:r>
      <w:r w:rsidRPr="0014303D">
        <w:rPr>
          <w:rFonts w:ascii="Trebuchet MS" w:hAnsi="Trebuchet MS" w:cs="Arial"/>
          <w:lang w:val="ro-RO"/>
        </w:rPr>
        <w:t>, nu sunt</w:t>
      </w:r>
      <w:r w:rsidR="009B160C" w:rsidRPr="0014303D">
        <w:rPr>
          <w:rFonts w:ascii="Trebuchet MS" w:hAnsi="Trebuchet MS" w:cs="Arial"/>
          <w:lang w:val="ro-RO"/>
        </w:rPr>
        <w:t xml:space="preserve"> cuprinse </w:t>
      </w:r>
      <w:r w:rsidR="00F56FBE" w:rsidRPr="0014303D">
        <w:rPr>
          <w:rFonts w:ascii="Trebuchet MS" w:hAnsi="Trebuchet MS" w:cs="Arial"/>
          <w:lang w:val="ro-RO"/>
        </w:rPr>
        <w:t>fondurile alocate Programului Național de Dezvoltare Locală, acestea</w:t>
      </w:r>
      <w:r w:rsidR="009B160C" w:rsidRPr="0014303D">
        <w:rPr>
          <w:rFonts w:ascii="Trebuchet MS" w:hAnsi="Trebuchet MS" w:cs="Arial"/>
          <w:lang w:val="ro-RO"/>
        </w:rPr>
        <w:t xml:space="preserve"> reprezentând</w:t>
      </w:r>
      <w:r w:rsidRPr="0014303D">
        <w:rPr>
          <w:rFonts w:ascii="Trebuchet MS" w:hAnsi="Trebuchet MS" w:cs="Arial"/>
          <w:lang w:val="ro-RO"/>
        </w:rPr>
        <w:t xml:space="preserve"> cheltuieli de investiții ale Unităților Administrativ Teritoriale</w:t>
      </w:r>
      <w:r w:rsidR="009B160C" w:rsidRPr="0014303D">
        <w:rPr>
          <w:rFonts w:ascii="Trebuchet MS" w:hAnsi="Trebuchet MS" w:cs="Arial"/>
          <w:lang w:val="ro-RO"/>
        </w:rPr>
        <w:t>.</w:t>
      </w:r>
    </w:p>
    <w:p w:rsidR="000276EB" w:rsidRPr="0014303D" w:rsidRDefault="008C3259" w:rsidP="008C3259">
      <w:pPr>
        <w:tabs>
          <w:tab w:val="left" w:pos="709"/>
        </w:tabs>
        <w:spacing w:line="360" w:lineRule="auto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color w:val="000000"/>
          <w:lang w:val="ro-RO"/>
        </w:rPr>
        <w:tab/>
        <w:t>Potrivit rapoartelor de monitorizare a programului de investiții publice transmise de ordonatorii principali de credite ai bugetului de stat, conform alin. (1) al art. 44 din Legea nr. 500/2002 privind finanțele publice, cu modificările și completările ulterioare, î</w:t>
      </w:r>
      <w:r w:rsidR="000276EB" w:rsidRPr="0014303D">
        <w:rPr>
          <w:rFonts w:ascii="Trebuchet MS" w:hAnsi="Trebuchet MS" w:cs="Arial"/>
          <w:lang w:val="ro-RO"/>
        </w:rPr>
        <w:t xml:space="preserve">n perioada ianuarie - </w:t>
      </w:r>
      <w:r w:rsidR="001E3B9A" w:rsidRPr="0014303D">
        <w:rPr>
          <w:rFonts w:ascii="Trebuchet MS" w:hAnsi="Trebuchet MS" w:cs="Arial"/>
          <w:lang w:val="ro-RO"/>
        </w:rPr>
        <w:t>martie</w:t>
      </w:r>
      <w:r w:rsidR="00765AAD" w:rsidRPr="0014303D">
        <w:rPr>
          <w:rFonts w:ascii="Trebuchet MS" w:hAnsi="Trebuchet MS" w:cs="Arial"/>
          <w:lang w:val="ro-RO"/>
        </w:rPr>
        <w:t xml:space="preserve"> 202</w:t>
      </w:r>
      <w:r w:rsidR="00647E78">
        <w:rPr>
          <w:rFonts w:ascii="Trebuchet MS" w:hAnsi="Trebuchet MS" w:cs="Arial"/>
          <w:lang w:val="ro-RO"/>
        </w:rPr>
        <w:t>2</w:t>
      </w:r>
      <w:r w:rsidR="000276EB" w:rsidRPr="0014303D">
        <w:rPr>
          <w:rFonts w:ascii="Trebuchet MS" w:hAnsi="Trebuchet MS" w:cs="Arial"/>
          <w:lang w:val="ro-RO"/>
        </w:rPr>
        <w:t xml:space="preserve">, pentru proiectele / categoriile de </w:t>
      </w:r>
      <w:proofErr w:type="spellStart"/>
      <w:r w:rsidR="000276EB" w:rsidRPr="0014303D">
        <w:rPr>
          <w:rFonts w:ascii="Trebuchet MS" w:hAnsi="Trebuchet MS" w:cs="Arial"/>
          <w:lang w:val="ro-RO"/>
        </w:rPr>
        <w:t>investiţii</w:t>
      </w:r>
      <w:proofErr w:type="spellEnd"/>
      <w:r w:rsidR="000276EB" w:rsidRPr="0014303D">
        <w:rPr>
          <w:rFonts w:ascii="Trebuchet MS" w:hAnsi="Trebuchet MS" w:cs="Arial"/>
          <w:lang w:val="ro-RO"/>
        </w:rPr>
        <w:t xml:space="preserve"> publice, plățile efectuate sunt în sumă de </w:t>
      </w:r>
      <w:r w:rsidR="003A6A7A" w:rsidRPr="0014303D">
        <w:rPr>
          <w:rFonts w:ascii="Trebuchet MS" w:hAnsi="Trebuchet MS" w:cs="Arial"/>
          <w:lang w:val="ro-RO"/>
        </w:rPr>
        <w:t>1.957</w:t>
      </w:r>
      <w:r w:rsidR="000276EB" w:rsidRPr="0014303D">
        <w:rPr>
          <w:rFonts w:ascii="Trebuchet MS" w:hAnsi="Trebuchet MS" w:cs="Arial"/>
          <w:lang w:val="ro-RO"/>
        </w:rPr>
        <w:t xml:space="preserve"> milioane lei pe total surse (reprezentând </w:t>
      </w:r>
      <w:r w:rsidR="003A6A7A" w:rsidRPr="0014303D">
        <w:rPr>
          <w:rFonts w:ascii="Trebuchet MS" w:hAnsi="Trebuchet MS" w:cs="Arial"/>
          <w:lang w:val="ro-RO"/>
        </w:rPr>
        <w:t>6,81</w:t>
      </w:r>
      <w:r w:rsidR="000276EB" w:rsidRPr="0014303D">
        <w:rPr>
          <w:rFonts w:ascii="Trebuchet MS" w:hAnsi="Trebuchet MS" w:cs="Arial"/>
          <w:lang w:val="ro-RO"/>
        </w:rPr>
        <w:t xml:space="preserve">% din programul anual), din care </w:t>
      </w:r>
      <w:r w:rsidR="003A6A7A" w:rsidRPr="0014303D">
        <w:rPr>
          <w:rFonts w:ascii="Trebuchet MS" w:hAnsi="Trebuchet MS" w:cs="Arial"/>
          <w:lang w:val="ro-RO"/>
        </w:rPr>
        <w:t xml:space="preserve">1,869 </w:t>
      </w:r>
      <w:r w:rsidR="000276EB" w:rsidRPr="0014303D">
        <w:rPr>
          <w:rFonts w:ascii="Trebuchet MS" w:hAnsi="Trebuchet MS" w:cs="Arial"/>
          <w:lang w:val="ro-RO"/>
        </w:rPr>
        <w:t xml:space="preserve">milioane lei de la bugetul de stat (reprezentând </w:t>
      </w:r>
      <w:r w:rsidR="003A6A7A" w:rsidRPr="0014303D">
        <w:rPr>
          <w:rFonts w:ascii="Trebuchet MS" w:hAnsi="Trebuchet MS" w:cs="Arial"/>
          <w:lang w:val="ro-RO"/>
        </w:rPr>
        <w:t>6,91</w:t>
      </w:r>
      <w:r w:rsidR="000276EB" w:rsidRPr="0014303D">
        <w:rPr>
          <w:rFonts w:ascii="Trebuchet MS" w:hAnsi="Trebuchet MS" w:cs="Arial"/>
          <w:lang w:val="ro-RO"/>
        </w:rPr>
        <w:t xml:space="preserve">% din programul anual) </w:t>
      </w:r>
      <w:r w:rsidR="000276EB" w:rsidRPr="0014303D">
        <w:rPr>
          <w:rFonts w:ascii="Trebuchet MS" w:hAnsi="Trebuchet MS" w:cs="Arial"/>
          <w:lang w:val="ro-RO"/>
        </w:rPr>
        <w:lastRenderedPageBreak/>
        <w:t>în timp ce pentru aceeași perioadă a anului</w:t>
      </w:r>
      <w:r w:rsidR="00AA2426" w:rsidRPr="0014303D">
        <w:rPr>
          <w:rFonts w:ascii="Trebuchet MS" w:hAnsi="Trebuchet MS" w:cs="Arial"/>
          <w:lang w:val="ro-RO"/>
        </w:rPr>
        <w:t xml:space="preserve"> 202</w:t>
      </w:r>
      <w:r w:rsidR="003A6A7A" w:rsidRPr="0014303D">
        <w:rPr>
          <w:rFonts w:ascii="Trebuchet MS" w:hAnsi="Trebuchet MS" w:cs="Arial"/>
          <w:lang w:val="ro-RO"/>
        </w:rPr>
        <w:t>1</w:t>
      </w:r>
      <w:r w:rsidR="000276EB" w:rsidRPr="0014303D">
        <w:rPr>
          <w:rFonts w:ascii="Trebuchet MS" w:hAnsi="Trebuchet MS" w:cs="Arial"/>
          <w:lang w:val="ro-RO"/>
        </w:rPr>
        <w:t xml:space="preserve">, au fost efectuate </w:t>
      </w:r>
      <w:proofErr w:type="spellStart"/>
      <w:r w:rsidR="000276EB" w:rsidRPr="0014303D">
        <w:rPr>
          <w:rFonts w:ascii="Trebuchet MS" w:hAnsi="Trebuchet MS" w:cs="Arial"/>
          <w:lang w:val="ro-RO"/>
        </w:rPr>
        <w:t>plăţi</w:t>
      </w:r>
      <w:proofErr w:type="spellEnd"/>
      <w:r w:rsidR="000276EB" w:rsidRPr="0014303D">
        <w:rPr>
          <w:rFonts w:ascii="Trebuchet MS" w:hAnsi="Trebuchet MS" w:cs="Arial"/>
          <w:lang w:val="ro-RO"/>
        </w:rPr>
        <w:t xml:space="preserve"> în sumă de </w:t>
      </w:r>
      <w:r w:rsidR="003A6A7A" w:rsidRPr="0014303D">
        <w:rPr>
          <w:rFonts w:ascii="Trebuchet MS" w:hAnsi="Trebuchet MS" w:cs="Arial"/>
          <w:lang w:val="ro-RO"/>
        </w:rPr>
        <w:t>2.340</w:t>
      </w:r>
      <w:r w:rsidR="000276EB" w:rsidRPr="0014303D">
        <w:rPr>
          <w:rFonts w:ascii="Trebuchet MS" w:hAnsi="Trebuchet MS" w:cs="Arial"/>
          <w:lang w:val="ro-RO"/>
        </w:rPr>
        <w:t xml:space="preserve"> milioane lei pe total surse (reprezentând </w:t>
      </w:r>
      <w:r w:rsidR="003A6A7A" w:rsidRPr="0014303D">
        <w:rPr>
          <w:rFonts w:ascii="Trebuchet MS" w:hAnsi="Trebuchet MS" w:cs="Arial"/>
          <w:lang w:val="ro-RO"/>
        </w:rPr>
        <w:t>9,68</w:t>
      </w:r>
      <w:r w:rsidR="000276EB" w:rsidRPr="0014303D">
        <w:rPr>
          <w:rFonts w:ascii="Trebuchet MS" w:hAnsi="Trebuchet MS" w:cs="Arial"/>
          <w:lang w:val="ro-RO"/>
        </w:rPr>
        <w:t xml:space="preserve">% din programul anual), din care </w:t>
      </w:r>
      <w:r w:rsidR="003A6A7A" w:rsidRPr="0014303D">
        <w:rPr>
          <w:rFonts w:ascii="Trebuchet MS" w:hAnsi="Trebuchet MS" w:cs="Arial"/>
          <w:lang w:val="ro-RO"/>
        </w:rPr>
        <w:t>2.314</w:t>
      </w:r>
      <w:r w:rsidR="000276EB" w:rsidRPr="0014303D">
        <w:rPr>
          <w:rFonts w:ascii="Trebuchet MS" w:hAnsi="Trebuchet MS" w:cs="Arial"/>
          <w:lang w:val="ro-RO"/>
        </w:rPr>
        <w:t xml:space="preserve"> milioane lei de la bugetul de stat (reprezentând </w:t>
      </w:r>
      <w:r w:rsidR="003A6A7A" w:rsidRPr="0014303D">
        <w:rPr>
          <w:rFonts w:ascii="Trebuchet MS" w:hAnsi="Trebuchet MS" w:cs="Arial"/>
          <w:lang w:val="ro-RO"/>
        </w:rPr>
        <w:t>11,33</w:t>
      </w:r>
      <w:r w:rsidR="000276EB" w:rsidRPr="0014303D">
        <w:rPr>
          <w:rFonts w:ascii="Trebuchet MS" w:hAnsi="Trebuchet MS" w:cs="Arial"/>
          <w:lang w:val="ro-RO"/>
        </w:rPr>
        <w:t>% din programul anual).</w:t>
      </w:r>
    </w:p>
    <w:p w:rsidR="001B55FD" w:rsidRPr="0014303D" w:rsidRDefault="000276EB" w:rsidP="000276EB">
      <w:pPr>
        <w:spacing w:line="360" w:lineRule="auto"/>
        <w:ind w:left="142" w:right="-175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ab/>
        <w:t xml:space="preserve">Prezentăm în tabelul de mai jos </w:t>
      </w:r>
      <w:proofErr w:type="spellStart"/>
      <w:r w:rsidRPr="0014303D">
        <w:rPr>
          <w:rFonts w:ascii="Trebuchet MS" w:hAnsi="Trebuchet MS" w:cs="Arial"/>
          <w:lang w:val="ro-RO"/>
        </w:rPr>
        <w:t>situaţia</w:t>
      </w:r>
      <w:proofErr w:type="spellEnd"/>
      <w:r w:rsidRPr="0014303D">
        <w:rPr>
          <w:rFonts w:ascii="Trebuchet MS" w:hAnsi="Trebuchet MS" w:cs="Arial"/>
          <w:lang w:val="ro-RO"/>
        </w:rPr>
        <w:t xml:space="preserve"> cheltuielilor de </w:t>
      </w:r>
      <w:proofErr w:type="spellStart"/>
      <w:r w:rsidRPr="0014303D">
        <w:rPr>
          <w:rFonts w:ascii="Trebuchet MS" w:hAnsi="Trebuchet MS" w:cs="Arial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lang w:val="ro-RO"/>
        </w:rPr>
        <w:t xml:space="preserve"> </w:t>
      </w:r>
      <w:proofErr w:type="spellStart"/>
      <w:r w:rsidRPr="0014303D">
        <w:rPr>
          <w:rFonts w:ascii="Trebuchet MS" w:hAnsi="Trebuchet MS" w:cs="Arial"/>
          <w:lang w:val="ro-RO"/>
        </w:rPr>
        <w:t>finanţate</w:t>
      </w:r>
      <w:proofErr w:type="spellEnd"/>
      <w:r w:rsidRPr="0014303D">
        <w:rPr>
          <w:rFonts w:ascii="Trebuchet MS" w:hAnsi="Trebuchet MS" w:cs="Arial"/>
          <w:lang w:val="ro-RO"/>
        </w:rPr>
        <w:t xml:space="preserve"> de la bugetul de stat, detaliată pe titluri de </w:t>
      </w:r>
      <w:r w:rsidR="00A7688D" w:rsidRPr="0014303D">
        <w:rPr>
          <w:rFonts w:ascii="Trebuchet MS" w:hAnsi="Trebuchet MS" w:cs="Arial"/>
          <w:lang w:val="ro-RO"/>
        </w:rPr>
        <w:t>cheltuieli:</w:t>
      </w:r>
    </w:p>
    <w:p w:rsidR="001B55FD" w:rsidRPr="0014303D" w:rsidRDefault="00D96D1A" w:rsidP="000276EB">
      <w:pPr>
        <w:spacing w:line="360" w:lineRule="auto"/>
        <w:ind w:left="142" w:right="-175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noProof/>
          <w:sz w:val="20"/>
          <w:szCs w:val="20"/>
          <w:lang w:val="ro-R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24.45pt;width:526.45pt;height:248.7pt;z-index:251657216" filled="t">
            <v:fill color2="black"/>
            <v:imagedata r:id="rId9" o:title=""/>
            <w10:wrap type="square" side="right"/>
          </v:shape>
          <o:OLEObject Type="Embed" ProgID="Excel.Sheet.8" ShapeID="_x0000_s1032" DrawAspect="Content" ObjectID="_1715145241" r:id="rId10"/>
        </w:object>
      </w:r>
    </w:p>
    <w:p w:rsidR="000276EB" w:rsidRPr="0014303D" w:rsidRDefault="000276EB" w:rsidP="000276EB">
      <w:pPr>
        <w:spacing w:line="360" w:lineRule="auto"/>
        <w:ind w:left="142" w:right="-175"/>
        <w:rPr>
          <w:rFonts w:ascii="Trebuchet MS" w:hAnsi="Trebuchet MS"/>
          <w:sz w:val="20"/>
          <w:szCs w:val="20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0276EB" w:rsidRPr="0014303D" w:rsidRDefault="00F13B58" w:rsidP="00681C25">
      <w:pPr>
        <w:spacing w:line="360" w:lineRule="auto"/>
        <w:ind w:left="-709" w:right="-33" w:firstLine="142"/>
        <w:rPr>
          <w:rFonts w:ascii="Trebuchet MS" w:hAnsi="Trebuchet MS" w:cs="Arial"/>
          <w:lang w:val="ro-RO"/>
        </w:rPr>
        <w:sectPr w:rsidR="000276EB" w:rsidRPr="0014303D" w:rsidSect="00A14919">
          <w:headerReference w:type="default" r:id="rId11"/>
          <w:footerReference w:type="default" r:id="rId12"/>
          <w:pgSz w:w="11906" w:h="16838"/>
          <w:pgMar w:top="1134" w:right="1009" w:bottom="720" w:left="1009" w:header="578" w:footer="578" w:gutter="0"/>
          <w:cols w:space="708"/>
          <w:docGrid w:linePitch="360"/>
        </w:sectPr>
      </w:pPr>
      <w:r w:rsidRPr="0014303D">
        <w:rPr>
          <w:rFonts w:ascii="Trebuchet MS" w:hAnsi="Trebuchet MS"/>
          <w:noProof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06902ADE" wp14:editId="63C9333B">
            <wp:simplePos x="0" y="0"/>
            <wp:positionH relativeFrom="column">
              <wp:posOffset>26035</wp:posOffset>
            </wp:positionH>
            <wp:positionV relativeFrom="paragraph">
              <wp:posOffset>525780</wp:posOffset>
            </wp:positionV>
            <wp:extent cx="6054725" cy="6189345"/>
            <wp:effectExtent l="0" t="0" r="3175" b="1905"/>
            <wp:wrapSquare wrapText="right"/>
            <wp:docPr id="1" name="Objec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6EB" w:rsidRPr="0014303D" w:rsidRDefault="000276EB" w:rsidP="000276EB">
      <w:pPr>
        <w:tabs>
          <w:tab w:val="left" w:pos="14055"/>
          <w:tab w:val="left" w:pos="14490"/>
        </w:tabs>
        <w:rPr>
          <w:rFonts w:ascii="Trebuchet MS" w:hAnsi="Trebuchet MS"/>
          <w:lang w:val="ro-RO"/>
        </w:rPr>
      </w:pPr>
      <w:bookmarkStart w:id="0" w:name="_1469882988"/>
      <w:bookmarkEnd w:id="0"/>
      <w:r w:rsidRPr="0014303D">
        <w:rPr>
          <w:rFonts w:ascii="Trebuchet MS" w:hAnsi="Trebuchet MS"/>
          <w:lang w:val="ro-RO"/>
        </w:rPr>
        <w:lastRenderedPageBreak/>
        <w:tab/>
      </w:r>
      <w:r w:rsidRPr="0014303D">
        <w:rPr>
          <w:rFonts w:ascii="Trebuchet MS" w:hAnsi="Trebuchet MS"/>
          <w:lang w:val="ro-RO"/>
        </w:rPr>
        <w:tab/>
      </w:r>
    </w:p>
    <w:p w:rsidR="002D5BC1" w:rsidRPr="0014303D" w:rsidRDefault="00833512" w:rsidP="00833512">
      <w:pPr>
        <w:spacing w:line="360" w:lineRule="auto"/>
        <w:ind w:firstLine="720"/>
        <w:jc w:val="center"/>
        <w:rPr>
          <w:rFonts w:ascii="Trebuchet MS" w:hAnsi="Trebuchet MS"/>
          <w:lang w:val="ro-RO"/>
        </w:rPr>
      </w:pPr>
      <w:r w:rsidRPr="0014303D">
        <w:rPr>
          <w:rFonts w:ascii="Trebuchet MS" w:hAnsi="Trebuchet MS"/>
          <w:noProof/>
          <w:lang w:val="en-US" w:eastAsia="en-US"/>
        </w:rPr>
        <w:drawing>
          <wp:inline distT="0" distB="0" distL="0" distR="0" wp14:anchorId="50C8B943" wp14:editId="3F7824CB">
            <wp:extent cx="4524375" cy="5229225"/>
            <wp:effectExtent l="0" t="0" r="9525" b="9525"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14303D">
        <w:rPr>
          <w:rFonts w:ascii="Trebuchet MS" w:hAnsi="Trebuchet MS"/>
          <w:lang w:val="ro-RO"/>
        </w:rPr>
        <w:t xml:space="preserve"> </w:t>
      </w:r>
      <w:r w:rsidR="0014303D" w:rsidRPr="0014303D">
        <w:rPr>
          <w:rFonts w:ascii="Trebuchet MS" w:hAnsi="Trebuchet MS"/>
          <w:noProof/>
          <w:lang w:val="en-US" w:eastAsia="en-US"/>
        </w:rPr>
        <w:drawing>
          <wp:inline distT="0" distB="0" distL="0" distR="0" wp14:anchorId="76332CA7" wp14:editId="2444FD2E">
            <wp:extent cx="4524375" cy="5229225"/>
            <wp:effectExtent l="0" t="0" r="9525" b="9525"/>
            <wp:docPr id="5" name="Char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D5BC1" w:rsidRPr="0014303D" w:rsidRDefault="002D5BC1" w:rsidP="002D5BC1">
      <w:pPr>
        <w:tabs>
          <w:tab w:val="left" w:pos="11765"/>
        </w:tabs>
        <w:rPr>
          <w:rFonts w:ascii="Trebuchet MS" w:hAnsi="Trebuchet MS"/>
          <w:lang w:val="ro-RO"/>
        </w:rPr>
      </w:pPr>
      <w:r w:rsidRPr="0014303D">
        <w:rPr>
          <w:rFonts w:ascii="Trebuchet MS" w:hAnsi="Trebuchet MS"/>
          <w:lang w:val="ro-RO"/>
        </w:rPr>
        <w:tab/>
      </w:r>
    </w:p>
    <w:p w:rsidR="000276EB" w:rsidRPr="0014303D" w:rsidRDefault="000276EB" w:rsidP="002D5BC1">
      <w:pPr>
        <w:tabs>
          <w:tab w:val="left" w:pos="11765"/>
        </w:tabs>
        <w:rPr>
          <w:rFonts w:ascii="Trebuchet MS" w:hAnsi="Trebuchet MS"/>
          <w:lang w:val="ro-RO"/>
        </w:rPr>
        <w:sectPr w:rsidR="000276EB" w:rsidRPr="0014303D" w:rsidSect="00BA105D">
          <w:pgSz w:w="16838" w:h="11906" w:orient="landscape"/>
          <w:pgMar w:top="1008" w:right="720" w:bottom="1008" w:left="720" w:header="576" w:footer="576" w:gutter="0"/>
          <w:cols w:space="708"/>
          <w:docGrid w:linePitch="360"/>
        </w:sectPr>
      </w:pPr>
    </w:p>
    <w:p w:rsidR="000276EB" w:rsidRDefault="000276EB" w:rsidP="00403723">
      <w:pPr>
        <w:spacing w:line="360" w:lineRule="auto"/>
        <w:ind w:firstLine="720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lastRenderedPageBreak/>
        <w:t xml:space="preserve">În programele de </w:t>
      </w:r>
      <w:proofErr w:type="spellStart"/>
      <w:r w:rsidRPr="0014303D">
        <w:rPr>
          <w:rFonts w:ascii="Trebuchet MS" w:hAnsi="Trebuchet MS" w:cs="Arial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lang w:val="ro-RO"/>
        </w:rPr>
        <w:t xml:space="preserve"> publice aprobate ca anexă la bugetele ordonatorilor principali de credite ai bugetului de stat pe anul </w:t>
      </w:r>
      <w:r w:rsidRPr="0014303D">
        <w:rPr>
          <w:rFonts w:ascii="Trebuchet MS" w:hAnsi="Trebuchet MS" w:cs="Arial"/>
          <w:color w:val="000000" w:themeColor="text1"/>
          <w:lang w:val="ro-RO"/>
        </w:rPr>
        <w:t>20</w:t>
      </w:r>
      <w:r w:rsidR="00B5278B" w:rsidRPr="0014303D">
        <w:rPr>
          <w:rFonts w:ascii="Trebuchet MS" w:hAnsi="Trebuchet MS" w:cs="Arial"/>
          <w:color w:val="000000" w:themeColor="text1"/>
          <w:lang w:val="ro-RO"/>
        </w:rPr>
        <w:t>2</w:t>
      </w:r>
      <w:r w:rsidR="0014303D" w:rsidRPr="0014303D">
        <w:rPr>
          <w:rFonts w:ascii="Trebuchet MS" w:hAnsi="Trebuchet MS" w:cs="Arial"/>
          <w:color w:val="000000" w:themeColor="text1"/>
          <w:lang w:val="ro-RO"/>
        </w:rPr>
        <w:t>2</w:t>
      </w:r>
      <w:r w:rsidRPr="0014303D">
        <w:rPr>
          <w:rFonts w:ascii="Trebuchet MS" w:hAnsi="Trebuchet MS" w:cs="Arial"/>
          <w:color w:val="000000" w:themeColor="text1"/>
          <w:lang w:val="ro-RO"/>
        </w:rPr>
        <w:t xml:space="preserve"> </w:t>
      </w:r>
      <w:r w:rsidR="00EB681F" w:rsidRPr="0014303D">
        <w:rPr>
          <w:rFonts w:ascii="Trebuchet MS" w:hAnsi="Trebuchet MS" w:cs="Arial"/>
          <w:color w:val="000000" w:themeColor="text1"/>
          <w:lang w:val="ro-RO"/>
        </w:rPr>
        <w:t xml:space="preserve">au fost </w:t>
      </w:r>
      <w:r w:rsidRPr="0014303D">
        <w:rPr>
          <w:rFonts w:ascii="Trebuchet MS" w:hAnsi="Trebuchet MS" w:cs="Arial"/>
          <w:color w:val="000000" w:themeColor="text1"/>
          <w:lang w:val="ro-RO"/>
        </w:rPr>
        <w:t xml:space="preserve">incluse </w:t>
      </w:r>
      <w:r w:rsidR="00403723" w:rsidRPr="0014303D">
        <w:rPr>
          <w:rFonts w:ascii="Trebuchet MS" w:hAnsi="Trebuchet MS" w:cs="Arial"/>
          <w:color w:val="000000" w:themeColor="text1"/>
          <w:lang w:val="ro-RO"/>
        </w:rPr>
        <w:t>3</w:t>
      </w:r>
      <w:r w:rsidR="0014303D" w:rsidRPr="0014303D">
        <w:rPr>
          <w:rFonts w:ascii="Trebuchet MS" w:hAnsi="Trebuchet MS" w:cs="Arial"/>
          <w:color w:val="000000" w:themeColor="text1"/>
          <w:lang w:val="ro-RO"/>
        </w:rPr>
        <w:t>95</w:t>
      </w:r>
      <w:r w:rsidRPr="0014303D">
        <w:rPr>
          <w:rFonts w:ascii="Trebuchet MS" w:hAnsi="Trebuchet MS" w:cs="Arial"/>
          <w:color w:val="000000" w:themeColor="text1"/>
          <w:lang w:val="ro-RO"/>
        </w:rPr>
        <w:t xml:space="preserve"> obiective / proiecte/prog</w:t>
      </w:r>
      <w:r w:rsidR="0014303D" w:rsidRPr="0014303D">
        <w:rPr>
          <w:rFonts w:ascii="Trebuchet MS" w:hAnsi="Trebuchet MS" w:cs="Arial"/>
          <w:color w:val="000000" w:themeColor="text1"/>
          <w:lang w:val="ro-RO"/>
        </w:rPr>
        <w:t xml:space="preserve">rame de </w:t>
      </w:r>
      <w:proofErr w:type="spellStart"/>
      <w:r w:rsidR="0014303D" w:rsidRPr="0014303D">
        <w:rPr>
          <w:rFonts w:ascii="Trebuchet MS" w:hAnsi="Trebuchet MS" w:cs="Arial"/>
          <w:color w:val="000000" w:themeColor="text1"/>
          <w:lang w:val="ro-RO"/>
        </w:rPr>
        <w:t>investiţii</w:t>
      </w:r>
      <w:proofErr w:type="spellEnd"/>
      <w:r w:rsidR="0014303D" w:rsidRPr="0014303D">
        <w:rPr>
          <w:rFonts w:ascii="Trebuchet MS" w:hAnsi="Trebuchet MS" w:cs="Arial"/>
          <w:color w:val="000000" w:themeColor="text1"/>
          <w:lang w:val="ro-RO"/>
        </w:rPr>
        <w:t xml:space="preserve">, din care 362 </w:t>
      </w:r>
      <w:r w:rsidRPr="0014303D">
        <w:rPr>
          <w:rFonts w:ascii="Trebuchet MS" w:hAnsi="Trebuchet MS" w:cs="Arial"/>
          <w:color w:val="000000" w:themeColor="text1"/>
          <w:lang w:val="ro-RO"/>
        </w:rPr>
        <w:t xml:space="preserve">obiective de </w:t>
      </w:r>
      <w:proofErr w:type="spellStart"/>
      <w:r w:rsidRPr="0014303D">
        <w:rPr>
          <w:rFonts w:ascii="Trebuchet MS" w:hAnsi="Trebuchet MS" w:cs="Arial"/>
          <w:color w:val="000000" w:themeColor="text1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color w:val="000000" w:themeColor="text1"/>
          <w:lang w:val="ro-RO"/>
        </w:rPr>
        <w:t xml:space="preserve"> în continuare </w:t>
      </w:r>
      <w:proofErr w:type="spellStart"/>
      <w:r w:rsidRPr="0014303D">
        <w:rPr>
          <w:rFonts w:ascii="Trebuchet MS" w:hAnsi="Trebuchet MS" w:cs="Arial"/>
          <w:color w:val="000000" w:themeColor="text1"/>
          <w:lang w:val="ro-RO"/>
        </w:rPr>
        <w:t>şi</w:t>
      </w:r>
      <w:proofErr w:type="spellEnd"/>
      <w:r w:rsidRPr="0014303D">
        <w:rPr>
          <w:rFonts w:ascii="Trebuchet MS" w:hAnsi="Trebuchet MS" w:cs="Arial"/>
          <w:color w:val="000000" w:themeColor="text1"/>
          <w:lang w:val="ro-RO"/>
        </w:rPr>
        <w:t xml:space="preserve"> </w:t>
      </w:r>
      <w:r w:rsidR="0014303D" w:rsidRPr="0014303D">
        <w:rPr>
          <w:rFonts w:ascii="Trebuchet MS" w:hAnsi="Trebuchet MS" w:cs="Arial"/>
          <w:color w:val="000000" w:themeColor="text1"/>
          <w:lang w:val="ro-RO"/>
        </w:rPr>
        <w:t>33</w:t>
      </w:r>
      <w:r w:rsidRPr="0014303D">
        <w:rPr>
          <w:rFonts w:ascii="Trebuchet MS" w:hAnsi="Trebuchet MS" w:cs="Arial"/>
          <w:color w:val="000000" w:themeColor="text1"/>
          <w:lang w:val="ro-RO"/>
        </w:rPr>
        <w:t xml:space="preserve"> obiective de </w:t>
      </w:r>
      <w:proofErr w:type="spellStart"/>
      <w:r w:rsidRPr="0014303D">
        <w:rPr>
          <w:rFonts w:ascii="Trebuchet MS" w:hAnsi="Trebuchet MS" w:cs="Arial"/>
          <w:color w:val="000000" w:themeColor="text1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color w:val="000000" w:themeColor="text1"/>
          <w:lang w:val="ro-RO"/>
        </w:rPr>
        <w:t xml:space="preserve"> noi,</w:t>
      </w:r>
      <w:r w:rsidRPr="0014303D">
        <w:rPr>
          <w:rFonts w:ascii="Trebuchet MS" w:hAnsi="Trebuchet MS" w:cs="Arial"/>
          <w:color w:val="FF0000"/>
          <w:lang w:val="ro-RO"/>
        </w:rPr>
        <w:t xml:space="preserve"> </w:t>
      </w:r>
      <w:r w:rsidRPr="0014303D">
        <w:rPr>
          <w:rFonts w:ascii="Trebuchet MS" w:hAnsi="Trebuchet MS" w:cs="Arial"/>
          <w:lang w:val="ro-RO"/>
        </w:rPr>
        <w:t>comparativ cu anul 20</w:t>
      </w:r>
      <w:r w:rsidR="00B5278B" w:rsidRPr="0014303D">
        <w:rPr>
          <w:rFonts w:ascii="Trebuchet MS" w:hAnsi="Trebuchet MS" w:cs="Arial"/>
          <w:lang w:val="ro-RO"/>
        </w:rPr>
        <w:t>2</w:t>
      </w:r>
      <w:r w:rsidR="0014303D">
        <w:rPr>
          <w:rFonts w:ascii="Trebuchet MS" w:hAnsi="Trebuchet MS" w:cs="Arial"/>
          <w:lang w:val="ro-RO"/>
        </w:rPr>
        <w:t>1</w:t>
      </w:r>
      <w:r w:rsidRPr="0014303D">
        <w:rPr>
          <w:rFonts w:ascii="Trebuchet MS" w:hAnsi="Trebuchet MS" w:cs="Arial"/>
          <w:lang w:val="ro-RO"/>
        </w:rPr>
        <w:t xml:space="preserve"> în care au fost incluse 3</w:t>
      </w:r>
      <w:r w:rsidR="0014303D">
        <w:rPr>
          <w:rFonts w:ascii="Trebuchet MS" w:hAnsi="Trebuchet MS" w:cs="Arial"/>
          <w:lang w:val="ro-RO"/>
        </w:rPr>
        <w:t>79</w:t>
      </w:r>
      <w:r w:rsidRPr="0014303D">
        <w:rPr>
          <w:rFonts w:ascii="Trebuchet MS" w:hAnsi="Trebuchet MS" w:cs="Arial"/>
          <w:lang w:val="ro-RO"/>
        </w:rPr>
        <w:t xml:space="preserve"> obiective, din care </w:t>
      </w:r>
      <w:r w:rsidR="00B158C9" w:rsidRPr="0014303D">
        <w:rPr>
          <w:rFonts w:ascii="Trebuchet MS" w:hAnsi="Trebuchet MS" w:cs="Arial"/>
          <w:lang w:val="ro-RO"/>
        </w:rPr>
        <w:t>3</w:t>
      </w:r>
      <w:r w:rsidR="0014303D">
        <w:rPr>
          <w:rFonts w:ascii="Trebuchet MS" w:hAnsi="Trebuchet MS" w:cs="Arial"/>
          <w:lang w:val="ro-RO"/>
        </w:rPr>
        <w:t>20</w:t>
      </w:r>
      <w:r w:rsidRPr="0014303D">
        <w:rPr>
          <w:rFonts w:ascii="Trebuchet MS" w:hAnsi="Trebuchet MS" w:cs="Arial"/>
          <w:lang w:val="ro-RO"/>
        </w:rPr>
        <w:t xml:space="preserve"> obiective de </w:t>
      </w:r>
      <w:proofErr w:type="spellStart"/>
      <w:r w:rsidRPr="0014303D">
        <w:rPr>
          <w:rFonts w:ascii="Trebuchet MS" w:hAnsi="Trebuchet MS" w:cs="Arial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lang w:val="ro-RO"/>
        </w:rPr>
        <w:t xml:space="preserve"> în continuare </w:t>
      </w:r>
      <w:proofErr w:type="spellStart"/>
      <w:r w:rsidRPr="0014303D">
        <w:rPr>
          <w:rFonts w:ascii="Trebuchet MS" w:hAnsi="Trebuchet MS" w:cs="Arial"/>
          <w:lang w:val="ro-RO"/>
        </w:rPr>
        <w:t>şi</w:t>
      </w:r>
      <w:proofErr w:type="spellEnd"/>
      <w:r w:rsidRPr="0014303D">
        <w:rPr>
          <w:rFonts w:ascii="Trebuchet MS" w:hAnsi="Trebuchet MS" w:cs="Arial"/>
          <w:lang w:val="ro-RO"/>
        </w:rPr>
        <w:t xml:space="preserve"> </w:t>
      </w:r>
      <w:r w:rsidR="0014303D">
        <w:rPr>
          <w:rFonts w:ascii="Trebuchet MS" w:hAnsi="Trebuchet MS" w:cs="Arial"/>
          <w:lang w:val="ro-RO"/>
        </w:rPr>
        <w:t>59</w:t>
      </w:r>
      <w:r w:rsidRPr="0014303D">
        <w:rPr>
          <w:rFonts w:ascii="Trebuchet MS" w:hAnsi="Trebuchet MS" w:cs="Arial"/>
          <w:lang w:val="ro-RO"/>
        </w:rPr>
        <w:t xml:space="preserve"> obiective de </w:t>
      </w:r>
      <w:proofErr w:type="spellStart"/>
      <w:r w:rsidRPr="0014303D">
        <w:rPr>
          <w:rFonts w:ascii="Trebuchet MS" w:hAnsi="Trebuchet MS" w:cs="Arial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lang w:val="ro-RO"/>
        </w:rPr>
        <w:t xml:space="preserve"> noi. </w:t>
      </w:r>
    </w:p>
    <w:p w:rsidR="0014303D" w:rsidRPr="00CE2EEE" w:rsidRDefault="0014303D" w:rsidP="0014303D">
      <w:pPr>
        <w:spacing w:line="360" w:lineRule="auto"/>
        <w:ind w:firstLine="720"/>
        <w:jc w:val="both"/>
        <w:rPr>
          <w:rFonts w:ascii="Trebuchet MS" w:hAnsi="Trebuchet MS" w:cs="Arial"/>
          <w:color w:val="000000" w:themeColor="text1"/>
          <w:lang w:val="ro-RO"/>
        </w:rPr>
      </w:pPr>
      <w:r w:rsidRPr="00CE2EEE">
        <w:rPr>
          <w:rFonts w:ascii="Trebuchet MS" w:hAnsi="Trebuchet MS" w:cs="Arial"/>
          <w:color w:val="000000" w:themeColor="text1"/>
          <w:lang w:val="ro-RO"/>
        </w:rPr>
        <w:t xml:space="preserve">De remarcat faptul că, din cele </w:t>
      </w:r>
      <w:r w:rsidR="00D64D70">
        <w:rPr>
          <w:rFonts w:ascii="Trebuchet MS" w:hAnsi="Trebuchet MS" w:cs="Arial"/>
          <w:color w:val="000000" w:themeColor="text1"/>
          <w:lang w:val="ro-RO"/>
        </w:rPr>
        <w:t>395</w:t>
      </w:r>
      <w:r w:rsidRPr="0014303D">
        <w:rPr>
          <w:rFonts w:ascii="Trebuchet MS" w:hAnsi="Trebuchet MS" w:cs="Arial"/>
          <w:color w:val="FF0000"/>
          <w:lang w:val="ro-RO"/>
        </w:rPr>
        <w:t xml:space="preserve"> </w:t>
      </w:r>
      <w:r w:rsidRPr="00D64D70">
        <w:rPr>
          <w:rFonts w:ascii="Trebuchet MS" w:hAnsi="Trebuchet MS" w:cs="Arial"/>
          <w:color w:val="000000" w:themeColor="text1"/>
          <w:lang w:val="ro-RO"/>
        </w:rPr>
        <w:t>obiective pe anul 202</w:t>
      </w:r>
      <w:r w:rsidR="00D64D70" w:rsidRPr="00D64D70">
        <w:rPr>
          <w:rFonts w:ascii="Trebuchet MS" w:hAnsi="Trebuchet MS" w:cs="Arial"/>
          <w:color w:val="000000" w:themeColor="text1"/>
          <w:lang w:val="ro-RO"/>
        </w:rPr>
        <w:t>2</w:t>
      </w:r>
      <w:r w:rsidR="0060467B">
        <w:rPr>
          <w:rFonts w:ascii="Trebuchet MS" w:hAnsi="Trebuchet MS" w:cs="Arial"/>
          <w:color w:val="000000" w:themeColor="text1"/>
          <w:lang w:val="ro-RO"/>
        </w:rPr>
        <w:t xml:space="preserve">, au </w:t>
      </w:r>
      <w:r w:rsidRPr="00D64D70">
        <w:rPr>
          <w:rFonts w:ascii="Trebuchet MS" w:hAnsi="Trebuchet MS" w:cs="Arial"/>
          <w:color w:val="000000" w:themeColor="text1"/>
          <w:lang w:val="ro-RO"/>
        </w:rPr>
        <w:t xml:space="preserve">alocată finanțare doar </w:t>
      </w:r>
      <w:r w:rsidR="00D64D70" w:rsidRPr="00D64D70">
        <w:rPr>
          <w:rFonts w:ascii="Trebuchet MS" w:hAnsi="Trebuchet MS" w:cs="Arial"/>
          <w:color w:val="000000" w:themeColor="text1"/>
          <w:lang w:val="ro-RO"/>
        </w:rPr>
        <w:t>298</w:t>
      </w:r>
      <w:r w:rsidRPr="00D64D70">
        <w:rPr>
          <w:rFonts w:ascii="Trebuchet MS" w:hAnsi="Trebuchet MS" w:cs="Arial"/>
          <w:color w:val="000000" w:themeColor="text1"/>
          <w:lang w:val="ro-RO"/>
        </w:rPr>
        <w:t xml:space="preserve"> de proiecte, din care </w:t>
      </w:r>
      <w:r w:rsidR="00D64D70" w:rsidRPr="00D64D70">
        <w:rPr>
          <w:rFonts w:ascii="Trebuchet MS" w:hAnsi="Trebuchet MS" w:cs="Arial"/>
          <w:color w:val="000000" w:themeColor="text1"/>
          <w:lang w:val="ro-RO"/>
        </w:rPr>
        <w:t>272</w:t>
      </w:r>
      <w:r w:rsidRPr="00D64D70">
        <w:rPr>
          <w:rFonts w:ascii="Trebuchet MS" w:hAnsi="Trebuchet MS" w:cs="Arial"/>
          <w:color w:val="000000" w:themeColor="text1"/>
          <w:lang w:val="ro-RO"/>
        </w:rPr>
        <w:t xml:space="preserve"> obiective de investiții în continuare și </w:t>
      </w:r>
      <w:r w:rsidR="00D64D70" w:rsidRPr="00D64D70">
        <w:rPr>
          <w:rFonts w:ascii="Trebuchet MS" w:hAnsi="Trebuchet MS" w:cs="Arial"/>
          <w:color w:val="000000" w:themeColor="text1"/>
          <w:lang w:val="ro-RO"/>
        </w:rPr>
        <w:t>26</w:t>
      </w:r>
      <w:r w:rsidRPr="00D64D70">
        <w:rPr>
          <w:rFonts w:ascii="Trebuchet MS" w:hAnsi="Trebuchet MS" w:cs="Arial"/>
          <w:color w:val="000000" w:themeColor="text1"/>
          <w:lang w:val="ro-RO"/>
        </w:rPr>
        <w:t xml:space="preserve"> obiective de investiții noi, iar </w:t>
      </w:r>
      <w:r w:rsidRPr="00CE2EEE">
        <w:rPr>
          <w:rFonts w:ascii="Trebuchet MS" w:hAnsi="Trebuchet MS" w:cs="Arial"/>
          <w:color w:val="000000" w:themeColor="text1"/>
          <w:lang w:val="ro-RO"/>
        </w:rPr>
        <w:t>pe anul 202</w:t>
      </w:r>
      <w:r>
        <w:rPr>
          <w:rFonts w:ascii="Trebuchet MS" w:hAnsi="Trebuchet MS" w:cs="Arial"/>
          <w:color w:val="000000" w:themeColor="text1"/>
          <w:lang w:val="ro-RO"/>
        </w:rPr>
        <w:t>1</w:t>
      </w:r>
      <w:r w:rsidRPr="00CE2EEE">
        <w:rPr>
          <w:rFonts w:ascii="Trebuchet MS" w:hAnsi="Trebuchet MS" w:cs="Arial"/>
          <w:color w:val="000000" w:themeColor="text1"/>
          <w:lang w:val="ro-RO"/>
        </w:rPr>
        <w:t xml:space="preserve"> din cele 3</w:t>
      </w:r>
      <w:r w:rsidR="00D64D70">
        <w:rPr>
          <w:rFonts w:ascii="Trebuchet MS" w:hAnsi="Trebuchet MS" w:cs="Arial"/>
          <w:color w:val="000000" w:themeColor="text1"/>
          <w:lang w:val="ro-RO"/>
        </w:rPr>
        <w:t>79</w:t>
      </w:r>
      <w:r w:rsidRPr="00CE2EEE">
        <w:rPr>
          <w:rFonts w:ascii="Trebuchet MS" w:hAnsi="Trebuchet MS" w:cs="Arial"/>
          <w:color w:val="000000" w:themeColor="text1"/>
          <w:lang w:val="ro-RO"/>
        </w:rPr>
        <w:t xml:space="preserve"> obiective au avut alocată finanțare doar </w:t>
      </w:r>
      <w:r w:rsidR="00D64D70">
        <w:rPr>
          <w:rFonts w:ascii="Trebuchet MS" w:hAnsi="Trebuchet MS" w:cs="Arial"/>
          <w:color w:val="000000" w:themeColor="text1"/>
          <w:lang w:val="ro-RO"/>
        </w:rPr>
        <w:t>286</w:t>
      </w:r>
      <w:r>
        <w:rPr>
          <w:rFonts w:ascii="Trebuchet MS" w:hAnsi="Trebuchet MS" w:cs="Arial"/>
          <w:color w:val="000000" w:themeColor="text1"/>
          <w:lang w:val="ro-RO"/>
        </w:rPr>
        <w:t xml:space="preserve"> de proiecte, din care 2</w:t>
      </w:r>
      <w:r w:rsidR="00D64D70">
        <w:rPr>
          <w:rFonts w:ascii="Trebuchet MS" w:hAnsi="Trebuchet MS" w:cs="Arial"/>
          <w:color w:val="000000" w:themeColor="text1"/>
          <w:lang w:val="ro-RO"/>
        </w:rPr>
        <w:t>38</w:t>
      </w:r>
      <w:r w:rsidRPr="00CE2EEE">
        <w:rPr>
          <w:rFonts w:ascii="Trebuchet MS" w:hAnsi="Trebuchet MS" w:cs="Arial"/>
          <w:color w:val="000000" w:themeColor="text1"/>
          <w:lang w:val="ro-RO"/>
        </w:rPr>
        <w:t xml:space="preserve"> obiective de investiții în continuare și </w:t>
      </w:r>
      <w:r w:rsidR="00D64D70">
        <w:rPr>
          <w:rFonts w:ascii="Trebuchet MS" w:hAnsi="Trebuchet MS" w:cs="Arial"/>
          <w:color w:val="000000" w:themeColor="text1"/>
          <w:lang w:val="ro-RO"/>
        </w:rPr>
        <w:t>48</w:t>
      </w:r>
      <w:r w:rsidRPr="00CE2EEE">
        <w:rPr>
          <w:rFonts w:ascii="Trebuchet MS" w:hAnsi="Trebuchet MS" w:cs="Arial"/>
          <w:color w:val="000000" w:themeColor="text1"/>
          <w:lang w:val="ro-RO"/>
        </w:rPr>
        <w:t xml:space="preserve"> obiective de investiții noi. </w:t>
      </w:r>
    </w:p>
    <w:p w:rsidR="0014303D" w:rsidRDefault="0014303D" w:rsidP="00561EA2">
      <w:pPr>
        <w:spacing w:line="360" w:lineRule="auto"/>
        <w:ind w:firstLine="633"/>
        <w:jc w:val="both"/>
        <w:rPr>
          <w:rFonts w:ascii="Trebuchet MS" w:hAnsi="Trebuchet MS" w:cs="Arial"/>
          <w:color w:val="000000" w:themeColor="text1"/>
          <w:lang w:val="ro-RO"/>
        </w:rPr>
      </w:pPr>
    </w:p>
    <w:p w:rsidR="00561EA2" w:rsidRPr="0014303D" w:rsidRDefault="00561EA2" w:rsidP="00561EA2">
      <w:pPr>
        <w:spacing w:line="360" w:lineRule="auto"/>
        <w:ind w:firstLine="633"/>
        <w:jc w:val="both"/>
        <w:rPr>
          <w:rFonts w:ascii="Trebuchet MS" w:hAnsi="Trebuchet MS" w:cs="Arial"/>
          <w:color w:val="000000" w:themeColor="text1"/>
          <w:lang w:val="ro-RO"/>
        </w:rPr>
      </w:pPr>
      <w:r w:rsidRPr="0014303D">
        <w:rPr>
          <w:rFonts w:ascii="Trebuchet MS" w:hAnsi="Trebuchet MS" w:cs="Arial"/>
          <w:color w:val="000000" w:themeColor="text1"/>
          <w:lang w:val="ro-RO"/>
        </w:rPr>
        <w:t xml:space="preserve">Prezentăm mai jos situația cheltuielilor de investiții structurate pe categorii de investiții potrivit programelor de </w:t>
      </w:r>
      <w:proofErr w:type="spellStart"/>
      <w:r w:rsidRPr="0014303D">
        <w:rPr>
          <w:rFonts w:ascii="Trebuchet MS" w:hAnsi="Trebuchet MS" w:cs="Arial"/>
          <w:color w:val="000000" w:themeColor="text1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color w:val="000000" w:themeColor="text1"/>
          <w:lang w:val="ro-RO"/>
        </w:rPr>
        <w:t xml:space="preserve"> publice aprobate pe anul </w:t>
      </w:r>
      <w:r w:rsidR="00403723" w:rsidRPr="0014303D">
        <w:rPr>
          <w:rFonts w:ascii="Trebuchet MS" w:hAnsi="Trebuchet MS" w:cs="Arial"/>
          <w:color w:val="000000" w:themeColor="text1"/>
          <w:lang w:val="ro-RO"/>
        </w:rPr>
        <w:t>202</w:t>
      </w:r>
      <w:r w:rsidR="0014303D">
        <w:rPr>
          <w:rFonts w:ascii="Trebuchet MS" w:hAnsi="Trebuchet MS" w:cs="Arial"/>
          <w:color w:val="000000" w:themeColor="text1"/>
          <w:lang w:val="ro-RO"/>
        </w:rPr>
        <w:t>2</w:t>
      </w:r>
      <w:r w:rsidRPr="0014303D">
        <w:rPr>
          <w:rFonts w:ascii="Trebuchet MS" w:hAnsi="Trebuchet MS" w:cs="Arial"/>
          <w:color w:val="000000" w:themeColor="text1"/>
          <w:lang w:val="ro-RO"/>
        </w:rPr>
        <w:t xml:space="preserve"> ca anexă la bugetele ordonatorilor principali de credite ai bugetului de stat (</w:t>
      </w:r>
      <w:r w:rsidR="00B37659" w:rsidRPr="0014303D">
        <w:rPr>
          <w:rFonts w:ascii="Trebuchet MS" w:hAnsi="Trebuchet MS" w:cs="Arial"/>
          <w:color w:val="000000" w:themeColor="text1"/>
          <w:lang w:val="ro-RO"/>
        </w:rPr>
        <w:t xml:space="preserve">Conform </w:t>
      </w:r>
      <w:r w:rsidR="00A66809" w:rsidRPr="0014303D">
        <w:rPr>
          <w:rFonts w:ascii="Trebuchet MS" w:hAnsi="Trebuchet MS" w:cs="Arial"/>
          <w:color w:val="000000" w:themeColor="text1"/>
          <w:lang w:val="ro-RO"/>
        </w:rPr>
        <w:t xml:space="preserve">rapoartelor de monitorizare transmise de  ordonatorii </w:t>
      </w:r>
      <w:r w:rsidR="00B37659" w:rsidRPr="0014303D">
        <w:rPr>
          <w:rFonts w:ascii="Trebuchet MS" w:hAnsi="Trebuchet MS" w:cs="Arial"/>
          <w:color w:val="000000" w:themeColor="text1"/>
          <w:lang w:val="ro-RO"/>
        </w:rPr>
        <w:t xml:space="preserve">principali de credite </w:t>
      </w:r>
      <w:r w:rsidR="00755D87" w:rsidRPr="0014303D">
        <w:rPr>
          <w:rFonts w:ascii="Trebuchet MS" w:hAnsi="Trebuchet MS" w:cs="Arial"/>
          <w:color w:val="000000" w:themeColor="text1"/>
          <w:lang w:val="ro-RO"/>
        </w:rPr>
        <w:t xml:space="preserve">la data de 31 martie </w:t>
      </w:r>
      <w:r w:rsidR="00403723" w:rsidRPr="0014303D">
        <w:rPr>
          <w:rFonts w:ascii="Trebuchet MS" w:hAnsi="Trebuchet MS" w:cs="Arial"/>
          <w:color w:val="000000" w:themeColor="text1"/>
          <w:lang w:val="ro-RO"/>
        </w:rPr>
        <w:t>202</w:t>
      </w:r>
      <w:r w:rsidR="0014303D">
        <w:rPr>
          <w:rFonts w:ascii="Trebuchet MS" w:hAnsi="Trebuchet MS" w:cs="Arial"/>
          <w:color w:val="000000" w:themeColor="text1"/>
          <w:lang w:val="ro-RO"/>
        </w:rPr>
        <w:t>2</w:t>
      </w:r>
      <w:r w:rsidRPr="0014303D">
        <w:rPr>
          <w:rFonts w:ascii="Trebuchet MS" w:hAnsi="Trebuchet MS" w:cs="Arial"/>
          <w:color w:val="000000" w:themeColor="text1"/>
          <w:lang w:val="ro-RO"/>
        </w:rPr>
        <w:t>).</w:t>
      </w:r>
    </w:p>
    <w:p w:rsidR="00561EA2" w:rsidRPr="0014303D" w:rsidRDefault="00561EA2" w:rsidP="00561EA2">
      <w:pPr>
        <w:spacing w:line="360" w:lineRule="auto"/>
        <w:jc w:val="both"/>
        <w:rPr>
          <w:rFonts w:ascii="Trebuchet MS" w:hAnsi="Trebuchet MS" w:cs="Arial"/>
          <w:lang w:val="ro-RO"/>
        </w:rPr>
      </w:pPr>
    </w:p>
    <w:p w:rsidR="00561EA2" w:rsidRPr="0014303D" w:rsidRDefault="00561EA2" w:rsidP="00561EA2">
      <w:pPr>
        <w:spacing w:line="360" w:lineRule="auto"/>
        <w:jc w:val="both"/>
        <w:rPr>
          <w:rFonts w:ascii="Trebuchet MS" w:hAnsi="Trebuchet MS" w:cs="Arial"/>
          <w:lang w:val="ro-RO"/>
        </w:rPr>
      </w:pPr>
    </w:p>
    <w:p w:rsidR="00561EA2" w:rsidRPr="0014303D" w:rsidRDefault="00561EA2" w:rsidP="00561EA2">
      <w:pPr>
        <w:spacing w:line="360" w:lineRule="auto"/>
        <w:jc w:val="both"/>
        <w:rPr>
          <w:rFonts w:ascii="Trebuchet MS" w:hAnsi="Trebuchet MS" w:cs="Arial"/>
          <w:b/>
          <w:lang w:val="ro-RO"/>
        </w:rPr>
        <w:sectPr w:rsidR="00561EA2" w:rsidRPr="0014303D" w:rsidSect="001B55F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312" w:right="1416" w:bottom="284" w:left="697" w:header="578" w:footer="578" w:gutter="0"/>
          <w:cols w:space="708"/>
          <w:docGrid w:linePitch="360"/>
        </w:sectPr>
      </w:pPr>
    </w:p>
    <w:p w:rsidR="00E675B8" w:rsidRPr="0014303D" w:rsidRDefault="00E675B8" w:rsidP="00E675B8">
      <w:pPr>
        <w:spacing w:line="360" w:lineRule="auto"/>
        <w:ind w:firstLine="633"/>
        <w:jc w:val="both"/>
        <w:rPr>
          <w:rFonts w:ascii="Trebuchet MS" w:hAnsi="Trebuchet MS" w:cs="Arial"/>
          <w:lang w:val="ro-RO"/>
        </w:rPr>
      </w:pPr>
    </w:p>
    <w:p w:rsidR="00E675B8" w:rsidRPr="0014303D" w:rsidRDefault="00E675B8" w:rsidP="00E675B8">
      <w:pPr>
        <w:ind w:firstLine="720"/>
        <w:jc w:val="center"/>
        <w:rPr>
          <w:rFonts w:ascii="Trebuchet MS" w:hAnsi="Trebuchet MS" w:cs="Arial"/>
          <w:sz w:val="20"/>
          <w:szCs w:val="20"/>
          <w:lang w:val="ro-RO"/>
        </w:rPr>
      </w:pPr>
      <w:r w:rsidRPr="0014303D">
        <w:rPr>
          <w:rFonts w:ascii="Trebuchet MS" w:hAnsi="Trebuchet MS" w:cs="Arial"/>
          <w:sz w:val="20"/>
          <w:szCs w:val="20"/>
          <w:lang w:val="ro-RO"/>
        </w:rPr>
        <w:t xml:space="preserve">Structura programului de </w:t>
      </w:r>
      <w:proofErr w:type="spellStart"/>
      <w:r w:rsidRPr="0014303D">
        <w:rPr>
          <w:rFonts w:ascii="Trebuchet MS" w:hAnsi="Trebuchet MS" w:cs="Arial"/>
          <w:sz w:val="20"/>
          <w:szCs w:val="20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sz w:val="20"/>
          <w:szCs w:val="20"/>
          <w:lang w:val="ro-RO"/>
        </w:rPr>
        <w:t xml:space="preserve"> publice </w:t>
      </w:r>
    </w:p>
    <w:p w:rsidR="00E675B8" w:rsidRPr="0014303D" w:rsidRDefault="00E675B8" w:rsidP="00E675B8">
      <w:pPr>
        <w:ind w:firstLine="720"/>
        <w:jc w:val="center"/>
        <w:rPr>
          <w:rFonts w:ascii="Trebuchet MS" w:hAnsi="Trebuchet MS" w:cs="Arial"/>
          <w:sz w:val="20"/>
          <w:szCs w:val="20"/>
          <w:lang w:val="ro-RO"/>
        </w:rPr>
      </w:pPr>
    </w:p>
    <w:p w:rsidR="00E675B8" w:rsidRPr="0014303D" w:rsidRDefault="00E675B8" w:rsidP="00E675B8">
      <w:pPr>
        <w:ind w:firstLine="720"/>
        <w:jc w:val="center"/>
        <w:rPr>
          <w:rFonts w:ascii="Trebuchet MS" w:hAnsi="Trebuchet MS" w:cs="Arial"/>
          <w:sz w:val="16"/>
          <w:szCs w:val="16"/>
          <w:lang w:val="ro-RO"/>
        </w:rPr>
      </w:pPr>
      <w:r w:rsidRPr="0014303D">
        <w:rPr>
          <w:rFonts w:ascii="Trebuchet MS" w:hAnsi="Trebuchet MS" w:cs="Arial"/>
          <w:sz w:val="20"/>
          <w:szCs w:val="20"/>
          <w:lang w:val="ro-RO"/>
        </w:rPr>
        <w:t>aprobat pe anul 202</w:t>
      </w:r>
      <w:r w:rsidR="0054289C">
        <w:rPr>
          <w:rFonts w:ascii="Trebuchet MS" w:hAnsi="Trebuchet MS" w:cs="Arial"/>
          <w:sz w:val="20"/>
          <w:szCs w:val="20"/>
          <w:lang w:val="ro-RO"/>
        </w:rPr>
        <w:t>2</w:t>
      </w:r>
      <w:r w:rsidRPr="0014303D">
        <w:rPr>
          <w:rFonts w:ascii="Trebuchet MS" w:hAnsi="Trebuchet MS" w:cs="Arial"/>
          <w:sz w:val="20"/>
          <w:szCs w:val="20"/>
          <w:lang w:val="ro-RO"/>
        </w:rPr>
        <w:t xml:space="preserve"> ca anexă la bugetele ordonatorilor principali de credite ai bugetului de stat </w:t>
      </w:r>
    </w:p>
    <w:p w:rsidR="00E675B8" w:rsidRPr="0014303D" w:rsidRDefault="00E675B8" w:rsidP="00E675B8">
      <w:pPr>
        <w:jc w:val="both"/>
        <w:rPr>
          <w:rFonts w:ascii="Trebuchet MS" w:hAnsi="Trebuchet MS" w:cs="Arial"/>
          <w:sz w:val="16"/>
          <w:szCs w:val="16"/>
          <w:lang w:val="ro-RO"/>
        </w:rPr>
      </w:pP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  <w:t xml:space="preserve">               milioane lei</w:t>
      </w:r>
    </w:p>
    <w:p w:rsidR="00E675B8" w:rsidRPr="0014303D" w:rsidRDefault="00E675B8" w:rsidP="00E675B8">
      <w:pPr>
        <w:jc w:val="both"/>
        <w:rPr>
          <w:rFonts w:ascii="Trebuchet MS" w:hAnsi="Trebuchet MS" w:cs="Arial"/>
          <w:sz w:val="16"/>
          <w:szCs w:val="16"/>
          <w:lang w:val="ro-RO"/>
        </w:rPr>
      </w:pPr>
    </w:p>
    <w:bookmarkStart w:id="1" w:name="_MON_1676200425"/>
    <w:bookmarkEnd w:id="1"/>
    <w:p w:rsidR="00E675B8" w:rsidRPr="0014303D" w:rsidRDefault="00D64D70" w:rsidP="00E675B8">
      <w:pPr>
        <w:ind w:firstLine="360"/>
        <w:jc w:val="both"/>
        <w:rPr>
          <w:rFonts w:ascii="Trebuchet MS" w:hAnsi="Trebuchet MS" w:cs="Arial"/>
          <w:sz w:val="16"/>
          <w:szCs w:val="16"/>
          <w:lang w:val="ro-RO"/>
        </w:rPr>
      </w:pPr>
      <w:r w:rsidRPr="0014303D">
        <w:rPr>
          <w:rFonts w:ascii="Trebuchet MS" w:hAnsi="Trebuchet MS"/>
          <w:lang w:val="ro-RO"/>
        </w:rPr>
        <w:object w:dxaOrig="13683" w:dyaOrig="4605">
          <v:shape id="_x0000_i1026" type="#_x0000_t75" style="width:783.75pt;height:309.75pt" o:ole="" filled="t">
            <v:fill color2="black"/>
            <v:imagedata r:id="rId22" o:title=""/>
          </v:shape>
          <o:OLEObject Type="Embed" ProgID="Excel.Sheet.8" ShapeID="_x0000_i1026" DrawAspect="Content" ObjectID="_1715145238" r:id="rId23"/>
        </w:object>
      </w:r>
    </w:p>
    <w:p w:rsidR="0050130C" w:rsidRPr="0014303D" w:rsidRDefault="0050130C" w:rsidP="0050130C">
      <w:pPr>
        <w:ind w:firstLine="720"/>
        <w:jc w:val="both"/>
        <w:rPr>
          <w:rFonts w:ascii="Trebuchet MS" w:hAnsi="Trebuchet MS" w:cs="Arial"/>
          <w:sz w:val="16"/>
          <w:szCs w:val="16"/>
          <w:lang w:val="ro-RO"/>
        </w:rPr>
      </w:pPr>
      <w:r w:rsidRPr="0014303D">
        <w:rPr>
          <w:rFonts w:ascii="Trebuchet MS" w:hAnsi="Trebuchet MS" w:cs="Arial"/>
          <w:sz w:val="16"/>
          <w:szCs w:val="16"/>
          <w:lang w:val="ro-RO"/>
        </w:rPr>
        <w:t>Notă:</w:t>
      </w:r>
      <w:r w:rsidRPr="0014303D">
        <w:rPr>
          <w:rFonts w:ascii="Trebuchet MS" w:hAnsi="Trebuchet MS" w:cs="Arial"/>
          <w:sz w:val="16"/>
          <w:szCs w:val="16"/>
          <w:lang w:val="ro-RO"/>
        </w:rPr>
        <w:tab/>
        <w:t xml:space="preserve">*) Acesta reprezintă numărul obiectivelor de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noi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şi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în continuare care pot fi identificate distinct. De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menţionat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că, în baza Legii nr. 157/ 2007, ordonatorii principali de credite din cadrul sectorului special (apărare, ordine publică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şi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siguranţă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naţională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) nu prezintă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fişe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distincte pentru obiectivele de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sau nu completează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fişele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de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cu date caracteristice sau de identificare a proiectelor respective, aceste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informaţii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fiind clasificate de către ordonatorii principali respectivi.</w:t>
      </w:r>
    </w:p>
    <w:p w:rsidR="0050130C" w:rsidRPr="0014303D" w:rsidRDefault="0050130C" w:rsidP="0050130C">
      <w:pPr>
        <w:ind w:left="720" w:firstLine="720"/>
        <w:jc w:val="both"/>
        <w:rPr>
          <w:rFonts w:ascii="Trebuchet MS" w:hAnsi="Trebuchet MS" w:cs="Arial"/>
          <w:sz w:val="16"/>
          <w:szCs w:val="16"/>
          <w:lang w:val="ro-RO"/>
        </w:rPr>
      </w:pPr>
      <w:r w:rsidRPr="0014303D">
        <w:rPr>
          <w:rFonts w:ascii="Trebuchet MS" w:hAnsi="Trebuchet MS" w:cs="Arial"/>
          <w:sz w:val="16"/>
          <w:szCs w:val="16"/>
          <w:lang w:val="ro-RO"/>
        </w:rPr>
        <w:t>BS = Bugetul de Stat</w:t>
      </w:r>
    </w:p>
    <w:p w:rsidR="00E675B8" w:rsidRPr="0014303D" w:rsidRDefault="00E675B8" w:rsidP="000E4F55">
      <w:pPr>
        <w:ind w:left="720" w:firstLine="720"/>
        <w:jc w:val="both"/>
        <w:rPr>
          <w:rFonts w:ascii="Trebuchet MS" w:hAnsi="Trebuchet MS" w:cs="Arial"/>
          <w:sz w:val="16"/>
          <w:szCs w:val="16"/>
          <w:lang w:val="ro-RO"/>
        </w:rPr>
      </w:pPr>
    </w:p>
    <w:bookmarkStart w:id="2" w:name="_MON_1677570076"/>
    <w:bookmarkEnd w:id="2"/>
    <w:p w:rsidR="000E4F55" w:rsidRPr="0014303D" w:rsidRDefault="0054289C" w:rsidP="005F0F24">
      <w:pPr>
        <w:ind w:firstLine="851"/>
        <w:jc w:val="center"/>
        <w:rPr>
          <w:rFonts w:ascii="Trebuchet MS" w:hAnsi="Trebuchet MS"/>
          <w:lang w:val="ro-RO"/>
        </w:rPr>
      </w:pPr>
      <w:r w:rsidRPr="0014303D">
        <w:rPr>
          <w:rFonts w:ascii="Trebuchet MS" w:hAnsi="Trebuchet MS"/>
          <w:lang w:val="ro-RO"/>
        </w:rPr>
        <w:object w:dxaOrig="14099" w:dyaOrig="8192">
          <v:shape id="_x0000_i1027" type="#_x0000_t75" style="width:770.25pt;height:475.5pt" o:ole="" filled="t">
            <v:fill color2="black"/>
            <v:imagedata r:id="rId24" o:title=""/>
          </v:shape>
          <o:OLEObject Type="Embed" ProgID="Excel.Sheet.8" ShapeID="_x0000_i1027" DrawAspect="Content" ObjectID="_1715145239" r:id="rId25"/>
        </w:object>
      </w:r>
      <w:bookmarkStart w:id="3" w:name="_MON_1527440297"/>
      <w:bookmarkEnd w:id="3"/>
      <w:r w:rsidRPr="0014303D">
        <w:rPr>
          <w:rFonts w:ascii="Trebuchet MS" w:hAnsi="Trebuchet MS"/>
          <w:lang w:val="ro-RO"/>
        </w:rPr>
        <w:object w:dxaOrig="8979" w:dyaOrig="4973">
          <v:shape id="_x0000_i1028" type="#_x0000_t75" style="width:474.75pt;height:417.75pt" o:ole="" filled="t">
            <v:fill color2="black"/>
            <v:imagedata r:id="rId26" o:title=""/>
          </v:shape>
          <o:OLEObject Type="Embed" ProgID="Excel.Sheet.8" ShapeID="_x0000_i1028" DrawAspect="Content" ObjectID="_1715145240" r:id="rId27"/>
        </w:object>
      </w:r>
    </w:p>
    <w:p w:rsidR="000E4F55" w:rsidRPr="0014303D" w:rsidRDefault="000E4F55" w:rsidP="000E4F55">
      <w:pPr>
        <w:rPr>
          <w:rFonts w:ascii="Trebuchet MS" w:hAnsi="Trebuchet MS"/>
          <w:lang w:val="ro-RO"/>
        </w:rPr>
      </w:pPr>
    </w:p>
    <w:p w:rsidR="000E4F55" w:rsidRPr="0014303D" w:rsidRDefault="000E4F55" w:rsidP="009E3402">
      <w:pPr>
        <w:jc w:val="center"/>
        <w:rPr>
          <w:rFonts w:ascii="Trebuchet MS" w:hAnsi="Trebuchet MS"/>
          <w:lang w:val="ro-RO"/>
        </w:rPr>
        <w:sectPr w:rsidR="000E4F55" w:rsidRPr="0014303D" w:rsidSect="00114D0D">
          <w:pgSz w:w="16838" w:h="11906" w:orient="landscape"/>
          <w:pgMar w:top="567" w:right="312" w:bottom="1440" w:left="284" w:header="578" w:footer="578" w:gutter="0"/>
          <w:cols w:space="708"/>
          <w:docGrid w:linePitch="360"/>
        </w:sectPr>
      </w:pPr>
      <w:r w:rsidRPr="0014303D">
        <w:rPr>
          <w:rFonts w:ascii="Trebuchet MS" w:hAnsi="Trebuchet MS"/>
          <w:lang w:val="ro-RO"/>
        </w:rPr>
        <w:t xml:space="preserve">   </w:t>
      </w:r>
    </w:p>
    <w:p w:rsidR="000276EB" w:rsidRPr="006A1870" w:rsidRDefault="009E3402" w:rsidP="00BB31B4">
      <w:pPr>
        <w:spacing w:line="360" w:lineRule="auto"/>
        <w:jc w:val="both"/>
        <w:rPr>
          <w:rFonts w:ascii="Trebuchet MS" w:hAnsi="Trebuchet MS" w:cs="Arial"/>
          <w:color w:val="000000" w:themeColor="text1"/>
          <w:lang w:val="ro-RO"/>
        </w:rPr>
      </w:pPr>
      <w:r w:rsidRPr="0014303D">
        <w:rPr>
          <w:rFonts w:ascii="Trebuchet MS" w:hAnsi="Trebuchet MS" w:cs="Arial"/>
          <w:lang w:val="ro-RO"/>
        </w:rPr>
        <w:lastRenderedPageBreak/>
        <w:t xml:space="preserve"> </w:t>
      </w:r>
      <w:r w:rsidR="00BB31B4" w:rsidRPr="0014303D">
        <w:rPr>
          <w:rFonts w:ascii="Trebuchet MS" w:hAnsi="Trebuchet MS" w:cs="Arial"/>
          <w:lang w:val="ro-RO"/>
        </w:rPr>
        <w:tab/>
      </w:r>
      <w:r w:rsidR="00BB31B4" w:rsidRPr="006A1870">
        <w:rPr>
          <w:rFonts w:ascii="Trebuchet MS" w:hAnsi="Trebuchet MS" w:cs="Arial"/>
          <w:color w:val="000000" w:themeColor="text1"/>
          <w:lang w:val="ro-RO"/>
        </w:rPr>
        <w:t>R</w:t>
      </w:r>
      <w:r w:rsidR="000276EB" w:rsidRPr="006A1870">
        <w:rPr>
          <w:rFonts w:ascii="Trebuchet MS" w:hAnsi="Trebuchet MS" w:cs="Arial"/>
          <w:color w:val="000000" w:themeColor="text1"/>
          <w:lang w:val="ro-RO"/>
        </w:rPr>
        <w:t xml:space="preserve">eferitor la cheltuielile de </w:t>
      </w:r>
      <w:proofErr w:type="spellStart"/>
      <w:r w:rsidR="000276EB" w:rsidRPr="006A1870">
        <w:rPr>
          <w:rFonts w:ascii="Trebuchet MS" w:hAnsi="Trebuchet MS" w:cs="Arial"/>
          <w:color w:val="000000" w:themeColor="text1"/>
          <w:lang w:val="ro-RO"/>
        </w:rPr>
        <w:t>investiţii</w:t>
      </w:r>
      <w:proofErr w:type="spellEnd"/>
      <w:r w:rsidR="000276EB" w:rsidRPr="006A1870">
        <w:rPr>
          <w:rFonts w:ascii="Trebuchet MS" w:hAnsi="Trebuchet MS" w:cs="Arial"/>
          <w:color w:val="000000" w:themeColor="text1"/>
          <w:lang w:val="ro-RO"/>
        </w:rPr>
        <w:t xml:space="preserve"> </w:t>
      </w:r>
      <w:proofErr w:type="spellStart"/>
      <w:r w:rsidR="000276EB" w:rsidRPr="006A1870">
        <w:rPr>
          <w:rFonts w:ascii="Trebuchet MS" w:hAnsi="Trebuchet MS" w:cs="Arial"/>
          <w:color w:val="000000" w:themeColor="text1"/>
          <w:lang w:val="ro-RO"/>
        </w:rPr>
        <w:t>finanţate</w:t>
      </w:r>
      <w:proofErr w:type="spellEnd"/>
      <w:r w:rsidR="000276EB" w:rsidRPr="006A1870">
        <w:rPr>
          <w:rFonts w:ascii="Trebuchet MS" w:hAnsi="Trebuchet MS" w:cs="Arial"/>
          <w:color w:val="000000" w:themeColor="text1"/>
          <w:lang w:val="ro-RO"/>
        </w:rPr>
        <w:t xml:space="preserve"> de la </w:t>
      </w:r>
      <w:r w:rsidR="000276EB" w:rsidRPr="006A1870">
        <w:rPr>
          <w:rFonts w:ascii="Trebuchet MS" w:hAnsi="Trebuchet MS" w:cs="Arial"/>
          <w:i/>
          <w:color w:val="000000" w:themeColor="text1"/>
          <w:lang w:val="ro-RO"/>
        </w:rPr>
        <w:t>bugetul fondului național unic de asigurări sociale de sănătate, bugetul asigurărilor sociale de stat și bugetul asigurărilor pentru șomaj</w:t>
      </w:r>
      <w:r w:rsidR="000276EB" w:rsidRPr="006A1870">
        <w:rPr>
          <w:rFonts w:ascii="Trebuchet MS" w:hAnsi="Trebuchet MS" w:cs="Arial"/>
          <w:color w:val="000000" w:themeColor="text1"/>
          <w:lang w:val="ro-RO"/>
        </w:rPr>
        <w:t>, precizăm următoarele:</w:t>
      </w:r>
    </w:p>
    <w:p w:rsidR="000276EB" w:rsidRPr="006A1870" w:rsidRDefault="000276EB" w:rsidP="000276EB">
      <w:pPr>
        <w:spacing w:line="360" w:lineRule="auto"/>
        <w:ind w:firstLine="720"/>
        <w:jc w:val="both"/>
        <w:rPr>
          <w:rFonts w:ascii="Trebuchet MS" w:hAnsi="Trebuchet MS" w:cs="Arial"/>
          <w:color w:val="000000" w:themeColor="text1"/>
          <w:lang w:val="ro-RO"/>
        </w:rPr>
      </w:pPr>
      <w:r w:rsidRPr="006A1870">
        <w:rPr>
          <w:rFonts w:ascii="Trebuchet MS" w:hAnsi="Trebuchet MS" w:cs="Arial"/>
          <w:color w:val="000000" w:themeColor="text1"/>
          <w:lang w:val="ro-RO"/>
        </w:rPr>
        <w:t xml:space="preserve">Potrivit programului de investiții publice aprobat ca anexă la bugetul Casei Naționale de Asigurări de Sănătate prin </w:t>
      </w:r>
      <w:r w:rsidRPr="006A1870">
        <w:rPr>
          <w:rFonts w:ascii="Trebuchet MS" w:hAnsi="Trebuchet MS" w:cs="Arial"/>
          <w:i/>
          <w:color w:val="000000" w:themeColor="text1"/>
          <w:lang w:val="ro-RO"/>
        </w:rPr>
        <w:t xml:space="preserve">Legea nr. </w:t>
      </w:r>
      <w:r w:rsidR="006A1870" w:rsidRPr="006A1870">
        <w:rPr>
          <w:rFonts w:ascii="Trebuchet MS" w:hAnsi="Trebuchet MS" w:cs="Arial"/>
          <w:i/>
          <w:color w:val="000000" w:themeColor="text1"/>
          <w:lang w:val="ro-RO"/>
        </w:rPr>
        <w:t>317</w:t>
      </w:r>
      <w:r w:rsidR="002143C3" w:rsidRPr="006A1870">
        <w:rPr>
          <w:rFonts w:ascii="Trebuchet MS" w:hAnsi="Trebuchet MS" w:cs="Arial"/>
          <w:i/>
          <w:color w:val="000000" w:themeColor="text1"/>
          <w:lang w:val="ro-RO"/>
        </w:rPr>
        <w:t>/202</w:t>
      </w:r>
      <w:r w:rsidR="00834E77" w:rsidRPr="006A1870">
        <w:rPr>
          <w:rFonts w:ascii="Trebuchet MS" w:hAnsi="Trebuchet MS" w:cs="Arial"/>
          <w:i/>
          <w:color w:val="000000" w:themeColor="text1"/>
          <w:lang w:val="ro-RO"/>
        </w:rPr>
        <w:t>1</w:t>
      </w:r>
      <w:r w:rsidRPr="006A1870">
        <w:rPr>
          <w:rFonts w:ascii="Trebuchet MS" w:hAnsi="Trebuchet MS" w:cs="Arial"/>
          <w:i/>
          <w:color w:val="000000" w:themeColor="text1"/>
          <w:lang w:val="ro-RO"/>
        </w:rPr>
        <w:t xml:space="preserve"> </w:t>
      </w:r>
      <w:r w:rsidR="00C75DC2" w:rsidRPr="006A1870">
        <w:rPr>
          <w:rFonts w:ascii="Trebuchet MS" w:hAnsi="Trebuchet MS" w:cs="Arial"/>
          <w:i/>
          <w:color w:val="000000" w:themeColor="text1"/>
          <w:lang w:val="ro-RO"/>
        </w:rPr>
        <w:t>a bugetului de stat pe anul 20</w:t>
      </w:r>
      <w:r w:rsidR="002143C3" w:rsidRPr="006A1870">
        <w:rPr>
          <w:rFonts w:ascii="Trebuchet MS" w:hAnsi="Trebuchet MS" w:cs="Arial"/>
          <w:i/>
          <w:color w:val="000000" w:themeColor="text1"/>
          <w:lang w:val="ro-RO"/>
        </w:rPr>
        <w:t>2</w:t>
      </w:r>
      <w:r w:rsidR="006A1870" w:rsidRPr="006A1870">
        <w:rPr>
          <w:rFonts w:ascii="Trebuchet MS" w:hAnsi="Trebuchet MS" w:cs="Arial"/>
          <w:i/>
          <w:color w:val="000000" w:themeColor="text1"/>
          <w:lang w:val="ro-RO"/>
        </w:rPr>
        <w:t>2</w:t>
      </w:r>
      <w:r w:rsidR="00AF7F05" w:rsidRPr="006A1870">
        <w:rPr>
          <w:rFonts w:ascii="Trebuchet MS" w:hAnsi="Trebuchet MS" w:cs="Arial"/>
          <w:color w:val="000000" w:themeColor="text1"/>
          <w:lang w:val="ro-RO"/>
        </w:rPr>
        <w:t>,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 </w:t>
      </w:r>
      <w:r w:rsidR="00884448" w:rsidRPr="006A1870">
        <w:rPr>
          <w:rFonts w:ascii="Trebuchet MS" w:hAnsi="Trebuchet MS" w:cs="Arial"/>
          <w:color w:val="000000" w:themeColor="text1"/>
          <w:lang w:val="ro-RO"/>
        </w:rPr>
        <w:t xml:space="preserve">creditele bugetare 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alocate </w:t>
      </w:r>
      <w:r w:rsidR="006F14E6" w:rsidRPr="006A1870">
        <w:rPr>
          <w:rFonts w:ascii="Trebuchet MS" w:hAnsi="Trebuchet MS" w:cs="Arial"/>
          <w:color w:val="000000" w:themeColor="text1"/>
          <w:lang w:val="ro-RO"/>
        </w:rPr>
        <w:t>pentru cheltuielile de investiții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, actualizate la data de 31 </w:t>
      </w:r>
      <w:r w:rsidR="00834E77" w:rsidRPr="006A1870">
        <w:rPr>
          <w:rFonts w:ascii="Trebuchet MS" w:hAnsi="Trebuchet MS" w:cs="Arial"/>
          <w:color w:val="000000" w:themeColor="text1"/>
          <w:lang w:val="ro-RO"/>
        </w:rPr>
        <w:t>martie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 20</w:t>
      </w:r>
      <w:r w:rsidR="006A1870" w:rsidRPr="006A1870">
        <w:rPr>
          <w:rFonts w:ascii="Trebuchet MS" w:hAnsi="Trebuchet MS" w:cs="Arial"/>
          <w:color w:val="000000" w:themeColor="text1"/>
          <w:lang w:val="ro-RO"/>
        </w:rPr>
        <w:t>22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, </w:t>
      </w:r>
      <w:r w:rsidR="0060467B">
        <w:rPr>
          <w:rFonts w:ascii="Trebuchet MS" w:hAnsi="Trebuchet MS" w:cs="Arial"/>
          <w:color w:val="000000" w:themeColor="text1"/>
          <w:lang w:val="ro-RO"/>
        </w:rPr>
        <w:t>sunt</w:t>
      </w:r>
      <w:r w:rsidR="00884448" w:rsidRPr="006A1870">
        <w:rPr>
          <w:rFonts w:ascii="Trebuchet MS" w:hAnsi="Trebuchet MS" w:cs="Arial"/>
          <w:color w:val="000000" w:themeColor="text1"/>
          <w:lang w:val="ro-RO"/>
        </w:rPr>
        <w:t xml:space="preserve"> 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în sumă de </w:t>
      </w:r>
      <w:r w:rsidR="006A1870">
        <w:rPr>
          <w:rFonts w:ascii="Trebuchet MS" w:hAnsi="Trebuchet MS" w:cs="Arial"/>
          <w:color w:val="000000" w:themeColor="text1"/>
          <w:lang w:val="ro-RO"/>
        </w:rPr>
        <w:t>108</w:t>
      </w:r>
      <w:r w:rsidR="005E6016" w:rsidRPr="006A1870">
        <w:rPr>
          <w:rFonts w:ascii="Trebuchet MS" w:hAnsi="Trebuchet MS" w:cs="Arial"/>
          <w:color w:val="000000" w:themeColor="text1"/>
          <w:lang w:val="ro-RO"/>
        </w:rPr>
        <w:t xml:space="preserve"> milioane lei, 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 </w:t>
      </w:r>
      <w:r w:rsidR="004C63E8" w:rsidRPr="006A1870">
        <w:rPr>
          <w:rFonts w:ascii="Trebuchet MS" w:hAnsi="Trebuchet MS" w:cs="Arial"/>
          <w:color w:val="000000" w:themeColor="text1"/>
          <w:lang w:val="ro-RO"/>
        </w:rPr>
        <w:t>integral din</w:t>
      </w:r>
      <w:r w:rsidR="00DD01B6" w:rsidRPr="006A1870">
        <w:rPr>
          <w:rFonts w:ascii="Trebuchet MS" w:hAnsi="Trebuchet MS" w:cs="Arial"/>
          <w:color w:val="000000" w:themeColor="text1"/>
          <w:lang w:val="ro-RO"/>
        </w:rPr>
        <w:t xml:space="preserve"> bugetul Fondului național unic de asigurări sociale de sănătate (FNUASS)</w:t>
      </w:r>
      <w:r w:rsidR="004C63E8" w:rsidRPr="006A1870">
        <w:rPr>
          <w:rFonts w:ascii="Trebuchet MS" w:hAnsi="Trebuchet MS" w:cs="Arial"/>
          <w:color w:val="000000" w:themeColor="text1"/>
          <w:lang w:val="ro-RO"/>
        </w:rPr>
        <w:t xml:space="preserve">, </w:t>
      </w:r>
      <w:r w:rsidR="008C3259" w:rsidRPr="006A1870">
        <w:rPr>
          <w:rFonts w:ascii="Trebuchet MS" w:hAnsi="Trebuchet MS" w:cs="Arial"/>
          <w:color w:val="000000" w:themeColor="text1"/>
          <w:lang w:val="ro-RO"/>
        </w:rPr>
        <w:t>iar potrivit rapoartelor de monitorizare transmise de ordonatorul principal de credite</w:t>
      </w:r>
      <w:r w:rsidR="00DD01B6" w:rsidRPr="006A1870">
        <w:rPr>
          <w:rFonts w:ascii="Trebuchet MS" w:hAnsi="Trebuchet MS" w:cs="Arial"/>
          <w:color w:val="000000" w:themeColor="text1"/>
          <w:lang w:val="ro-RO"/>
        </w:rPr>
        <w:t xml:space="preserve"> 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s-au efectuat plăți în sumă de </w:t>
      </w:r>
      <w:r w:rsidR="006A1870">
        <w:rPr>
          <w:rFonts w:ascii="Trebuchet MS" w:hAnsi="Trebuchet MS" w:cs="Arial"/>
          <w:color w:val="000000" w:themeColor="text1"/>
          <w:lang w:val="ro-RO"/>
        </w:rPr>
        <w:t>0,14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 milioane lei, în timp ce în anul 20</w:t>
      </w:r>
      <w:r w:rsidR="006A1870">
        <w:rPr>
          <w:rFonts w:ascii="Trebuchet MS" w:hAnsi="Trebuchet MS" w:cs="Arial"/>
          <w:color w:val="000000" w:themeColor="text1"/>
          <w:lang w:val="ro-RO"/>
        </w:rPr>
        <w:t>21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 </w:t>
      </w:r>
      <w:r w:rsidR="006F14E6" w:rsidRPr="006A1870">
        <w:rPr>
          <w:rFonts w:ascii="Trebuchet MS" w:hAnsi="Trebuchet MS" w:cs="Arial"/>
          <w:color w:val="000000" w:themeColor="text1"/>
          <w:lang w:val="ro-RO"/>
        </w:rPr>
        <w:t xml:space="preserve">creditele bugetare alocate 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pentru cheltuielile de </w:t>
      </w:r>
      <w:proofErr w:type="spellStart"/>
      <w:r w:rsidRPr="006A1870">
        <w:rPr>
          <w:rFonts w:ascii="Trebuchet MS" w:hAnsi="Trebuchet MS" w:cs="Arial"/>
          <w:color w:val="000000" w:themeColor="text1"/>
          <w:lang w:val="ro-RO"/>
        </w:rPr>
        <w:t>investiţii</w:t>
      </w:r>
      <w:proofErr w:type="spellEnd"/>
      <w:r w:rsidRPr="006A1870">
        <w:rPr>
          <w:rFonts w:ascii="Trebuchet MS" w:hAnsi="Trebuchet MS" w:cs="Arial"/>
          <w:color w:val="000000" w:themeColor="text1"/>
          <w:lang w:val="ro-RO"/>
        </w:rPr>
        <w:t xml:space="preserve"> aprobate prin </w:t>
      </w:r>
      <w:r w:rsidR="00C75DC2" w:rsidRPr="006A1870">
        <w:rPr>
          <w:rFonts w:ascii="Trebuchet MS" w:hAnsi="Trebuchet MS" w:cs="Arial"/>
          <w:i/>
          <w:color w:val="000000" w:themeColor="text1"/>
          <w:lang w:val="ro-RO"/>
        </w:rPr>
        <w:t xml:space="preserve">Legea nr. </w:t>
      </w:r>
      <w:r w:rsidR="006A1870">
        <w:rPr>
          <w:rFonts w:ascii="Trebuchet MS" w:hAnsi="Trebuchet MS" w:cs="Arial"/>
          <w:i/>
          <w:color w:val="000000" w:themeColor="text1"/>
          <w:lang w:val="ro-RO"/>
        </w:rPr>
        <w:t>1</w:t>
      </w:r>
      <w:r w:rsidR="002143C3" w:rsidRPr="006A1870">
        <w:rPr>
          <w:rFonts w:ascii="Trebuchet MS" w:hAnsi="Trebuchet MS" w:cs="Arial"/>
          <w:i/>
          <w:color w:val="000000" w:themeColor="text1"/>
          <w:lang w:val="ro-RO"/>
        </w:rPr>
        <w:t>5</w:t>
      </w:r>
      <w:r w:rsidR="00224D92" w:rsidRPr="006A1870">
        <w:rPr>
          <w:rFonts w:ascii="Trebuchet MS" w:hAnsi="Trebuchet MS" w:cs="Arial"/>
          <w:i/>
          <w:color w:val="000000" w:themeColor="text1"/>
          <w:lang w:val="ro-RO"/>
        </w:rPr>
        <w:t>/20</w:t>
      </w:r>
      <w:r w:rsidR="004C63E8" w:rsidRPr="006A1870">
        <w:rPr>
          <w:rFonts w:ascii="Trebuchet MS" w:hAnsi="Trebuchet MS" w:cs="Arial"/>
          <w:i/>
          <w:color w:val="000000" w:themeColor="text1"/>
          <w:lang w:val="ro-RO"/>
        </w:rPr>
        <w:t>2</w:t>
      </w:r>
      <w:r w:rsidR="006A1870">
        <w:rPr>
          <w:rFonts w:ascii="Trebuchet MS" w:hAnsi="Trebuchet MS" w:cs="Arial"/>
          <w:i/>
          <w:color w:val="000000" w:themeColor="text1"/>
          <w:lang w:val="ro-RO"/>
        </w:rPr>
        <w:t>1</w:t>
      </w:r>
      <w:r w:rsidRPr="006A1870">
        <w:rPr>
          <w:rFonts w:ascii="Trebuchet MS" w:hAnsi="Trebuchet MS" w:cs="Arial"/>
          <w:i/>
          <w:color w:val="000000" w:themeColor="text1"/>
          <w:lang w:val="ro-RO"/>
        </w:rPr>
        <w:t xml:space="preserve"> privind bugetul de stat pe anul 20</w:t>
      </w:r>
      <w:r w:rsidR="006A1870">
        <w:rPr>
          <w:rFonts w:ascii="Trebuchet MS" w:hAnsi="Trebuchet MS" w:cs="Arial"/>
          <w:i/>
          <w:color w:val="000000" w:themeColor="text1"/>
          <w:lang w:val="ro-RO"/>
        </w:rPr>
        <w:t>21</w:t>
      </w:r>
      <w:r w:rsidR="00AF7F05" w:rsidRPr="006A1870">
        <w:rPr>
          <w:rFonts w:ascii="Trebuchet MS" w:hAnsi="Trebuchet MS" w:cs="Arial"/>
          <w:color w:val="000000" w:themeColor="text1"/>
          <w:lang w:val="ro-RO"/>
        </w:rPr>
        <w:t xml:space="preserve">, 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și actualizate la data de 31 </w:t>
      </w:r>
      <w:r w:rsidR="006A1870">
        <w:rPr>
          <w:rFonts w:ascii="Trebuchet MS" w:hAnsi="Trebuchet MS" w:cs="Arial"/>
          <w:color w:val="000000" w:themeColor="text1"/>
          <w:lang w:val="ro-RO"/>
        </w:rPr>
        <w:t>martie 2021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, au fost în sumă de </w:t>
      </w:r>
      <w:r w:rsidR="00A37173" w:rsidRPr="006A1870">
        <w:rPr>
          <w:rFonts w:ascii="Trebuchet MS" w:hAnsi="Trebuchet MS" w:cs="Arial"/>
          <w:color w:val="000000" w:themeColor="text1"/>
          <w:lang w:val="ro-RO"/>
        </w:rPr>
        <w:t>5,</w:t>
      </w:r>
      <w:r w:rsidR="006A1870">
        <w:rPr>
          <w:rFonts w:ascii="Trebuchet MS" w:hAnsi="Trebuchet MS" w:cs="Arial"/>
          <w:color w:val="000000" w:themeColor="text1"/>
          <w:lang w:val="ro-RO"/>
        </w:rPr>
        <w:t>08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 milioane lei, </w:t>
      </w:r>
      <w:r w:rsidR="006A1870" w:rsidRPr="006A1870">
        <w:rPr>
          <w:rFonts w:ascii="Trebuchet MS" w:hAnsi="Trebuchet MS" w:cs="Arial"/>
          <w:color w:val="000000" w:themeColor="text1"/>
          <w:lang w:val="ro-RO"/>
        </w:rPr>
        <w:t>integral din bugetul</w:t>
      </w:r>
      <w:r w:rsidR="004C63E8" w:rsidRPr="006A1870">
        <w:rPr>
          <w:rFonts w:ascii="Trebuchet MS" w:hAnsi="Trebuchet MS" w:cs="Arial"/>
          <w:color w:val="000000" w:themeColor="text1"/>
          <w:lang w:val="ro-RO"/>
        </w:rPr>
        <w:t xml:space="preserve"> Fondului național unic de asigurări sociale de sănătate (FNUASS)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, </w:t>
      </w:r>
      <w:r w:rsidR="004C63E8" w:rsidRPr="006A1870">
        <w:rPr>
          <w:rFonts w:ascii="Trebuchet MS" w:hAnsi="Trebuchet MS" w:cs="Arial"/>
          <w:color w:val="000000" w:themeColor="text1"/>
          <w:lang w:val="ro-RO"/>
        </w:rPr>
        <w:t>pentru care s-au efectuat plăți în sumă de 0,</w:t>
      </w:r>
      <w:r w:rsidR="00F648B8" w:rsidRPr="006A1870">
        <w:rPr>
          <w:rFonts w:ascii="Trebuchet MS" w:hAnsi="Trebuchet MS" w:cs="Arial"/>
          <w:color w:val="000000" w:themeColor="text1"/>
          <w:lang w:val="ro-RO"/>
        </w:rPr>
        <w:t>1</w:t>
      </w:r>
      <w:r w:rsidR="006A1870">
        <w:rPr>
          <w:rFonts w:ascii="Trebuchet MS" w:hAnsi="Trebuchet MS" w:cs="Arial"/>
          <w:color w:val="000000" w:themeColor="text1"/>
          <w:lang w:val="ro-RO"/>
        </w:rPr>
        <w:t>2</w:t>
      </w:r>
      <w:r w:rsidR="004C63E8" w:rsidRPr="006A1870">
        <w:rPr>
          <w:rFonts w:ascii="Trebuchet MS" w:hAnsi="Trebuchet MS" w:cs="Arial"/>
          <w:color w:val="000000" w:themeColor="text1"/>
          <w:lang w:val="ro-RO"/>
        </w:rPr>
        <w:t xml:space="preserve"> milioane lei</w:t>
      </w:r>
      <w:r w:rsidR="00284865" w:rsidRPr="006A1870">
        <w:rPr>
          <w:rFonts w:ascii="Trebuchet MS" w:hAnsi="Trebuchet MS" w:cs="Arial"/>
          <w:color w:val="000000" w:themeColor="text1"/>
          <w:lang w:val="ro-RO"/>
        </w:rPr>
        <w:t>.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 </w:t>
      </w:r>
    </w:p>
    <w:p w:rsidR="00F648B8" w:rsidRPr="0014303D" w:rsidRDefault="000276EB" w:rsidP="000276EB">
      <w:pPr>
        <w:autoSpaceDE w:val="0"/>
        <w:spacing w:line="360" w:lineRule="auto"/>
        <w:ind w:right="-46" w:firstLine="720"/>
        <w:jc w:val="both"/>
        <w:rPr>
          <w:rFonts w:ascii="Trebuchet MS" w:hAnsi="Trebuchet MS" w:cs="Arial"/>
          <w:lang w:val="ro-RO"/>
        </w:rPr>
      </w:pPr>
      <w:r w:rsidRPr="006A1870">
        <w:rPr>
          <w:rFonts w:ascii="Trebuchet MS" w:hAnsi="Trebuchet MS" w:cs="Arial"/>
          <w:color w:val="000000" w:themeColor="text1"/>
          <w:lang w:val="ro-RO"/>
        </w:rPr>
        <w:t xml:space="preserve">De asemenea, potrivit programului de investiții publice aprobat ca anexă la </w:t>
      </w:r>
      <w:r w:rsidR="006F14E6" w:rsidRPr="006A1870">
        <w:rPr>
          <w:rFonts w:ascii="Trebuchet MS" w:hAnsi="Trebuchet MS" w:cs="Arial"/>
          <w:color w:val="000000" w:themeColor="text1"/>
          <w:lang w:val="ro-RO"/>
        </w:rPr>
        <w:t xml:space="preserve">bugetul </w:t>
      </w:r>
      <w:r w:rsidR="006F14E6" w:rsidRPr="0014303D">
        <w:rPr>
          <w:rFonts w:ascii="Trebuchet MS" w:hAnsi="Trebuchet MS" w:cs="Arial"/>
          <w:lang w:val="ro-RO"/>
        </w:rPr>
        <w:t>Ministerului Muncii și Protecției</w:t>
      </w:r>
      <w:r w:rsidRPr="0014303D">
        <w:rPr>
          <w:rFonts w:ascii="Trebuchet MS" w:hAnsi="Trebuchet MS" w:cs="Arial"/>
          <w:lang w:val="ro-RO"/>
        </w:rPr>
        <w:t xml:space="preserve"> Sociale pentru Casa Națională de Pensii Publice, prin </w:t>
      </w:r>
      <w:r w:rsidRPr="0014303D">
        <w:rPr>
          <w:rFonts w:ascii="Trebuchet MS" w:hAnsi="Trebuchet MS" w:cs="Arial"/>
          <w:i/>
          <w:lang w:val="ro-RO"/>
        </w:rPr>
        <w:t xml:space="preserve">Legea nr. </w:t>
      </w:r>
      <w:r w:rsidR="006A1870">
        <w:rPr>
          <w:rFonts w:ascii="Trebuchet MS" w:hAnsi="Trebuchet MS" w:cs="Arial"/>
          <w:i/>
          <w:lang w:val="ro-RO"/>
        </w:rPr>
        <w:t>318</w:t>
      </w:r>
      <w:r w:rsidR="00224D92" w:rsidRPr="0014303D">
        <w:rPr>
          <w:rFonts w:ascii="Trebuchet MS" w:hAnsi="Trebuchet MS" w:cs="Arial"/>
          <w:i/>
          <w:lang w:val="ro-RO"/>
        </w:rPr>
        <w:t>/202</w:t>
      </w:r>
      <w:r w:rsidR="004C63E8" w:rsidRPr="0014303D">
        <w:rPr>
          <w:rFonts w:ascii="Trebuchet MS" w:hAnsi="Trebuchet MS" w:cs="Arial"/>
          <w:i/>
          <w:lang w:val="ro-RO"/>
        </w:rPr>
        <w:t>1</w:t>
      </w:r>
      <w:r w:rsidRPr="0014303D">
        <w:rPr>
          <w:rFonts w:ascii="Trebuchet MS" w:hAnsi="Trebuchet MS" w:cs="Arial"/>
          <w:i/>
          <w:lang w:val="ro-RO"/>
        </w:rPr>
        <w:t xml:space="preserve"> a bugetului asigurăr</w:t>
      </w:r>
      <w:r w:rsidR="00A37173" w:rsidRPr="0014303D">
        <w:rPr>
          <w:rFonts w:ascii="Trebuchet MS" w:hAnsi="Trebuchet MS" w:cs="Arial"/>
          <w:i/>
          <w:lang w:val="ro-RO"/>
        </w:rPr>
        <w:t>i</w:t>
      </w:r>
      <w:r w:rsidR="004C63E8" w:rsidRPr="0014303D">
        <w:rPr>
          <w:rFonts w:ascii="Trebuchet MS" w:hAnsi="Trebuchet MS" w:cs="Arial"/>
          <w:i/>
          <w:lang w:val="ro-RO"/>
        </w:rPr>
        <w:t>lor sociale de stat pe anul 202</w:t>
      </w:r>
      <w:r w:rsidR="006A1870">
        <w:rPr>
          <w:rFonts w:ascii="Trebuchet MS" w:hAnsi="Trebuchet MS" w:cs="Arial"/>
          <w:i/>
          <w:lang w:val="ro-RO"/>
        </w:rPr>
        <w:t>2</w:t>
      </w:r>
      <w:r w:rsidRPr="0014303D">
        <w:rPr>
          <w:rFonts w:ascii="Trebuchet MS" w:hAnsi="Trebuchet MS" w:cs="Arial"/>
          <w:lang w:val="ro-RO"/>
        </w:rPr>
        <w:t xml:space="preserve">, </w:t>
      </w:r>
      <w:r w:rsidR="00884448" w:rsidRPr="0014303D">
        <w:rPr>
          <w:rFonts w:ascii="Trebuchet MS" w:hAnsi="Trebuchet MS" w:cs="Arial"/>
          <w:lang w:val="ro-RO"/>
        </w:rPr>
        <w:t xml:space="preserve">creditele bugetare </w:t>
      </w:r>
      <w:r w:rsidRPr="0014303D">
        <w:rPr>
          <w:rFonts w:ascii="Trebuchet MS" w:hAnsi="Trebuchet MS" w:cs="Arial"/>
          <w:lang w:val="ro-RO"/>
        </w:rPr>
        <w:t xml:space="preserve">alocate pentru cheltuielile de investiții, actualizate la data de 31 </w:t>
      </w:r>
      <w:r w:rsidR="004C63E8" w:rsidRPr="0014303D">
        <w:rPr>
          <w:rFonts w:ascii="Trebuchet MS" w:hAnsi="Trebuchet MS" w:cs="Arial"/>
          <w:lang w:val="ro-RO"/>
        </w:rPr>
        <w:t>martie</w:t>
      </w:r>
      <w:r w:rsidRPr="0014303D">
        <w:rPr>
          <w:rFonts w:ascii="Trebuchet MS" w:hAnsi="Trebuchet MS" w:cs="Arial"/>
          <w:lang w:val="ro-RO"/>
        </w:rPr>
        <w:t xml:space="preserve"> 20</w:t>
      </w:r>
      <w:r w:rsidR="00A37173" w:rsidRPr="0014303D">
        <w:rPr>
          <w:rFonts w:ascii="Trebuchet MS" w:hAnsi="Trebuchet MS" w:cs="Arial"/>
          <w:lang w:val="ro-RO"/>
        </w:rPr>
        <w:t>2</w:t>
      </w:r>
      <w:r w:rsidR="006A1870">
        <w:rPr>
          <w:rFonts w:ascii="Trebuchet MS" w:hAnsi="Trebuchet MS" w:cs="Arial"/>
          <w:lang w:val="ro-RO"/>
        </w:rPr>
        <w:t>2</w:t>
      </w:r>
      <w:r w:rsidRPr="0014303D">
        <w:rPr>
          <w:rFonts w:ascii="Trebuchet MS" w:hAnsi="Trebuchet MS" w:cs="Arial"/>
          <w:lang w:val="ro-RO"/>
        </w:rPr>
        <w:t xml:space="preserve">, </w:t>
      </w:r>
      <w:r w:rsidR="0060467B">
        <w:rPr>
          <w:rFonts w:ascii="Trebuchet MS" w:hAnsi="Trebuchet MS" w:cs="Arial"/>
          <w:lang w:val="ro-RO"/>
        </w:rPr>
        <w:t>sunt</w:t>
      </w:r>
      <w:r w:rsidR="00884448" w:rsidRPr="0014303D">
        <w:rPr>
          <w:rFonts w:ascii="Trebuchet MS" w:hAnsi="Trebuchet MS" w:cs="Arial"/>
          <w:lang w:val="ro-RO"/>
        </w:rPr>
        <w:t xml:space="preserve"> </w:t>
      </w:r>
      <w:r w:rsidRPr="0014303D">
        <w:rPr>
          <w:rFonts w:ascii="Trebuchet MS" w:hAnsi="Trebuchet MS" w:cs="Arial"/>
          <w:lang w:val="ro-RO"/>
        </w:rPr>
        <w:t xml:space="preserve">în sumă de </w:t>
      </w:r>
      <w:r w:rsidR="006A1870">
        <w:rPr>
          <w:rFonts w:ascii="Trebuchet MS" w:hAnsi="Trebuchet MS" w:cs="Arial"/>
          <w:lang w:val="ro-RO"/>
        </w:rPr>
        <w:t>140</w:t>
      </w:r>
      <w:r w:rsidR="00726124" w:rsidRPr="0014303D">
        <w:rPr>
          <w:rFonts w:ascii="Trebuchet MS" w:hAnsi="Trebuchet MS" w:cs="Arial"/>
          <w:lang w:val="ro-RO"/>
        </w:rPr>
        <w:t xml:space="preserve"> milioane lei, </w:t>
      </w:r>
      <w:r w:rsidR="004C63E8" w:rsidRPr="0014303D">
        <w:rPr>
          <w:rFonts w:ascii="Trebuchet MS" w:hAnsi="Trebuchet MS" w:cs="Arial"/>
          <w:lang w:val="ro-RO"/>
        </w:rPr>
        <w:t>integral</w:t>
      </w:r>
      <w:r w:rsidR="00E57751" w:rsidRPr="0014303D">
        <w:rPr>
          <w:rFonts w:ascii="Trebuchet MS" w:hAnsi="Trebuchet MS" w:cs="Arial"/>
          <w:lang w:val="ro-RO"/>
        </w:rPr>
        <w:t xml:space="preserve"> de la bugetul </w:t>
      </w:r>
      <w:r w:rsidRPr="0014303D">
        <w:rPr>
          <w:rFonts w:ascii="Trebuchet MS" w:hAnsi="Trebuchet MS" w:cs="Arial"/>
          <w:lang w:val="ro-RO"/>
        </w:rPr>
        <w:t xml:space="preserve">asigurărilor sociale de stat, </w:t>
      </w:r>
      <w:r w:rsidR="008C3259" w:rsidRPr="0014303D">
        <w:rPr>
          <w:rFonts w:ascii="Trebuchet MS" w:hAnsi="Trebuchet MS" w:cs="Arial"/>
          <w:color w:val="000000"/>
          <w:lang w:val="ro-RO"/>
        </w:rPr>
        <w:t>iar potrivit rapoartelor de monitorizare transmise de ordonatorul principal de credite</w:t>
      </w:r>
      <w:r w:rsidR="008C3259" w:rsidRPr="0014303D">
        <w:rPr>
          <w:rFonts w:ascii="Trebuchet MS" w:hAnsi="Trebuchet MS" w:cs="Arial"/>
          <w:lang w:val="ro-RO"/>
        </w:rPr>
        <w:t xml:space="preserve"> </w:t>
      </w:r>
      <w:r w:rsidRPr="0014303D">
        <w:rPr>
          <w:rFonts w:ascii="Trebuchet MS" w:hAnsi="Trebuchet MS" w:cs="Arial"/>
          <w:lang w:val="ro-RO"/>
        </w:rPr>
        <w:t xml:space="preserve">s-au efectuat plăți în sumă de </w:t>
      </w:r>
      <w:r w:rsidR="006A1870">
        <w:rPr>
          <w:rFonts w:ascii="Trebuchet MS" w:hAnsi="Trebuchet MS" w:cs="Arial"/>
          <w:lang w:val="ro-RO"/>
        </w:rPr>
        <w:t>0,34</w:t>
      </w:r>
      <w:r w:rsidRPr="0014303D">
        <w:rPr>
          <w:rFonts w:ascii="Trebuchet MS" w:hAnsi="Trebuchet MS" w:cs="Arial"/>
          <w:lang w:val="ro-RO"/>
        </w:rPr>
        <w:t xml:space="preserve"> milioane lei</w:t>
      </w:r>
      <w:r w:rsidR="00E57751" w:rsidRPr="0014303D">
        <w:rPr>
          <w:rFonts w:ascii="Trebuchet MS" w:hAnsi="Trebuchet MS" w:cs="Arial"/>
          <w:lang w:val="ro-RO"/>
        </w:rPr>
        <w:t xml:space="preserve">, în </w:t>
      </w:r>
      <w:r w:rsidR="004C63E8" w:rsidRPr="0014303D">
        <w:rPr>
          <w:rFonts w:ascii="Trebuchet MS" w:hAnsi="Trebuchet MS" w:cs="Arial"/>
          <w:lang w:val="ro-RO"/>
        </w:rPr>
        <w:t>timp ce în anul 202</w:t>
      </w:r>
      <w:r w:rsidR="006A1870">
        <w:rPr>
          <w:rFonts w:ascii="Trebuchet MS" w:hAnsi="Trebuchet MS" w:cs="Arial"/>
          <w:lang w:val="ro-RO"/>
        </w:rPr>
        <w:t>1</w:t>
      </w:r>
      <w:r w:rsidR="00726124" w:rsidRPr="0014303D">
        <w:rPr>
          <w:rFonts w:ascii="Trebuchet MS" w:hAnsi="Trebuchet MS" w:cs="Arial"/>
          <w:lang w:val="ro-RO"/>
        </w:rPr>
        <w:t xml:space="preserve"> </w:t>
      </w:r>
      <w:r w:rsidR="006F14E6" w:rsidRPr="0014303D">
        <w:rPr>
          <w:rFonts w:ascii="Trebuchet MS" w:hAnsi="Trebuchet MS" w:cs="Arial"/>
          <w:lang w:val="ro-RO"/>
        </w:rPr>
        <w:t xml:space="preserve">creditele bugetare alocate </w:t>
      </w:r>
      <w:r w:rsidR="00726124" w:rsidRPr="0014303D">
        <w:rPr>
          <w:rFonts w:ascii="Trebuchet MS" w:hAnsi="Trebuchet MS" w:cs="Arial"/>
          <w:lang w:val="ro-RO"/>
        </w:rPr>
        <w:t xml:space="preserve">pentru cheltuielile de </w:t>
      </w:r>
      <w:proofErr w:type="spellStart"/>
      <w:r w:rsidR="00726124" w:rsidRPr="0014303D">
        <w:rPr>
          <w:rFonts w:ascii="Trebuchet MS" w:hAnsi="Trebuchet MS" w:cs="Arial"/>
          <w:lang w:val="ro-RO"/>
        </w:rPr>
        <w:t>investiţii</w:t>
      </w:r>
      <w:proofErr w:type="spellEnd"/>
      <w:r w:rsidR="00726124" w:rsidRPr="0014303D">
        <w:rPr>
          <w:rFonts w:ascii="Trebuchet MS" w:hAnsi="Trebuchet MS" w:cs="Arial"/>
          <w:lang w:val="ro-RO"/>
        </w:rPr>
        <w:t xml:space="preserve"> aprobate </w:t>
      </w:r>
      <w:r w:rsidR="00945FBE" w:rsidRPr="0014303D">
        <w:rPr>
          <w:rFonts w:ascii="Trebuchet MS" w:hAnsi="Trebuchet MS" w:cs="Arial"/>
          <w:lang w:val="ro-RO"/>
        </w:rPr>
        <w:t xml:space="preserve">prin </w:t>
      </w:r>
      <w:r w:rsidR="004C63E8" w:rsidRPr="0014303D">
        <w:rPr>
          <w:rFonts w:ascii="Trebuchet MS" w:hAnsi="Trebuchet MS" w:cs="Arial"/>
          <w:i/>
          <w:lang w:val="ro-RO"/>
        </w:rPr>
        <w:t xml:space="preserve">Legea nr. </w:t>
      </w:r>
      <w:r w:rsidR="006A1870">
        <w:rPr>
          <w:rFonts w:ascii="Trebuchet MS" w:hAnsi="Trebuchet MS" w:cs="Arial"/>
          <w:i/>
          <w:lang w:val="ro-RO"/>
        </w:rPr>
        <w:t>1</w:t>
      </w:r>
      <w:r w:rsidR="004C63E8" w:rsidRPr="0014303D">
        <w:rPr>
          <w:rFonts w:ascii="Trebuchet MS" w:hAnsi="Trebuchet MS" w:cs="Arial"/>
          <w:i/>
          <w:lang w:val="ro-RO"/>
        </w:rPr>
        <w:t>6/202</w:t>
      </w:r>
      <w:r w:rsidR="006A1870">
        <w:rPr>
          <w:rFonts w:ascii="Trebuchet MS" w:hAnsi="Trebuchet MS" w:cs="Arial"/>
          <w:i/>
          <w:lang w:val="ro-RO"/>
        </w:rPr>
        <w:t>1</w:t>
      </w:r>
      <w:r w:rsidR="004C63E8" w:rsidRPr="0014303D">
        <w:rPr>
          <w:rFonts w:ascii="Trebuchet MS" w:hAnsi="Trebuchet MS" w:cs="Arial"/>
          <w:i/>
          <w:lang w:val="ro-RO"/>
        </w:rPr>
        <w:t xml:space="preserve"> a bugetului asigurărilor sociale de stat pe anul 202</w:t>
      </w:r>
      <w:r w:rsidR="006A1870">
        <w:rPr>
          <w:rFonts w:ascii="Trebuchet MS" w:hAnsi="Trebuchet MS" w:cs="Arial"/>
          <w:i/>
          <w:lang w:val="ro-RO"/>
        </w:rPr>
        <w:t>1</w:t>
      </w:r>
      <w:r w:rsidR="004C63E8" w:rsidRPr="0014303D">
        <w:rPr>
          <w:rFonts w:ascii="Trebuchet MS" w:hAnsi="Trebuchet MS" w:cs="Arial"/>
          <w:lang w:val="ro-RO"/>
        </w:rPr>
        <w:t>, actualizate la data de 31 martie 202</w:t>
      </w:r>
      <w:r w:rsidR="006A1870">
        <w:rPr>
          <w:rFonts w:ascii="Trebuchet MS" w:hAnsi="Trebuchet MS" w:cs="Arial"/>
          <w:lang w:val="ro-RO"/>
        </w:rPr>
        <w:t>1</w:t>
      </w:r>
      <w:r w:rsidR="004C63E8" w:rsidRPr="0014303D">
        <w:rPr>
          <w:rFonts w:ascii="Trebuchet MS" w:hAnsi="Trebuchet MS" w:cs="Arial"/>
          <w:lang w:val="ro-RO"/>
        </w:rPr>
        <w:t xml:space="preserve">, au fost în sumă de </w:t>
      </w:r>
      <w:r w:rsidR="006A1870">
        <w:rPr>
          <w:rFonts w:ascii="Trebuchet MS" w:hAnsi="Trebuchet MS" w:cs="Arial"/>
          <w:lang w:val="ro-RO"/>
        </w:rPr>
        <w:t>16,96</w:t>
      </w:r>
      <w:r w:rsidR="004C63E8" w:rsidRPr="0014303D">
        <w:rPr>
          <w:rFonts w:ascii="Trebuchet MS" w:hAnsi="Trebuchet MS" w:cs="Arial"/>
          <w:lang w:val="ro-RO"/>
        </w:rPr>
        <w:t xml:space="preserve"> milioane lei, </w:t>
      </w:r>
      <w:r w:rsidR="006A1870">
        <w:rPr>
          <w:rFonts w:ascii="Trebuchet MS" w:hAnsi="Trebuchet MS" w:cs="Arial"/>
          <w:lang w:val="ro-RO"/>
        </w:rPr>
        <w:t xml:space="preserve">integral </w:t>
      </w:r>
      <w:r w:rsidR="004C63E8" w:rsidRPr="0014303D">
        <w:rPr>
          <w:rFonts w:ascii="Trebuchet MS" w:hAnsi="Trebuchet MS" w:cs="Arial"/>
          <w:lang w:val="ro-RO"/>
        </w:rPr>
        <w:t>de la bugetul asigurărilor sociale de</w:t>
      </w:r>
      <w:r w:rsidR="0060467B">
        <w:rPr>
          <w:rFonts w:ascii="Trebuchet MS" w:hAnsi="Trebuchet MS" w:cs="Arial"/>
          <w:lang w:val="ro-RO"/>
        </w:rPr>
        <w:t xml:space="preserve"> stat</w:t>
      </w:r>
      <w:r w:rsidR="00F648B8" w:rsidRPr="0014303D">
        <w:rPr>
          <w:rFonts w:ascii="Trebuchet MS" w:hAnsi="Trebuchet MS" w:cs="Arial"/>
          <w:lang w:val="ro-RO"/>
        </w:rPr>
        <w:t>,</w:t>
      </w:r>
      <w:r w:rsidR="00F648B8" w:rsidRPr="0014303D">
        <w:rPr>
          <w:rFonts w:ascii="Trebuchet MS" w:hAnsi="Trebuchet MS" w:cs="Arial"/>
          <w:color w:val="000000"/>
          <w:lang w:val="ro-RO"/>
        </w:rPr>
        <w:t xml:space="preserve"> iar potrivit rapoartelor de monitorizare transmise de ordonatorul principal de credite</w:t>
      </w:r>
      <w:r w:rsidR="00F648B8" w:rsidRPr="0014303D">
        <w:rPr>
          <w:rFonts w:ascii="Trebuchet MS" w:hAnsi="Trebuchet MS" w:cs="Arial"/>
          <w:lang w:val="ro-RO"/>
        </w:rPr>
        <w:t xml:space="preserve"> s-au efectuat plăți în sumă de </w:t>
      </w:r>
      <w:r w:rsidR="00A67AFB">
        <w:rPr>
          <w:rFonts w:ascii="Trebuchet MS" w:hAnsi="Trebuchet MS" w:cs="Arial"/>
          <w:lang w:val="ro-RO"/>
        </w:rPr>
        <w:t>0,94</w:t>
      </w:r>
      <w:r w:rsidR="00F648B8" w:rsidRPr="0014303D">
        <w:rPr>
          <w:rFonts w:ascii="Trebuchet MS" w:hAnsi="Trebuchet MS" w:cs="Arial"/>
          <w:lang w:val="ro-RO"/>
        </w:rPr>
        <w:t xml:space="preserve"> milioane lei, din bugetul asigurărilor sociale de stat.</w:t>
      </w:r>
    </w:p>
    <w:p w:rsidR="000276EB" w:rsidRPr="0014303D" w:rsidRDefault="000276EB" w:rsidP="000276EB">
      <w:pPr>
        <w:autoSpaceDE w:val="0"/>
        <w:spacing w:line="360" w:lineRule="auto"/>
        <w:ind w:right="-46" w:firstLine="720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 xml:space="preserve">Totodată, potrivit programului de investiții publice aprobat ca anexă la </w:t>
      </w:r>
      <w:r w:rsidR="006F14E6" w:rsidRPr="0014303D">
        <w:rPr>
          <w:rFonts w:ascii="Trebuchet MS" w:hAnsi="Trebuchet MS" w:cs="Arial"/>
          <w:lang w:val="ro-RO"/>
        </w:rPr>
        <w:t xml:space="preserve">bugetul Ministerului Muncii și Protecției </w:t>
      </w:r>
      <w:r w:rsidRPr="0014303D">
        <w:rPr>
          <w:rFonts w:ascii="Trebuchet MS" w:hAnsi="Trebuchet MS" w:cs="Arial"/>
          <w:lang w:val="ro-RO"/>
        </w:rPr>
        <w:t xml:space="preserve">Sociale pentru Agenția Națională pentru Ocuparea Forței de Muncă, </w:t>
      </w:r>
      <w:r w:rsidR="00284865" w:rsidRPr="0014303D">
        <w:rPr>
          <w:rFonts w:ascii="Trebuchet MS" w:hAnsi="Trebuchet MS" w:cs="Arial"/>
          <w:lang w:val="ro-RO"/>
        </w:rPr>
        <w:t xml:space="preserve">prin </w:t>
      </w:r>
      <w:r w:rsidR="00284865" w:rsidRPr="0014303D">
        <w:rPr>
          <w:rFonts w:ascii="Trebuchet MS" w:hAnsi="Trebuchet MS" w:cs="Arial"/>
          <w:i/>
          <w:lang w:val="ro-RO"/>
        </w:rPr>
        <w:t xml:space="preserve">Legea nr. </w:t>
      </w:r>
      <w:r w:rsidR="00A67AFB">
        <w:rPr>
          <w:rFonts w:ascii="Trebuchet MS" w:hAnsi="Trebuchet MS" w:cs="Arial"/>
          <w:i/>
          <w:lang w:val="ro-RO"/>
        </w:rPr>
        <w:t>318</w:t>
      </w:r>
      <w:r w:rsidR="00284865" w:rsidRPr="0014303D">
        <w:rPr>
          <w:rFonts w:ascii="Trebuchet MS" w:hAnsi="Trebuchet MS" w:cs="Arial"/>
          <w:i/>
          <w:lang w:val="ro-RO"/>
        </w:rPr>
        <w:t>/20</w:t>
      </w:r>
      <w:r w:rsidR="00D7566D" w:rsidRPr="0014303D">
        <w:rPr>
          <w:rFonts w:ascii="Trebuchet MS" w:hAnsi="Trebuchet MS" w:cs="Arial"/>
          <w:i/>
          <w:lang w:val="ro-RO"/>
        </w:rPr>
        <w:t>2</w:t>
      </w:r>
      <w:r w:rsidR="00755D87" w:rsidRPr="0014303D">
        <w:rPr>
          <w:rFonts w:ascii="Trebuchet MS" w:hAnsi="Trebuchet MS" w:cs="Arial"/>
          <w:i/>
          <w:lang w:val="ro-RO"/>
        </w:rPr>
        <w:t>1</w:t>
      </w:r>
      <w:r w:rsidR="00284865" w:rsidRPr="0014303D">
        <w:rPr>
          <w:rFonts w:ascii="Trebuchet MS" w:hAnsi="Trebuchet MS" w:cs="Arial"/>
          <w:i/>
          <w:lang w:val="ro-RO"/>
        </w:rPr>
        <w:t xml:space="preserve"> a bugetului asigurărilor sociale de stat pe anul 20</w:t>
      </w:r>
      <w:r w:rsidR="00A37173" w:rsidRPr="0014303D">
        <w:rPr>
          <w:rFonts w:ascii="Trebuchet MS" w:hAnsi="Trebuchet MS" w:cs="Arial"/>
          <w:i/>
          <w:lang w:val="ro-RO"/>
        </w:rPr>
        <w:t>2</w:t>
      </w:r>
      <w:r w:rsidR="00A67AFB">
        <w:rPr>
          <w:rFonts w:ascii="Trebuchet MS" w:hAnsi="Trebuchet MS" w:cs="Arial"/>
          <w:i/>
          <w:lang w:val="ro-RO"/>
        </w:rPr>
        <w:t>2</w:t>
      </w:r>
      <w:r w:rsidR="00284865" w:rsidRPr="0014303D">
        <w:rPr>
          <w:rFonts w:ascii="Trebuchet MS" w:hAnsi="Trebuchet MS" w:cs="Arial"/>
          <w:lang w:val="ro-RO"/>
        </w:rPr>
        <w:t xml:space="preserve">,  </w:t>
      </w:r>
      <w:r w:rsidR="00884448" w:rsidRPr="0014303D">
        <w:rPr>
          <w:rFonts w:ascii="Trebuchet MS" w:hAnsi="Trebuchet MS" w:cs="Arial"/>
          <w:lang w:val="ro-RO"/>
        </w:rPr>
        <w:t xml:space="preserve">creditele bugetare </w:t>
      </w:r>
      <w:r w:rsidRPr="0014303D">
        <w:rPr>
          <w:rFonts w:ascii="Trebuchet MS" w:hAnsi="Trebuchet MS" w:cs="Arial"/>
          <w:lang w:val="ro-RO"/>
        </w:rPr>
        <w:t>alocate pe</w:t>
      </w:r>
      <w:r w:rsidR="00284865" w:rsidRPr="0014303D">
        <w:rPr>
          <w:rFonts w:ascii="Trebuchet MS" w:hAnsi="Trebuchet MS" w:cs="Arial"/>
          <w:lang w:val="ro-RO"/>
        </w:rPr>
        <w:t>ntru cheltuielile de invest</w:t>
      </w:r>
      <w:r w:rsidR="00755D87" w:rsidRPr="0014303D">
        <w:rPr>
          <w:rFonts w:ascii="Trebuchet MS" w:hAnsi="Trebuchet MS" w:cs="Arial"/>
          <w:lang w:val="ro-RO"/>
        </w:rPr>
        <w:t xml:space="preserve">iții, actualizate la data de 31 martie </w:t>
      </w:r>
      <w:r w:rsidR="00284865" w:rsidRPr="0014303D">
        <w:rPr>
          <w:rFonts w:ascii="Trebuchet MS" w:hAnsi="Trebuchet MS" w:cs="Arial"/>
          <w:lang w:val="ro-RO"/>
        </w:rPr>
        <w:t>20</w:t>
      </w:r>
      <w:r w:rsidR="00A37173" w:rsidRPr="0014303D">
        <w:rPr>
          <w:rFonts w:ascii="Trebuchet MS" w:hAnsi="Trebuchet MS" w:cs="Arial"/>
          <w:lang w:val="ro-RO"/>
        </w:rPr>
        <w:t>2</w:t>
      </w:r>
      <w:r w:rsidR="00A67AFB">
        <w:rPr>
          <w:rFonts w:ascii="Trebuchet MS" w:hAnsi="Trebuchet MS" w:cs="Arial"/>
          <w:lang w:val="ro-RO"/>
        </w:rPr>
        <w:t>2</w:t>
      </w:r>
      <w:r w:rsidR="00284865" w:rsidRPr="0014303D">
        <w:rPr>
          <w:rFonts w:ascii="Trebuchet MS" w:hAnsi="Trebuchet MS" w:cs="Arial"/>
          <w:lang w:val="ro-RO"/>
        </w:rPr>
        <w:t>,</w:t>
      </w:r>
      <w:r w:rsidRPr="0014303D">
        <w:rPr>
          <w:rFonts w:ascii="Trebuchet MS" w:hAnsi="Trebuchet MS" w:cs="Arial"/>
          <w:lang w:val="ro-RO"/>
        </w:rPr>
        <w:t xml:space="preserve"> </w:t>
      </w:r>
      <w:r w:rsidR="0060467B">
        <w:rPr>
          <w:rFonts w:ascii="Trebuchet MS" w:hAnsi="Trebuchet MS" w:cs="Arial"/>
          <w:lang w:val="ro-RO"/>
        </w:rPr>
        <w:t>sunt</w:t>
      </w:r>
      <w:r w:rsidR="00884448" w:rsidRPr="0014303D">
        <w:rPr>
          <w:rFonts w:ascii="Trebuchet MS" w:hAnsi="Trebuchet MS" w:cs="Arial"/>
          <w:lang w:val="ro-RO"/>
        </w:rPr>
        <w:t xml:space="preserve"> </w:t>
      </w:r>
      <w:r w:rsidR="00284865" w:rsidRPr="0014303D">
        <w:rPr>
          <w:rFonts w:ascii="Trebuchet MS" w:hAnsi="Trebuchet MS" w:cs="Arial"/>
          <w:lang w:val="ro-RO"/>
        </w:rPr>
        <w:t xml:space="preserve">în sumă de </w:t>
      </w:r>
      <w:r w:rsidR="00A67AFB">
        <w:rPr>
          <w:rFonts w:ascii="Trebuchet MS" w:hAnsi="Trebuchet MS" w:cs="Arial"/>
          <w:lang w:val="ro-RO"/>
        </w:rPr>
        <w:t>3,66</w:t>
      </w:r>
      <w:r w:rsidRPr="0014303D">
        <w:rPr>
          <w:rFonts w:ascii="Trebuchet MS" w:hAnsi="Trebuchet MS" w:cs="Arial"/>
          <w:lang w:val="ro-RO"/>
        </w:rPr>
        <w:t xml:space="preserve"> milioane lei, </w:t>
      </w:r>
      <w:r w:rsidR="00E57751" w:rsidRPr="0014303D">
        <w:rPr>
          <w:rFonts w:ascii="Trebuchet MS" w:hAnsi="Trebuchet MS" w:cs="Arial"/>
          <w:lang w:val="ro-RO"/>
        </w:rPr>
        <w:t xml:space="preserve">din care fondurile alocate de la </w:t>
      </w:r>
      <w:r w:rsidRPr="0014303D">
        <w:rPr>
          <w:rFonts w:ascii="Trebuchet MS" w:hAnsi="Trebuchet MS" w:cs="Arial"/>
          <w:lang w:val="ro-RO"/>
        </w:rPr>
        <w:t>bugetul asigurărilor pentru șomaj</w:t>
      </w:r>
      <w:r w:rsidR="00E57751" w:rsidRPr="0014303D">
        <w:rPr>
          <w:rFonts w:ascii="Trebuchet MS" w:hAnsi="Trebuchet MS" w:cs="Arial"/>
          <w:lang w:val="ro-RO"/>
        </w:rPr>
        <w:t xml:space="preserve"> sunt în sumă de </w:t>
      </w:r>
      <w:r w:rsidR="00755D87" w:rsidRPr="0014303D">
        <w:rPr>
          <w:rFonts w:ascii="Trebuchet MS" w:hAnsi="Trebuchet MS" w:cs="Arial"/>
          <w:lang w:val="ro-RO"/>
        </w:rPr>
        <w:t>3,</w:t>
      </w:r>
      <w:r w:rsidR="00A67AFB">
        <w:rPr>
          <w:rFonts w:ascii="Trebuchet MS" w:hAnsi="Trebuchet MS" w:cs="Arial"/>
          <w:lang w:val="ro-RO"/>
        </w:rPr>
        <w:t>44</w:t>
      </w:r>
      <w:r w:rsidR="00E57751" w:rsidRPr="0014303D">
        <w:rPr>
          <w:rFonts w:ascii="Trebuchet MS" w:hAnsi="Trebuchet MS" w:cs="Arial"/>
          <w:lang w:val="ro-RO"/>
        </w:rPr>
        <w:t xml:space="preserve"> milioane lei</w:t>
      </w:r>
      <w:r w:rsidRPr="0014303D">
        <w:rPr>
          <w:rFonts w:ascii="Trebuchet MS" w:hAnsi="Trebuchet MS" w:cs="Arial"/>
          <w:lang w:val="ro-RO"/>
        </w:rPr>
        <w:t xml:space="preserve">, </w:t>
      </w:r>
      <w:r w:rsidR="008C3259" w:rsidRPr="0014303D">
        <w:rPr>
          <w:rFonts w:ascii="Trebuchet MS" w:hAnsi="Trebuchet MS" w:cs="Arial"/>
          <w:color w:val="000000"/>
          <w:lang w:val="ro-RO"/>
        </w:rPr>
        <w:t>iar potrivit rapoartelor de monitorizare transmise de ordonatorul principal de credite</w:t>
      </w:r>
      <w:r w:rsidR="008C3259" w:rsidRPr="0014303D">
        <w:rPr>
          <w:rFonts w:ascii="Trebuchet MS" w:hAnsi="Trebuchet MS" w:cs="Arial"/>
          <w:lang w:val="ro-RO"/>
        </w:rPr>
        <w:t xml:space="preserve"> </w:t>
      </w:r>
      <w:r w:rsidR="00A67AFB">
        <w:rPr>
          <w:rFonts w:ascii="Trebuchet MS" w:hAnsi="Trebuchet MS" w:cs="Arial"/>
          <w:lang w:val="ro-RO"/>
        </w:rPr>
        <w:t xml:space="preserve">nu </w:t>
      </w:r>
      <w:r w:rsidR="008C3259" w:rsidRPr="0014303D">
        <w:rPr>
          <w:rFonts w:ascii="Trebuchet MS" w:hAnsi="Trebuchet MS" w:cs="Arial"/>
          <w:lang w:val="ro-RO"/>
        </w:rPr>
        <w:t xml:space="preserve">s-au efectuat </w:t>
      </w:r>
      <w:r w:rsidR="00755D87" w:rsidRPr="0014303D">
        <w:rPr>
          <w:rFonts w:ascii="Trebuchet MS" w:hAnsi="Trebuchet MS" w:cs="Arial"/>
          <w:lang w:val="ro-RO"/>
        </w:rPr>
        <w:t>plăți</w:t>
      </w:r>
      <w:r w:rsidRPr="0014303D">
        <w:rPr>
          <w:rFonts w:ascii="Trebuchet MS" w:hAnsi="Trebuchet MS" w:cs="Arial"/>
          <w:lang w:val="ro-RO"/>
        </w:rPr>
        <w:t>,</w:t>
      </w:r>
      <w:r w:rsidR="00E57751" w:rsidRPr="0014303D">
        <w:rPr>
          <w:rFonts w:ascii="Trebuchet MS" w:hAnsi="Trebuchet MS" w:cs="Arial"/>
          <w:lang w:val="ro-RO"/>
        </w:rPr>
        <w:t xml:space="preserve"> în </w:t>
      </w:r>
      <w:r w:rsidR="00A67AFB">
        <w:rPr>
          <w:rFonts w:ascii="Trebuchet MS" w:hAnsi="Trebuchet MS" w:cs="Arial"/>
          <w:lang w:val="ro-RO"/>
        </w:rPr>
        <w:t>timp ce în anul 2021</w:t>
      </w:r>
      <w:r w:rsidR="00284865" w:rsidRPr="0014303D">
        <w:rPr>
          <w:rFonts w:ascii="Trebuchet MS" w:hAnsi="Trebuchet MS" w:cs="Arial"/>
          <w:lang w:val="ro-RO"/>
        </w:rPr>
        <w:t xml:space="preserve"> </w:t>
      </w:r>
      <w:r w:rsidR="006F14E6" w:rsidRPr="0014303D">
        <w:rPr>
          <w:rFonts w:ascii="Trebuchet MS" w:hAnsi="Trebuchet MS" w:cs="Arial"/>
          <w:lang w:val="ro-RO"/>
        </w:rPr>
        <w:t xml:space="preserve">creditele bugetare alocate </w:t>
      </w:r>
      <w:r w:rsidR="00284865" w:rsidRPr="0014303D">
        <w:rPr>
          <w:rFonts w:ascii="Trebuchet MS" w:hAnsi="Trebuchet MS" w:cs="Arial"/>
          <w:lang w:val="ro-RO"/>
        </w:rPr>
        <w:t xml:space="preserve">pentru cheltuielile de </w:t>
      </w:r>
      <w:proofErr w:type="spellStart"/>
      <w:r w:rsidR="00284865" w:rsidRPr="0014303D">
        <w:rPr>
          <w:rFonts w:ascii="Trebuchet MS" w:hAnsi="Trebuchet MS" w:cs="Arial"/>
          <w:lang w:val="ro-RO"/>
        </w:rPr>
        <w:t>investiţii</w:t>
      </w:r>
      <w:proofErr w:type="spellEnd"/>
      <w:r w:rsidR="00284865" w:rsidRPr="0014303D">
        <w:rPr>
          <w:rFonts w:ascii="Trebuchet MS" w:hAnsi="Trebuchet MS" w:cs="Arial"/>
          <w:lang w:val="ro-RO"/>
        </w:rPr>
        <w:t xml:space="preserve"> aprobate prin </w:t>
      </w:r>
      <w:r w:rsidR="00755D87" w:rsidRPr="0014303D">
        <w:rPr>
          <w:rFonts w:ascii="Trebuchet MS" w:hAnsi="Trebuchet MS" w:cs="Arial"/>
          <w:i/>
          <w:lang w:val="ro-RO"/>
        </w:rPr>
        <w:t xml:space="preserve">Legea nr. </w:t>
      </w:r>
      <w:r w:rsidR="00A67AFB">
        <w:rPr>
          <w:rFonts w:ascii="Trebuchet MS" w:hAnsi="Trebuchet MS" w:cs="Arial"/>
          <w:i/>
          <w:lang w:val="ro-RO"/>
        </w:rPr>
        <w:t>16/2021</w:t>
      </w:r>
      <w:r w:rsidR="00755D87" w:rsidRPr="0014303D">
        <w:rPr>
          <w:rFonts w:ascii="Trebuchet MS" w:hAnsi="Trebuchet MS" w:cs="Arial"/>
          <w:i/>
          <w:lang w:val="ro-RO"/>
        </w:rPr>
        <w:t xml:space="preserve"> a bugetului asigurărilor sociale de stat pe anul 202</w:t>
      </w:r>
      <w:r w:rsidR="00A67AFB">
        <w:rPr>
          <w:rFonts w:ascii="Trebuchet MS" w:hAnsi="Trebuchet MS" w:cs="Arial"/>
          <w:i/>
          <w:lang w:val="ro-RO"/>
        </w:rPr>
        <w:t>1</w:t>
      </w:r>
      <w:r w:rsidR="00755D87" w:rsidRPr="0014303D">
        <w:rPr>
          <w:rFonts w:ascii="Trebuchet MS" w:hAnsi="Trebuchet MS" w:cs="Arial"/>
          <w:lang w:val="ro-RO"/>
        </w:rPr>
        <w:t>, actualizate la data de 31 martie 202</w:t>
      </w:r>
      <w:r w:rsidR="00A67AFB">
        <w:rPr>
          <w:rFonts w:ascii="Trebuchet MS" w:hAnsi="Trebuchet MS" w:cs="Arial"/>
          <w:lang w:val="ro-RO"/>
        </w:rPr>
        <w:t>1</w:t>
      </w:r>
      <w:r w:rsidR="00755D87" w:rsidRPr="0014303D">
        <w:rPr>
          <w:rFonts w:ascii="Trebuchet MS" w:hAnsi="Trebuchet MS" w:cs="Arial"/>
          <w:lang w:val="ro-RO"/>
        </w:rPr>
        <w:t xml:space="preserve">, au fost în sumă de </w:t>
      </w:r>
      <w:r w:rsidR="00A67AFB">
        <w:rPr>
          <w:rFonts w:ascii="Trebuchet MS" w:hAnsi="Trebuchet MS" w:cs="Arial"/>
          <w:lang w:val="ro-RO"/>
        </w:rPr>
        <w:t>4</w:t>
      </w:r>
      <w:r w:rsidR="00755D87" w:rsidRPr="0014303D">
        <w:rPr>
          <w:rFonts w:ascii="Trebuchet MS" w:hAnsi="Trebuchet MS" w:cs="Arial"/>
          <w:lang w:val="ro-RO"/>
        </w:rPr>
        <w:t>,</w:t>
      </w:r>
      <w:r w:rsidR="00A67AFB">
        <w:rPr>
          <w:rFonts w:ascii="Trebuchet MS" w:hAnsi="Trebuchet MS" w:cs="Arial"/>
          <w:lang w:val="ro-RO"/>
        </w:rPr>
        <w:t>5</w:t>
      </w:r>
      <w:r w:rsidR="00755D87" w:rsidRPr="0014303D">
        <w:rPr>
          <w:rFonts w:ascii="Trebuchet MS" w:hAnsi="Trebuchet MS" w:cs="Arial"/>
          <w:lang w:val="ro-RO"/>
        </w:rPr>
        <w:t xml:space="preserve"> milioane lei, din care fondurile alocate de </w:t>
      </w:r>
      <w:r w:rsidR="00755D87" w:rsidRPr="0014303D">
        <w:rPr>
          <w:rFonts w:ascii="Trebuchet MS" w:hAnsi="Trebuchet MS" w:cs="Arial"/>
          <w:lang w:val="ro-RO"/>
        </w:rPr>
        <w:lastRenderedPageBreak/>
        <w:t xml:space="preserve">la bugetul asigurărilor pentru șomaj sunt în sumă de </w:t>
      </w:r>
      <w:r w:rsidR="00A67AFB">
        <w:rPr>
          <w:rFonts w:ascii="Trebuchet MS" w:hAnsi="Trebuchet MS" w:cs="Arial"/>
          <w:lang w:val="ro-RO"/>
        </w:rPr>
        <w:t>3,86</w:t>
      </w:r>
      <w:r w:rsidR="00755D87" w:rsidRPr="0014303D">
        <w:rPr>
          <w:rFonts w:ascii="Trebuchet MS" w:hAnsi="Trebuchet MS" w:cs="Arial"/>
          <w:lang w:val="ro-RO"/>
        </w:rPr>
        <w:t xml:space="preserve"> milioane lei, </w:t>
      </w:r>
      <w:r w:rsidR="00755D87" w:rsidRPr="0014303D">
        <w:rPr>
          <w:rFonts w:ascii="Trebuchet MS" w:hAnsi="Trebuchet MS" w:cs="Arial"/>
          <w:color w:val="000000"/>
          <w:lang w:val="ro-RO"/>
        </w:rPr>
        <w:t>iar potrivit rapoartelor de monitorizare transmise de ordonatorul principal de credite</w:t>
      </w:r>
      <w:r w:rsidR="00755D87" w:rsidRPr="0014303D">
        <w:rPr>
          <w:rFonts w:ascii="Trebuchet MS" w:hAnsi="Trebuchet MS" w:cs="Arial"/>
          <w:lang w:val="ro-RO"/>
        </w:rPr>
        <w:t xml:space="preserve"> </w:t>
      </w:r>
      <w:r w:rsidR="00647E78" w:rsidRPr="0014303D">
        <w:rPr>
          <w:rFonts w:ascii="Trebuchet MS" w:hAnsi="Trebuchet MS" w:cs="Arial"/>
          <w:lang w:val="ro-RO"/>
        </w:rPr>
        <w:t xml:space="preserve">s-au efectuat plăți în sumă de </w:t>
      </w:r>
      <w:r w:rsidR="00647E78">
        <w:rPr>
          <w:rFonts w:ascii="Trebuchet MS" w:hAnsi="Trebuchet MS" w:cs="Arial"/>
          <w:lang w:val="ro-RO"/>
        </w:rPr>
        <w:t>0,2</w:t>
      </w:r>
      <w:r w:rsidR="00647E78" w:rsidRPr="0014303D">
        <w:rPr>
          <w:rFonts w:ascii="Trebuchet MS" w:hAnsi="Trebuchet MS" w:cs="Arial"/>
          <w:lang w:val="ro-RO"/>
        </w:rPr>
        <w:t xml:space="preserve"> milioane lei, din bugetul</w:t>
      </w:r>
      <w:r w:rsidR="00647E78">
        <w:rPr>
          <w:rFonts w:ascii="Trebuchet MS" w:hAnsi="Trebuchet MS" w:cs="Arial"/>
          <w:lang w:val="ro-RO"/>
        </w:rPr>
        <w:t xml:space="preserve"> asigurărilor pentru șomaj</w:t>
      </w:r>
      <w:r w:rsidR="00755D87" w:rsidRPr="0014303D">
        <w:rPr>
          <w:rFonts w:ascii="Trebuchet MS" w:hAnsi="Trebuchet MS" w:cs="Arial"/>
          <w:lang w:val="ro-RO"/>
        </w:rPr>
        <w:t>.</w:t>
      </w:r>
    </w:p>
    <w:p w:rsidR="00354A5E" w:rsidRPr="0014303D" w:rsidRDefault="00354A5E" w:rsidP="00371155">
      <w:pPr>
        <w:autoSpaceDE w:val="0"/>
        <w:spacing w:line="360" w:lineRule="auto"/>
        <w:ind w:right="-46" w:firstLine="720"/>
        <w:jc w:val="both"/>
        <w:rPr>
          <w:rFonts w:ascii="Trebuchet MS" w:hAnsi="Trebuchet MS" w:cs="Arial"/>
          <w:lang w:val="ro-RO"/>
        </w:rPr>
      </w:pPr>
    </w:p>
    <w:p w:rsidR="00755D87" w:rsidRPr="0014303D" w:rsidRDefault="00755D87" w:rsidP="00755D87">
      <w:pPr>
        <w:pStyle w:val="DefaultText"/>
        <w:spacing w:line="360" w:lineRule="auto"/>
        <w:ind w:firstLine="720"/>
        <w:jc w:val="both"/>
        <w:rPr>
          <w:rFonts w:ascii="Trebuchet MS" w:hAnsi="Trebuchet MS" w:cs="Arial"/>
          <w:lang w:val="ro-RO"/>
        </w:rPr>
      </w:pPr>
    </w:p>
    <w:p w:rsidR="00755D87" w:rsidRPr="0014303D" w:rsidRDefault="00755D87" w:rsidP="00755D87">
      <w:pPr>
        <w:spacing w:line="360" w:lineRule="auto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 xml:space="preserve">Anexat prezentăm: </w:t>
      </w:r>
    </w:p>
    <w:p w:rsidR="00755D87" w:rsidRPr="0014303D" w:rsidRDefault="00755D87" w:rsidP="00755D87">
      <w:pPr>
        <w:numPr>
          <w:ilvl w:val="0"/>
          <w:numId w:val="11"/>
        </w:numPr>
        <w:spacing w:line="360" w:lineRule="auto"/>
        <w:ind w:left="284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>Situația cheltuielilor de investiții detaliată pe titluri pentru ordonatorii principali de credite ai bugetului de stat,</w:t>
      </w:r>
      <w:r w:rsidR="00BE4459" w:rsidRPr="0014303D">
        <w:rPr>
          <w:rFonts w:ascii="Trebuchet MS" w:hAnsi="Trebuchet MS" w:cs="Arial"/>
          <w:lang w:val="ro-RO"/>
        </w:rPr>
        <w:t xml:space="preserve"> în perioada 01 ianuarie -</w:t>
      </w:r>
      <w:r w:rsidR="00A67AFB">
        <w:rPr>
          <w:rFonts w:ascii="Trebuchet MS" w:hAnsi="Trebuchet MS" w:cs="Arial"/>
          <w:lang w:val="ro-RO"/>
        </w:rPr>
        <w:t xml:space="preserve"> 31 martie 2022</w:t>
      </w:r>
      <w:r w:rsidRPr="0014303D">
        <w:rPr>
          <w:rFonts w:ascii="Trebuchet MS" w:hAnsi="Trebuchet MS" w:cs="Arial"/>
          <w:lang w:val="ro-RO"/>
        </w:rPr>
        <w:t>– Anexa nr.1;</w:t>
      </w:r>
    </w:p>
    <w:p w:rsidR="00755D87" w:rsidRPr="0014303D" w:rsidRDefault="00755D87" w:rsidP="00755D87">
      <w:pPr>
        <w:numPr>
          <w:ilvl w:val="0"/>
          <w:numId w:val="11"/>
        </w:numPr>
        <w:spacing w:line="360" w:lineRule="auto"/>
        <w:ind w:left="284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 xml:space="preserve">Situația cheltuielilor de investiții detaliată pe titluri pentru </w:t>
      </w:r>
      <w:proofErr w:type="spellStart"/>
      <w:r w:rsidR="00A67AFB" w:rsidRPr="0014303D">
        <w:rPr>
          <w:rFonts w:ascii="Trebuchet MS" w:hAnsi="Trebuchet MS" w:cs="Arial"/>
          <w:lang w:val="ro-RO"/>
        </w:rPr>
        <w:t>pentru</w:t>
      </w:r>
      <w:proofErr w:type="spellEnd"/>
      <w:r w:rsidR="00A67AFB" w:rsidRPr="0014303D">
        <w:rPr>
          <w:rFonts w:ascii="Trebuchet MS" w:hAnsi="Trebuchet MS" w:cs="Arial"/>
          <w:lang w:val="ro-RO"/>
        </w:rPr>
        <w:t xml:space="preserve"> bugetele fondurilor speciale de asigurări</w:t>
      </w:r>
      <w:r w:rsidRPr="0014303D">
        <w:rPr>
          <w:rFonts w:ascii="Trebuchet MS" w:hAnsi="Trebuchet MS" w:cs="Arial"/>
          <w:lang w:val="ro-RO"/>
        </w:rPr>
        <w:t xml:space="preserve">, </w:t>
      </w:r>
      <w:r w:rsidR="00BE4459" w:rsidRPr="0014303D">
        <w:rPr>
          <w:rFonts w:ascii="Trebuchet MS" w:hAnsi="Trebuchet MS" w:cs="Arial"/>
          <w:lang w:val="ro-RO"/>
        </w:rPr>
        <w:t>în perioada 01 ianuarie - 31 martie 202</w:t>
      </w:r>
      <w:r w:rsidR="00A67AFB">
        <w:rPr>
          <w:rFonts w:ascii="Trebuchet MS" w:hAnsi="Trebuchet MS" w:cs="Arial"/>
          <w:lang w:val="ro-RO"/>
        </w:rPr>
        <w:t>2</w:t>
      </w:r>
      <w:r w:rsidRPr="0014303D">
        <w:rPr>
          <w:rFonts w:ascii="Trebuchet MS" w:hAnsi="Trebuchet MS" w:cs="Arial"/>
          <w:lang w:val="ro-RO"/>
        </w:rPr>
        <w:t>– Anexa nr.1 bis;</w:t>
      </w:r>
    </w:p>
    <w:p w:rsidR="007A50B8" w:rsidRPr="0014303D" w:rsidRDefault="00755D87" w:rsidP="007A50B8">
      <w:pPr>
        <w:numPr>
          <w:ilvl w:val="0"/>
          <w:numId w:val="11"/>
        </w:numPr>
        <w:spacing w:line="360" w:lineRule="auto"/>
        <w:ind w:left="284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 xml:space="preserve">Situația plăților detaliată pe proiecte/categorii de investiții ale ordonatorilor principali de credite, aferente bugetului de stat, </w:t>
      </w:r>
      <w:r w:rsidR="007A50B8" w:rsidRPr="0014303D">
        <w:rPr>
          <w:rFonts w:ascii="Trebuchet MS" w:hAnsi="Trebuchet MS" w:cs="Arial"/>
          <w:lang w:val="ro-RO"/>
        </w:rPr>
        <w:t>în perioada 01 ianuarie – 31 martie 202</w:t>
      </w:r>
      <w:r w:rsidR="00A67AFB">
        <w:rPr>
          <w:rFonts w:ascii="Trebuchet MS" w:hAnsi="Trebuchet MS" w:cs="Arial"/>
          <w:lang w:val="ro-RO"/>
        </w:rPr>
        <w:t>2</w:t>
      </w:r>
      <w:r w:rsidR="007A50B8" w:rsidRPr="0014303D">
        <w:rPr>
          <w:rFonts w:ascii="Trebuchet MS" w:hAnsi="Trebuchet MS" w:cs="Arial"/>
          <w:lang w:val="ro-RO"/>
        </w:rPr>
        <w:t xml:space="preserve"> </w:t>
      </w:r>
      <w:r w:rsidRPr="0014303D">
        <w:rPr>
          <w:rFonts w:ascii="Trebuchet MS" w:hAnsi="Trebuchet MS" w:cs="Arial"/>
          <w:lang w:val="ro-RO"/>
        </w:rPr>
        <w:t>– Anexa nr.2;</w:t>
      </w:r>
    </w:p>
    <w:p w:rsidR="00755D87" w:rsidRPr="0014303D" w:rsidRDefault="007A50B8" w:rsidP="007A50B8">
      <w:pPr>
        <w:numPr>
          <w:ilvl w:val="0"/>
          <w:numId w:val="11"/>
        </w:numPr>
        <w:spacing w:line="360" w:lineRule="auto"/>
        <w:ind w:left="284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 xml:space="preserve">Situația plăților detaliată pe  proiecte/categorii de </w:t>
      </w:r>
      <w:proofErr w:type="spellStart"/>
      <w:r w:rsidRPr="0014303D">
        <w:rPr>
          <w:rFonts w:ascii="Trebuchet MS" w:hAnsi="Trebuchet MS" w:cs="Arial"/>
          <w:lang w:val="ro-RO"/>
        </w:rPr>
        <w:t>investitii</w:t>
      </w:r>
      <w:proofErr w:type="spellEnd"/>
      <w:r w:rsidRPr="0014303D">
        <w:rPr>
          <w:rFonts w:ascii="Trebuchet MS" w:hAnsi="Trebuchet MS" w:cs="Arial"/>
          <w:lang w:val="ro-RO"/>
        </w:rPr>
        <w:t xml:space="preserve">   pentru bugetele fondurilor speciale de asigurări, în perioada 01 ianuarie - 31 martie 202</w:t>
      </w:r>
      <w:r w:rsidR="00A67AFB">
        <w:rPr>
          <w:rFonts w:ascii="Trebuchet MS" w:hAnsi="Trebuchet MS" w:cs="Arial"/>
          <w:lang w:val="ro-RO"/>
        </w:rPr>
        <w:t>2</w:t>
      </w:r>
      <w:r w:rsidR="00755D87" w:rsidRPr="0014303D">
        <w:rPr>
          <w:rFonts w:ascii="Trebuchet MS" w:hAnsi="Trebuchet MS" w:cs="Arial"/>
          <w:lang w:val="ro-RO"/>
        </w:rPr>
        <w:t>– Anexa nr. 2 bis.</w:t>
      </w:r>
    </w:p>
    <w:p w:rsidR="00BB0D5F" w:rsidRPr="0014303D" w:rsidRDefault="00BB0D5F" w:rsidP="00BB0D5F">
      <w:pPr>
        <w:spacing w:line="360" w:lineRule="auto"/>
        <w:jc w:val="both"/>
        <w:rPr>
          <w:rFonts w:ascii="Trebuchet MS" w:hAnsi="Trebuchet MS" w:cs="Arial"/>
          <w:lang w:val="ro-RO"/>
        </w:rPr>
      </w:pPr>
    </w:p>
    <w:p w:rsidR="005B0F95" w:rsidRPr="00E06A0C" w:rsidRDefault="005B0F95" w:rsidP="00A67AFB">
      <w:pPr>
        <w:autoSpaceDE w:val="0"/>
        <w:spacing w:line="360" w:lineRule="auto"/>
        <w:ind w:right="-46"/>
        <w:jc w:val="both"/>
        <w:rPr>
          <w:rFonts w:ascii="Trebuchet MS" w:hAnsi="Trebuchet MS" w:cs="Arial"/>
          <w:color w:val="000000" w:themeColor="text1"/>
          <w:sz w:val="20"/>
          <w:szCs w:val="20"/>
          <w:lang w:val="ro-RO"/>
        </w:rPr>
      </w:pPr>
      <w:bookmarkStart w:id="4" w:name="_GoBack"/>
      <w:bookmarkEnd w:id="4"/>
    </w:p>
    <w:sectPr w:rsidR="005B0F95" w:rsidRPr="00E06A0C" w:rsidSect="0028709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720" w:right="1274" w:bottom="720" w:left="993" w:header="57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5FD" w:rsidRDefault="00AB45FD">
      <w:r>
        <w:separator/>
      </w:r>
    </w:p>
  </w:endnote>
  <w:endnote w:type="continuationSeparator" w:id="0">
    <w:p w:rsidR="00AB45FD" w:rsidRDefault="00AB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RomanR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A9" w:rsidRPr="006D5A2D" w:rsidRDefault="000605A9" w:rsidP="006D5A2D">
    <w:pPr>
      <w:jc w:val="right"/>
      <w:rPr>
        <w:rFonts w:ascii="Arial" w:hAnsi="Arial" w:cs="Arial"/>
        <w:sz w:val="12"/>
        <w:szCs w:val="12"/>
        <w:lang w:val="ro-RO"/>
      </w:rPr>
    </w:pPr>
    <w:r w:rsidRPr="003B11C3">
      <w:rPr>
        <w:rFonts w:ascii="Arial" w:hAnsi="Arial" w:cs="Arial"/>
        <w:color w:val="FFFFFF"/>
        <w:sz w:val="12"/>
        <w:szCs w:val="12"/>
        <w:lang w:val="ro-RO"/>
      </w:rPr>
      <w:t>D</w:t>
    </w:r>
    <w:r w:rsidRPr="003B11C3">
      <w:rPr>
        <w:rFonts w:cs="Arial"/>
        <w:color w:val="FFFFFF"/>
        <w:sz w:val="12"/>
        <w:szCs w:val="12"/>
        <w:lang w:val="ro-RO" w:eastAsia="en-US"/>
      </w:rPr>
      <w:fldChar w:fldCharType="begin"/>
    </w:r>
    <w:r w:rsidRPr="003B11C3">
      <w:rPr>
        <w:rFonts w:cs="Arial"/>
        <w:color w:val="FFFFFF"/>
        <w:sz w:val="12"/>
        <w:szCs w:val="12"/>
        <w:lang w:val="ro-RO" w:eastAsia="en-US"/>
      </w:rPr>
      <w:instrText xml:space="preserve"> FILENAME \p </w:instrText>
    </w:r>
    <w:r w:rsidRPr="003B11C3">
      <w:rPr>
        <w:rFonts w:cs="Arial"/>
        <w:color w:val="FFFFFF"/>
        <w:sz w:val="12"/>
        <w:szCs w:val="12"/>
        <w:lang w:val="ro-RO" w:eastAsia="en-US"/>
      </w:rPr>
      <w:fldChar w:fldCharType="separate"/>
    </w:r>
    <w:r w:rsidR="00E06A0C">
      <w:rPr>
        <w:rFonts w:cs="Arial"/>
        <w:noProof/>
        <w:color w:val="FFFFFF"/>
        <w:sz w:val="12"/>
        <w:szCs w:val="12"/>
        <w:lang w:val="ro-RO" w:eastAsia="en-US"/>
      </w:rPr>
      <w:t>\\MFP2756\retea\1 Zamfir\2022\RAPORT INVESTITII TRIM I 2022-2021\DPIP -Raport investitii 31.03.2022-2021 - Copy.docx</w:t>
    </w:r>
    <w:r w:rsidRPr="003B11C3">
      <w:rPr>
        <w:rFonts w:cs="Arial"/>
        <w:color w:val="FFFFFF"/>
        <w:sz w:val="12"/>
        <w:szCs w:val="12"/>
        <w:lang w:val="ro-RO" w:eastAsia="en-US"/>
      </w:rPr>
      <w:fldChar w:fldCharType="end"/>
    </w:r>
    <w:r w:rsidRPr="003B11C3">
      <w:rPr>
        <w:rFonts w:cs="Arial"/>
        <w:color w:val="FFFFFF"/>
        <w:sz w:val="12"/>
        <w:szCs w:val="12"/>
        <w:lang w:val="ro-RO" w:eastAsia="en-US"/>
      </w:rPr>
      <w:t>,</w:t>
    </w:r>
    <w:r>
      <w:rPr>
        <w:rFonts w:ascii="Arial" w:hAnsi="Arial" w:cs="Arial"/>
        <w:sz w:val="12"/>
        <w:szCs w:val="12"/>
        <w:lang w:val="ro-RO" w:eastAsia="en-US"/>
      </w:rPr>
      <w:t xml:space="preserve">Pagina </w:t>
    </w:r>
    <w:r>
      <w:rPr>
        <w:rStyle w:val="PageNumber"/>
        <w:rFonts w:cs="Arial"/>
        <w:sz w:val="12"/>
        <w:szCs w:val="12"/>
        <w:lang w:val="ro-RO"/>
      </w:rPr>
      <w:fldChar w:fldCharType="begin"/>
    </w:r>
    <w:r>
      <w:rPr>
        <w:rStyle w:val="PageNumber"/>
        <w:rFonts w:cs="Arial"/>
        <w:sz w:val="12"/>
        <w:szCs w:val="12"/>
        <w:lang w:val="ro-RO"/>
      </w:rPr>
      <w:instrText xml:space="preserve"> PAGE </w:instrText>
    </w:r>
    <w:r>
      <w:rPr>
        <w:rStyle w:val="PageNumber"/>
        <w:rFonts w:cs="Arial"/>
        <w:sz w:val="12"/>
        <w:szCs w:val="12"/>
        <w:lang w:val="ro-RO"/>
      </w:rPr>
      <w:fldChar w:fldCharType="separate"/>
    </w:r>
    <w:r w:rsidR="00D96D1A">
      <w:rPr>
        <w:rStyle w:val="PageNumber"/>
        <w:rFonts w:cs="Arial"/>
        <w:noProof/>
        <w:sz w:val="12"/>
        <w:szCs w:val="12"/>
        <w:lang w:val="ro-RO"/>
      </w:rPr>
      <w:t>4</w:t>
    </w:r>
    <w:r>
      <w:rPr>
        <w:rStyle w:val="PageNumber"/>
        <w:rFonts w:cs="Arial"/>
        <w:sz w:val="12"/>
        <w:szCs w:val="12"/>
        <w:lang w:val="ro-RO"/>
      </w:rPr>
      <w:fldChar w:fldCharType="end"/>
    </w:r>
    <w:r>
      <w:rPr>
        <w:rStyle w:val="PageNumber"/>
        <w:rFonts w:ascii="Arial" w:hAnsi="Arial" w:cs="Arial"/>
        <w:sz w:val="12"/>
        <w:szCs w:val="12"/>
        <w:lang w:val="ro-RO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A9" w:rsidRDefault="000605A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A9" w:rsidRDefault="000605A9">
    <w:pPr>
      <w:jc w:val="right"/>
    </w:pPr>
    <w:r w:rsidRPr="003B11C3">
      <w:rPr>
        <w:rFonts w:ascii="Arial" w:hAnsi="Arial" w:cs="Arial"/>
        <w:color w:val="FFFFFF"/>
        <w:sz w:val="12"/>
        <w:szCs w:val="12"/>
        <w:lang w:val="ro-RO"/>
      </w:rPr>
      <w:t>D</w:t>
    </w:r>
    <w:r w:rsidRPr="003B11C3">
      <w:rPr>
        <w:rFonts w:cs="Arial"/>
        <w:color w:val="FFFFFF"/>
        <w:sz w:val="12"/>
        <w:szCs w:val="12"/>
        <w:lang w:val="ro-RO" w:eastAsia="en-US"/>
      </w:rPr>
      <w:fldChar w:fldCharType="begin"/>
    </w:r>
    <w:r w:rsidRPr="003B11C3">
      <w:rPr>
        <w:rFonts w:cs="Arial"/>
        <w:color w:val="FFFFFF"/>
        <w:sz w:val="12"/>
        <w:szCs w:val="12"/>
        <w:lang w:val="ro-RO" w:eastAsia="en-US"/>
      </w:rPr>
      <w:instrText xml:space="preserve"> FILENAME \p </w:instrText>
    </w:r>
    <w:r w:rsidRPr="003B11C3">
      <w:rPr>
        <w:rFonts w:cs="Arial"/>
        <w:color w:val="FFFFFF"/>
        <w:sz w:val="12"/>
        <w:szCs w:val="12"/>
        <w:lang w:val="ro-RO" w:eastAsia="en-US"/>
      </w:rPr>
      <w:fldChar w:fldCharType="separate"/>
    </w:r>
    <w:r w:rsidR="00E06A0C">
      <w:rPr>
        <w:rFonts w:cs="Arial"/>
        <w:noProof/>
        <w:color w:val="FFFFFF"/>
        <w:sz w:val="12"/>
        <w:szCs w:val="12"/>
        <w:lang w:val="ro-RO" w:eastAsia="en-US"/>
      </w:rPr>
      <w:t>\\MFP2756\retea\1 Zamfir\2022\RAPORT INVESTITII TRIM I 2022-2021\DPIP -Raport investitii 31.03.2022-2021 - Copy.docx</w:t>
    </w:r>
    <w:r w:rsidRPr="003B11C3">
      <w:rPr>
        <w:rFonts w:cs="Arial"/>
        <w:color w:val="FFFFFF"/>
        <w:sz w:val="12"/>
        <w:szCs w:val="12"/>
        <w:lang w:val="ro-RO" w:eastAsia="en-US"/>
      </w:rPr>
      <w:fldChar w:fldCharType="end"/>
    </w:r>
    <w:r w:rsidRPr="003B11C3">
      <w:rPr>
        <w:rFonts w:ascii="Arial" w:hAnsi="Arial" w:cs="Arial"/>
        <w:color w:val="FFFFFF"/>
        <w:sz w:val="12"/>
        <w:szCs w:val="12"/>
        <w:lang w:val="ro-RO" w:eastAsia="en-US"/>
      </w:rPr>
      <w:t>/,</w:t>
    </w:r>
    <w:r>
      <w:rPr>
        <w:rFonts w:ascii="Arial" w:hAnsi="Arial" w:cs="Arial"/>
        <w:sz w:val="12"/>
        <w:szCs w:val="12"/>
        <w:lang w:val="ro-RO" w:eastAsia="en-US"/>
      </w:rPr>
      <w:t xml:space="preserve">Pagina </w:t>
    </w:r>
    <w:r>
      <w:rPr>
        <w:rStyle w:val="PageNumber"/>
        <w:rFonts w:cs="Arial"/>
        <w:sz w:val="12"/>
        <w:szCs w:val="12"/>
        <w:lang w:val="ro-RO"/>
      </w:rPr>
      <w:fldChar w:fldCharType="begin"/>
    </w:r>
    <w:r>
      <w:rPr>
        <w:rStyle w:val="PageNumber"/>
        <w:rFonts w:cs="Arial"/>
        <w:sz w:val="12"/>
        <w:szCs w:val="12"/>
        <w:lang w:val="ro-RO"/>
      </w:rPr>
      <w:instrText xml:space="preserve"> PAGE </w:instrText>
    </w:r>
    <w:r>
      <w:rPr>
        <w:rStyle w:val="PageNumber"/>
        <w:rFonts w:cs="Arial"/>
        <w:sz w:val="12"/>
        <w:szCs w:val="12"/>
        <w:lang w:val="ro-RO"/>
      </w:rPr>
      <w:fldChar w:fldCharType="separate"/>
    </w:r>
    <w:r w:rsidR="00D96D1A">
      <w:rPr>
        <w:rStyle w:val="PageNumber"/>
        <w:rFonts w:cs="Arial"/>
        <w:noProof/>
        <w:sz w:val="12"/>
        <w:szCs w:val="12"/>
        <w:lang w:val="ro-RO"/>
      </w:rPr>
      <w:t>8</w:t>
    </w:r>
    <w:r>
      <w:rPr>
        <w:rStyle w:val="PageNumber"/>
        <w:rFonts w:cs="Arial"/>
        <w:sz w:val="12"/>
        <w:szCs w:val="12"/>
        <w:lang w:val="ro-RO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A9" w:rsidRDefault="000605A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A9" w:rsidRDefault="000605A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A9" w:rsidRPr="00C10225" w:rsidRDefault="000605A9">
    <w:pPr>
      <w:pStyle w:val="Footer"/>
      <w:jc w:val="right"/>
      <w:rPr>
        <w:sz w:val="16"/>
        <w:szCs w:val="16"/>
      </w:rPr>
    </w:pPr>
    <w:r w:rsidRPr="003B11C3">
      <w:rPr>
        <w:color w:val="FFFFFF"/>
        <w:sz w:val="16"/>
        <w:szCs w:val="16"/>
      </w:rPr>
      <w:fldChar w:fldCharType="begin"/>
    </w:r>
    <w:r w:rsidRPr="003B11C3">
      <w:rPr>
        <w:color w:val="FFFFFF"/>
        <w:sz w:val="16"/>
        <w:szCs w:val="16"/>
      </w:rPr>
      <w:instrText xml:space="preserve"> FILENAME \p \* MERGEFORMAT </w:instrText>
    </w:r>
    <w:r w:rsidRPr="003B11C3">
      <w:rPr>
        <w:color w:val="FFFFFF"/>
        <w:sz w:val="16"/>
        <w:szCs w:val="16"/>
      </w:rPr>
      <w:fldChar w:fldCharType="separate"/>
    </w:r>
    <w:r w:rsidR="00E06A0C">
      <w:rPr>
        <w:noProof/>
        <w:color w:val="FFFFFF"/>
        <w:sz w:val="16"/>
        <w:szCs w:val="16"/>
      </w:rPr>
      <w:t>\\MFP2756\retea\1 Zamfir\2022\RAPORT INVESTITII TRIM I 2022-2021\DPIP -Raport investitii 31.03.2022-2021 - Copy.docx</w:t>
    </w:r>
    <w:r w:rsidRPr="003B11C3">
      <w:rPr>
        <w:color w:val="FFFFFF"/>
        <w:sz w:val="16"/>
        <w:szCs w:val="16"/>
      </w:rPr>
      <w:fldChar w:fldCharType="end"/>
    </w:r>
    <w:r w:rsidRPr="003B11C3">
      <w:rPr>
        <w:color w:val="FFFFFF"/>
        <w:sz w:val="16"/>
        <w:szCs w:val="16"/>
      </w:rPr>
      <w:t>,</w:t>
    </w:r>
    <w:r w:rsidRPr="00C10225">
      <w:rPr>
        <w:sz w:val="16"/>
        <w:szCs w:val="16"/>
      </w:rPr>
      <w:t xml:space="preserve"> </w:t>
    </w:r>
    <w:proofErr w:type="spellStart"/>
    <w:r w:rsidRPr="00C10225">
      <w:rPr>
        <w:sz w:val="16"/>
        <w:szCs w:val="16"/>
      </w:rPr>
      <w:t>pagina</w:t>
    </w:r>
    <w:proofErr w:type="spellEnd"/>
    <w:r w:rsidRPr="00C10225">
      <w:rPr>
        <w:sz w:val="16"/>
        <w:szCs w:val="16"/>
      </w:rPr>
      <w:t xml:space="preserve"> </w:t>
    </w:r>
    <w:r w:rsidRPr="00C10225">
      <w:rPr>
        <w:sz w:val="16"/>
        <w:szCs w:val="16"/>
      </w:rPr>
      <w:fldChar w:fldCharType="begin"/>
    </w:r>
    <w:r w:rsidRPr="00C10225">
      <w:rPr>
        <w:sz w:val="16"/>
        <w:szCs w:val="16"/>
      </w:rPr>
      <w:instrText xml:space="preserve"> PAGE   \* MERGEFORMAT </w:instrText>
    </w:r>
    <w:r w:rsidRPr="00C10225">
      <w:rPr>
        <w:sz w:val="16"/>
        <w:szCs w:val="16"/>
      </w:rPr>
      <w:fldChar w:fldCharType="separate"/>
    </w:r>
    <w:r w:rsidR="00D96D1A">
      <w:rPr>
        <w:noProof/>
        <w:sz w:val="16"/>
        <w:szCs w:val="16"/>
      </w:rPr>
      <w:t>10</w:t>
    </w:r>
    <w:r w:rsidRPr="00C10225">
      <w:rPr>
        <w:noProof/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A9" w:rsidRDefault="000605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5FD" w:rsidRDefault="00AB45FD">
      <w:r>
        <w:separator/>
      </w:r>
    </w:p>
  </w:footnote>
  <w:footnote w:type="continuationSeparator" w:id="0">
    <w:p w:rsidR="00AB45FD" w:rsidRDefault="00AB4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A9" w:rsidRDefault="000605A9">
    <w:pPr>
      <w:pStyle w:val="Heading1"/>
      <w:ind w:left="1440" w:firstLine="0"/>
      <w:rPr>
        <w:lang w:val="fr-FR"/>
      </w:rPr>
    </w:pPr>
    <w:r>
      <w:rPr>
        <w:sz w:val="24"/>
        <w:lang w:val="fr-F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A9" w:rsidRDefault="000605A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A9" w:rsidRDefault="000605A9">
    <w:pPr>
      <w:pStyle w:val="Heading1"/>
      <w:ind w:left="1440" w:firstLine="0"/>
      <w:rPr>
        <w:lang w:val="fr-FR"/>
      </w:rPr>
    </w:pPr>
    <w:r>
      <w:rPr>
        <w:sz w:val="24"/>
        <w:lang w:val="fr-FR"/>
      </w:rPr>
      <w:t xml:space="preserve">   </w:t>
    </w:r>
    <w:r>
      <w:rPr>
        <w:sz w:val="24"/>
        <w:lang w:val="fr-FR"/>
      </w:rPr>
      <w:tab/>
    </w:r>
    <w:r>
      <w:rPr>
        <w:sz w:val="24"/>
        <w:lang w:val="fr-FR"/>
      </w:rPr>
      <w:tab/>
    </w:r>
  </w:p>
  <w:p w:rsidR="000605A9" w:rsidRDefault="000605A9">
    <w:pPr>
      <w:rPr>
        <w:lang w:val="fr-FR"/>
      </w:rPr>
    </w:pPr>
  </w:p>
  <w:p w:rsidR="000605A9" w:rsidRDefault="000605A9">
    <w:pPr>
      <w:pStyle w:val="Heading1"/>
      <w:rPr>
        <w:lang w:val="fr-F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A9" w:rsidRDefault="000605A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A9" w:rsidRDefault="000605A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A9" w:rsidRDefault="000605A9" w:rsidP="00ED0654">
    <w:pPr>
      <w:pStyle w:val="Heading1"/>
      <w:numPr>
        <w:ilvl w:val="0"/>
        <w:numId w:val="0"/>
      </w:numPr>
      <w:rPr>
        <w:lang w:val="fr-FR"/>
      </w:rPr>
    </w:pPr>
  </w:p>
  <w:p w:rsidR="000605A9" w:rsidRDefault="000605A9">
    <w:pPr>
      <w:pStyle w:val="Heading1"/>
      <w:rPr>
        <w:lang w:val="fr-F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A9" w:rsidRDefault="000605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560" w:hanging="360"/>
      </w:pPr>
      <w:rPr>
        <w:rFonts w:ascii="Wingdings" w:hAnsi="Wingdings" w:cs="Wingdings"/>
        <w:color w:val="0066FF"/>
        <w:sz w:val="16"/>
        <w:szCs w:val="16"/>
        <w:lang w:val="ro-RO"/>
      </w:rPr>
    </w:lvl>
  </w:abstractNum>
  <w:abstractNum w:abstractNumId="3">
    <w:nsid w:val="02B62DBB"/>
    <w:multiLevelType w:val="hybridMultilevel"/>
    <w:tmpl w:val="3886B72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9F53D0"/>
    <w:multiLevelType w:val="hybridMultilevel"/>
    <w:tmpl w:val="74D0AB94"/>
    <w:lvl w:ilvl="0" w:tplc="046298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3E3B1A"/>
    <w:multiLevelType w:val="hybridMultilevel"/>
    <w:tmpl w:val="4F0E40D6"/>
    <w:lvl w:ilvl="0" w:tplc="3A0EB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661589"/>
    <w:multiLevelType w:val="hybridMultilevel"/>
    <w:tmpl w:val="C08C685A"/>
    <w:lvl w:ilvl="0" w:tplc="F1F4A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26B63"/>
    <w:multiLevelType w:val="hybridMultilevel"/>
    <w:tmpl w:val="4774B84A"/>
    <w:lvl w:ilvl="0" w:tplc="4B80F2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3D12BE"/>
    <w:multiLevelType w:val="hybridMultilevel"/>
    <w:tmpl w:val="4DD8A6B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B353E"/>
    <w:multiLevelType w:val="hybridMultilevel"/>
    <w:tmpl w:val="E6A61300"/>
    <w:lvl w:ilvl="0" w:tplc="D6DC45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F447FC"/>
    <w:multiLevelType w:val="hybridMultilevel"/>
    <w:tmpl w:val="B2C6E8A8"/>
    <w:lvl w:ilvl="0" w:tplc="00000003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/>
        <w:color w:val="0066FF"/>
        <w:sz w:val="16"/>
        <w:szCs w:val="16"/>
        <w:lang w:val="ro-RO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126A24"/>
    <w:multiLevelType w:val="hybridMultilevel"/>
    <w:tmpl w:val="115C650E"/>
    <w:lvl w:ilvl="0" w:tplc="A45CC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387D52"/>
    <w:multiLevelType w:val="hybridMultilevel"/>
    <w:tmpl w:val="3F40DC5E"/>
    <w:lvl w:ilvl="0" w:tplc="046852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6A6D53"/>
    <w:multiLevelType w:val="hybridMultilevel"/>
    <w:tmpl w:val="50702CF0"/>
    <w:lvl w:ilvl="0" w:tplc="6D804F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CA638F"/>
    <w:multiLevelType w:val="hybridMultilevel"/>
    <w:tmpl w:val="EAC413BC"/>
    <w:lvl w:ilvl="0" w:tplc="041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14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  <w:num w:numId="13">
    <w:abstractNumId w:val="7"/>
  </w:num>
  <w:num w:numId="14">
    <w:abstractNumId w:val="12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90"/>
    <w:rsid w:val="000047D6"/>
    <w:rsid w:val="000048EB"/>
    <w:rsid w:val="00005309"/>
    <w:rsid w:val="000057E6"/>
    <w:rsid w:val="00006FB2"/>
    <w:rsid w:val="00007AB6"/>
    <w:rsid w:val="00007D5C"/>
    <w:rsid w:val="0001023F"/>
    <w:rsid w:val="00010B50"/>
    <w:rsid w:val="00011406"/>
    <w:rsid w:val="000125B9"/>
    <w:rsid w:val="0001275D"/>
    <w:rsid w:val="00012D98"/>
    <w:rsid w:val="00013614"/>
    <w:rsid w:val="00013B7E"/>
    <w:rsid w:val="0001432C"/>
    <w:rsid w:val="00015F89"/>
    <w:rsid w:val="00017ACE"/>
    <w:rsid w:val="00020097"/>
    <w:rsid w:val="000214BD"/>
    <w:rsid w:val="0002152E"/>
    <w:rsid w:val="00022CB4"/>
    <w:rsid w:val="000235E5"/>
    <w:rsid w:val="000276EB"/>
    <w:rsid w:val="00027EDD"/>
    <w:rsid w:val="0003001B"/>
    <w:rsid w:val="000306D3"/>
    <w:rsid w:val="000309DA"/>
    <w:rsid w:val="00030E98"/>
    <w:rsid w:val="000370C3"/>
    <w:rsid w:val="0003756D"/>
    <w:rsid w:val="00040383"/>
    <w:rsid w:val="00042FB0"/>
    <w:rsid w:val="000467A6"/>
    <w:rsid w:val="00046D7F"/>
    <w:rsid w:val="000513E7"/>
    <w:rsid w:val="00051D44"/>
    <w:rsid w:val="00052178"/>
    <w:rsid w:val="0005228E"/>
    <w:rsid w:val="000548E7"/>
    <w:rsid w:val="00057A2A"/>
    <w:rsid w:val="000605A9"/>
    <w:rsid w:val="00066E9B"/>
    <w:rsid w:val="00067205"/>
    <w:rsid w:val="0006731D"/>
    <w:rsid w:val="000674C8"/>
    <w:rsid w:val="000700C9"/>
    <w:rsid w:val="00072D7E"/>
    <w:rsid w:val="00072F90"/>
    <w:rsid w:val="00073F7A"/>
    <w:rsid w:val="00077AC0"/>
    <w:rsid w:val="0008351A"/>
    <w:rsid w:val="00083D92"/>
    <w:rsid w:val="00084B5C"/>
    <w:rsid w:val="00085115"/>
    <w:rsid w:val="00090F0D"/>
    <w:rsid w:val="00091079"/>
    <w:rsid w:val="000941B7"/>
    <w:rsid w:val="0009422E"/>
    <w:rsid w:val="000A2378"/>
    <w:rsid w:val="000A403E"/>
    <w:rsid w:val="000A4717"/>
    <w:rsid w:val="000A6027"/>
    <w:rsid w:val="000B2480"/>
    <w:rsid w:val="000B261B"/>
    <w:rsid w:val="000B4766"/>
    <w:rsid w:val="000B6875"/>
    <w:rsid w:val="000C05E0"/>
    <w:rsid w:val="000C0C9B"/>
    <w:rsid w:val="000C2672"/>
    <w:rsid w:val="000C6E69"/>
    <w:rsid w:val="000D0106"/>
    <w:rsid w:val="000D0926"/>
    <w:rsid w:val="000D288E"/>
    <w:rsid w:val="000D4E60"/>
    <w:rsid w:val="000D5773"/>
    <w:rsid w:val="000D624D"/>
    <w:rsid w:val="000D69F5"/>
    <w:rsid w:val="000D7FC7"/>
    <w:rsid w:val="000E1DD8"/>
    <w:rsid w:val="000E32F7"/>
    <w:rsid w:val="000E359E"/>
    <w:rsid w:val="000E4F55"/>
    <w:rsid w:val="000E622E"/>
    <w:rsid w:val="000E704D"/>
    <w:rsid w:val="000F01FE"/>
    <w:rsid w:val="000F0CCB"/>
    <w:rsid w:val="000F217C"/>
    <w:rsid w:val="000F4667"/>
    <w:rsid w:val="000F5B17"/>
    <w:rsid w:val="000F62FB"/>
    <w:rsid w:val="000F6AAD"/>
    <w:rsid w:val="000F6D47"/>
    <w:rsid w:val="000F7DD3"/>
    <w:rsid w:val="0010065E"/>
    <w:rsid w:val="00101E09"/>
    <w:rsid w:val="00101EC2"/>
    <w:rsid w:val="001022D6"/>
    <w:rsid w:val="00102D4B"/>
    <w:rsid w:val="0010306A"/>
    <w:rsid w:val="001039BF"/>
    <w:rsid w:val="00104BA6"/>
    <w:rsid w:val="00106E49"/>
    <w:rsid w:val="00107355"/>
    <w:rsid w:val="00111D4B"/>
    <w:rsid w:val="001125DA"/>
    <w:rsid w:val="00112D07"/>
    <w:rsid w:val="00114D0D"/>
    <w:rsid w:val="00114F98"/>
    <w:rsid w:val="0011639C"/>
    <w:rsid w:val="001210AA"/>
    <w:rsid w:val="00122D11"/>
    <w:rsid w:val="00125FC1"/>
    <w:rsid w:val="00126300"/>
    <w:rsid w:val="00127CEB"/>
    <w:rsid w:val="00130CDE"/>
    <w:rsid w:val="00130E70"/>
    <w:rsid w:val="00132EEB"/>
    <w:rsid w:val="00133932"/>
    <w:rsid w:val="00133F37"/>
    <w:rsid w:val="00135F99"/>
    <w:rsid w:val="0013763F"/>
    <w:rsid w:val="00141082"/>
    <w:rsid w:val="00142360"/>
    <w:rsid w:val="00142579"/>
    <w:rsid w:val="0014303D"/>
    <w:rsid w:val="0014376B"/>
    <w:rsid w:val="00146FC6"/>
    <w:rsid w:val="001474BF"/>
    <w:rsid w:val="00150004"/>
    <w:rsid w:val="00151137"/>
    <w:rsid w:val="00151307"/>
    <w:rsid w:val="0015145C"/>
    <w:rsid w:val="00151B06"/>
    <w:rsid w:val="0015470D"/>
    <w:rsid w:val="00155BA9"/>
    <w:rsid w:val="00156ACF"/>
    <w:rsid w:val="00157141"/>
    <w:rsid w:val="00160916"/>
    <w:rsid w:val="0016483D"/>
    <w:rsid w:val="0016541F"/>
    <w:rsid w:val="00165504"/>
    <w:rsid w:val="001704A7"/>
    <w:rsid w:val="001704E6"/>
    <w:rsid w:val="00170808"/>
    <w:rsid w:val="00174B2D"/>
    <w:rsid w:val="00176778"/>
    <w:rsid w:val="00177E45"/>
    <w:rsid w:val="00181F73"/>
    <w:rsid w:val="00183930"/>
    <w:rsid w:val="0018444A"/>
    <w:rsid w:val="00185E55"/>
    <w:rsid w:val="00186607"/>
    <w:rsid w:val="001914B1"/>
    <w:rsid w:val="00191BC0"/>
    <w:rsid w:val="0019356A"/>
    <w:rsid w:val="001953A4"/>
    <w:rsid w:val="00195F37"/>
    <w:rsid w:val="00196532"/>
    <w:rsid w:val="001A134E"/>
    <w:rsid w:val="001A243B"/>
    <w:rsid w:val="001A417C"/>
    <w:rsid w:val="001A4813"/>
    <w:rsid w:val="001A4DCC"/>
    <w:rsid w:val="001A5240"/>
    <w:rsid w:val="001A6625"/>
    <w:rsid w:val="001A6BED"/>
    <w:rsid w:val="001A78FE"/>
    <w:rsid w:val="001B1748"/>
    <w:rsid w:val="001B311E"/>
    <w:rsid w:val="001B55FD"/>
    <w:rsid w:val="001B624D"/>
    <w:rsid w:val="001C1C92"/>
    <w:rsid w:val="001C2943"/>
    <w:rsid w:val="001C43D3"/>
    <w:rsid w:val="001C64E7"/>
    <w:rsid w:val="001C6DB6"/>
    <w:rsid w:val="001C7F80"/>
    <w:rsid w:val="001D036F"/>
    <w:rsid w:val="001D263E"/>
    <w:rsid w:val="001D4AC4"/>
    <w:rsid w:val="001D7492"/>
    <w:rsid w:val="001E1266"/>
    <w:rsid w:val="001E182D"/>
    <w:rsid w:val="001E3733"/>
    <w:rsid w:val="001E3B9A"/>
    <w:rsid w:val="001E49EA"/>
    <w:rsid w:val="001E6743"/>
    <w:rsid w:val="001F02B7"/>
    <w:rsid w:val="001F1250"/>
    <w:rsid w:val="001F126B"/>
    <w:rsid w:val="001F4035"/>
    <w:rsid w:val="001F4F5F"/>
    <w:rsid w:val="001F65AB"/>
    <w:rsid w:val="001F6B3E"/>
    <w:rsid w:val="001F716E"/>
    <w:rsid w:val="001F7A0C"/>
    <w:rsid w:val="0020122A"/>
    <w:rsid w:val="00203209"/>
    <w:rsid w:val="00203A8C"/>
    <w:rsid w:val="00203E45"/>
    <w:rsid w:val="00204B7D"/>
    <w:rsid w:val="00207A3B"/>
    <w:rsid w:val="0021128F"/>
    <w:rsid w:val="00212915"/>
    <w:rsid w:val="00213B93"/>
    <w:rsid w:val="002143C3"/>
    <w:rsid w:val="00214E50"/>
    <w:rsid w:val="00215541"/>
    <w:rsid w:val="002169B4"/>
    <w:rsid w:val="00217035"/>
    <w:rsid w:val="0021733F"/>
    <w:rsid w:val="00220471"/>
    <w:rsid w:val="002214F6"/>
    <w:rsid w:val="00222898"/>
    <w:rsid w:val="00223FFC"/>
    <w:rsid w:val="00224D92"/>
    <w:rsid w:val="002262AE"/>
    <w:rsid w:val="002276DA"/>
    <w:rsid w:val="00230B39"/>
    <w:rsid w:val="00231EBB"/>
    <w:rsid w:val="0023320E"/>
    <w:rsid w:val="00233CEC"/>
    <w:rsid w:val="00233E49"/>
    <w:rsid w:val="00233F4D"/>
    <w:rsid w:val="00235241"/>
    <w:rsid w:val="00235CAF"/>
    <w:rsid w:val="00236262"/>
    <w:rsid w:val="002362BD"/>
    <w:rsid w:val="002363AE"/>
    <w:rsid w:val="00242160"/>
    <w:rsid w:val="002431B0"/>
    <w:rsid w:val="0024368D"/>
    <w:rsid w:val="00243E3E"/>
    <w:rsid w:val="002448F4"/>
    <w:rsid w:val="0024543E"/>
    <w:rsid w:val="00245CE4"/>
    <w:rsid w:val="0024602B"/>
    <w:rsid w:val="00247BF7"/>
    <w:rsid w:val="002524E5"/>
    <w:rsid w:val="00254B3C"/>
    <w:rsid w:val="0025633C"/>
    <w:rsid w:val="002570D0"/>
    <w:rsid w:val="002630D5"/>
    <w:rsid w:val="00263C90"/>
    <w:rsid w:val="00263FFB"/>
    <w:rsid w:val="00265AF5"/>
    <w:rsid w:val="00266A02"/>
    <w:rsid w:val="002714E3"/>
    <w:rsid w:val="00271BF8"/>
    <w:rsid w:val="00271DFF"/>
    <w:rsid w:val="00271E7F"/>
    <w:rsid w:val="00272C14"/>
    <w:rsid w:val="0027462A"/>
    <w:rsid w:val="002751D0"/>
    <w:rsid w:val="00277346"/>
    <w:rsid w:val="00277C71"/>
    <w:rsid w:val="00277FF1"/>
    <w:rsid w:val="00280DD1"/>
    <w:rsid w:val="00280F85"/>
    <w:rsid w:val="00281A8B"/>
    <w:rsid w:val="002843D6"/>
    <w:rsid w:val="00284865"/>
    <w:rsid w:val="00285303"/>
    <w:rsid w:val="00286E98"/>
    <w:rsid w:val="00287091"/>
    <w:rsid w:val="002876F0"/>
    <w:rsid w:val="00287909"/>
    <w:rsid w:val="0029119E"/>
    <w:rsid w:val="00291F7D"/>
    <w:rsid w:val="00292690"/>
    <w:rsid w:val="00293A68"/>
    <w:rsid w:val="002949F4"/>
    <w:rsid w:val="00294C0C"/>
    <w:rsid w:val="00296450"/>
    <w:rsid w:val="00296B9A"/>
    <w:rsid w:val="00296CF8"/>
    <w:rsid w:val="002A1488"/>
    <w:rsid w:val="002A3D4A"/>
    <w:rsid w:val="002A3D5B"/>
    <w:rsid w:val="002A4580"/>
    <w:rsid w:val="002A5EB7"/>
    <w:rsid w:val="002B1B01"/>
    <w:rsid w:val="002B3D54"/>
    <w:rsid w:val="002B43DA"/>
    <w:rsid w:val="002B55A6"/>
    <w:rsid w:val="002C2B9C"/>
    <w:rsid w:val="002C2E31"/>
    <w:rsid w:val="002C3310"/>
    <w:rsid w:val="002C3368"/>
    <w:rsid w:val="002D0526"/>
    <w:rsid w:val="002D267C"/>
    <w:rsid w:val="002D2B97"/>
    <w:rsid w:val="002D38F0"/>
    <w:rsid w:val="002D5BC1"/>
    <w:rsid w:val="002E30D0"/>
    <w:rsid w:val="002E31F5"/>
    <w:rsid w:val="002E3BCF"/>
    <w:rsid w:val="002E70F5"/>
    <w:rsid w:val="002E77D9"/>
    <w:rsid w:val="002F0C44"/>
    <w:rsid w:val="002F1E0D"/>
    <w:rsid w:val="002F2622"/>
    <w:rsid w:val="002F4980"/>
    <w:rsid w:val="002F536B"/>
    <w:rsid w:val="002F585E"/>
    <w:rsid w:val="002F5F52"/>
    <w:rsid w:val="002F78A4"/>
    <w:rsid w:val="003002DF"/>
    <w:rsid w:val="0030202F"/>
    <w:rsid w:val="00302E34"/>
    <w:rsid w:val="003054A3"/>
    <w:rsid w:val="00306CCC"/>
    <w:rsid w:val="003071E5"/>
    <w:rsid w:val="003103F4"/>
    <w:rsid w:val="003118A9"/>
    <w:rsid w:val="00311B12"/>
    <w:rsid w:val="003120E3"/>
    <w:rsid w:val="0031287E"/>
    <w:rsid w:val="00312D97"/>
    <w:rsid w:val="00312DF1"/>
    <w:rsid w:val="0031384F"/>
    <w:rsid w:val="00314C36"/>
    <w:rsid w:val="00314E71"/>
    <w:rsid w:val="003154B4"/>
    <w:rsid w:val="0031553F"/>
    <w:rsid w:val="00316B52"/>
    <w:rsid w:val="00320406"/>
    <w:rsid w:val="00320905"/>
    <w:rsid w:val="003210F4"/>
    <w:rsid w:val="00321B77"/>
    <w:rsid w:val="00321C1E"/>
    <w:rsid w:val="00323538"/>
    <w:rsid w:val="003236F9"/>
    <w:rsid w:val="003274B8"/>
    <w:rsid w:val="00330299"/>
    <w:rsid w:val="00330859"/>
    <w:rsid w:val="00331662"/>
    <w:rsid w:val="0033236B"/>
    <w:rsid w:val="0033258F"/>
    <w:rsid w:val="00332D3D"/>
    <w:rsid w:val="00333B0E"/>
    <w:rsid w:val="00335136"/>
    <w:rsid w:val="0033516A"/>
    <w:rsid w:val="003351F5"/>
    <w:rsid w:val="00335552"/>
    <w:rsid w:val="0033587F"/>
    <w:rsid w:val="00337732"/>
    <w:rsid w:val="00340292"/>
    <w:rsid w:val="003418B9"/>
    <w:rsid w:val="00342311"/>
    <w:rsid w:val="00343FC1"/>
    <w:rsid w:val="00354420"/>
    <w:rsid w:val="00354A5E"/>
    <w:rsid w:val="00354FE6"/>
    <w:rsid w:val="00356C81"/>
    <w:rsid w:val="00356FBA"/>
    <w:rsid w:val="0035762D"/>
    <w:rsid w:val="003601D0"/>
    <w:rsid w:val="003631CF"/>
    <w:rsid w:val="00364432"/>
    <w:rsid w:val="00371155"/>
    <w:rsid w:val="00371214"/>
    <w:rsid w:val="003734E7"/>
    <w:rsid w:val="00373E57"/>
    <w:rsid w:val="003741D3"/>
    <w:rsid w:val="003745F1"/>
    <w:rsid w:val="0037478D"/>
    <w:rsid w:val="003776EF"/>
    <w:rsid w:val="00382080"/>
    <w:rsid w:val="003837F7"/>
    <w:rsid w:val="00383EDD"/>
    <w:rsid w:val="00384C8F"/>
    <w:rsid w:val="003850E5"/>
    <w:rsid w:val="0039051A"/>
    <w:rsid w:val="003940E1"/>
    <w:rsid w:val="00397196"/>
    <w:rsid w:val="003977F5"/>
    <w:rsid w:val="00397DBA"/>
    <w:rsid w:val="003A30AF"/>
    <w:rsid w:val="003A61E1"/>
    <w:rsid w:val="003A66D1"/>
    <w:rsid w:val="003A6A7A"/>
    <w:rsid w:val="003B11C3"/>
    <w:rsid w:val="003B165B"/>
    <w:rsid w:val="003B2BD1"/>
    <w:rsid w:val="003B4EEC"/>
    <w:rsid w:val="003C77AD"/>
    <w:rsid w:val="003C79BC"/>
    <w:rsid w:val="003D3272"/>
    <w:rsid w:val="003D4134"/>
    <w:rsid w:val="003D5130"/>
    <w:rsid w:val="003D79E6"/>
    <w:rsid w:val="003D7F99"/>
    <w:rsid w:val="003E1E0E"/>
    <w:rsid w:val="003E330C"/>
    <w:rsid w:val="003E34B6"/>
    <w:rsid w:val="003E55DB"/>
    <w:rsid w:val="003E5C8F"/>
    <w:rsid w:val="003E773D"/>
    <w:rsid w:val="003F1893"/>
    <w:rsid w:val="003F1D4D"/>
    <w:rsid w:val="003F39C1"/>
    <w:rsid w:val="003F3BBD"/>
    <w:rsid w:val="003F7187"/>
    <w:rsid w:val="003F7614"/>
    <w:rsid w:val="0040134E"/>
    <w:rsid w:val="00401E33"/>
    <w:rsid w:val="004020D8"/>
    <w:rsid w:val="004030C8"/>
    <w:rsid w:val="00403723"/>
    <w:rsid w:val="00403DE2"/>
    <w:rsid w:val="00404071"/>
    <w:rsid w:val="00404346"/>
    <w:rsid w:val="004057D8"/>
    <w:rsid w:val="00405BAB"/>
    <w:rsid w:val="00406F8B"/>
    <w:rsid w:val="00412CF1"/>
    <w:rsid w:val="00415DE2"/>
    <w:rsid w:val="004163C6"/>
    <w:rsid w:val="00420E27"/>
    <w:rsid w:val="00421B6D"/>
    <w:rsid w:val="00422017"/>
    <w:rsid w:val="004221F8"/>
    <w:rsid w:val="00430ED0"/>
    <w:rsid w:val="00432CB0"/>
    <w:rsid w:val="00433A3C"/>
    <w:rsid w:val="00434C55"/>
    <w:rsid w:val="004360C3"/>
    <w:rsid w:val="00436A66"/>
    <w:rsid w:val="00436F79"/>
    <w:rsid w:val="00437346"/>
    <w:rsid w:val="00442254"/>
    <w:rsid w:val="00442DC2"/>
    <w:rsid w:val="00447385"/>
    <w:rsid w:val="0044756C"/>
    <w:rsid w:val="00447F0B"/>
    <w:rsid w:val="00450D31"/>
    <w:rsid w:val="004512AE"/>
    <w:rsid w:val="00452B86"/>
    <w:rsid w:val="00461D80"/>
    <w:rsid w:val="00462539"/>
    <w:rsid w:val="00463AAE"/>
    <w:rsid w:val="004653F2"/>
    <w:rsid w:val="004667DF"/>
    <w:rsid w:val="0046783C"/>
    <w:rsid w:val="0046799F"/>
    <w:rsid w:val="0047129B"/>
    <w:rsid w:val="0047149A"/>
    <w:rsid w:val="00471714"/>
    <w:rsid w:val="00472BBF"/>
    <w:rsid w:val="00472F38"/>
    <w:rsid w:val="004740A3"/>
    <w:rsid w:val="00474656"/>
    <w:rsid w:val="00474D47"/>
    <w:rsid w:val="0048002B"/>
    <w:rsid w:val="004804FF"/>
    <w:rsid w:val="00481455"/>
    <w:rsid w:val="00481574"/>
    <w:rsid w:val="00483AD3"/>
    <w:rsid w:val="0048688B"/>
    <w:rsid w:val="00487991"/>
    <w:rsid w:val="0049399A"/>
    <w:rsid w:val="0049436D"/>
    <w:rsid w:val="004959A8"/>
    <w:rsid w:val="004978A1"/>
    <w:rsid w:val="004A3B43"/>
    <w:rsid w:val="004A5AAC"/>
    <w:rsid w:val="004A71EA"/>
    <w:rsid w:val="004B46F9"/>
    <w:rsid w:val="004B4FD2"/>
    <w:rsid w:val="004B657E"/>
    <w:rsid w:val="004C148D"/>
    <w:rsid w:val="004C4A14"/>
    <w:rsid w:val="004C4F4F"/>
    <w:rsid w:val="004C63E8"/>
    <w:rsid w:val="004C67AB"/>
    <w:rsid w:val="004D0D0E"/>
    <w:rsid w:val="004D1DD5"/>
    <w:rsid w:val="004D2E0D"/>
    <w:rsid w:val="004D5B5E"/>
    <w:rsid w:val="004D6FE0"/>
    <w:rsid w:val="004E09B9"/>
    <w:rsid w:val="004E114A"/>
    <w:rsid w:val="004E2C6D"/>
    <w:rsid w:val="004E3DD0"/>
    <w:rsid w:val="004E46D9"/>
    <w:rsid w:val="004E4902"/>
    <w:rsid w:val="004F0BB0"/>
    <w:rsid w:val="004F27AC"/>
    <w:rsid w:val="004F504C"/>
    <w:rsid w:val="004F5855"/>
    <w:rsid w:val="004F5BF7"/>
    <w:rsid w:val="00500730"/>
    <w:rsid w:val="0050130C"/>
    <w:rsid w:val="005014F0"/>
    <w:rsid w:val="005037ED"/>
    <w:rsid w:val="005058BE"/>
    <w:rsid w:val="005069DD"/>
    <w:rsid w:val="0050703D"/>
    <w:rsid w:val="00507942"/>
    <w:rsid w:val="00507D85"/>
    <w:rsid w:val="00510840"/>
    <w:rsid w:val="00510957"/>
    <w:rsid w:val="00510E83"/>
    <w:rsid w:val="005116FA"/>
    <w:rsid w:val="0051197D"/>
    <w:rsid w:val="005122A5"/>
    <w:rsid w:val="00512758"/>
    <w:rsid w:val="00513FF6"/>
    <w:rsid w:val="005141C2"/>
    <w:rsid w:val="005165D3"/>
    <w:rsid w:val="00521386"/>
    <w:rsid w:val="00521A2B"/>
    <w:rsid w:val="005231D2"/>
    <w:rsid w:val="005238E4"/>
    <w:rsid w:val="00525171"/>
    <w:rsid w:val="005254A4"/>
    <w:rsid w:val="0052558E"/>
    <w:rsid w:val="00526003"/>
    <w:rsid w:val="0053122F"/>
    <w:rsid w:val="005315E0"/>
    <w:rsid w:val="00531BBE"/>
    <w:rsid w:val="0053473D"/>
    <w:rsid w:val="00540E76"/>
    <w:rsid w:val="00541CCC"/>
    <w:rsid w:val="0054289C"/>
    <w:rsid w:val="00542C77"/>
    <w:rsid w:val="005430F4"/>
    <w:rsid w:val="0054414D"/>
    <w:rsid w:val="00544DF6"/>
    <w:rsid w:val="00546205"/>
    <w:rsid w:val="00553050"/>
    <w:rsid w:val="00555455"/>
    <w:rsid w:val="005554A6"/>
    <w:rsid w:val="005556AB"/>
    <w:rsid w:val="00555F82"/>
    <w:rsid w:val="00555FE3"/>
    <w:rsid w:val="0055696D"/>
    <w:rsid w:val="00557C31"/>
    <w:rsid w:val="00560719"/>
    <w:rsid w:val="00561DE4"/>
    <w:rsid w:val="00561EA2"/>
    <w:rsid w:val="005621B7"/>
    <w:rsid w:val="0056266A"/>
    <w:rsid w:val="0056313A"/>
    <w:rsid w:val="00563411"/>
    <w:rsid w:val="00565F3D"/>
    <w:rsid w:val="005679D4"/>
    <w:rsid w:val="00567AEE"/>
    <w:rsid w:val="00567C44"/>
    <w:rsid w:val="00572875"/>
    <w:rsid w:val="005737B7"/>
    <w:rsid w:val="00574B91"/>
    <w:rsid w:val="0057636E"/>
    <w:rsid w:val="005764E9"/>
    <w:rsid w:val="0057699B"/>
    <w:rsid w:val="00577838"/>
    <w:rsid w:val="005809FF"/>
    <w:rsid w:val="00580CE9"/>
    <w:rsid w:val="00581030"/>
    <w:rsid w:val="005812A4"/>
    <w:rsid w:val="00582E9E"/>
    <w:rsid w:val="005843DB"/>
    <w:rsid w:val="005852A7"/>
    <w:rsid w:val="005861FA"/>
    <w:rsid w:val="00586386"/>
    <w:rsid w:val="00587EC1"/>
    <w:rsid w:val="005907E1"/>
    <w:rsid w:val="00594001"/>
    <w:rsid w:val="00596AB2"/>
    <w:rsid w:val="00596D02"/>
    <w:rsid w:val="005A1546"/>
    <w:rsid w:val="005A18BC"/>
    <w:rsid w:val="005A3913"/>
    <w:rsid w:val="005A5FD0"/>
    <w:rsid w:val="005B0477"/>
    <w:rsid w:val="005B0F95"/>
    <w:rsid w:val="005B1ED8"/>
    <w:rsid w:val="005B306F"/>
    <w:rsid w:val="005B5BFB"/>
    <w:rsid w:val="005C01EF"/>
    <w:rsid w:val="005C09AB"/>
    <w:rsid w:val="005C13DA"/>
    <w:rsid w:val="005C1918"/>
    <w:rsid w:val="005C4EEB"/>
    <w:rsid w:val="005C4EFE"/>
    <w:rsid w:val="005C61C1"/>
    <w:rsid w:val="005C63C5"/>
    <w:rsid w:val="005C74D6"/>
    <w:rsid w:val="005D0A74"/>
    <w:rsid w:val="005D0EE3"/>
    <w:rsid w:val="005D1612"/>
    <w:rsid w:val="005D2245"/>
    <w:rsid w:val="005D2F52"/>
    <w:rsid w:val="005D507B"/>
    <w:rsid w:val="005D7E05"/>
    <w:rsid w:val="005D7E19"/>
    <w:rsid w:val="005E0CAF"/>
    <w:rsid w:val="005E0F3E"/>
    <w:rsid w:val="005E21EB"/>
    <w:rsid w:val="005E3CCB"/>
    <w:rsid w:val="005E4744"/>
    <w:rsid w:val="005E4DCD"/>
    <w:rsid w:val="005E6016"/>
    <w:rsid w:val="005F0844"/>
    <w:rsid w:val="005F0E58"/>
    <w:rsid w:val="005F0F24"/>
    <w:rsid w:val="005F188C"/>
    <w:rsid w:val="005F2844"/>
    <w:rsid w:val="005F2EF0"/>
    <w:rsid w:val="00600CE3"/>
    <w:rsid w:val="00603985"/>
    <w:rsid w:val="0060467B"/>
    <w:rsid w:val="00604696"/>
    <w:rsid w:val="00605182"/>
    <w:rsid w:val="00605D26"/>
    <w:rsid w:val="00605D5C"/>
    <w:rsid w:val="00606EF0"/>
    <w:rsid w:val="00607E78"/>
    <w:rsid w:val="006124F0"/>
    <w:rsid w:val="00612D37"/>
    <w:rsid w:val="006154A3"/>
    <w:rsid w:val="00615ED1"/>
    <w:rsid w:val="00617EB9"/>
    <w:rsid w:val="00622AAD"/>
    <w:rsid w:val="00623005"/>
    <w:rsid w:val="00625C34"/>
    <w:rsid w:val="00630EB4"/>
    <w:rsid w:val="0063499E"/>
    <w:rsid w:val="00637525"/>
    <w:rsid w:val="00640408"/>
    <w:rsid w:val="00641FEA"/>
    <w:rsid w:val="0064498D"/>
    <w:rsid w:val="00644B54"/>
    <w:rsid w:val="006450CF"/>
    <w:rsid w:val="00645693"/>
    <w:rsid w:val="00645E3C"/>
    <w:rsid w:val="00647BA6"/>
    <w:rsid w:val="00647E78"/>
    <w:rsid w:val="00652037"/>
    <w:rsid w:val="00652B68"/>
    <w:rsid w:val="00655143"/>
    <w:rsid w:val="00655886"/>
    <w:rsid w:val="006579CE"/>
    <w:rsid w:val="00663B46"/>
    <w:rsid w:val="00666BE6"/>
    <w:rsid w:val="00671A9E"/>
    <w:rsid w:val="00671DDC"/>
    <w:rsid w:val="00672C80"/>
    <w:rsid w:val="00673DFC"/>
    <w:rsid w:val="0067495F"/>
    <w:rsid w:val="006754D2"/>
    <w:rsid w:val="006765C3"/>
    <w:rsid w:val="00676C02"/>
    <w:rsid w:val="00677800"/>
    <w:rsid w:val="00677B1F"/>
    <w:rsid w:val="00680A9D"/>
    <w:rsid w:val="00681C25"/>
    <w:rsid w:val="00682006"/>
    <w:rsid w:val="00682FCC"/>
    <w:rsid w:val="00683318"/>
    <w:rsid w:val="00684C05"/>
    <w:rsid w:val="00685902"/>
    <w:rsid w:val="00687AB7"/>
    <w:rsid w:val="00690DA3"/>
    <w:rsid w:val="006916CA"/>
    <w:rsid w:val="006927FD"/>
    <w:rsid w:val="006928FA"/>
    <w:rsid w:val="00692C0E"/>
    <w:rsid w:val="006932C1"/>
    <w:rsid w:val="00693A2E"/>
    <w:rsid w:val="00693BC6"/>
    <w:rsid w:val="00694547"/>
    <w:rsid w:val="006956F7"/>
    <w:rsid w:val="0069668F"/>
    <w:rsid w:val="00697162"/>
    <w:rsid w:val="006A146B"/>
    <w:rsid w:val="006A1870"/>
    <w:rsid w:val="006A50EB"/>
    <w:rsid w:val="006A6D11"/>
    <w:rsid w:val="006A6F97"/>
    <w:rsid w:val="006A74F3"/>
    <w:rsid w:val="006A7577"/>
    <w:rsid w:val="006B121C"/>
    <w:rsid w:val="006B43DF"/>
    <w:rsid w:val="006B4B33"/>
    <w:rsid w:val="006B4F19"/>
    <w:rsid w:val="006B6D4A"/>
    <w:rsid w:val="006B7D5E"/>
    <w:rsid w:val="006C03F3"/>
    <w:rsid w:val="006C0810"/>
    <w:rsid w:val="006D03DD"/>
    <w:rsid w:val="006D2030"/>
    <w:rsid w:val="006D3456"/>
    <w:rsid w:val="006D452A"/>
    <w:rsid w:val="006D4F75"/>
    <w:rsid w:val="006D5A2D"/>
    <w:rsid w:val="006D5DC2"/>
    <w:rsid w:val="006E17D3"/>
    <w:rsid w:val="006E259D"/>
    <w:rsid w:val="006E5255"/>
    <w:rsid w:val="006E73E5"/>
    <w:rsid w:val="006F14E6"/>
    <w:rsid w:val="006F172C"/>
    <w:rsid w:val="006F19EA"/>
    <w:rsid w:val="006F25D9"/>
    <w:rsid w:val="006F3100"/>
    <w:rsid w:val="006F3458"/>
    <w:rsid w:val="006F3592"/>
    <w:rsid w:val="006F426B"/>
    <w:rsid w:val="006F6BED"/>
    <w:rsid w:val="006F7A5A"/>
    <w:rsid w:val="007002C2"/>
    <w:rsid w:val="00701DA7"/>
    <w:rsid w:val="00702410"/>
    <w:rsid w:val="007025AF"/>
    <w:rsid w:val="00706E25"/>
    <w:rsid w:val="00711EF4"/>
    <w:rsid w:val="00721614"/>
    <w:rsid w:val="0072253F"/>
    <w:rsid w:val="00723E17"/>
    <w:rsid w:val="00723EAD"/>
    <w:rsid w:val="00724EA7"/>
    <w:rsid w:val="0072525E"/>
    <w:rsid w:val="00725A85"/>
    <w:rsid w:val="00725EAA"/>
    <w:rsid w:val="00726124"/>
    <w:rsid w:val="007268E1"/>
    <w:rsid w:val="00727DC7"/>
    <w:rsid w:val="007306BC"/>
    <w:rsid w:val="00730BEA"/>
    <w:rsid w:val="007315BA"/>
    <w:rsid w:val="00731D70"/>
    <w:rsid w:val="00740713"/>
    <w:rsid w:val="00740CC5"/>
    <w:rsid w:val="00741CBF"/>
    <w:rsid w:val="00742849"/>
    <w:rsid w:val="00742D5B"/>
    <w:rsid w:val="00744B51"/>
    <w:rsid w:val="00752ACC"/>
    <w:rsid w:val="00752D8A"/>
    <w:rsid w:val="0075375B"/>
    <w:rsid w:val="00753B34"/>
    <w:rsid w:val="00754956"/>
    <w:rsid w:val="00755D87"/>
    <w:rsid w:val="00757797"/>
    <w:rsid w:val="00757D77"/>
    <w:rsid w:val="00765AAD"/>
    <w:rsid w:val="007663FA"/>
    <w:rsid w:val="00766CFA"/>
    <w:rsid w:val="007671DE"/>
    <w:rsid w:val="00767312"/>
    <w:rsid w:val="00770AD2"/>
    <w:rsid w:val="00772CC5"/>
    <w:rsid w:val="00774337"/>
    <w:rsid w:val="00774639"/>
    <w:rsid w:val="007756A4"/>
    <w:rsid w:val="007760AF"/>
    <w:rsid w:val="007772AC"/>
    <w:rsid w:val="0077756A"/>
    <w:rsid w:val="00780CAC"/>
    <w:rsid w:val="00783616"/>
    <w:rsid w:val="007860FB"/>
    <w:rsid w:val="00786278"/>
    <w:rsid w:val="00787654"/>
    <w:rsid w:val="00790646"/>
    <w:rsid w:val="00792113"/>
    <w:rsid w:val="007941F9"/>
    <w:rsid w:val="00795454"/>
    <w:rsid w:val="0079720E"/>
    <w:rsid w:val="0079755A"/>
    <w:rsid w:val="007A0B96"/>
    <w:rsid w:val="007A2609"/>
    <w:rsid w:val="007A3797"/>
    <w:rsid w:val="007A3C72"/>
    <w:rsid w:val="007A50B8"/>
    <w:rsid w:val="007A62B9"/>
    <w:rsid w:val="007B0693"/>
    <w:rsid w:val="007B7164"/>
    <w:rsid w:val="007C04C9"/>
    <w:rsid w:val="007C1B6A"/>
    <w:rsid w:val="007C3040"/>
    <w:rsid w:val="007C3A0A"/>
    <w:rsid w:val="007C4386"/>
    <w:rsid w:val="007C49F8"/>
    <w:rsid w:val="007C7665"/>
    <w:rsid w:val="007D13F9"/>
    <w:rsid w:val="007D159E"/>
    <w:rsid w:val="007D1A78"/>
    <w:rsid w:val="007D2B3D"/>
    <w:rsid w:val="007D2C3C"/>
    <w:rsid w:val="007D451C"/>
    <w:rsid w:val="007D4E10"/>
    <w:rsid w:val="007D58C1"/>
    <w:rsid w:val="007D6EF7"/>
    <w:rsid w:val="007D7A36"/>
    <w:rsid w:val="007E027F"/>
    <w:rsid w:val="007E04E5"/>
    <w:rsid w:val="007E0DD6"/>
    <w:rsid w:val="007E127D"/>
    <w:rsid w:val="007E59AE"/>
    <w:rsid w:val="007F0034"/>
    <w:rsid w:val="007F14D2"/>
    <w:rsid w:val="007F1AF3"/>
    <w:rsid w:val="007F3255"/>
    <w:rsid w:val="007F3D5D"/>
    <w:rsid w:val="007F4D55"/>
    <w:rsid w:val="007F5DB1"/>
    <w:rsid w:val="007F7A48"/>
    <w:rsid w:val="0080222B"/>
    <w:rsid w:val="00803312"/>
    <w:rsid w:val="008034BC"/>
    <w:rsid w:val="00805437"/>
    <w:rsid w:val="00806A2C"/>
    <w:rsid w:val="008078DF"/>
    <w:rsid w:val="00811395"/>
    <w:rsid w:val="008116FF"/>
    <w:rsid w:val="00811941"/>
    <w:rsid w:val="0081279A"/>
    <w:rsid w:val="00812DF9"/>
    <w:rsid w:val="0081521B"/>
    <w:rsid w:val="00816CF9"/>
    <w:rsid w:val="008201E2"/>
    <w:rsid w:val="008247EA"/>
    <w:rsid w:val="00825A7D"/>
    <w:rsid w:val="00827BD6"/>
    <w:rsid w:val="00827FAA"/>
    <w:rsid w:val="008320CC"/>
    <w:rsid w:val="0083283D"/>
    <w:rsid w:val="00833512"/>
    <w:rsid w:val="00834E77"/>
    <w:rsid w:val="00835A87"/>
    <w:rsid w:val="00837655"/>
    <w:rsid w:val="00840289"/>
    <w:rsid w:val="00845325"/>
    <w:rsid w:val="008453A6"/>
    <w:rsid w:val="00845FED"/>
    <w:rsid w:val="008461F8"/>
    <w:rsid w:val="00847E05"/>
    <w:rsid w:val="00847ED5"/>
    <w:rsid w:val="00850123"/>
    <w:rsid w:val="008538D6"/>
    <w:rsid w:val="00853AED"/>
    <w:rsid w:val="00856209"/>
    <w:rsid w:val="00864C11"/>
    <w:rsid w:val="00870DE2"/>
    <w:rsid w:val="00871AE4"/>
    <w:rsid w:val="00871B58"/>
    <w:rsid w:val="00873E6B"/>
    <w:rsid w:val="0087416A"/>
    <w:rsid w:val="008743F2"/>
    <w:rsid w:val="0087467E"/>
    <w:rsid w:val="00881C4B"/>
    <w:rsid w:val="00881C84"/>
    <w:rsid w:val="00884448"/>
    <w:rsid w:val="00885BA4"/>
    <w:rsid w:val="00885C8B"/>
    <w:rsid w:val="00885E2A"/>
    <w:rsid w:val="00886A43"/>
    <w:rsid w:val="00886DB7"/>
    <w:rsid w:val="0089059B"/>
    <w:rsid w:val="008907B4"/>
    <w:rsid w:val="00890B5D"/>
    <w:rsid w:val="00890BC2"/>
    <w:rsid w:val="00891466"/>
    <w:rsid w:val="00893234"/>
    <w:rsid w:val="00894E67"/>
    <w:rsid w:val="00895674"/>
    <w:rsid w:val="00896C0B"/>
    <w:rsid w:val="008A007A"/>
    <w:rsid w:val="008A15CC"/>
    <w:rsid w:val="008A38B1"/>
    <w:rsid w:val="008A435C"/>
    <w:rsid w:val="008A5D41"/>
    <w:rsid w:val="008A6AEE"/>
    <w:rsid w:val="008A7BA5"/>
    <w:rsid w:val="008B0D29"/>
    <w:rsid w:val="008B10BC"/>
    <w:rsid w:val="008B1EC7"/>
    <w:rsid w:val="008B20E1"/>
    <w:rsid w:val="008B502B"/>
    <w:rsid w:val="008C3259"/>
    <w:rsid w:val="008C3AAB"/>
    <w:rsid w:val="008C3BD7"/>
    <w:rsid w:val="008C435C"/>
    <w:rsid w:val="008C4761"/>
    <w:rsid w:val="008C5592"/>
    <w:rsid w:val="008C5CDD"/>
    <w:rsid w:val="008D09E7"/>
    <w:rsid w:val="008D0D2A"/>
    <w:rsid w:val="008D3DA3"/>
    <w:rsid w:val="008D515B"/>
    <w:rsid w:val="008D672F"/>
    <w:rsid w:val="008E037D"/>
    <w:rsid w:val="008E0ABB"/>
    <w:rsid w:val="008E2125"/>
    <w:rsid w:val="008E2C6A"/>
    <w:rsid w:val="008E4F67"/>
    <w:rsid w:val="008E4FDA"/>
    <w:rsid w:val="008E54AF"/>
    <w:rsid w:val="008E6785"/>
    <w:rsid w:val="008E7849"/>
    <w:rsid w:val="008E7C97"/>
    <w:rsid w:val="008F4222"/>
    <w:rsid w:val="008F4658"/>
    <w:rsid w:val="008F60A0"/>
    <w:rsid w:val="008F6A37"/>
    <w:rsid w:val="008F6D32"/>
    <w:rsid w:val="008F7732"/>
    <w:rsid w:val="008F7BD9"/>
    <w:rsid w:val="00900E2F"/>
    <w:rsid w:val="009027DA"/>
    <w:rsid w:val="00903334"/>
    <w:rsid w:val="00903461"/>
    <w:rsid w:val="00904E05"/>
    <w:rsid w:val="00905836"/>
    <w:rsid w:val="00905842"/>
    <w:rsid w:val="0091126E"/>
    <w:rsid w:val="00915B09"/>
    <w:rsid w:val="00915B24"/>
    <w:rsid w:val="0091657E"/>
    <w:rsid w:val="00916609"/>
    <w:rsid w:val="00916E1A"/>
    <w:rsid w:val="00921169"/>
    <w:rsid w:val="00922492"/>
    <w:rsid w:val="00924F93"/>
    <w:rsid w:val="00926284"/>
    <w:rsid w:val="00926A3B"/>
    <w:rsid w:val="009277F0"/>
    <w:rsid w:val="00927D3D"/>
    <w:rsid w:val="0093019A"/>
    <w:rsid w:val="00933D3A"/>
    <w:rsid w:val="00934365"/>
    <w:rsid w:val="0093455B"/>
    <w:rsid w:val="00935391"/>
    <w:rsid w:val="009358F6"/>
    <w:rsid w:val="009418CE"/>
    <w:rsid w:val="00942CCC"/>
    <w:rsid w:val="00945FBE"/>
    <w:rsid w:val="00947587"/>
    <w:rsid w:val="009501D7"/>
    <w:rsid w:val="00951F50"/>
    <w:rsid w:val="00953DEC"/>
    <w:rsid w:val="00954A11"/>
    <w:rsid w:val="00956379"/>
    <w:rsid w:val="009568B7"/>
    <w:rsid w:val="0096143B"/>
    <w:rsid w:val="00961AE1"/>
    <w:rsid w:val="00961E46"/>
    <w:rsid w:val="00964A76"/>
    <w:rsid w:val="00970769"/>
    <w:rsid w:val="0097544E"/>
    <w:rsid w:val="00976A63"/>
    <w:rsid w:val="00976F1A"/>
    <w:rsid w:val="00980094"/>
    <w:rsid w:val="0098051C"/>
    <w:rsid w:val="00983D9B"/>
    <w:rsid w:val="0098641C"/>
    <w:rsid w:val="00987A45"/>
    <w:rsid w:val="009906CD"/>
    <w:rsid w:val="009917E2"/>
    <w:rsid w:val="00995DD1"/>
    <w:rsid w:val="0099611E"/>
    <w:rsid w:val="009974AA"/>
    <w:rsid w:val="00997A87"/>
    <w:rsid w:val="009A5A57"/>
    <w:rsid w:val="009B0093"/>
    <w:rsid w:val="009B0A74"/>
    <w:rsid w:val="009B0D18"/>
    <w:rsid w:val="009B0F8B"/>
    <w:rsid w:val="009B160C"/>
    <w:rsid w:val="009B485D"/>
    <w:rsid w:val="009B4FC8"/>
    <w:rsid w:val="009B7ABD"/>
    <w:rsid w:val="009C2272"/>
    <w:rsid w:val="009C37B6"/>
    <w:rsid w:val="009C6EEF"/>
    <w:rsid w:val="009D0449"/>
    <w:rsid w:val="009D0827"/>
    <w:rsid w:val="009D0E99"/>
    <w:rsid w:val="009D345E"/>
    <w:rsid w:val="009D6E22"/>
    <w:rsid w:val="009D70C2"/>
    <w:rsid w:val="009E077D"/>
    <w:rsid w:val="009E214B"/>
    <w:rsid w:val="009E291F"/>
    <w:rsid w:val="009E2C64"/>
    <w:rsid w:val="009E2DCA"/>
    <w:rsid w:val="009E3402"/>
    <w:rsid w:val="009E3846"/>
    <w:rsid w:val="009E4C9A"/>
    <w:rsid w:val="009E5151"/>
    <w:rsid w:val="009E5E68"/>
    <w:rsid w:val="009F17A9"/>
    <w:rsid w:val="009F4895"/>
    <w:rsid w:val="009F5FDB"/>
    <w:rsid w:val="009F6812"/>
    <w:rsid w:val="009F6B57"/>
    <w:rsid w:val="00A00603"/>
    <w:rsid w:val="00A01329"/>
    <w:rsid w:val="00A02FFE"/>
    <w:rsid w:val="00A048BC"/>
    <w:rsid w:val="00A04CA7"/>
    <w:rsid w:val="00A10AA5"/>
    <w:rsid w:val="00A10FF0"/>
    <w:rsid w:val="00A14919"/>
    <w:rsid w:val="00A1507D"/>
    <w:rsid w:val="00A21589"/>
    <w:rsid w:val="00A2165F"/>
    <w:rsid w:val="00A24590"/>
    <w:rsid w:val="00A24E58"/>
    <w:rsid w:val="00A24F50"/>
    <w:rsid w:val="00A25638"/>
    <w:rsid w:val="00A27984"/>
    <w:rsid w:val="00A27DC6"/>
    <w:rsid w:val="00A37173"/>
    <w:rsid w:val="00A378F0"/>
    <w:rsid w:val="00A4106D"/>
    <w:rsid w:val="00A412F9"/>
    <w:rsid w:val="00A41D97"/>
    <w:rsid w:val="00A421A7"/>
    <w:rsid w:val="00A42444"/>
    <w:rsid w:val="00A42A66"/>
    <w:rsid w:val="00A434D3"/>
    <w:rsid w:val="00A443A1"/>
    <w:rsid w:val="00A44B73"/>
    <w:rsid w:val="00A46947"/>
    <w:rsid w:val="00A50700"/>
    <w:rsid w:val="00A53B16"/>
    <w:rsid w:val="00A549AA"/>
    <w:rsid w:val="00A5631E"/>
    <w:rsid w:val="00A60A9F"/>
    <w:rsid w:val="00A6229A"/>
    <w:rsid w:val="00A623E5"/>
    <w:rsid w:val="00A63159"/>
    <w:rsid w:val="00A6434A"/>
    <w:rsid w:val="00A65648"/>
    <w:rsid w:val="00A66809"/>
    <w:rsid w:val="00A67AFB"/>
    <w:rsid w:val="00A705AD"/>
    <w:rsid w:val="00A736E4"/>
    <w:rsid w:val="00A7688D"/>
    <w:rsid w:val="00A76C21"/>
    <w:rsid w:val="00A81C07"/>
    <w:rsid w:val="00A828CE"/>
    <w:rsid w:val="00A85424"/>
    <w:rsid w:val="00A85BFF"/>
    <w:rsid w:val="00A8698D"/>
    <w:rsid w:val="00A876F8"/>
    <w:rsid w:val="00A9193D"/>
    <w:rsid w:val="00A9593F"/>
    <w:rsid w:val="00A959EA"/>
    <w:rsid w:val="00AA0AD9"/>
    <w:rsid w:val="00AA2426"/>
    <w:rsid w:val="00AA5100"/>
    <w:rsid w:val="00AA600E"/>
    <w:rsid w:val="00AA7E8D"/>
    <w:rsid w:val="00AB130A"/>
    <w:rsid w:val="00AB3A36"/>
    <w:rsid w:val="00AB45FD"/>
    <w:rsid w:val="00AB5391"/>
    <w:rsid w:val="00AC0273"/>
    <w:rsid w:val="00AC1DB6"/>
    <w:rsid w:val="00AC2DA4"/>
    <w:rsid w:val="00AC3199"/>
    <w:rsid w:val="00AC34E4"/>
    <w:rsid w:val="00AC399C"/>
    <w:rsid w:val="00AC4ED5"/>
    <w:rsid w:val="00AC5D18"/>
    <w:rsid w:val="00AC6739"/>
    <w:rsid w:val="00AD151D"/>
    <w:rsid w:val="00AD1891"/>
    <w:rsid w:val="00AD1A4E"/>
    <w:rsid w:val="00AD1BAF"/>
    <w:rsid w:val="00AD2AD2"/>
    <w:rsid w:val="00AD3FBF"/>
    <w:rsid w:val="00AD420C"/>
    <w:rsid w:val="00AD438E"/>
    <w:rsid w:val="00AD4456"/>
    <w:rsid w:val="00AD4F90"/>
    <w:rsid w:val="00AD550E"/>
    <w:rsid w:val="00AD7F7B"/>
    <w:rsid w:val="00AE039E"/>
    <w:rsid w:val="00AE0C2E"/>
    <w:rsid w:val="00AE301D"/>
    <w:rsid w:val="00AE311B"/>
    <w:rsid w:val="00AE3A0C"/>
    <w:rsid w:val="00AE489D"/>
    <w:rsid w:val="00AE48EB"/>
    <w:rsid w:val="00AE4E3C"/>
    <w:rsid w:val="00AE5C1A"/>
    <w:rsid w:val="00AF1FAD"/>
    <w:rsid w:val="00AF3B83"/>
    <w:rsid w:val="00AF560A"/>
    <w:rsid w:val="00AF718A"/>
    <w:rsid w:val="00AF7F05"/>
    <w:rsid w:val="00AF7F0C"/>
    <w:rsid w:val="00B0231D"/>
    <w:rsid w:val="00B0260A"/>
    <w:rsid w:val="00B029AF"/>
    <w:rsid w:val="00B036C7"/>
    <w:rsid w:val="00B037C1"/>
    <w:rsid w:val="00B0529E"/>
    <w:rsid w:val="00B06628"/>
    <w:rsid w:val="00B06885"/>
    <w:rsid w:val="00B06908"/>
    <w:rsid w:val="00B07ED9"/>
    <w:rsid w:val="00B1078D"/>
    <w:rsid w:val="00B10FF7"/>
    <w:rsid w:val="00B11CC0"/>
    <w:rsid w:val="00B140FE"/>
    <w:rsid w:val="00B14A98"/>
    <w:rsid w:val="00B158C9"/>
    <w:rsid w:val="00B15AA6"/>
    <w:rsid w:val="00B1619B"/>
    <w:rsid w:val="00B17308"/>
    <w:rsid w:val="00B17BC0"/>
    <w:rsid w:val="00B2067A"/>
    <w:rsid w:val="00B212D6"/>
    <w:rsid w:val="00B21329"/>
    <w:rsid w:val="00B21BE9"/>
    <w:rsid w:val="00B22647"/>
    <w:rsid w:val="00B24058"/>
    <w:rsid w:val="00B24400"/>
    <w:rsid w:val="00B2714A"/>
    <w:rsid w:val="00B30A0F"/>
    <w:rsid w:val="00B3277A"/>
    <w:rsid w:val="00B32BFA"/>
    <w:rsid w:val="00B32EC8"/>
    <w:rsid w:val="00B366BB"/>
    <w:rsid w:val="00B36977"/>
    <w:rsid w:val="00B36CF5"/>
    <w:rsid w:val="00B37659"/>
    <w:rsid w:val="00B40BA2"/>
    <w:rsid w:val="00B417AC"/>
    <w:rsid w:val="00B43572"/>
    <w:rsid w:val="00B44E22"/>
    <w:rsid w:val="00B4588D"/>
    <w:rsid w:val="00B46062"/>
    <w:rsid w:val="00B471D0"/>
    <w:rsid w:val="00B506F3"/>
    <w:rsid w:val="00B512E8"/>
    <w:rsid w:val="00B519E6"/>
    <w:rsid w:val="00B521F1"/>
    <w:rsid w:val="00B5278B"/>
    <w:rsid w:val="00B528AF"/>
    <w:rsid w:val="00B54EA3"/>
    <w:rsid w:val="00B55645"/>
    <w:rsid w:val="00B55C0D"/>
    <w:rsid w:val="00B56491"/>
    <w:rsid w:val="00B615E3"/>
    <w:rsid w:val="00B61F44"/>
    <w:rsid w:val="00B63BBB"/>
    <w:rsid w:val="00B702A7"/>
    <w:rsid w:val="00B71053"/>
    <w:rsid w:val="00B7358B"/>
    <w:rsid w:val="00B73BBF"/>
    <w:rsid w:val="00B75AFC"/>
    <w:rsid w:val="00B76633"/>
    <w:rsid w:val="00B80A8B"/>
    <w:rsid w:val="00B8265C"/>
    <w:rsid w:val="00B842BC"/>
    <w:rsid w:val="00B85515"/>
    <w:rsid w:val="00B85CA5"/>
    <w:rsid w:val="00B86A71"/>
    <w:rsid w:val="00B873AB"/>
    <w:rsid w:val="00B928CE"/>
    <w:rsid w:val="00B92B8C"/>
    <w:rsid w:val="00B93010"/>
    <w:rsid w:val="00B9408A"/>
    <w:rsid w:val="00B940F3"/>
    <w:rsid w:val="00B950F3"/>
    <w:rsid w:val="00B9545A"/>
    <w:rsid w:val="00B96213"/>
    <w:rsid w:val="00B96636"/>
    <w:rsid w:val="00BA105D"/>
    <w:rsid w:val="00BA26B8"/>
    <w:rsid w:val="00BA346B"/>
    <w:rsid w:val="00BA656D"/>
    <w:rsid w:val="00BA65A8"/>
    <w:rsid w:val="00BA7358"/>
    <w:rsid w:val="00BA7D1F"/>
    <w:rsid w:val="00BB0D5F"/>
    <w:rsid w:val="00BB155E"/>
    <w:rsid w:val="00BB31B4"/>
    <w:rsid w:val="00BB3328"/>
    <w:rsid w:val="00BB4272"/>
    <w:rsid w:val="00BB5956"/>
    <w:rsid w:val="00BB6BE7"/>
    <w:rsid w:val="00BC0115"/>
    <w:rsid w:val="00BC1A5F"/>
    <w:rsid w:val="00BC267D"/>
    <w:rsid w:val="00BC2EFA"/>
    <w:rsid w:val="00BC3857"/>
    <w:rsid w:val="00BD1D45"/>
    <w:rsid w:val="00BD5D64"/>
    <w:rsid w:val="00BD7608"/>
    <w:rsid w:val="00BE228A"/>
    <w:rsid w:val="00BE4459"/>
    <w:rsid w:val="00BE4BC8"/>
    <w:rsid w:val="00BE4D87"/>
    <w:rsid w:val="00BE4F29"/>
    <w:rsid w:val="00BE72CB"/>
    <w:rsid w:val="00BE78BA"/>
    <w:rsid w:val="00BE7BD5"/>
    <w:rsid w:val="00BF003E"/>
    <w:rsid w:val="00BF0E61"/>
    <w:rsid w:val="00BF12F3"/>
    <w:rsid w:val="00BF319F"/>
    <w:rsid w:val="00C0235A"/>
    <w:rsid w:val="00C02E8C"/>
    <w:rsid w:val="00C03A8F"/>
    <w:rsid w:val="00C044C8"/>
    <w:rsid w:val="00C050C6"/>
    <w:rsid w:val="00C05131"/>
    <w:rsid w:val="00C10225"/>
    <w:rsid w:val="00C148D1"/>
    <w:rsid w:val="00C159D4"/>
    <w:rsid w:val="00C15D56"/>
    <w:rsid w:val="00C164BB"/>
    <w:rsid w:val="00C1739E"/>
    <w:rsid w:val="00C17D0E"/>
    <w:rsid w:val="00C204A7"/>
    <w:rsid w:val="00C20ACB"/>
    <w:rsid w:val="00C220A9"/>
    <w:rsid w:val="00C22637"/>
    <w:rsid w:val="00C230EA"/>
    <w:rsid w:val="00C2369D"/>
    <w:rsid w:val="00C247AC"/>
    <w:rsid w:val="00C26047"/>
    <w:rsid w:val="00C267D2"/>
    <w:rsid w:val="00C30CA7"/>
    <w:rsid w:val="00C31E0B"/>
    <w:rsid w:val="00C33E0D"/>
    <w:rsid w:val="00C34390"/>
    <w:rsid w:val="00C34399"/>
    <w:rsid w:val="00C35F11"/>
    <w:rsid w:val="00C36A9C"/>
    <w:rsid w:val="00C41589"/>
    <w:rsid w:val="00C416CF"/>
    <w:rsid w:val="00C41D75"/>
    <w:rsid w:val="00C43EE4"/>
    <w:rsid w:val="00C44F47"/>
    <w:rsid w:val="00C47550"/>
    <w:rsid w:val="00C47F6E"/>
    <w:rsid w:val="00C5062C"/>
    <w:rsid w:val="00C515D2"/>
    <w:rsid w:val="00C5283E"/>
    <w:rsid w:val="00C546B2"/>
    <w:rsid w:val="00C54C91"/>
    <w:rsid w:val="00C57950"/>
    <w:rsid w:val="00C60BCD"/>
    <w:rsid w:val="00C62DA1"/>
    <w:rsid w:val="00C63E0A"/>
    <w:rsid w:val="00C651A1"/>
    <w:rsid w:val="00C6577C"/>
    <w:rsid w:val="00C65E2C"/>
    <w:rsid w:val="00C662F8"/>
    <w:rsid w:val="00C6789A"/>
    <w:rsid w:val="00C71CF5"/>
    <w:rsid w:val="00C72A5E"/>
    <w:rsid w:val="00C7433D"/>
    <w:rsid w:val="00C756E5"/>
    <w:rsid w:val="00C75DC2"/>
    <w:rsid w:val="00C774B7"/>
    <w:rsid w:val="00C8069D"/>
    <w:rsid w:val="00C80F71"/>
    <w:rsid w:val="00C8181B"/>
    <w:rsid w:val="00C819A7"/>
    <w:rsid w:val="00C8314D"/>
    <w:rsid w:val="00C846DE"/>
    <w:rsid w:val="00C84E0B"/>
    <w:rsid w:val="00C86913"/>
    <w:rsid w:val="00C8696E"/>
    <w:rsid w:val="00C86EF0"/>
    <w:rsid w:val="00C8761A"/>
    <w:rsid w:val="00C9058A"/>
    <w:rsid w:val="00C90C1C"/>
    <w:rsid w:val="00C93688"/>
    <w:rsid w:val="00C972D5"/>
    <w:rsid w:val="00C97737"/>
    <w:rsid w:val="00CA00F1"/>
    <w:rsid w:val="00CA3781"/>
    <w:rsid w:val="00CA49AD"/>
    <w:rsid w:val="00CA4BA4"/>
    <w:rsid w:val="00CA5948"/>
    <w:rsid w:val="00CA5E47"/>
    <w:rsid w:val="00CA61EB"/>
    <w:rsid w:val="00CA61FB"/>
    <w:rsid w:val="00CA683F"/>
    <w:rsid w:val="00CA6DF9"/>
    <w:rsid w:val="00CA7448"/>
    <w:rsid w:val="00CB0FBB"/>
    <w:rsid w:val="00CB2D60"/>
    <w:rsid w:val="00CB6B80"/>
    <w:rsid w:val="00CC0C02"/>
    <w:rsid w:val="00CC0E41"/>
    <w:rsid w:val="00CC2749"/>
    <w:rsid w:val="00CC488B"/>
    <w:rsid w:val="00CC5DD2"/>
    <w:rsid w:val="00CC7359"/>
    <w:rsid w:val="00CC7AE0"/>
    <w:rsid w:val="00CD0914"/>
    <w:rsid w:val="00CD2E8B"/>
    <w:rsid w:val="00CD4636"/>
    <w:rsid w:val="00CD573D"/>
    <w:rsid w:val="00CD6700"/>
    <w:rsid w:val="00CD776C"/>
    <w:rsid w:val="00CD7BD9"/>
    <w:rsid w:val="00CD7F62"/>
    <w:rsid w:val="00CE1749"/>
    <w:rsid w:val="00CE258A"/>
    <w:rsid w:val="00CE2A66"/>
    <w:rsid w:val="00CE350F"/>
    <w:rsid w:val="00CE41E2"/>
    <w:rsid w:val="00CE5788"/>
    <w:rsid w:val="00CE64DB"/>
    <w:rsid w:val="00CE6693"/>
    <w:rsid w:val="00CE6CF5"/>
    <w:rsid w:val="00CF0214"/>
    <w:rsid w:val="00CF02FD"/>
    <w:rsid w:val="00CF0686"/>
    <w:rsid w:val="00CF16CA"/>
    <w:rsid w:val="00CF3C00"/>
    <w:rsid w:val="00CF5CDC"/>
    <w:rsid w:val="00CF698A"/>
    <w:rsid w:val="00CF6BE2"/>
    <w:rsid w:val="00CF78C2"/>
    <w:rsid w:val="00D00360"/>
    <w:rsid w:val="00D02004"/>
    <w:rsid w:val="00D06B26"/>
    <w:rsid w:val="00D104F9"/>
    <w:rsid w:val="00D107DA"/>
    <w:rsid w:val="00D10E1E"/>
    <w:rsid w:val="00D13D24"/>
    <w:rsid w:val="00D140B7"/>
    <w:rsid w:val="00D14E92"/>
    <w:rsid w:val="00D150F3"/>
    <w:rsid w:val="00D15364"/>
    <w:rsid w:val="00D15A46"/>
    <w:rsid w:val="00D17A74"/>
    <w:rsid w:val="00D17B56"/>
    <w:rsid w:val="00D225FB"/>
    <w:rsid w:val="00D24EBA"/>
    <w:rsid w:val="00D25B8B"/>
    <w:rsid w:val="00D2626B"/>
    <w:rsid w:val="00D2697E"/>
    <w:rsid w:val="00D27EC7"/>
    <w:rsid w:val="00D322B1"/>
    <w:rsid w:val="00D326B6"/>
    <w:rsid w:val="00D340BC"/>
    <w:rsid w:val="00D360B5"/>
    <w:rsid w:val="00D361E8"/>
    <w:rsid w:val="00D3666E"/>
    <w:rsid w:val="00D41403"/>
    <w:rsid w:val="00D4263A"/>
    <w:rsid w:val="00D42650"/>
    <w:rsid w:val="00D4265D"/>
    <w:rsid w:val="00D46607"/>
    <w:rsid w:val="00D478DB"/>
    <w:rsid w:val="00D47E13"/>
    <w:rsid w:val="00D5258C"/>
    <w:rsid w:val="00D54B0C"/>
    <w:rsid w:val="00D55FD1"/>
    <w:rsid w:val="00D56462"/>
    <w:rsid w:val="00D56E9F"/>
    <w:rsid w:val="00D579F8"/>
    <w:rsid w:val="00D60E01"/>
    <w:rsid w:val="00D62753"/>
    <w:rsid w:val="00D64C9A"/>
    <w:rsid w:val="00D64D70"/>
    <w:rsid w:val="00D65BFC"/>
    <w:rsid w:val="00D66452"/>
    <w:rsid w:val="00D66B9D"/>
    <w:rsid w:val="00D66E3D"/>
    <w:rsid w:val="00D67114"/>
    <w:rsid w:val="00D70E4B"/>
    <w:rsid w:val="00D716C1"/>
    <w:rsid w:val="00D73D07"/>
    <w:rsid w:val="00D7566D"/>
    <w:rsid w:val="00D771A5"/>
    <w:rsid w:val="00D778BF"/>
    <w:rsid w:val="00D807D7"/>
    <w:rsid w:val="00D81910"/>
    <w:rsid w:val="00D83A46"/>
    <w:rsid w:val="00D843D2"/>
    <w:rsid w:val="00D845CC"/>
    <w:rsid w:val="00D92965"/>
    <w:rsid w:val="00D94476"/>
    <w:rsid w:val="00D96D1A"/>
    <w:rsid w:val="00D971AD"/>
    <w:rsid w:val="00D97C29"/>
    <w:rsid w:val="00D97F44"/>
    <w:rsid w:val="00D97F9F"/>
    <w:rsid w:val="00DA08B6"/>
    <w:rsid w:val="00DA2D24"/>
    <w:rsid w:val="00DA7FCD"/>
    <w:rsid w:val="00DB059D"/>
    <w:rsid w:val="00DB1890"/>
    <w:rsid w:val="00DB1ACD"/>
    <w:rsid w:val="00DB4D5C"/>
    <w:rsid w:val="00DB7E3F"/>
    <w:rsid w:val="00DC18B7"/>
    <w:rsid w:val="00DC1B54"/>
    <w:rsid w:val="00DC2444"/>
    <w:rsid w:val="00DC4D80"/>
    <w:rsid w:val="00DC657C"/>
    <w:rsid w:val="00DC6DAE"/>
    <w:rsid w:val="00DD01B6"/>
    <w:rsid w:val="00DD3D1F"/>
    <w:rsid w:val="00DD4262"/>
    <w:rsid w:val="00DD6401"/>
    <w:rsid w:val="00DE017C"/>
    <w:rsid w:val="00DE0F14"/>
    <w:rsid w:val="00DE167B"/>
    <w:rsid w:val="00DE1D70"/>
    <w:rsid w:val="00DE20B9"/>
    <w:rsid w:val="00DE2E10"/>
    <w:rsid w:val="00DE3835"/>
    <w:rsid w:val="00DE658C"/>
    <w:rsid w:val="00DF1F1B"/>
    <w:rsid w:val="00DF28FA"/>
    <w:rsid w:val="00DF502E"/>
    <w:rsid w:val="00DF516E"/>
    <w:rsid w:val="00DF5614"/>
    <w:rsid w:val="00DF5808"/>
    <w:rsid w:val="00DF5904"/>
    <w:rsid w:val="00DF6C91"/>
    <w:rsid w:val="00E01020"/>
    <w:rsid w:val="00E06A0C"/>
    <w:rsid w:val="00E0707F"/>
    <w:rsid w:val="00E075FD"/>
    <w:rsid w:val="00E07961"/>
    <w:rsid w:val="00E103A2"/>
    <w:rsid w:val="00E10500"/>
    <w:rsid w:val="00E127C1"/>
    <w:rsid w:val="00E15949"/>
    <w:rsid w:val="00E17588"/>
    <w:rsid w:val="00E21465"/>
    <w:rsid w:val="00E22DFD"/>
    <w:rsid w:val="00E2428C"/>
    <w:rsid w:val="00E2525F"/>
    <w:rsid w:val="00E311C9"/>
    <w:rsid w:val="00E31C9A"/>
    <w:rsid w:val="00E31D3C"/>
    <w:rsid w:val="00E34E86"/>
    <w:rsid w:val="00E37226"/>
    <w:rsid w:val="00E375FB"/>
    <w:rsid w:val="00E40E86"/>
    <w:rsid w:val="00E41DC6"/>
    <w:rsid w:val="00E43661"/>
    <w:rsid w:val="00E43D05"/>
    <w:rsid w:val="00E43DEB"/>
    <w:rsid w:val="00E46702"/>
    <w:rsid w:val="00E4696C"/>
    <w:rsid w:val="00E5071E"/>
    <w:rsid w:val="00E52097"/>
    <w:rsid w:val="00E52514"/>
    <w:rsid w:val="00E546C9"/>
    <w:rsid w:val="00E55E4D"/>
    <w:rsid w:val="00E5660C"/>
    <w:rsid w:val="00E57751"/>
    <w:rsid w:val="00E57BEA"/>
    <w:rsid w:val="00E6055E"/>
    <w:rsid w:val="00E60706"/>
    <w:rsid w:val="00E639E1"/>
    <w:rsid w:val="00E63E81"/>
    <w:rsid w:val="00E6464A"/>
    <w:rsid w:val="00E675B8"/>
    <w:rsid w:val="00E710C3"/>
    <w:rsid w:val="00E7266F"/>
    <w:rsid w:val="00E73231"/>
    <w:rsid w:val="00E7450A"/>
    <w:rsid w:val="00E8642E"/>
    <w:rsid w:val="00E868DC"/>
    <w:rsid w:val="00E8756F"/>
    <w:rsid w:val="00E8764E"/>
    <w:rsid w:val="00E87AD0"/>
    <w:rsid w:val="00E90C92"/>
    <w:rsid w:val="00E92817"/>
    <w:rsid w:val="00E92D6E"/>
    <w:rsid w:val="00E95A3F"/>
    <w:rsid w:val="00E96739"/>
    <w:rsid w:val="00E97A40"/>
    <w:rsid w:val="00EA142B"/>
    <w:rsid w:val="00EA2A44"/>
    <w:rsid w:val="00EA5A84"/>
    <w:rsid w:val="00EB030D"/>
    <w:rsid w:val="00EB17A7"/>
    <w:rsid w:val="00EB29FC"/>
    <w:rsid w:val="00EB3AC9"/>
    <w:rsid w:val="00EB4578"/>
    <w:rsid w:val="00EB5223"/>
    <w:rsid w:val="00EB5356"/>
    <w:rsid w:val="00EB6277"/>
    <w:rsid w:val="00EB681F"/>
    <w:rsid w:val="00EB7A84"/>
    <w:rsid w:val="00EB7D17"/>
    <w:rsid w:val="00EC1C01"/>
    <w:rsid w:val="00EC2D9A"/>
    <w:rsid w:val="00EC3045"/>
    <w:rsid w:val="00EC32E9"/>
    <w:rsid w:val="00EC38F4"/>
    <w:rsid w:val="00EC41F3"/>
    <w:rsid w:val="00EC4D7D"/>
    <w:rsid w:val="00EC56CA"/>
    <w:rsid w:val="00EC5721"/>
    <w:rsid w:val="00EC5BC2"/>
    <w:rsid w:val="00EC6504"/>
    <w:rsid w:val="00ED0654"/>
    <w:rsid w:val="00ED1992"/>
    <w:rsid w:val="00ED3640"/>
    <w:rsid w:val="00ED6B3E"/>
    <w:rsid w:val="00ED7F1C"/>
    <w:rsid w:val="00EE5ABB"/>
    <w:rsid w:val="00EE7237"/>
    <w:rsid w:val="00EE7E7A"/>
    <w:rsid w:val="00EF0428"/>
    <w:rsid w:val="00EF0B28"/>
    <w:rsid w:val="00EF0DF2"/>
    <w:rsid w:val="00EF1A61"/>
    <w:rsid w:val="00EF23B2"/>
    <w:rsid w:val="00EF3B98"/>
    <w:rsid w:val="00EF567F"/>
    <w:rsid w:val="00EF5ABE"/>
    <w:rsid w:val="00EF611E"/>
    <w:rsid w:val="00EF64AE"/>
    <w:rsid w:val="00EF6B6B"/>
    <w:rsid w:val="00EF72AA"/>
    <w:rsid w:val="00EF7BE8"/>
    <w:rsid w:val="00F05181"/>
    <w:rsid w:val="00F0575A"/>
    <w:rsid w:val="00F065DA"/>
    <w:rsid w:val="00F11908"/>
    <w:rsid w:val="00F12FDA"/>
    <w:rsid w:val="00F13398"/>
    <w:rsid w:val="00F13443"/>
    <w:rsid w:val="00F13B58"/>
    <w:rsid w:val="00F13FBF"/>
    <w:rsid w:val="00F14213"/>
    <w:rsid w:val="00F15174"/>
    <w:rsid w:val="00F17DCA"/>
    <w:rsid w:val="00F212E5"/>
    <w:rsid w:val="00F21A3F"/>
    <w:rsid w:val="00F21D0F"/>
    <w:rsid w:val="00F24622"/>
    <w:rsid w:val="00F26DFD"/>
    <w:rsid w:val="00F326FD"/>
    <w:rsid w:val="00F345C8"/>
    <w:rsid w:val="00F378FA"/>
    <w:rsid w:val="00F37CFB"/>
    <w:rsid w:val="00F40CA2"/>
    <w:rsid w:val="00F41637"/>
    <w:rsid w:val="00F41F32"/>
    <w:rsid w:val="00F42BE9"/>
    <w:rsid w:val="00F434F2"/>
    <w:rsid w:val="00F43A7F"/>
    <w:rsid w:val="00F44070"/>
    <w:rsid w:val="00F446A1"/>
    <w:rsid w:val="00F44A23"/>
    <w:rsid w:val="00F45E0B"/>
    <w:rsid w:val="00F467C2"/>
    <w:rsid w:val="00F50E00"/>
    <w:rsid w:val="00F51AF5"/>
    <w:rsid w:val="00F536D0"/>
    <w:rsid w:val="00F53EB7"/>
    <w:rsid w:val="00F546DA"/>
    <w:rsid w:val="00F55C65"/>
    <w:rsid w:val="00F56FBE"/>
    <w:rsid w:val="00F57260"/>
    <w:rsid w:val="00F6105D"/>
    <w:rsid w:val="00F616FA"/>
    <w:rsid w:val="00F62236"/>
    <w:rsid w:val="00F6254F"/>
    <w:rsid w:val="00F62AD3"/>
    <w:rsid w:val="00F6347C"/>
    <w:rsid w:val="00F63519"/>
    <w:rsid w:val="00F6454A"/>
    <w:rsid w:val="00F64560"/>
    <w:rsid w:val="00F648B8"/>
    <w:rsid w:val="00F66CD1"/>
    <w:rsid w:val="00F67B81"/>
    <w:rsid w:val="00F71561"/>
    <w:rsid w:val="00F72557"/>
    <w:rsid w:val="00F72F1C"/>
    <w:rsid w:val="00F737D4"/>
    <w:rsid w:val="00F74703"/>
    <w:rsid w:val="00F767EE"/>
    <w:rsid w:val="00F7682E"/>
    <w:rsid w:val="00F8211D"/>
    <w:rsid w:val="00F82783"/>
    <w:rsid w:val="00F82D7C"/>
    <w:rsid w:val="00F83F8C"/>
    <w:rsid w:val="00F850E5"/>
    <w:rsid w:val="00F8653D"/>
    <w:rsid w:val="00F874A0"/>
    <w:rsid w:val="00F9045C"/>
    <w:rsid w:val="00F904F6"/>
    <w:rsid w:val="00F916BA"/>
    <w:rsid w:val="00F91BB7"/>
    <w:rsid w:val="00F9288A"/>
    <w:rsid w:val="00F9312F"/>
    <w:rsid w:val="00F937C7"/>
    <w:rsid w:val="00F942AE"/>
    <w:rsid w:val="00F94CEE"/>
    <w:rsid w:val="00F955C9"/>
    <w:rsid w:val="00FA5018"/>
    <w:rsid w:val="00FA5907"/>
    <w:rsid w:val="00FA5C34"/>
    <w:rsid w:val="00FA61FB"/>
    <w:rsid w:val="00FB1564"/>
    <w:rsid w:val="00FB3813"/>
    <w:rsid w:val="00FB608E"/>
    <w:rsid w:val="00FB74C3"/>
    <w:rsid w:val="00FC0B9A"/>
    <w:rsid w:val="00FC1572"/>
    <w:rsid w:val="00FC1E98"/>
    <w:rsid w:val="00FC5E93"/>
    <w:rsid w:val="00FC67BB"/>
    <w:rsid w:val="00FC6A9B"/>
    <w:rsid w:val="00FD3813"/>
    <w:rsid w:val="00FD4C82"/>
    <w:rsid w:val="00FD5024"/>
    <w:rsid w:val="00FD556E"/>
    <w:rsid w:val="00FE0769"/>
    <w:rsid w:val="00FE07AE"/>
    <w:rsid w:val="00FE0B96"/>
    <w:rsid w:val="00FE0E23"/>
    <w:rsid w:val="00FE1B95"/>
    <w:rsid w:val="00FE47A0"/>
    <w:rsid w:val="00FE504E"/>
    <w:rsid w:val="00FE6873"/>
    <w:rsid w:val="00FE6C0E"/>
    <w:rsid w:val="00FE6DE6"/>
    <w:rsid w:val="00FE7A31"/>
    <w:rsid w:val="00FF0FE9"/>
    <w:rsid w:val="00FF15CE"/>
    <w:rsid w:val="00FF4783"/>
    <w:rsid w:val="00FF4A85"/>
    <w:rsid w:val="00FF4AA2"/>
    <w:rsid w:val="00FF5C17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oNotEmbedSmartTags/>
  <w:decimalSymbol w:val=","/>
  <w:listSeparator w:val=";"/>
  <w15:chartTrackingRefBased/>
  <w15:docId w15:val="{EAD0D765-5A4D-4152-900F-110740FB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1A5"/>
    <w:pPr>
      <w:suppressAutoHyphens/>
    </w:pPr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rFonts w:ascii="TimesRomanR" w:hAnsi="TimesRomanR" w:cs="TimesRoman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jc w:val="center"/>
      <w:outlineLvl w:val="4"/>
    </w:pPr>
    <w:rPr>
      <w:b/>
      <w:bCs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ind w:left="0" w:firstLine="720"/>
      <w:jc w:val="center"/>
      <w:outlineLvl w:val="5"/>
    </w:pPr>
    <w:rPr>
      <w:rFonts w:ascii="TimesRomanR" w:hAnsi="TimesRomanR" w:cs="TimesRomanR"/>
      <w:b/>
      <w:bCs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jc w:val="both"/>
      <w:outlineLvl w:val="6"/>
    </w:pPr>
    <w:rPr>
      <w:rFonts w:ascii="TimesRomanR" w:hAnsi="TimesRomanR" w:cs="TimesRomanR"/>
      <w:b/>
      <w:bCs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color w:val="0066FF"/>
      <w:sz w:val="16"/>
      <w:szCs w:val="16"/>
      <w:lang w:val="ro-RO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  <w:b w:val="0"/>
      <w:i w:val="0"/>
      <w:lang w:val="ro-RO"/>
    </w:rPr>
  </w:style>
  <w:style w:type="character" w:customStyle="1" w:styleId="WW8Num6z0">
    <w:name w:val="WW8Num6z0"/>
    <w:rPr>
      <w:rFonts w:ascii="Wingdings" w:hAnsi="Wingdings" w:cs="Wingdings"/>
      <w:b w:val="0"/>
      <w:i w:val="0"/>
      <w:lang w:val="ro-RO"/>
    </w:rPr>
  </w:style>
  <w:style w:type="character" w:customStyle="1" w:styleId="WW8Num7z0">
    <w:name w:val="WW8Num7z0"/>
    <w:rPr>
      <w:rFonts w:ascii="Wingdings" w:hAnsi="Wingdings" w:cs="Wingdings"/>
      <w:b w:val="0"/>
      <w:i w:val="0"/>
      <w:lang w:val="ro-RO"/>
    </w:rPr>
  </w:style>
  <w:style w:type="character" w:customStyle="1" w:styleId="WW8Num8z0">
    <w:name w:val="WW8Num8z0"/>
    <w:rPr>
      <w:rFonts w:ascii="Wingdings" w:hAnsi="Wingdings" w:cs="Wingdings"/>
      <w:b w:val="0"/>
      <w:i w:val="0"/>
      <w:lang w:val="ro-RO"/>
    </w:rPr>
  </w:style>
  <w:style w:type="character" w:customStyle="1" w:styleId="WW8Num9z0">
    <w:name w:val="WW8Num9z0"/>
    <w:rPr>
      <w:rFonts w:ascii="Wingdings" w:hAnsi="Wingdings" w:cs="Wingdings"/>
      <w:b w:val="0"/>
      <w:i w:val="0"/>
      <w:lang w:val="ro-R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b w:val="0"/>
      <w:i w:val="0"/>
      <w:lang w:val="ro-R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  <w:b w:val="0"/>
      <w:i w:val="0"/>
      <w:lang w:val="ro-R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preambul1">
    <w:name w:val="preambul1"/>
    <w:rPr>
      <w:i/>
      <w:iCs/>
      <w:color w:val="000000"/>
    </w:rPr>
  </w:style>
  <w:style w:type="character" w:styleId="PageNumber">
    <w:name w:val="page number"/>
    <w:basedOn w:val="WW-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Pr>
      <w:sz w:val="16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pPr>
      <w:autoSpaceDE w:val="0"/>
    </w:pPr>
    <w:rPr>
      <w:lang w:val="en-US"/>
    </w:rPr>
  </w:style>
  <w:style w:type="paragraph" w:styleId="BodyText2">
    <w:name w:val="Body Text 2"/>
    <w:basedOn w:val="Normal"/>
    <w:rPr>
      <w:sz w:val="28"/>
      <w:szCs w:val="20"/>
    </w:rPr>
  </w:style>
  <w:style w:type="paragraph" w:styleId="BodyText3">
    <w:name w:val="Body Text 3"/>
    <w:basedOn w:val="Normal"/>
    <w:pPr>
      <w:jc w:val="both"/>
    </w:pPr>
    <w:rPr>
      <w:sz w:val="28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Text1">
    <w:name w:val="Default Text:1"/>
    <w:basedOn w:val="Normal"/>
    <w:rPr>
      <w:szCs w:val="20"/>
      <w:lang w:val="en-US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Cs w:val="20"/>
      <w:lang w:val="en-US"/>
    </w:rPr>
  </w:style>
  <w:style w:type="paragraph" w:styleId="NormalWeb">
    <w:name w:val="Normal (Web)"/>
    <w:basedOn w:val="Normal"/>
    <w:pPr>
      <w:spacing w:before="280" w:after="280"/>
    </w:pPr>
    <w:rPr>
      <w:color w:val="000000"/>
      <w:lang w:val="en-US"/>
    </w:rPr>
  </w:style>
  <w:style w:type="paragraph" w:customStyle="1" w:styleId="CaracterCaracter1CharChar">
    <w:name w:val="Caracter Caracter1 Char Char"/>
    <w:basedOn w:val="Normal"/>
    <w:rPr>
      <w:lang w:val="pl-PL"/>
    </w:rPr>
  </w:style>
  <w:style w:type="paragraph" w:customStyle="1" w:styleId="CaracterCaracter6CharChar">
    <w:name w:val="Caracter Caracter6 Char Char"/>
    <w:basedOn w:val="Normal"/>
    <w:rPr>
      <w:lang w:val="pl-PL"/>
    </w:rPr>
  </w:style>
  <w:style w:type="paragraph" w:customStyle="1" w:styleId="FrameContents">
    <w:name w:val="Frame Contents"/>
    <w:basedOn w:val="Normal"/>
  </w:style>
  <w:style w:type="character" w:styleId="CommentReference">
    <w:name w:val="annotation reference"/>
    <w:uiPriority w:val="99"/>
    <w:semiHidden/>
    <w:unhideWhenUsed/>
    <w:rsid w:val="00052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28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5228E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2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228E"/>
    <w:rPr>
      <w:b/>
      <w:bCs/>
      <w:lang w:val="en-GB" w:eastAsia="zh-CN"/>
    </w:rPr>
  </w:style>
  <w:style w:type="character" w:customStyle="1" w:styleId="FooterChar">
    <w:name w:val="Footer Char"/>
    <w:link w:val="Footer"/>
    <w:uiPriority w:val="99"/>
    <w:rsid w:val="00CE350F"/>
    <w:rPr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FC5E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noteTextChar">
    <w:name w:val="Footnote Text Char"/>
    <w:link w:val="FootnoteText"/>
    <w:rsid w:val="00FC5E93"/>
    <w:rPr>
      <w:lang w:val="en-GB" w:eastAsia="zh-CN"/>
    </w:rPr>
  </w:style>
  <w:style w:type="character" w:styleId="FootnoteReference">
    <w:name w:val="footnote reference"/>
    <w:unhideWhenUsed/>
    <w:rsid w:val="00FC5E9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FC5E9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C5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F0214"/>
    <w:rPr>
      <w:sz w:val="24"/>
      <w:szCs w:val="24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31C9A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26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oleObject" Target="embeddings/Microsoft_Excel_97-2003_Worksheet3.xls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4.emf"/><Relationship Id="rId32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oleObject" Target="embeddings/Microsoft_Excel_97-2003_Worksheet2.xls"/><Relationship Id="rId28" Type="http://schemas.openxmlformats.org/officeDocument/2006/relationships/header" Target="header5.xml"/><Relationship Id="rId10" Type="http://schemas.openxmlformats.org/officeDocument/2006/relationships/oleObject" Target="embeddings/Microsoft_Excel_97-2003_Worksheet1.xls"/><Relationship Id="rId19" Type="http://schemas.openxmlformats.org/officeDocument/2006/relationships/footer" Target="footer3.xm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2.xml"/><Relationship Id="rId22" Type="http://schemas.openxmlformats.org/officeDocument/2006/relationships/image" Target="media/image3.emf"/><Relationship Id="rId27" Type="http://schemas.openxmlformats.org/officeDocument/2006/relationships/oleObject" Target="embeddings/Microsoft_Excel_97-2003_Worksheet4.xls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Structura cheltuielilor de investitii din bugetul de stat în perioada </a:t>
            </a:r>
            <a:r>
              <a:rPr lang="ro-RO"/>
              <a:t>ianuarie</a:t>
            </a:r>
            <a:r>
              <a:rPr lang="en-US"/>
              <a:t> - </a:t>
            </a:r>
            <a:r>
              <a:rPr lang="ro-RO" baseline="0"/>
              <a:t>martie </a:t>
            </a:r>
            <a:r>
              <a:rPr lang="en-US"/>
              <a:t>202</a:t>
            </a:r>
            <a:r>
              <a:rPr lang="ro-RO"/>
              <a:t>2</a:t>
            </a:r>
            <a:r>
              <a:rPr lang="en-US"/>
              <a:t> / 20</a:t>
            </a:r>
            <a:r>
              <a:rPr lang="ro-RO"/>
              <a:t>21</a:t>
            </a:r>
            <a:r>
              <a:rPr lang="en-US"/>
              <a:t>                     (milioane lei)</a:t>
            </a:r>
          </a:p>
        </c:rich>
      </c:tx>
      <c:layout>
        <c:manualLayout>
          <c:xMode val="edge"/>
          <c:yMode val="edge"/>
          <c:x val="0.11661573704253152"/>
          <c:y val="2.85598753280839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Sheet1!$D$5:$D$6</c:f>
              <c:strCache>
                <c:ptCount val="2"/>
                <c:pt idx="0">
                  <c:v>Plăţi 2022</c:v>
                </c:pt>
              </c:strCache>
            </c:strRef>
          </c:tx>
          <c:spPr>
            <a:solidFill>
              <a:schemeClr val="accent1"/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Sheet1!$C$7:$C$12</c:f>
              <c:strCache>
                <c:ptCount val="6"/>
                <c:pt idx="0">
                  <c:v>Titlul 51 </c:v>
                </c:pt>
                <c:pt idx="1">
                  <c:v>Titlul 55</c:v>
                </c:pt>
                <c:pt idx="2">
                  <c:v>Titlul 56</c:v>
                </c:pt>
                <c:pt idx="3">
                  <c:v>Titlul 58 </c:v>
                </c:pt>
                <c:pt idx="4">
                  <c:v>Titlul 65</c:v>
                </c:pt>
                <c:pt idx="5">
                  <c:v>Titlul 71 </c:v>
                </c:pt>
              </c:strCache>
            </c:strRef>
          </c:cat>
          <c:val>
            <c:numRef>
              <c:f>Sheet1!$D$7:$D$12</c:f>
              <c:numCache>
                <c:formatCode>#,##0</c:formatCode>
                <c:ptCount val="6"/>
                <c:pt idx="0">
                  <c:v>42</c:v>
                </c:pt>
                <c:pt idx="1">
                  <c:v>405</c:v>
                </c:pt>
                <c:pt idx="2">
                  <c:v>116</c:v>
                </c:pt>
                <c:pt idx="3">
                  <c:v>886</c:v>
                </c:pt>
                <c:pt idx="4">
                  <c:v>48</c:v>
                </c:pt>
                <c:pt idx="5">
                  <c:v>372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0-6729-407F-ACE3-6BF55962C3C6}"/>
            </c:ext>
          </c:extLst>
        </c:ser>
        <c:ser>
          <c:idx val="1"/>
          <c:order val="1"/>
          <c:tx>
            <c:strRef>
              <c:f>Sheet1!$E$5:$E$6</c:f>
              <c:strCache>
                <c:ptCount val="2"/>
                <c:pt idx="0">
                  <c:v>Plăţi 2021</c:v>
                </c:pt>
              </c:strCache>
            </c:strRef>
          </c:tx>
          <c:spPr>
            <a:solidFill>
              <a:schemeClr val="accent2"/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Sheet1!$C$7:$C$12</c:f>
              <c:strCache>
                <c:ptCount val="6"/>
                <c:pt idx="0">
                  <c:v>Titlul 51 </c:v>
                </c:pt>
                <c:pt idx="1">
                  <c:v>Titlul 55</c:v>
                </c:pt>
                <c:pt idx="2">
                  <c:v>Titlul 56</c:v>
                </c:pt>
                <c:pt idx="3">
                  <c:v>Titlul 58 </c:v>
                </c:pt>
                <c:pt idx="4">
                  <c:v>Titlul 65</c:v>
                </c:pt>
                <c:pt idx="5">
                  <c:v>Titlul 71 </c:v>
                </c:pt>
              </c:strCache>
            </c:strRef>
          </c:cat>
          <c:val>
            <c:numRef>
              <c:f>Sheet1!$E$7:$E$12</c:f>
              <c:numCache>
                <c:formatCode>#,##0</c:formatCode>
                <c:ptCount val="6"/>
                <c:pt idx="0">
                  <c:v>22</c:v>
                </c:pt>
                <c:pt idx="1">
                  <c:v>385</c:v>
                </c:pt>
                <c:pt idx="2">
                  <c:v>70</c:v>
                </c:pt>
                <c:pt idx="3">
                  <c:v>923</c:v>
                </c:pt>
                <c:pt idx="4">
                  <c:v>50</c:v>
                </c:pt>
                <c:pt idx="5">
                  <c:v>864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1-6729-407F-ACE3-6BF55962C3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585726416"/>
        <c:axId val="585728048"/>
        <c:axId val="0"/>
      </c:bar3DChart>
      <c:catAx>
        <c:axId val="585726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5728048"/>
        <c:crosses val="autoZero"/>
        <c:auto val="1"/>
        <c:lblAlgn val="ctr"/>
        <c:lblOffset val="100"/>
        <c:noMultiLvlLbl val="0"/>
      </c:catAx>
      <c:valAx>
        <c:axId val="585728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57264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Structura cheltuielilor de investiţii finanţate de</a:t>
            </a:r>
            <a:r>
              <a:rPr lang="ro-RO" sz="1400"/>
              <a:t> </a:t>
            </a:r>
            <a:r>
              <a:rPr lang="en-US" sz="1400"/>
              <a:t>la bugetul de stat, detaliată pe titluri de cheltuieli în perioada ianuarie - </a:t>
            </a:r>
            <a:r>
              <a:rPr lang="ro-RO" sz="1400"/>
              <a:t>martie</a:t>
            </a:r>
            <a:r>
              <a:rPr lang="en-US" sz="1400"/>
              <a:t> a anului 202</a:t>
            </a:r>
            <a:r>
              <a:rPr lang="ro-RO" sz="1400"/>
              <a:t>2</a:t>
            </a:r>
            <a:endParaRPr lang="en-US" sz="1400"/>
          </a:p>
        </c:rich>
      </c:tx>
      <c:layout>
        <c:manualLayout>
          <c:xMode val="edge"/>
          <c:yMode val="edge"/>
          <c:x val="0.13173948193184712"/>
          <c:y val="7.312747108797193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69057665260197E-2"/>
          <c:y val="0.21094253928641438"/>
          <c:w val="0.98030942334739801"/>
          <c:h val="0.3976313889725532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D8B3D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4EE-43E2-A156-6AE4C7318D0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4EE-43E2-A156-6AE4C7318D0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4EE-43E2-A156-6AE4C7318D0F}"/>
              </c:ext>
            </c:extLst>
          </c:dPt>
          <c:dPt>
            <c:idx val="3"/>
            <c:bubble3D val="0"/>
            <c:spPr>
              <a:solidFill>
                <a:srgbClr val="9AC3F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4EE-43E2-A156-6AE4C7318D0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4EE-43E2-A156-6AE4C7318D0F}"/>
              </c:ext>
            </c:extLst>
          </c:dPt>
          <c:dPt>
            <c:idx val="5"/>
            <c:bubble3D val="0"/>
            <c:spPr>
              <a:solidFill>
                <a:srgbClr val="70AD47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4EE-43E2-A156-6AE4C7318D0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'tabel I'!$A$5:$A$10</c:f>
              <c:strCache>
                <c:ptCount val="6"/>
                <c:pt idx="0">
                  <c:v>Titlul 51 „Transferuri între unităţi ale administraţiei publice”</c:v>
                </c:pt>
                <c:pt idx="1">
                  <c:v>Titlul 55 „Alte transferuri”(inclusiv alineatul 55.01.12 – „Investiţii ale agenţilor economici cu capital de stat”)</c:v>
                </c:pt>
                <c:pt idx="2">
                  <c:v>Titlul 56 „Proiecte cu finanţare din fonduri externe nerambursabile postaderare”</c:v>
                </c:pt>
                <c:pt idx="3">
                  <c:v>Titlul 58 „Proiecte cu finanţare din fonduri externe nerambursabile postaderare aferente cadrului financiar 2014-2020”</c:v>
                </c:pt>
                <c:pt idx="4">
                  <c:v>Titlul 65 „Cheltuieli aferente programelor cu finanţare rambursabilă”</c:v>
                </c:pt>
                <c:pt idx="5">
                  <c:v>Titlul 71 „Active nefinanciare”</c:v>
                </c:pt>
              </c:strCache>
            </c:strRef>
          </c:cat>
          <c:val>
            <c:numRef>
              <c:f>'tabel I'!$B$5:$B$10</c:f>
              <c:numCache>
                <c:formatCode>#,##0</c:formatCode>
                <c:ptCount val="6"/>
                <c:pt idx="0">
                  <c:v>42</c:v>
                </c:pt>
                <c:pt idx="1">
                  <c:v>405</c:v>
                </c:pt>
                <c:pt idx="2">
                  <c:v>116</c:v>
                </c:pt>
                <c:pt idx="3">
                  <c:v>886</c:v>
                </c:pt>
                <c:pt idx="4">
                  <c:v>48</c:v>
                </c:pt>
                <c:pt idx="5">
                  <c:v>372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84EE-43E2-A156-6AE4C7318D0F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84EE-43E2-A156-6AE4C7318D0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84EE-43E2-A156-6AE4C7318D0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84EE-43E2-A156-6AE4C7318D0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84EE-43E2-A156-6AE4C7318D0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84EE-43E2-A156-6AE4C7318D0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84EE-43E2-A156-6AE4C7318D0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'tabel I'!$A$5:$A$10</c:f>
              <c:strCache>
                <c:ptCount val="6"/>
                <c:pt idx="0">
                  <c:v>Titlul 51 „Transferuri între unităţi ale administraţiei publice”</c:v>
                </c:pt>
                <c:pt idx="1">
                  <c:v>Titlul 55 „Alte transferuri”(inclusiv alineatul 55.01.12 – „Investiţii ale agenţilor economici cu capital de stat”)</c:v>
                </c:pt>
                <c:pt idx="2">
                  <c:v>Titlul 56 „Proiecte cu finanţare din fonduri externe nerambursabile postaderare”</c:v>
                </c:pt>
                <c:pt idx="3">
                  <c:v>Titlul 58 „Proiecte cu finanţare din fonduri externe nerambursabile postaderare aferente cadrului financiar 2014-2020”</c:v>
                </c:pt>
                <c:pt idx="4">
                  <c:v>Titlul 65 „Cheltuieli aferente programelor cu finanţare rambursabilă”</c:v>
                </c:pt>
                <c:pt idx="5">
                  <c:v>Titlul 71 „Active nefinanciare”</c:v>
                </c:pt>
              </c:strCache>
            </c:strRef>
          </c:cat>
          <c:val>
            <c:numRef>
              <c:f>'tabel I'!#REF!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84EE-43E2-A156-6AE4C7318D0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D6DCE5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Structura cheltuielilor de investiţii finanţate de</a:t>
            </a:r>
            <a:r>
              <a:rPr lang="ro-RO" sz="1400"/>
              <a:t> </a:t>
            </a:r>
            <a:r>
              <a:rPr lang="en-US" sz="1400"/>
              <a:t>la bugetul de stat, detaliată pe titluri de cheltuieli în perioada ianuarie - </a:t>
            </a:r>
            <a:r>
              <a:rPr lang="ro-RO" sz="1400"/>
              <a:t>martie</a:t>
            </a:r>
            <a:r>
              <a:rPr lang="en-US" sz="1400"/>
              <a:t> a anului 202</a:t>
            </a:r>
            <a:r>
              <a:rPr lang="ro-RO" sz="1400"/>
              <a:t>1</a:t>
            </a:r>
            <a:endParaRPr lang="en-US" sz="1400"/>
          </a:p>
        </c:rich>
      </c:tx>
      <c:layout>
        <c:manualLayout>
          <c:xMode val="edge"/>
          <c:yMode val="edge"/>
          <c:x val="0.13173948193184712"/>
          <c:y val="7.312747108797193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69057665260197E-2"/>
          <c:y val="0.21094253928641438"/>
          <c:w val="0.98030942334739801"/>
          <c:h val="0.3976313889725532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D8B3D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4EE-43E2-A156-6AE4C7318D0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4EE-43E2-A156-6AE4C7318D0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4EE-43E2-A156-6AE4C7318D0F}"/>
              </c:ext>
            </c:extLst>
          </c:dPt>
          <c:dPt>
            <c:idx val="3"/>
            <c:bubble3D val="0"/>
            <c:spPr>
              <a:solidFill>
                <a:srgbClr val="9AC3F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4EE-43E2-A156-6AE4C7318D0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4EE-43E2-A156-6AE4C7318D0F}"/>
              </c:ext>
            </c:extLst>
          </c:dPt>
          <c:dPt>
            <c:idx val="5"/>
            <c:bubble3D val="0"/>
            <c:spPr>
              <a:solidFill>
                <a:srgbClr val="70AD47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4EE-43E2-A156-6AE4C7318D0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'tabel I'!$A$5:$A$10</c:f>
              <c:strCache>
                <c:ptCount val="6"/>
                <c:pt idx="0">
                  <c:v>Titlul 51 „Transferuri între unităţi ale administraţiei publice”</c:v>
                </c:pt>
                <c:pt idx="1">
                  <c:v>Titlul 55 „Alte transferuri”(inclusiv alineatul 55.01.12 – „Investiţii ale agenţilor economici cu capital de stat”)</c:v>
                </c:pt>
                <c:pt idx="2">
                  <c:v>Titlul 56 „Proiecte cu finanţare din fonduri externe nerambursabile postaderare”</c:v>
                </c:pt>
                <c:pt idx="3">
                  <c:v>Titlul 58 „Proiecte cu finanţare din fonduri externe nerambursabile postaderare aferente cadrului financiar 2014-2020”</c:v>
                </c:pt>
                <c:pt idx="4">
                  <c:v>Titlul 65 „Cheltuieli aferente programelor cu finanţare rambursabilă”</c:v>
                </c:pt>
                <c:pt idx="5">
                  <c:v>Titlul 71 „Active nefinanciare”</c:v>
                </c:pt>
              </c:strCache>
            </c:strRef>
          </c:cat>
          <c:val>
            <c:numRef>
              <c:f>'tabel I'!$B$5:$B$10</c:f>
              <c:numCache>
                <c:formatCode>#,##0</c:formatCode>
                <c:ptCount val="6"/>
                <c:pt idx="0">
                  <c:v>22</c:v>
                </c:pt>
                <c:pt idx="1">
                  <c:v>385</c:v>
                </c:pt>
                <c:pt idx="2">
                  <c:v>70</c:v>
                </c:pt>
                <c:pt idx="3">
                  <c:v>923</c:v>
                </c:pt>
                <c:pt idx="4">
                  <c:v>50</c:v>
                </c:pt>
                <c:pt idx="5">
                  <c:v>864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84EE-43E2-A156-6AE4C7318D0F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84EE-43E2-A156-6AE4C7318D0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84EE-43E2-A156-6AE4C7318D0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84EE-43E2-A156-6AE4C7318D0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84EE-43E2-A156-6AE4C7318D0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84EE-43E2-A156-6AE4C7318D0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84EE-43E2-A156-6AE4C7318D0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'tabel I'!$A$5:$A$10</c:f>
              <c:strCache>
                <c:ptCount val="6"/>
                <c:pt idx="0">
                  <c:v>Titlul 51 „Transferuri între unităţi ale administraţiei publice”</c:v>
                </c:pt>
                <c:pt idx="1">
                  <c:v>Titlul 55 „Alte transferuri”(inclusiv alineatul 55.01.12 – „Investiţii ale agenţilor economici cu capital de stat”)</c:v>
                </c:pt>
                <c:pt idx="2">
                  <c:v>Titlul 56 „Proiecte cu finanţare din fonduri externe nerambursabile postaderare”</c:v>
                </c:pt>
                <c:pt idx="3">
                  <c:v>Titlul 58 „Proiecte cu finanţare din fonduri externe nerambursabile postaderare aferente cadrului financiar 2014-2020”</c:v>
                </c:pt>
                <c:pt idx="4">
                  <c:v>Titlul 65 „Cheltuieli aferente programelor cu finanţare rambursabilă”</c:v>
                </c:pt>
                <c:pt idx="5">
                  <c:v>Titlul 71 „Active nefinanciare”</c:v>
                </c:pt>
              </c:strCache>
            </c:strRef>
          </c:cat>
          <c:val>
            <c:numRef>
              <c:f>'tabel I'!#REF!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84EE-43E2-A156-6AE4C7318D0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D6DCE5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50375-1078-4CD9-9078-858A6346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10</Pages>
  <Words>1264</Words>
  <Characters>7210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CABINET MINISTRU</vt:lpstr>
      <vt:lpstr>CABINET MINISTRU</vt:lpstr>
    </vt:vector>
  </TitlesOfParts>
  <Company/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MINISTRU</dc:title>
  <dc:subject/>
  <dc:creator>Tazkiller</dc:creator>
  <cp:keywords/>
  <dc:description/>
  <cp:lastModifiedBy>MONICA TĂRICEANU</cp:lastModifiedBy>
  <cp:revision>37</cp:revision>
  <cp:lastPrinted>2022-05-18T09:55:00Z</cp:lastPrinted>
  <dcterms:created xsi:type="dcterms:W3CDTF">2021-03-22T10:37:00Z</dcterms:created>
  <dcterms:modified xsi:type="dcterms:W3CDTF">2022-05-27T05:28:00Z</dcterms:modified>
</cp:coreProperties>
</file>