
<file path=[Content_Types].xml><?xml version="1.0" encoding="utf-8"?>
<Types xmlns="http://schemas.openxmlformats.org/package/2006/content-types">
  <Default Extension="xml" ContentType="application/xml"/>
  <Default Extension="wdp" ContentType="image/vnd.ms-photo"/>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lang w:val="en-US"/>
        </w:rPr>
        <w:drawing>
          <wp:anchor distT="0" distB="0" distL="114300" distR="114300" simplePos="0" relativeHeight="251663360" behindDoc="1" locked="0" layoutInCell="1" allowOverlap="1">
            <wp:simplePos x="0" y="0"/>
            <wp:positionH relativeFrom="page">
              <wp:posOffset>21590</wp:posOffset>
            </wp:positionH>
            <wp:positionV relativeFrom="page">
              <wp:posOffset>6985</wp:posOffset>
            </wp:positionV>
            <wp:extent cx="7533640" cy="10716895"/>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7534656" cy="10717902"/>
                    </a:xfrm>
                    <a:prstGeom prst="rect">
                      <a:avLst/>
                    </a:prstGeom>
                  </pic:spPr>
                </pic:pic>
              </a:graphicData>
            </a:graphic>
          </wp:anchor>
        </w:drawing>
      </w:r>
    </w:p>
    <w:sdt>
      <w:sdtPr>
        <w:rPr>
          <w:rFonts w:asciiTheme="majorHAnsi" w:hAnsiTheme="majorHAnsi" w:eastAsiaTheme="majorEastAsia" w:cstheme="majorBidi"/>
          <w:caps/>
          <w:spacing w:val="10"/>
          <w:sz w:val="52"/>
          <w:szCs w:val="52"/>
        </w:rPr>
        <w:id w:val="768122045"/>
      </w:sdtPr>
      <w:sdtEndPr>
        <w:rPr>
          <w:rFonts w:asciiTheme="majorHAnsi" w:hAnsiTheme="majorHAnsi" w:eastAsiaTheme="minorHAnsi" w:cstheme="minorBidi"/>
          <w:b/>
          <w:bCs/>
          <w:caps w:val="0"/>
          <w:color w:val="0F6FC6" w:themeColor="accent1"/>
          <w:spacing w:val="0"/>
          <w:sz w:val="24"/>
          <w:szCs w:val="24"/>
          <w14:textFill>
            <w14:solidFill>
              <w14:schemeClr w14:val="accent1"/>
            </w14:solidFill>
          </w14:textFill>
        </w:rPr>
      </w:sdtEndPr>
      <w:sdtContent>
        <w:p>
          <w:pPr>
            <w:rPr>
              <w:rFonts w:asciiTheme="majorHAnsi" w:hAnsiTheme="majorHAnsi"/>
            </w:rPr>
          </w:pPr>
        </w:p>
        <w:p>
          <w:pPr>
            <w:rPr>
              <w:rFonts w:asciiTheme="majorHAnsi" w:hAnsiTheme="majorHAnsi"/>
              <w:lang w:eastAsia="ro-RO"/>
            </w:rPr>
          </w:pPr>
        </w:p>
        <w:p>
          <w:pPr>
            <w:rPr>
              <w:rFonts w:asciiTheme="majorHAnsi" w:hAnsiTheme="majorHAnsi"/>
              <w:lang w:eastAsia="ro-RO"/>
            </w:rPr>
          </w:pPr>
        </w:p>
        <w:p>
          <w:pPr>
            <w:rPr>
              <w:rFonts w:asciiTheme="majorHAnsi" w:hAnsiTheme="majorHAnsi"/>
              <w:lang w:eastAsia="ro-RO"/>
            </w:rPr>
          </w:pPr>
        </w:p>
        <w:p>
          <w:pPr>
            <w:rPr>
              <w:rFonts w:asciiTheme="majorHAnsi" w:hAnsiTheme="majorHAnsi"/>
              <w:lang w:eastAsia="ro-RO"/>
            </w:rPr>
          </w:pPr>
        </w:p>
        <w:p>
          <w:pPr>
            <w:rPr>
              <w:rFonts w:asciiTheme="majorHAnsi" w:hAnsiTheme="majorHAnsi"/>
              <w:lang w:eastAsia="ro-RO"/>
            </w:rPr>
          </w:pPr>
        </w:p>
        <w:p>
          <w:pPr>
            <w:rPr>
              <w:rFonts w:asciiTheme="majorHAnsi" w:hAnsiTheme="majorHAnsi"/>
              <w:lang w:eastAsia="ro-RO"/>
            </w:rPr>
          </w:pPr>
        </w:p>
        <w:p>
          <w:pPr>
            <w:rPr>
              <w:rFonts w:asciiTheme="majorHAnsi" w:hAnsiTheme="majorHAnsi"/>
              <w:lang w:eastAsia="ro-RO"/>
            </w:rPr>
          </w:pPr>
        </w:p>
        <w:p>
          <w:pPr>
            <w:rPr>
              <w:rFonts w:asciiTheme="majorHAnsi" w:hAnsiTheme="majorHAnsi"/>
              <w:lang w:eastAsia="ro-RO"/>
            </w:rPr>
          </w:pPr>
        </w:p>
        <w:p>
          <w:pPr>
            <w:rPr>
              <w:rFonts w:asciiTheme="majorHAnsi" w:hAnsiTheme="majorHAnsi"/>
              <w:lang w:eastAsia="ro-RO"/>
            </w:rPr>
          </w:pPr>
        </w:p>
        <w:p>
          <w:pPr>
            <w:rPr>
              <w:rFonts w:asciiTheme="majorHAnsi" w:hAnsiTheme="majorHAnsi"/>
              <w:lang w:eastAsia="ro-RO"/>
            </w:rPr>
          </w:pPr>
        </w:p>
        <w:p>
          <w:pPr>
            <w:rPr>
              <w:rFonts w:asciiTheme="majorHAnsi" w:hAnsiTheme="majorHAnsi"/>
              <w:lang w:eastAsia="ro-RO"/>
            </w:rPr>
          </w:pPr>
        </w:p>
        <w:p>
          <w:pPr>
            <w:spacing w:line="240" w:lineRule="auto"/>
            <w:rPr>
              <w:rFonts w:ascii="Cambria" w:hAnsi="Cambria" w:cstheme="minorHAnsi"/>
              <w:b/>
              <w:bCs/>
              <w:color w:val="0F6FC6" w:themeColor="accent1"/>
              <w:sz w:val="96"/>
              <w:szCs w:val="96"/>
              <w:lang w:eastAsia="ro-RO"/>
              <w14:textFill>
                <w14:solidFill>
                  <w14:schemeClr w14:val="accent1"/>
                </w14:solidFill>
              </w14:textFill>
            </w:rPr>
          </w:pPr>
        </w:p>
        <w:p>
          <w:pPr>
            <w:spacing w:line="240" w:lineRule="auto"/>
            <w:rPr>
              <w:rFonts w:ascii="Cambria" w:hAnsi="Cambria" w:cstheme="minorHAnsi"/>
              <w:b/>
              <w:bCs/>
              <w:color w:val="0F6FC6" w:themeColor="accent1"/>
              <w:sz w:val="96"/>
              <w:szCs w:val="96"/>
              <w:lang w:eastAsia="ro-RO"/>
              <w14:textFill>
                <w14:solidFill>
                  <w14:schemeClr w14:val="accent1"/>
                </w14:solidFill>
              </w14:textFill>
            </w:rPr>
          </w:pPr>
          <w:r>
            <w:rPr>
              <w:rFonts w:ascii="Cambria" w:hAnsi="Cambria" w:cstheme="minorHAnsi"/>
              <w:b/>
              <w:bCs/>
              <w:color w:val="0F6FC6" w:themeColor="accent1"/>
              <w:sz w:val="96"/>
              <w:szCs w:val="96"/>
              <w:lang w:eastAsia="ro-RO"/>
              <w14:textFill>
                <w14:solidFill>
                  <w14:schemeClr w14:val="accent1"/>
                </w14:solidFill>
              </w14:textFill>
            </w:rPr>
            <w:t xml:space="preserve">RAPORT ANUAL </w:t>
          </w:r>
        </w:p>
        <w:p>
          <w:pPr>
            <w:spacing w:before="0" w:after="120"/>
            <w:rPr>
              <w:rFonts w:ascii="Cambria" w:hAnsi="Cambria" w:cstheme="minorHAnsi"/>
              <w:b/>
              <w:bCs/>
              <w:color w:val="0F6FC6" w:themeColor="accent1"/>
              <w:sz w:val="28"/>
              <w:szCs w:val="28"/>
              <w:lang w:eastAsia="ro-RO"/>
              <w14:textFill>
                <w14:solidFill>
                  <w14:schemeClr w14:val="accent1"/>
                </w14:solidFill>
              </w14:textFill>
            </w:rPr>
          </w:pPr>
          <w:r>
            <w:rPr>
              <w:rFonts w:ascii="Cambria" w:hAnsi="Cambria" w:cstheme="minorHAnsi"/>
              <w:b/>
              <w:bCs/>
              <w:color w:val="0F6FC6" w:themeColor="accent1"/>
              <w:sz w:val="28"/>
              <w:szCs w:val="28"/>
              <w:lang w:eastAsia="ro-RO"/>
              <w14:textFill>
                <w14:solidFill>
                  <w14:schemeClr w14:val="accent1"/>
                </w14:solidFill>
              </w14:textFill>
            </w:rPr>
            <w:t>privind activitatea</w:t>
          </w:r>
          <w:r>
            <w:rPr>
              <w:rFonts w:ascii="Cambria" w:hAnsi="Cambria" w:cstheme="minorHAnsi"/>
              <w:b/>
              <w:bCs/>
              <w:color w:val="0F6FC6" w:themeColor="accent1"/>
              <w:sz w:val="28"/>
              <w:szCs w:val="28"/>
              <w:lang w:val="en-US" w:eastAsia="ro-RO"/>
              <w14:textFill>
                <w14:solidFill>
                  <w14:schemeClr w14:val="accent1"/>
                </w14:solidFill>
              </w14:textFill>
            </w:rPr>
            <w:t xml:space="preserve"> </w:t>
          </w:r>
          <w:r>
            <w:rPr>
              <w:rFonts w:ascii="Cambria" w:hAnsi="Cambria" w:cstheme="minorHAnsi"/>
              <w:b/>
              <w:bCs/>
              <w:color w:val="0F6FC6" w:themeColor="accent1"/>
              <w:sz w:val="28"/>
              <w:szCs w:val="28"/>
              <w:lang w:eastAsia="ro-RO"/>
              <w14:textFill>
                <w14:solidFill>
                  <w14:schemeClr w14:val="accent1"/>
                </w14:solidFill>
              </w14:textFill>
            </w:rPr>
            <w:t>societăților</w:t>
          </w:r>
        </w:p>
        <w:p>
          <w:pPr>
            <w:spacing w:before="0" w:after="120"/>
            <w:rPr>
              <w:rFonts w:ascii="Cambria" w:hAnsi="Cambria" w:cstheme="minorHAnsi"/>
              <w:b/>
              <w:bCs/>
              <w:color w:val="0F6FC6" w:themeColor="accent1"/>
              <w:sz w:val="28"/>
              <w:szCs w:val="28"/>
              <w:lang w:eastAsia="ro-RO"/>
              <w14:textFill>
                <w14:solidFill>
                  <w14:schemeClr w14:val="accent1"/>
                </w14:solidFill>
              </w14:textFill>
            </w:rPr>
          </w:pPr>
          <w:r>
            <w:rPr>
              <w:rFonts w:ascii="Cambria" w:hAnsi="Cambria" w:cstheme="minorHAnsi"/>
              <w:b/>
              <w:bCs/>
              <w:color w:val="0F6FC6" w:themeColor="accent1"/>
              <w:sz w:val="28"/>
              <w:szCs w:val="28"/>
              <w:lang w:eastAsia="ro-RO"/>
              <w14:textFill>
                <w14:solidFill>
                  <w14:schemeClr w14:val="accent1"/>
                </w14:solidFill>
              </w14:textFill>
            </w:rPr>
            <w:t xml:space="preserve">aflate în </w:t>
          </w:r>
          <w:r>
            <w:rPr>
              <w:rFonts w:ascii="Cambria" w:hAnsi="Cambria" w:cstheme="minorHAnsi"/>
              <w:b/>
              <w:bCs/>
              <w:color w:val="0F6FC6" w:themeColor="accent1"/>
              <w:sz w:val="28"/>
              <w:szCs w:val="28"/>
              <w:lang w:val="en-US" w:eastAsia="ro-RO"/>
              <w14:textFill>
                <w14:solidFill>
                  <w14:schemeClr w14:val="accent1"/>
                </w14:solidFill>
              </w14:textFill>
            </w:rPr>
            <w:t>administrarea</w:t>
          </w:r>
          <w:r>
            <w:rPr>
              <w:rFonts w:ascii="Cambria" w:hAnsi="Cambria" w:cstheme="minorHAnsi"/>
              <w:b/>
              <w:bCs/>
              <w:color w:val="0F6FC6" w:themeColor="accent1"/>
              <w:sz w:val="28"/>
              <w:szCs w:val="28"/>
              <w:lang w:eastAsia="ro-RO"/>
              <w14:textFill>
                <w14:solidFill>
                  <w14:schemeClr w14:val="accent1"/>
                </w14:solidFill>
              </w14:textFill>
            </w:rPr>
            <w:t xml:space="preserve"> sau sub autoritatea</w:t>
          </w:r>
        </w:p>
        <w:p>
          <w:pPr>
            <w:spacing w:before="0" w:after="120"/>
            <w:rPr>
              <w:rFonts w:ascii="Cambria" w:hAnsi="Cambria" w:cstheme="minorHAnsi"/>
              <w:b/>
              <w:bCs/>
              <w:color w:val="0F6FC6" w:themeColor="accent1"/>
              <w:sz w:val="28"/>
              <w:szCs w:val="28"/>
              <w:lang w:eastAsia="ro-RO"/>
              <w14:textFill>
                <w14:solidFill>
                  <w14:schemeClr w14:val="accent1"/>
                </w14:solidFill>
              </w14:textFill>
            </w:rPr>
          </w:pPr>
          <w:r>
            <w:rPr>
              <w:rFonts w:ascii="Cambria" w:hAnsi="Cambria" w:cstheme="minorHAnsi"/>
              <w:b/>
              <w:bCs/>
              <w:color w:val="0F6FC6" w:themeColor="accent1"/>
              <w:sz w:val="28"/>
              <w:szCs w:val="28"/>
              <w:lang w:eastAsia="ro-RO"/>
              <w14:textFill>
                <w14:solidFill>
                  <w14:schemeClr w14:val="accent1"/>
                </w14:solidFill>
              </w14:textFill>
            </w:rPr>
            <w:t>Ministerului Finanțelor în anul 2020</w:t>
          </w:r>
        </w:p>
        <w:p>
          <w:pPr>
            <w:pStyle w:val="66"/>
            <w:spacing w:before="0" w:after="120"/>
            <w:ind w:left="2250"/>
            <w:rPr>
              <w:rFonts w:ascii="Cambria" w:hAnsi="Cambria" w:cstheme="minorHAnsi"/>
              <w:b/>
              <w:bCs/>
              <w:color w:val="0F6FC6" w:themeColor="accent1"/>
              <w:sz w:val="28"/>
              <w:szCs w:val="28"/>
              <w:lang w:eastAsia="ro-RO"/>
              <w14:textFill>
                <w14:solidFill>
                  <w14:schemeClr w14:val="accent1"/>
                </w14:solidFill>
              </w14:textFill>
            </w:rPr>
          </w:pPr>
        </w:p>
        <w:p>
          <w:pPr>
            <w:pStyle w:val="66"/>
            <w:numPr>
              <w:ilvl w:val="0"/>
              <w:numId w:val="1"/>
            </w:numPr>
            <w:spacing w:before="0" w:after="120"/>
            <w:ind w:left="2250" w:hanging="180"/>
            <w:rPr>
              <w:rFonts w:ascii="Cambria" w:hAnsi="Cambria" w:cstheme="minorHAnsi"/>
              <w:b/>
              <w:bCs/>
              <w:color w:val="0F6FC6" w:themeColor="accent1"/>
              <w:sz w:val="28"/>
              <w:szCs w:val="28"/>
              <w:lang w:eastAsia="ro-RO"/>
              <w14:textFill>
                <w14:solidFill>
                  <w14:schemeClr w14:val="accent1"/>
                </w14:solidFill>
              </w14:textFill>
            </w:rPr>
          </w:pPr>
          <w:r>
            <w:rPr>
              <w:rFonts w:ascii="Cambria" w:hAnsi="Cambria" w:cstheme="minorHAnsi"/>
              <w:b/>
              <w:bCs/>
              <w:color w:val="0F6FC6" w:themeColor="accent1"/>
              <w:sz w:val="28"/>
              <w:szCs w:val="28"/>
              <w:lang w:eastAsia="ro-RO"/>
              <w14:textFill>
                <w14:solidFill>
                  <w14:schemeClr w14:val="accent1"/>
                </w14:solidFill>
              </w14:textFill>
            </w:rPr>
            <w:t>Iunie 2021 -</w:t>
          </w:r>
        </w:p>
        <w:p>
          <w:pPr>
            <w:rPr>
              <w:rFonts w:asciiTheme="majorHAnsi" w:hAnsiTheme="majorHAnsi"/>
              <w:lang w:eastAsia="ro-RO"/>
            </w:rPr>
          </w:pPr>
        </w:p>
        <w:p>
          <w:pPr>
            <w:rPr>
              <w:rFonts w:asciiTheme="majorHAnsi" w:hAnsiTheme="majorHAnsi"/>
              <w:lang w:eastAsia="ro-RO"/>
            </w:rPr>
          </w:pPr>
        </w:p>
        <w:p>
          <w:pPr>
            <w:rPr>
              <w:rFonts w:asciiTheme="majorHAnsi" w:hAnsiTheme="majorHAnsi"/>
              <w:lang w:eastAsia="ro-RO"/>
            </w:rPr>
          </w:pPr>
          <w:r>
            <w:rPr>
              <w:rFonts w:asciiTheme="majorHAnsi" w:hAnsiTheme="majorHAnsi"/>
              <w:b/>
              <w:lang w:val="en-US"/>
            </w:rPr>
            <w:drawing>
              <wp:anchor distT="0" distB="0" distL="114300" distR="114300" simplePos="0" relativeHeight="251698176" behindDoc="0" locked="0" layoutInCell="1" allowOverlap="1">
                <wp:simplePos x="0" y="0"/>
                <wp:positionH relativeFrom="column">
                  <wp:posOffset>-8890</wp:posOffset>
                </wp:positionH>
                <wp:positionV relativeFrom="paragraph">
                  <wp:posOffset>6350</wp:posOffset>
                </wp:positionV>
                <wp:extent cx="1206500" cy="12039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6500" cy="1203960"/>
                        </a:xfrm>
                        <a:prstGeom prst="rect">
                          <a:avLst/>
                        </a:prstGeom>
                      </pic:spPr>
                    </pic:pic>
                  </a:graphicData>
                </a:graphic>
              </wp:anchor>
            </w:drawing>
          </w:r>
        </w:p>
        <w:p>
          <w:pPr>
            <w:rPr>
              <w:rFonts w:asciiTheme="majorHAnsi" w:hAnsiTheme="majorHAnsi"/>
              <w:lang w:eastAsia="ro-RO"/>
            </w:rPr>
          </w:pPr>
        </w:p>
        <w:p>
          <w:pPr>
            <w:rPr>
              <w:rFonts w:asciiTheme="majorHAnsi" w:hAnsiTheme="majorHAnsi"/>
              <w:lang w:eastAsia="ro-RO"/>
            </w:rPr>
          </w:pPr>
        </w:p>
        <w:p>
          <w:pPr>
            <w:rPr>
              <w:rFonts w:asciiTheme="majorHAnsi" w:hAnsiTheme="majorHAnsi"/>
              <w:b/>
              <w:lang w:eastAsia="ro-RO"/>
            </w:rPr>
          </w:pPr>
          <w:r>
            <w:rPr>
              <w:rFonts w:asciiTheme="majorHAnsi" w:hAnsiTheme="majorHAnsi"/>
              <w:b/>
              <w:lang w:eastAsia="ro-RO"/>
            </w:rPr>
            <w:br w:type="page"/>
          </w:r>
        </w:p>
        <w:p>
          <w:pPr>
            <w:ind w:left="-142"/>
            <w:rPr>
              <w:rFonts w:ascii="Cambria" w:hAnsi="Cambria"/>
              <w:b/>
              <w:bCs/>
              <w:color w:val="0F6FC6" w:themeColor="accent1"/>
              <w:sz w:val="36"/>
              <w:szCs w:val="36"/>
              <w14:textFill>
                <w14:solidFill>
                  <w14:schemeClr w14:val="accent1"/>
                </w14:solidFill>
              </w14:textFill>
            </w:rPr>
          </w:pPr>
          <w:r>
            <w:rPr>
              <w:rFonts w:ascii="Cambria" w:hAnsi="Cambria"/>
              <w:caps/>
              <w:color w:val="0F6FC6" w:themeColor="accent1"/>
              <w:sz w:val="22"/>
              <w:szCs w:val="22"/>
              <w:lang w:val="en-US"/>
              <w14:textFill>
                <w14:solidFill>
                  <w14:schemeClr w14:val="accent1"/>
                </w14:solidFill>
              </w14:textFill>
            </w:rPr>
            <mc:AlternateContent>
              <mc:Choice Requires="wps">
                <w:drawing>
                  <wp:anchor distT="0" distB="0" distL="114300" distR="114300" simplePos="0" relativeHeight="251652096" behindDoc="0" locked="0" layoutInCell="1" allowOverlap="1">
                    <wp:simplePos x="0" y="0"/>
                    <wp:positionH relativeFrom="margin">
                      <wp:align>right</wp:align>
                    </wp:positionH>
                    <wp:positionV relativeFrom="paragraph">
                      <wp:posOffset>354965</wp:posOffset>
                    </wp:positionV>
                    <wp:extent cx="5876290" cy="7620"/>
                    <wp:effectExtent l="0" t="0" r="29210" b="31115"/>
                    <wp:wrapNone/>
                    <wp:docPr id="460" name="Straight Connector 460"/>
                    <wp:cNvGraphicFramePr/>
                    <a:graphic xmlns:a="http://schemas.openxmlformats.org/drawingml/2006/main">
                      <a:graphicData uri="http://schemas.microsoft.com/office/word/2010/wordprocessingShape">
                        <wps:wsp>
                          <wps:cNvCnPr/>
                          <wps:spPr>
                            <a:xfrm flipV="1">
                              <a:off x="0" y="0"/>
                              <a:ext cx="5876493" cy="7315"/>
                            </a:xfrm>
                            <a:prstGeom prst="line">
                              <a:avLst/>
                            </a:prstGeom>
                            <a:ln>
                              <a:solidFill>
                                <a:schemeClr val="accent1"/>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id="_x0000_s1026" o:spid="_x0000_s1026" o:spt="20" style="position:absolute;left:0pt;flip:y;margin-top:27.95pt;height:0.6pt;width:462.7pt;mso-position-horizontal:right;mso-position-horizontal-relative:margin;z-index:251652096;mso-width-relative:page;mso-height-relative:page;" filled="f" stroked="t" coordsize="21600,21600" o:gfxdata="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TFKafVAAAABgEAAA8AAAAAAAAAAQAgAAAAIgAAAGRycy9kb3du&#10;cmV2LnhtbFBLAQIUABQAAAAIAIdO4kB3BYq5yQEAAHcDAAAOAAAAAAAAAAEAIAAAACQBAABkcnMv&#10;ZTJvRG9jLnhtbFBLBQYAAAAABgAGAFkBAABfBQAAAAA=&#10;">
                    <v:fill on="f" focussize="0,0"/>
                    <v:stroke weight="0.5pt" color="#0F6FC6 [3204]" miterlimit="8" joinstyle="miter"/>
                    <v:imagedata o:title=""/>
                    <o:lock v:ext="edit" aspectratio="f"/>
                  </v:line>
                </w:pict>
              </mc:Fallback>
            </mc:AlternateContent>
          </w:r>
          <w:r>
            <w:rPr>
              <w:rFonts w:ascii="Cambria" w:hAnsi="Cambria"/>
              <w:b/>
              <w:bCs/>
              <w:color w:val="0F6FC6" w:themeColor="accent1"/>
              <w:sz w:val="36"/>
              <w:szCs w:val="36"/>
              <w14:textFill>
                <w14:solidFill>
                  <w14:schemeClr w14:val="accent1"/>
                </w14:solidFill>
              </w14:textFill>
            </w:rPr>
            <w:t>CUPRINS</w:t>
          </w:r>
        </w:p>
        <w:p>
          <w:pPr>
            <w:pStyle w:val="20"/>
            <w:rPr>
              <w:rFonts w:eastAsiaTheme="minorEastAsia" w:cstheme="majorHAnsi"/>
              <w:b w:val="0"/>
              <w:bCs w:val="0"/>
              <w:caps w:val="0"/>
              <w:color w:val="auto"/>
              <w:sz w:val="22"/>
              <w:lang w:val="en-US"/>
            </w:rPr>
          </w:pPr>
          <w:r>
            <w:rPr>
              <w:rFonts w:cstheme="majorHAnsi"/>
              <w:color w:val="auto"/>
              <w:sz w:val="6"/>
              <w:szCs w:val="6"/>
            </w:rPr>
            <w:fldChar w:fldCharType="begin"/>
          </w:r>
          <w:r>
            <w:rPr>
              <w:rFonts w:cstheme="majorHAnsi"/>
              <w:color w:val="auto"/>
              <w:sz w:val="6"/>
              <w:szCs w:val="6"/>
            </w:rPr>
            <w:instrText xml:space="preserve"> TOC \o "1-3" \h \z \u </w:instrText>
          </w:r>
          <w:r>
            <w:rPr>
              <w:rFonts w:cstheme="majorHAnsi"/>
              <w:color w:val="auto"/>
              <w:sz w:val="6"/>
              <w:szCs w:val="6"/>
            </w:rPr>
            <w:fldChar w:fldCharType="separate"/>
          </w:r>
          <w:r>
            <w:fldChar w:fldCharType="begin"/>
          </w:r>
          <w:r>
            <w:instrText xml:space="preserve"> HYPERLINK \l "_Toc76365821" </w:instrText>
          </w:r>
          <w:r>
            <w:fldChar w:fldCharType="separate"/>
          </w:r>
          <w:r>
            <w:rPr>
              <w:rStyle w:val="34"/>
              <w:rFonts w:cstheme="majorHAnsi"/>
              <w:color w:val="auto"/>
              <w:lang w:eastAsia="ro-RO"/>
            </w:rPr>
            <w:t>Definiții și abrevieri</w:t>
          </w:r>
          <w:r>
            <w:rPr>
              <w:rFonts w:cstheme="majorHAnsi"/>
              <w:color w:val="auto"/>
            </w:rPr>
            <w:tab/>
          </w:r>
          <w:r>
            <w:rPr>
              <w:rFonts w:cstheme="majorHAnsi"/>
              <w:color w:val="auto"/>
            </w:rPr>
            <w:fldChar w:fldCharType="begin"/>
          </w:r>
          <w:r>
            <w:rPr>
              <w:rFonts w:cstheme="majorHAnsi"/>
              <w:color w:val="auto"/>
            </w:rPr>
            <w:instrText xml:space="preserve"> PAGEREF _Toc76365821 \h </w:instrText>
          </w:r>
          <w:r>
            <w:rPr>
              <w:rFonts w:cstheme="majorHAnsi"/>
              <w:color w:val="auto"/>
            </w:rPr>
            <w:fldChar w:fldCharType="separate"/>
          </w:r>
          <w:r>
            <w:rPr>
              <w:rFonts w:cstheme="majorHAnsi"/>
              <w:color w:val="auto"/>
            </w:rPr>
            <w:t>2</w:t>
          </w:r>
          <w:r>
            <w:rPr>
              <w:rFonts w:cstheme="majorHAnsi"/>
              <w:color w:val="auto"/>
            </w:rPr>
            <w:fldChar w:fldCharType="end"/>
          </w:r>
          <w:r>
            <w:rPr>
              <w:rFonts w:cstheme="majorHAnsi"/>
              <w:color w:val="auto"/>
            </w:rPr>
            <w:fldChar w:fldCharType="end"/>
          </w:r>
        </w:p>
        <w:p>
          <w:pPr>
            <w:pStyle w:val="20"/>
            <w:rPr>
              <w:rFonts w:eastAsiaTheme="minorEastAsia" w:cstheme="majorHAnsi"/>
              <w:b w:val="0"/>
              <w:bCs w:val="0"/>
              <w:caps w:val="0"/>
              <w:color w:val="auto"/>
              <w:sz w:val="22"/>
              <w:lang w:val="en-US"/>
            </w:rPr>
          </w:pPr>
          <w:r>
            <w:fldChar w:fldCharType="begin"/>
          </w:r>
          <w:r>
            <w:instrText xml:space="preserve"> HYPERLINK \l "_Toc76365822" </w:instrText>
          </w:r>
          <w:r>
            <w:fldChar w:fldCharType="separate"/>
          </w:r>
          <w:r>
            <w:rPr>
              <w:rStyle w:val="34"/>
              <w:rFonts w:cstheme="majorHAnsi"/>
              <w:color w:val="auto"/>
            </w:rPr>
            <w:t>Cadrul legislativ general aplicat la întocmirea prezentului raport</w:t>
          </w:r>
          <w:r>
            <w:rPr>
              <w:rFonts w:cstheme="majorHAnsi"/>
              <w:color w:val="auto"/>
            </w:rPr>
            <w:tab/>
          </w:r>
          <w:r>
            <w:rPr>
              <w:rFonts w:cstheme="majorHAnsi"/>
              <w:color w:val="auto"/>
            </w:rPr>
            <w:fldChar w:fldCharType="begin"/>
          </w:r>
          <w:r>
            <w:rPr>
              <w:rFonts w:cstheme="majorHAnsi"/>
              <w:color w:val="auto"/>
            </w:rPr>
            <w:instrText xml:space="preserve"> PAGEREF _Toc76365822 \h </w:instrText>
          </w:r>
          <w:r>
            <w:rPr>
              <w:rFonts w:cstheme="majorHAnsi"/>
              <w:color w:val="auto"/>
            </w:rPr>
            <w:fldChar w:fldCharType="separate"/>
          </w:r>
          <w:r>
            <w:rPr>
              <w:rFonts w:cstheme="majorHAnsi"/>
              <w:color w:val="auto"/>
            </w:rPr>
            <w:t>4</w:t>
          </w:r>
          <w:r>
            <w:rPr>
              <w:rFonts w:cstheme="majorHAnsi"/>
              <w:color w:val="auto"/>
            </w:rPr>
            <w:fldChar w:fldCharType="end"/>
          </w:r>
          <w:r>
            <w:rPr>
              <w:rFonts w:cstheme="majorHAnsi"/>
              <w:color w:val="auto"/>
            </w:rPr>
            <w:fldChar w:fldCharType="end"/>
          </w:r>
        </w:p>
        <w:p>
          <w:pPr>
            <w:pStyle w:val="20"/>
            <w:rPr>
              <w:rFonts w:eastAsiaTheme="minorEastAsia" w:cstheme="majorHAnsi"/>
              <w:b w:val="0"/>
              <w:bCs w:val="0"/>
              <w:caps w:val="0"/>
              <w:color w:val="auto"/>
              <w:sz w:val="22"/>
              <w:lang w:val="en-US"/>
            </w:rPr>
          </w:pPr>
          <w:r>
            <w:fldChar w:fldCharType="begin"/>
          </w:r>
          <w:r>
            <w:instrText xml:space="preserve"> HYPERLINK \l "_Toc76365823" </w:instrText>
          </w:r>
          <w:r>
            <w:fldChar w:fldCharType="separate"/>
          </w:r>
          <w:r>
            <w:rPr>
              <w:rStyle w:val="34"/>
              <w:rFonts w:cstheme="majorHAnsi"/>
              <w:color w:val="auto"/>
            </w:rPr>
            <w:t>Introducere</w:t>
          </w:r>
          <w:r>
            <w:rPr>
              <w:rFonts w:cstheme="majorHAnsi"/>
              <w:color w:val="auto"/>
            </w:rPr>
            <w:tab/>
          </w:r>
          <w:r>
            <w:rPr>
              <w:rFonts w:cstheme="majorHAnsi"/>
              <w:color w:val="auto"/>
            </w:rPr>
            <w:fldChar w:fldCharType="begin"/>
          </w:r>
          <w:r>
            <w:rPr>
              <w:rFonts w:cstheme="majorHAnsi"/>
              <w:color w:val="auto"/>
            </w:rPr>
            <w:instrText xml:space="preserve"> PAGEREF _Toc76365823 \h </w:instrText>
          </w:r>
          <w:r>
            <w:rPr>
              <w:rFonts w:cstheme="majorHAnsi"/>
              <w:color w:val="auto"/>
            </w:rPr>
            <w:fldChar w:fldCharType="separate"/>
          </w:r>
          <w:r>
            <w:rPr>
              <w:rFonts w:cstheme="majorHAnsi"/>
              <w:color w:val="auto"/>
            </w:rPr>
            <w:t>5</w:t>
          </w:r>
          <w:r>
            <w:rPr>
              <w:rFonts w:cstheme="majorHAnsi"/>
              <w:color w:val="auto"/>
            </w:rPr>
            <w:fldChar w:fldCharType="end"/>
          </w:r>
          <w:r>
            <w:rPr>
              <w:rFonts w:cstheme="majorHAnsi"/>
              <w:color w:val="auto"/>
            </w:rPr>
            <w:fldChar w:fldCharType="end"/>
          </w:r>
        </w:p>
        <w:p>
          <w:pPr>
            <w:pStyle w:val="20"/>
            <w:rPr>
              <w:rFonts w:eastAsiaTheme="minorEastAsia" w:cstheme="majorHAnsi"/>
              <w:b w:val="0"/>
              <w:bCs w:val="0"/>
              <w:caps w:val="0"/>
              <w:color w:val="auto"/>
              <w:sz w:val="22"/>
              <w:lang w:val="en-US"/>
            </w:rPr>
          </w:pPr>
          <w:r>
            <w:fldChar w:fldCharType="begin"/>
          </w:r>
          <w:r>
            <w:instrText xml:space="preserve"> HYPERLINK \l "_Toc76365824" </w:instrText>
          </w:r>
          <w:r>
            <w:fldChar w:fldCharType="separate"/>
          </w:r>
          <w:r>
            <w:rPr>
              <w:rStyle w:val="34"/>
              <w:rFonts w:cstheme="majorHAnsi"/>
              <w:color w:val="auto"/>
            </w:rPr>
            <w:t>Capitolul 1 – Structura portofoliului de participații deținut de Ministerul Finanțelor și politica de acționariat</w:t>
          </w:r>
          <w:r>
            <w:rPr>
              <w:rFonts w:cstheme="majorHAnsi"/>
              <w:color w:val="auto"/>
            </w:rPr>
            <w:tab/>
          </w:r>
          <w:r>
            <w:rPr>
              <w:rFonts w:cstheme="majorHAnsi"/>
              <w:color w:val="auto"/>
            </w:rPr>
            <w:fldChar w:fldCharType="begin"/>
          </w:r>
          <w:r>
            <w:rPr>
              <w:rFonts w:cstheme="majorHAnsi"/>
              <w:color w:val="auto"/>
            </w:rPr>
            <w:instrText xml:space="preserve"> PAGEREF _Toc76365824 \h </w:instrText>
          </w:r>
          <w:r>
            <w:rPr>
              <w:rFonts w:cstheme="majorHAnsi"/>
              <w:color w:val="auto"/>
            </w:rPr>
            <w:fldChar w:fldCharType="separate"/>
          </w:r>
          <w:r>
            <w:rPr>
              <w:rFonts w:cstheme="majorHAnsi"/>
              <w:color w:val="auto"/>
            </w:rPr>
            <w:t>7</w:t>
          </w:r>
          <w:r>
            <w:rPr>
              <w:rFonts w:cstheme="majorHAnsi"/>
              <w:color w:val="auto"/>
            </w:rPr>
            <w:fldChar w:fldCharType="end"/>
          </w:r>
          <w:r>
            <w:rPr>
              <w:rFonts w:cstheme="majorHAnsi"/>
              <w:color w:val="auto"/>
            </w:rPr>
            <w:fldChar w:fldCharType="end"/>
          </w:r>
        </w:p>
        <w:p>
          <w:pPr>
            <w:pStyle w:val="20"/>
            <w:rPr>
              <w:rFonts w:eastAsiaTheme="minorEastAsia" w:cstheme="majorHAnsi"/>
              <w:b w:val="0"/>
              <w:bCs w:val="0"/>
              <w:caps w:val="0"/>
              <w:color w:val="auto"/>
              <w:sz w:val="22"/>
              <w:lang w:val="en-US"/>
            </w:rPr>
          </w:pPr>
          <w:r>
            <w:fldChar w:fldCharType="begin"/>
          </w:r>
          <w:r>
            <w:instrText xml:space="preserve"> HYPERLINK \l "_Toc76365825" </w:instrText>
          </w:r>
          <w:r>
            <w:fldChar w:fldCharType="separate"/>
          </w:r>
          <w:r>
            <w:rPr>
              <w:rStyle w:val="34"/>
              <w:rFonts w:cstheme="majorHAnsi"/>
              <w:color w:val="auto"/>
            </w:rPr>
            <w:t>Capitolul 2 - Modificări strategice</w:t>
          </w:r>
          <w:r>
            <w:rPr>
              <w:rFonts w:cstheme="majorHAnsi"/>
              <w:color w:val="auto"/>
            </w:rPr>
            <w:tab/>
          </w:r>
          <w:r>
            <w:rPr>
              <w:rFonts w:cstheme="majorHAnsi"/>
              <w:color w:val="auto"/>
            </w:rPr>
            <w:fldChar w:fldCharType="begin"/>
          </w:r>
          <w:r>
            <w:rPr>
              <w:rFonts w:cstheme="majorHAnsi"/>
              <w:color w:val="auto"/>
            </w:rPr>
            <w:instrText xml:space="preserve"> PAGEREF _Toc76365825 \h </w:instrText>
          </w:r>
          <w:r>
            <w:rPr>
              <w:rFonts w:cstheme="majorHAnsi"/>
              <w:color w:val="auto"/>
            </w:rPr>
            <w:fldChar w:fldCharType="separate"/>
          </w:r>
          <w:r>
            <w:rPr>
              <w:rFonts w:cstheme="majorHAnsi"/>
              <w:color w:val="auto"/>
            </w:rPr>
            <w:t>8</w:t>
          </w:r>
          <w:r>
            <w:rPr>
              <w:rFonts w:cstheme="majorHAnsi"/>
              <w:color w:val="auto"/>
            </w:rPr>
            <w:fldChar w:fldCharType="end"/>
          </w:r>
          <w:r>
            <w:rPr>
              <w:rFonts w:cstheme="majorHAnsi"/>
              <w:color w:val="auto"/>
            </w:rPr>
            <w:fldChar w:fldCharType="end"/>
          </w:r>
        </w:p>
        <w:p>
          <w:pPr>
            <w:pStyle w:val="20"/>
            <w:rPr>
              <w:rFonts w:eastAsiaTheme="minorEastAsia" w:cstheme="majorHAnsi"/>
              <w:b w:val="0"/>
              <w:bCs w:val="0"/>
              <w:caps w:val="0"/>
              <w:color w:val="auto"/>
              <w:sz w:val="22"/>
              <w:lang w:val="en-US"/>
            </w:rPr>
          </w:pPr>
          <w:r>
            <w:fldChar w:fldCharType="begin"/>
          </w:r>
          <w:r>
            <w:instrText xml:space="preserve"> HYPERLINK \l "_Toc76365826" </w:instrText>
          </w:r>
          <w:r>
            <w:fldChar w:fldCharType="separate"/>
          </w:r>
          <w:r>
            <w:rPr>
              <w:rStyle w:val="34"/>
              <w:rFonts w:cstheme="majorHAnsi"/>
              <w:color w:val="auto"/>
            </w:rPr>
            <w:t>Capitolul 3 – Aplicarea prevederilor privind guvernanța corporativă la societățile aflate în administrarea sau sub autoritatea Ministerului Finanțelor</w:t>
          </w:r>
          <w:r>
            <w:rPr>
              <w:rFonts w:cstheme="majorHAnsi"/>
              <w:color w:val="auto"/>
            </w:rPr>
            <w:tab/>
          </w:r>
          <w:r>
            <w:rPr>
              <w:rFonts w:cstheme="majorHAnsi"/>
              <w:color w:val="auto"/>
            </w:rPr>
            <w:fldChar w:fldCharType="begin"/>
          </w:r>
          <w:r>
            <w:rPr>
              <w:rFonts w:cstheme="majorHAnsi"/>
              <w:color w:val="auto"/>
            </w:rPr>
            <w:instrText xml:space="preserve"> PAGEREF _Toc76365826 \h </w:instrText>
          </w:r>
          <w:r>
            <w:rPr>
              <w:rFonts w:cstheme="majorHAnsi"/>
              <w:color w:val="auto"/>
            </w:rPr>
            <w:fldChar w:fldCharType="separate"/>
          </w:r>
          <w:r>
            <w:rPr>
              <w:rFonts w:cstheme="majorHAnsi"/>
              <w:color w:val="auto"/>
            </w:rPr>
            <w:t>10</w:t>
          </w:r>
          <w:r>
            <w:rPr>
              <w:rFonts w:cstheme="majorHAnsi"/>
              <w:color w:val="auto"/>
            </w:rPr>
            <w:fldChar w:fldCharType="end"/>
          </w:r>
          <w:r>
            <w:rPr>
              <w:rFonts w:cstheme="majorHAnsi"/>
              <w:color w:val="auto"/>
            </w:rPr>
            <w:fldChar w:fldCharType="end"/>
          </w:r>
        </w:p>
        <w:p>
          <w:pPr>
            <w:pStyle w:val="21"/>
            <w:rPr>
              <w:rFonts w:eastAsiaTheme="minorEastAsia" w:cstheme="majorHAnsi"/>
              <w:bCs w:val="0"/>
              <w:color w:val="auto"/>
              <w:sz w:val="22"/>
              <w:szCs w:val="22"/>
              <w:lang w:val="en-US"/>
            </w:rPr>
          </w:pPr>
          <w:r>
            <w:fldChar w:fldCharType="begin"/>
          </w:r>
          <w:r>
            <w:instrText xml:space="preserve"> HYPERLINK \l "_Toc76365827" </w:instrText>
          </w:r>
          <w:r>
            <w:fldChar w:fldCharType="separate"/>
          </w:r>
          <w:r>
            <w:rPr>
              <w:rStyle w:val="34"/>
              <w:rFonts w:cstheme="majorHAnsi"/>
              <w:b/>
              <w:color w:val="auto"/>
            </w:rPr>
            <w:t>3.1 – Stadiul procesului de selecție a consiliului de administrație sau supraveghere și a directorilor sau directoratului</w:t>
          </w:r>
          <w:r>
            <w:rPr>
              <w:rFonts w:cstheme="majorHAnsi"/>
              <w:color w:val="auto"/>
            </w:rPr>
            <w:tab/>
          </w:r>
          <w:r>
            <w:rPr>
              <w:rFonts w:cstheme="majorHAnsi"/>
              <w:color w:val="auto"/>
            </w:rPr>
            <w:fldChar w:fldCharType="begin"/>
          </w:r>
          <w:r>
            <w:rPr>
              <w:rFonts w:cstheme="majorHAnsi"/>
              <w:color w:val="auto"/>
            </w:rPr>
            <w:instrText xml:space="preserve"> PAGEREF _Toc76365827 \h </w:instrText>
          </w:r>
          <w:r>
            <w:rPr>
              <w:rFonts w:cstheme="majorHAnsi"/>
              <w:color w:val="auto"/>
            </w:rPr>
            <w:fldChar w:fldCharType="separate"/>
          </w:r>
          <w:r>
            <w:rPr>
              <w:rFonts w:cstheme="majorHAnsi"/>
              <w:color w:val="auto"/>
            </w:rPr>
            <w:t>10</w:t>
          </w:r>
          <w:r>
            <w:rPr>
              <w:rFonts w:cstheme="majorHAnsi"/>
              <w:color w:val="auto"/>
            </w:rPr>
            <w:fldChar w:fldCharType="end"/>
          </w:r>
          <w:r>
            <w:rPr>
              <w:rFonts w:cstheme="majorHAnsi"/>
              <w:color w:val="auto"/>
            </w:rPr>
            <w:fldChar w:fldCharType="end"/>
          </w:r>
        </w:p>
        <w:p>
          <w:pPr>
            <w:pStyle w:val="21"/>
            <w:rPr>
              <w:rFonts w:eastAsiaTheme="minorEastAsia" w:cstheme="majorHAnsi"/>
              <w:bCs w:val="0"/>
              <w:color w:val="auto"/>
              <w:sz w:val="22"/>
              <w:szCs w:val="22"/>
              <w:lang w:val="en-US"/>
            </w:rPr>
          </w:pPr>
          <w:r>
            <w:fldChar w:fldCharType="begin"/>
          </w:r>
          <w:r>
            <w:instrText xml:space="preserve"> HYPERLINK \l "_Toc76365828" </w:instrText>
          </w:r>
          <w:r>
            <w:fldChar w:fldCharType="separate"/>
          </w:r>
          <w:r>
            <w:rPr>
              <w:rStyle w:val="34"/>
              <w:rFonts w:cstheme="majorHAnsi"/>
              <w:b/>
              <w:color w:val="auto"/>
            </w:rPr>
            <w:t>3.2 – Obligații de transparență și de raportare</w:t>
          </w:r>
          <w:r>
            <w:rPr>
              <w:rFonts w:cstheme="majorHAnsi"/>
              <w:color w:val="auto"/>
            </w:rPr>
            <w:tab/>
          </w:r>
          <w:r>
            <w:rPr>
              <w:rFonts w:cstheme="majorHAnsi"/>
              <w:color w:val="auto"/>
            </w:rPr>
            <w:fldChar w:fldCharType="begin"/>
          </w:r>
          <w:r>
            <w:rPr>
              <w:rFonts w:cstheme="majorHAnsi"/>
              <w:color w:val="auto"/>
            </w:rPr>
            <w:instrText xml:space="preserve"> PAGEREF _Toc76365828 \h </w:instrText>
          </w:r>
          <w:r>
            <w:rPr>
              <w:rFonts w:cstheme="majorHAnsi"/>
              <w:color w:val="auto"/>
            </w:rPr>
            <w:fldChar w:fldCharType="separate"/>
          </w:r>
          <w:r>
            <w:rPr>
              <w:rFonts w:cstheme="majorHAnsi"/>
              <w:color w:val="auto"/>
            </w:rPr>
            <w:t>12</w:t>
          </w:r>
          <w:r>
            <w:rPr>
              <w:rFonts w:cstheme="majorHAnsi"/>
              <w:color w:val="auto"/>
            </w:rPr>
            <w:fldChar w:fldCharType="end"/>
          </w:r>
          <w:r>
            <w:rPr>
              <w:rFonts w:cstheme="majorHAnsi"/>
              <w:color w:val="auto"/>
            </w:rPr>
            <w:fldChar w:fldCharType="end"/>
          </w:r>
        </w:p>
        <w:p>
          <w:pPr>
            <w:pStyle w:val="21"/>
            <w:rPr>
              <w:rFonts w:eastAsiaTheme="minorEastAsia" w:cstheme="majorHAnsi"/>
              <w:bCs w:val="0"/>
              <w:color w:val="auto"/>
              <w:sz w:val="22"/>
              <w:szCs w:val="22"/>
              <w:lang w:val="en-US"/>
            </w:rPr>
          </w:pPr>
          <w:r>
            <w:fldChar w:fldCharType="begin"/>
          </w:r>
          <w:r>
            <w:instrText xml:space="preserve"> HYPERLINK \l "_Toc76365829" </w:instrText>
          </w:r>
          <w:r>
            <w:fldChar w:fldCharType="separate"/>
          </w:r>
          <w:r>
            <w:rPr>
              <w:rStyle w:val="34"/>
              <w:rFonts w:cstheme="majorHAnsi"/>
              <w:b/>
              <w:color w:val="auto"/>
            </w:rPr>
            <w:t>3.3 – Stadiul îndeplinirii indicatorilor cheie de performanță din contractele de mandat ale administratorilor și directorilor/directoratului</w:t>
          </w:r>
          <w:r>
            <w:rPr>
              <w:rFonts w:cstheme="majorHAnsi"/>
              <w:color w:val="auto"/>
            </w:rPr>
            <w:tab/>
          </w:r>
          <w:r>
            <w:rPr>
              <w:rFonts w:cstheme="majorHAnsi"/>
              <w:color w:val="auto"/>
            </w:rPr>
            <w:fldChar w:fldCharType="begin"/>
          </w:r>
          <w:r>
            <w:rPr>
              <w:rFonts w:cstheme="majorHAnsi"/>
              <w:color w:val="auto"/>
            </w:rPr>
            <w:instrText xml:space="preserve"> PAGEREF _Toc76365829 \h </w:instrText>
          </w:r>
          <w:r>
            <w:rPr>
              <w:rFonts w:cstheme="majorHAnsi"/>
              <w:color w:val="auto"/>
            </w:rPr>
            <w:fldChar w:fldCharType="separate"/>
          </w:r>
          <w:r>
            <w:rPr>
              <w:rFonts w:cstheme="majorHAnsi"/>
              <w:color w:val="auto"/>
            </w:rPr>
            <w:t>12</w:t>
          </w:r>
          <w:r>
            <w:rPr>
              <w:rFonts w:cstheme="majorHAnsi"/>
              <w:color w:val="auto"/>
            </w:rPr>
            <w:fldChar w:fldCharType="end"/>
          </w:r>
          <w:r>
            <w:rPr>
              <w:rFonts w:cstheme="majorHAnsi"/>
              <w:color w:val="auto"/>
            </w:rPr>
            <w:fldChar w:fldCharType="end"/>
          </w:r>
        </w:p>
        <w:p>
          <w:pPr>
            <w:pStyle w:val="20"/>
            <w:rPr>
              <w:rFonts w:eastAsiaTheme="minorEastAsia" w:cstheme="majorHAnsi"/>
              <w:b w:val="0"/>
              <w:bCs w:val="0"/>
              <w:caps w:val="0"/>
              <w:color w:val="auto"/>
              <w:sz w:val="22"/>
              <w:lang w:val="en-US"/>
            </w:rPr>
          </w:pPr>
          <w:r>
            <w:fldChar w:fldCharType="begin"/>
          </w:r>
          <w:r>
            <w:instrText xml:space="preserve"> HYPERLINK \l "_Toc76365830" </w:instrText>
          </w:r>
          <w:r>
            <w:fldChar w:fldCharType="separate"/>
          </w:r>
          <w:r>
            <w:rPr>
              <w:rStyle w:val="34"/>
              <w:rFonts w:cstheme="majorHAnsi"/>
              <w:color w:val="auto"/>
            </w:rPr>
            <w:t>Capitolul 4 – Evoluția principalilor indicatori economico-financiari  realizați de societățile aflate în administrarea sau sub autoritatea Ministerului Finanțelor</w:t>
          </w:r>
          <w:r>
            <w:rPr>
              <w:rFonts w:cstheme="majorHAnsi"/>
              <w:color w:val="auto"/>
            </w:rPr>
            <w:tab/>
          </w:r>
          <w:r>
            <w:rPr>
              <w:rFonts w:cstheme="majorHAnsi"/>
              <w:color w:val="auto"/>
            </w:rPr>
            <w:fldChar w:fldCharType="begin"/>
          </w:r>
          <w:r>
            <w:rPr>
              <w:rFonts w:cstheme="majorHAnsi"/>
              <w:color w:val="auto"/>
            </w:rPr>
            <w:instrText xml:space="preserve"> PAGEREF _Toc76365830 \h </w:instrText>
          </w:r>
          <w:r>
            <w:rPr>
              <w:rFonts w:cstheme="majorHAnsi"/>
              <w:color w:val="auto"/>
            </w:rPr>
            <w:fldChar w:fldCharType="separate"/>
          </w:r>
          <w:r>
            <w:rPr>
              <w:rFonts w:cstheme="majorHAnsi"/>
              <w:color w:val="auto"/>
            </w:rPr>
            <w:t>15</w:t>
          </w:r>
          <w:r>
            <w:rPr>
              <w:rFonts w:cstheme="majorHAnsi"/>
              <w:color w:val="auto"/>
            </w:rPr>
            <w:fldChar w:fldCharType="end"/>
          </w:r>
          <w:r>
            <w:rPr>
              <w:rFonts w:cstheme="majorHAnsi"/>
              <w:color w:val="auto"/>
            </w:rPr>
            <w:fldChar w:fldCharType="end"/>
          </w:r>
        </w:p>
        <w:p>
          <w:pPr>
            <w:pStyle w:val="20"/>
            <w:rPr>
              <w:rFonts w:eastAsiaTheme="minorEastAsia" w:cstheme="majorHAnsi"/>
              <w:b w:val="0"/>
              <w:bCs w:val="0"/>
              <w:caps w:val="0"/>
              <w:color w:val="auto"/>
              <w:sz w:val="22"/>
              <w:lang w:val="en-US"/>
            </w:rPr>
          </w:pPr>
          <w:r>
            <w:fldChar w:fldCharType="begin"/>
          </w:r>
          <w:r>
            <w:instrText xml:space="preserve"> HYPERLINK \l "_Toc76365831" </w:instrText>
          </w:r>
          <w:r>
            <w:fldChar w:fldCharType="separate"/>
          </w:r>
          <w:r>
            <w:rPr>
              <w:rStyle w:val="34"/>
              <w:rFonts w:cstheme="majorHAnsi"/>
              <w:color w:val="auto"/>
            </w:rPr>
            <w:t>Capitolul 5 – Concluzii și propuneri</w:t>
          </w:r>
          <w:r>
            <w:rPr>
              <w:rFonts w:cstheme="majorHAnsi"/>
              <w:color w:val="auto"/>
            </w:rPr>
            <w:tab/>
          </w:r>
          <w:r>
            <w:rPr>
              <w:rFonts w:cstheme="majorHAnsi"/>
              <w:color w:val="auto"/>
            </w:rPr>
            <w:fldChar w:fldCharType="begin"/>
          </w:r>
          <w:r>
            <w:rPr>
              <w:rFonts w:cstheme="majorHAnsi"/>
              <w:color w:val="auto"/>
            </w:rPr>
            <w:instrText xml:space="preserve"> PAGEREF _Toc76365831 \h </w:instrText>
          </w:r>
          <w:r>
            <w:rPr>
              <w:rFonts w:cstheme="majorHAnsi"/>
              <w:color w:val="auto"/>
            </w:rPr>
            <w:fldChar w:fldCharType="separate"/>
          </w:r>
          <w:r>
            <w:rPr>
              <w:rFonts w:cstheme="majorHAnsi"/>
              <w:color w:val="auto"/>
            </w:rPr>
            <w:t>16</w:t>
          </w:r>
          <w:r>
            <w:rPr>
              <w:rFonts w:cstheme="majorHAnsi"/>
              <w:color w:val="auto"/>
            </w:rPr>
            <w:fldChar w:fldCharType="end"/>
          </w:r>
          <w:r>
            <w:rPr>
              <w:rFonts w:cstheme="majorHAnsi"/>
              <w:color w:val="auto"/>
            </w:rPr>
            <w:fldChar w:fldCharType="end"/>
          </w:r>
        </w:p>
        <w:p>
          <w:pPr>
            <w:pStyle w:val="5"/>
            <w:tabs>
              <w:tab w:val="right" w:pos="9060"/>
            </w:tabs>
            <w:spacing w:before="100" w:beforeAutospacing="1" w:after="100" w:afterAutospacing="1" w:line="240" w:lineRule="auto"/>
            <w:ind w:left="-142"/>
            <w:rPr>
              <w:rFonts w:asciiTheme="majorHAnsi" w:hAnsiTheme="majorHAnsi"/>
              <w:color w:val="auto"/>
              <w:sz w:val="10"/>
              <w:szCs w:val="10"/>
              <w:lang w:eastAsia="ro-RO"/>
            </w:rPr>
          </w:pPr>
          <w:r>
            <w:rPr>
              <w:rFonts w:asciiTheme="majorHAnsi" w:hAnsiTheme="majorHAnsi" w:cstheme="majorHAnsi"/>
              <w:caps w:val="0"/>
              <w:color w:val="auto"/>
              <w:spacing w:val="0"/>
              <w:sz w:val="6"/>
              <w:szCs w:val="6"/>
            </w:rPr>
            <w:fldChar w:fldCharType="end"/>
          </w:r>
        </w:p>
        <w:p>
          <w:pPr>
            <w:rPr>
              <w:rFonts w:asciiTheme="majorHAnsi" w:hAnsiTheme="majorHAnsi"/>
              <w:b/>
              <w:bCs/>
              <w:lang w:eastAsia="ro-RO"/>
            </w:rPr>
          </w:pPr>
        </w:p>
        <w:p>
          <w:pPr>
            <w:rPr>
              <w:rFonts w:asciiTheme="majorHAnsi" w:hAnsiTheme="majorHAnsi"/>
              <w:b/>
              <w:bCs/>
              <w:lang w:eastAsia="ro-RO"/>
            </w:rPr>
          </w:pPr>
        </w:p>
        <w:p>
          <w:pPr>
            <w:rPr>
              <w:rFonts w:asciiTheme="majorHAnsi" w:hAnsiTheme="majorHAnsi"/>
              <w:b/>
              <w:bCs/>
              <w:lang w:eastAsia="ro-RO"/>
            </w:rPr>
            <w:sectPr>
              <w:headerReference r:id="rId4" w:type="default"/>
              <w:footerReference r:id="rId6" w:type="default"/>
              <w:headerReference r:id="rId5" w:type="even"/>
              <w:footerReference r:id="rId7" w:type="even"/>
              <w:pgSz w:w="11906" w:h="16838"/>
              <w:pgMar w:top="1134" w:right="1418" w:bottom="851" w:left="1418" w:header="454" w:footer="709" w:gutter="0"/>
              <w:pgNumType w:start="0"/>
              <w:cols w:space="708" w:num="1"/>
              <w:docGrid w:linePitch="360" w:charSpace="0"/>
            </w:sectPr>
          </w:pPr>
        </w:p>
        <w:p>
          <w:pPr>
            <w:pStyle w:val="66"/>
            <w:ind w:left="0"/>
            <w:outlineLvl w:val="0"/>
            <w:rPr>
              <w:rFonts w:asciiTheme="majorHAnsi" w:hAnsiTheme="majorHAnsi"/>
              <w:b/>
              <w:bCs/>
              <w:color w:val="0F6FC6" w:themeColor="accent1"/>
              <w:sz w:val="36"/>
              <w:szCs w:val="36"/>
              <w14:textFill>
                <w14:solidFill>
                  <w14:schemeClr w14:val="accent1"/>
                </w14:solidFill>
              </w14:textFill>
            </w:rPr>
          </w:pPr>
          <w:bookmarkStart w:id="0" w:name="_Toc76365821"/>
          <w:r>
            <w:rPr>
              <w:rFonts w:asciiTheme="majorHAnsi" w:hAnsiTheme="majorHAnsi"/>
              <w:b/>
              <w:bCs/>
              <w:color w:val="0F6FC6" w:themeColor="accent1"/>
              <w:sz w:val="36"/>
              <w:szCs w:val="36"/>
              <w:lang w:eastAsia="ro-RO"/>
              <w14:textFill>
                <w14:solidFill>
                  <w14:schemeClr w14:val="accent1"/>
                </w14:solidFill>
              </w14:textFill>
            </w:rPr>
            <w:t>Definiții și abrevieri</w:t>
          </w:r>
          <w:bookmarkEnd w:id="0"/>
        </w:p>
        <w:p>
          <w:pPr>
            <w:spacing w:line="240" w:lineRule="auto"/>
            <w:rPr>
              <w:rFonts w:asciiTheme="majorHAnsi" w:hAnsiTheme="majorHAnsi"/>
              <w:b/>
              <w:bCs/>
              <w:color w:val="0F6FC6" w:themeColor="accent1"/>
              <w:sz w:val="28"/>
              <w:szCs w:val="28"/>
              <w:lang w:eastAsia="ro-RO"/>
              <w14:textFill>
                <w14:solidFill>
                  <w14:schemeClr w14:val="accent1"/>
                </w14:solidFill>
              </w14:textFill>
            </w:rPr>
          </w:pPr>
          <w:r>
            <w:rPr>
              <w:rFonts w:asciiTheme="majorHAnsi" w:hAnsiTheme="majorHAnsi"/>
              <w:b/>
              <w:bCs/>
              <w:color w:val="0F6FC6" w:themeColor="accent1"/>
              <w:sz w:val="28"/>
              <w:szCs w:val="28"/>
              <w:lang w:eastAsia="ro-RO"/>
              <w14:textFill>
                <w14:solidFill>
                  <w14:schemeClr w14:val="accent1"/>
                </w14:solidFill>
              </w14:textFill>
            </w:rPr>
            <w:t>Definiții</w:t>
          </w:r>
        </w:p>
        <w:p>
          <w:pPr>
            <w:spacing w:line="240" w:lineRule="auto"/>
            <w:jc w:val="both"/>
            <w:rPr>
              <w:rFonts w:asciiTheme="majorHAnsi" w:hAnsiTheme="majorHAnsi"/>
              <w:color w:val="0F6FC6" w:themeColor="accent1"/>
              <w:lang w:eastAsia="ro-RO"/>
              <w14:textFill>
                <w14:solidFill>
                  <w14:schemeClr w14:val="accent1"/>
                </w14:solidFill>
              </w14:textFill>
            </w:rPr>
            <w:sectPr>
              <w:headerReference r:id="rId8" w:type="default"/>
              <w:pgSz w:w="11906" w:h="16838"/>
              <w:pgMar w:top="1134" w:right="1418" w:bottom="851" w:left="1418" w:header="454" w:footer="709" w:gutter="0"/>
              <w:cols w:space="708" w:num="1"/>
              <w:docGrid w:linePitch="360" w:charSpace="0"/>
            </w:sectPr>
          </w:pPr>
        </w:p>
        <w:p>
          <w:pPr>
            <w:spacing w:beforeAutospacing="1" w:after="100" w:afterAutospacing="1" w:line="240" w:lineRule="auto"/>
            <w:jc w:val="both"/>
            <w:rPr>
              <w:rFonts w:asciiTheme="majorHAnsi" w:hAnsiTheme="majorHAnsi"/>
              <w:b/>
              <w:bCs/>
              <w:color w:val="0F6FC6" w:themeColor="accent1"/>
              <w:lang w:eastAsia="ro-RO"/>
              <w14:textFill>
                <w14:solidFill>
                  <w14:schemeClr w14:val="accent1"/>
                </w14:solidFill>
              </w14:textFill>
            </w:rPr>
          </w:pPr>
          <w:r>
            <w:rPr>
              <w:rFonts w:asciiTheme="majorHAnsi" w:hAnsiTheme="majorHAnsi"/>
              <w:b/>
              <w:bCs/>
              <w:color w:val="0F6FC6" w:themeColor="accent1"/>
              <w:lang w:eastAsia="ro-RO"/>
              <w14:textFill>
                <w14:solidFill>
                  <w14:schemeClr w14:val="accent1"/>
                </w14:solidFill>
              </w14:textFill>
            </w:rPr>
            <w:t>Definiții folosite în prezentul Raport</w:t>
          </w:r>
        </w:p>
        <w:p>
          <w:pPr>
            <w:spacing w:before="0" w:after="0"/>
            <w:jc w:val="both"/>
            <w:rPr>
              <w:rFonts w:asciiTheme="majorHAnsi" w:hAnsiTheme="majorHAnsi"/>
              <w:lang w:val="en-US" w:eastAsia="ro-RO"/>
            </w:rPr>
          </w:pPr>
          <w:r>
            <w:rPr>
              <w:rFonts w:asciiTheme="majorHAnsi" w:hAnsiTheme="majorHAnsi"/>
              <w:lang w:eastAsia="ro-RO"/>
            </w:rPr>
            <w:t>Conform articolului 2 din Ordonanța de urgență a Guvernului nr. 109 / 2011 privind guvernanţa corporativă a întreprinderilor publice aprobată cu modificări și completări prin Legea nr. 111/2016, cu modificările și completările ulterioare, termenii și expresiile de mai jos au următoarele semnificații</w:t>
          </w:r>
          <w:r>
            <w:rPr>
              <w:rFonts w:asciiTheme="majorHAnsi" w:hAnsiTheme="majorHAnsi"/>
              <w:lang w:val="en-US" w:eastAsia="ro-RO"/>
            </w:rPr>
            <w:t>:</w:t>
          </w:r>
        </w:p>
        <w:p>
          <w:pPr>
            <w:spacing w:before="0" w:after="0"/>
            <w:jc w:val="both"/>
            <w:rPr>
              <w:rFonts w:asciiTheme="majorHAnsi" w:hAnsiTheme="majorHAnsi"/>
              <w:lang w:eastAsia="ro-RO"/>
            </w:rPr>
          </w:pPr>
          <w:r>
            <w:rPr>
              <w:rFonts w:asciiTheme="majorHAnsi" w:hAnsiTheme="majorHAnsi"/>
              <w:b/>
              <w:bCs/>
              <w:lang w:eastAsia="ro-RO"/>
            </w:rPr>
            <w:t xml:space="preserve">1. Întreprinderi publice </w:t>
          </w:r>
        </w:p>
        <w:p>
          <w:pPr>
            <w:pStyle w:val="66"/>
            <w:numPr>
              <w:ilvl w:val="0"/>
              <w:numId w:val="2"/>
            </w:numPr>
            <w:spacing w:before="0" w:after="0"/>
            <w:ind w:left="540" w:hanging="284"/>
            <w:jc w:val="both"/>
            <w:rPr>
              <w:rFonts w:asciiTheme="majorHAnsi" w:hAnsiTheme="majorHAnsi"/>
              <w:lang w:eastAsia="ro-RO"/>
            </w:rPr>
          </w:pPr>
          <w:r>
            <w:rPr>
              <w:rFonts w:asciiTheme="majorHAnsi" w:hAnsiTheme="majorHAnsi"/>
              <w:b/>
              <w:bCs/>
              <w:lang w:eastAsia="ro-RO"/>
            </w:rPr>
            <w:t>regii autonome</w:t>
          </w:r>
          <w:r>
            <w:rPr>
              <w:rFonts w:asciiTheme="majorHAnsi" w:hAnsiTheme="majorHAnsi"/>
              <w:lang w:eastAsia="ro-RO"/>
            </w:rPr>
            <w:t xml:space="preserve"> înfiinţate de stat sau de o unitate administrativ – teritorială;</w:t>
          </w:r>
        </w:p>
        <w:p>
          <w:pPr>
            <w:pStyle w:val="66"/>
            <w:numPr>
              <w:ilvl w:val="0"/>
              <w:numId w:val="2"/>
            </w:numPr>
            <w:spacing w:before="0" w:after="0"/>
            <w:ind w:left="540" w:hanging="284"/>
            <w:jc w:val="both"/>
            <w:rPr>
              <w:rFonts w:asciiTheme="majorHAnsi" w:hAnsiTheme="majorHAnsi"/>
              <w:lang w:eastAsia="ro-RO"/>
            </w:rPr>
          </w:pPr>
          <w:r>
            <w:rPr>
              <w:rFonts w:asciiTheme="majorHAnsi" w:hAnsiTheme="majorHAnsi"/>
              <w:b/>
              <w:bCs/>
              <w:lang w:eastAsia="ro-RO"/>
            </w:rPr>
            <w:t>companii şi societăţi naţionale, societăţi la care statul sau o unitate administrativ-teritorială este acţionar unic, majoritar sau la care deţine controlul;</w:t>
          </w:r>
        </w:p>
        <w:p>
          <w:pPr>
            <w:pStyle w:val="66"/>
            <w:numPr>
              <w:ilvl w:val="0"/>
              <w:numId w:val="2"/>
            </w:numPr>
            <w:spacing w:before="0" w:after="0"/>
            <w:ind w:left="540" w:hanging="284"/>
            <w:jc w:val="both"/>
            <w:rPr>
              <w:rFonts w:asciiTheme="majorHAnsi" w:hAnsiTheme="majorHAnsi"/>
              <w:b/>
              <w:bCs/>
              <w:lang w:eastAsia="ro-RO"/>
            </w:rPr>
          </w:pPr>
          <w:r>
            <w:rPr>
              <w:rFonts w:asciiTheme="majorHAnsi" w:hAnsiTheme="majorHAnsi"/>
              <w:b/>
              <w:bCs/>
              <w:lang w:eastAsia="ro-RO"/>
            </w:rPr>
            <w:t>societăţi la care una sau mai multe întreprinderi publice prevăzute la lit. a) şi b) deţin o participaţie majoritară sau o participaţie care le asigură controlul</w:t>
          </w:r>
          <w:r>
            <w:rPr>
              <w:rFonts w:asciiTheme="majorHAnsi" w:hAnsiTheme="majorHAnsi"/>
              <w:b/>
              <w:bCs/>
              <w:lang w:val="en-US" w:eastAsia="ro-RO"/>
            </w:rPr>
            <w:t>;</w:t>
          </w:r>
        </w:p>
        <w:p>
          <w:pPr>
            <w:spacing w:before="0" w:after="0"/>
            <w:jc w:val="both"/>
            <w:rPr>
              <w:rFonts w:asciiTheme="majorHAnsi" w:hAnsiTheme="majorHAnsi"/>
              <w:lang w:eastAsia="ro-RO"/>
            </w:rPr>
          </w:pPr>
          <w:r>
            <w:rPr>
              <w:rFonts w:asciiTheme="majorHAnsi" w:hAnsiTheme="majorHAnsi"/>
              <w:b/>
              <w:bCs/>
              <w:lang w:eastAsia="ro-RO"/>
            </w:rPr>
            <w:t>2. Autoritate publică tutelară -</w:t>
          </w:r>
          <w:r>
            <w:rPr>
              <w:rFonts w:asciiTheme="majorHAnsi" w:hAnsiTheme="majorHAnsi"/>
              <w:lang w:eastAsia="ro-RO"/>
            </w:rPr>
            <w:t xml:space="preserve"> instituţia care:</w:t>
          </w:r>
        </w:p>
        <w:p>
          <w:pPr>
            <w:pStyle w:val="66"/>
            <w:numPr>
              <w:ilvl w:val="0"/>
              <w:numId w:val="3"/>
            </w:numPr>
            <w:spacing w:before="0" w:after="0"/>
            <w:ind w:left="540" w:hanging="284"/>
            <w:jc w:val="both"/>
            <w:rPr>
              <w:rFonts w:asciiTheme="majorHAnsi" w:hAnsiTheme="majorHAnsi"/>
              <w:lang w:eastAsia="ro-RO"/>
            </w:rPr>
          </w:pPr>
          <w:r>
            <w:rPr>
              <w:rFonts w:asciiTheme="majorHAnsi" w:hAnsiTheme="majorHAnsi"/>
              <w:lang w:eastAsia="ro-RO"/>
            </w:rPr>
            <w:t>coordonează, are în subordine sau sub autoritate una sau mai multe întreprinderi publice prevăzute la pct. 2 lit. a);</w:t>
          </w:r>
        </w:p>
        <w:p>
          <w:pPr>
            <w:pStyle w:val="66"/>
            <w:numPr>
              <w:ilvl w:val="0"/>
              <w:numId w:val="3"/>
            </w:numPr>
            <w:spacing w:before="0" w:after="0"/>
            <w:ind w:left="540" w:hanging="284"/>
            <w:jc w:val="both"/>
            <w:rPr>
              <w:rFonts w:asciiTheme="majorHAnsi" w:hAnsiTheme="majorHAnsi"/>
              <w:lang w:eastAsia="ro-RO"/>
            </w:rPr>
          </w:pPr>
          <w:r>
            <w:rPr>
              <w:rFonts w:asciiTheme="majorHAnsi" w:hAnsiTheme="majorHAnsi"/>
              <w:lang w:eastAsia="ro-RO"/>
            </w:rPr>
            <w:t>exercită, în numele statului sau al unităţii administrativ-teritoriale, calitatea de acţionar la întreprinderile publice prevăzute la pct. 2 lit. b);</w:t>
          </w:r>
        </w:p>
        <w:p>
          <w:pPr>
            <w:pStyle w:val="66"/>
            <w:numPr>
              <w:ilvl w:val="0"/>
              <w:numId w:val="3"/>
            </w:numPr>
            <w:spacing w:before="0" w:after="0"/>
            <w:ind w:left="540" w:hanging="284"/>
            <w:jc w:val="both"/>
            <w:rPr>
              <w:rFonts w:asciiTheme="majorHAnsi" w:hAnsiTheme="majorHAnsi"/>
              <w:lang w:eastAsia="ro-RO"/>
            </w:rPr>
          </w:pPr>
          <w:r>
            <w:rPr>
              <w:rFonts w:asciiTheme="majorHAnsi" w:hAnsiTheme="majorHAnsi"/>
              <w:lang w:eastAsia="ro-RO"/>
            </w:rPr>
            <w:t xml:space="preserve">coordonează exercitarea de către una sau mai multe întreprinderi publice prevăzute la pct. 2 lit. a) şi/sau lit. b) a calităţii de acţionar sau asociat la o societate controlată; </w:t>
          </w:r>
        </w:p>
        <w:p>
          <w:pPr>
            <w:spacing w:before="0" w:after="0"/>
            <w:jc w:val="both"/>
            <w:rPr>
              <w:rFonts w:asciiTheme="majorHAnsi" w:hAnsiTheme="majorHAnsi"/>
              <w:lang w:eastAsia="ro-RO"/>
            </w:rPr>
          </w:pPr>
          <w:r>
            <w:rPr>
              <w:rFonts w:asciiTheme="majorHAnsi" w:hAnsiTheme="majorHAnsi"/>
              <w:b/>
              <w:bCs/>
              <w:lang w:eastAsia="ro-RO"/>
            </w:rPr>
            <w:t>3. Control</w:t>
          </w:r>
          <w:r>
            <w:rPr>
              <w:rFonts w:asciiTheme="majorHAnsi" w:hAnsiTheme="majorHAnsi"/>
              <w:lang w:eastAsia="ro-RO"/>
            </w:rPr>
            <w:t xml:space="preserve"> – raportul dintre stat sau unitatea administrativ-teritorială acţionar sau o întreprindere publică, pe de o parte, şi societatea la care:</w:t>
          </w:r>
        </w:p>
        <w:p>
          <w:pPr>
            <w:pStyle w:val="66"/>
            <w:numPr>
              <w:ilvl w:val="0"/>
              <w:numId w:val="4"/>
            </w:numPr>
            <w:spacing w:before="0" w:after="0"/>
            <w:ind w:left="540" w:hanging="284"/>
            <w:jc w:val="both"/>
            <w:rPr>
              <w:rFonts w:asciiTheme="majorHAnsi" w:hAnsiTheme="majorHAnsi"/>
              <w:lang w:eastAsia="ro-RO"/>
            </w:rPr>
          </w:pPr>
          <w:r>
            <w:rPr>
              <w:rFonts w:asciiTheme="majorHAnsi" w:hAnsiTheme="majorHAnsi"/>
              <w:lang w:eastAsia="ro-RO"/>
            </w:rPr>
            <w:t>deţine direct sau indirect majoritatea drepturilor de vot;</w:t>
          </w:r>
        </w:p>
        <w:p>
          <w:pPr>
            <w:pStyle w:val="66"/>
            <w:numPr>
              <w:ilvl w:val="0"/>
              <w:numId w:val="4"/>
            </w:numPr>
            <w:spacing w:before="0" w:after="0"/>
            <w:ind w:left="540" w:hanging="284"/>
            <w:jc w:val="both"/>
            <w:rPr>
              <w:rFonts w:asciiTheme="majorHAnsi" w:hAnsiTheme="majorHAnsi"/>
              <w:lang w:eastAsia="ro-RO"/>
            </w:rPr>
          </w:pPr>
          <w:r>
            <w:rPr>
              <w:rFonts w:asciiTheme="majorHAnsi" w:hAnsiTheme="majorHAnsi"/>
              <w:lang w:eastAsia="ro-RO"/>
            </w:rPr>
            <w:t>poate să numească sau să revoce majoritatea membrilor organelor de administrare şi de control;</w:t>
          </w:r>
        </w:p>
        <w:p>
          <w:pPr>
            <w:pStyle w:val="66"/>
            <w:numPr>
              <w:ilvl w:val="0"/>
              <w:numId w:val="4"/>
            </w:numPr>
            <w:spacing w:before="0" w:after="0"/>
            <w:ind w:left="540" w:hanging="284"/>
            <w:jc w:val="both"/>
            <w:rPr>
              <w:rFonts w:asciiTheme="majorHAnsi" w:hAnsiTheme="majorHAnsi"/>
              <w:lang w:eastAsia="ro-RO"/>
            </w:rPr>
          </w:pPr>
          <w:r>
            <w:rPr>
              <w:rFonts w:asciiTheme="majorHAnsi" w:hAnsiTheme="majorHAnsi"/>
              <w:lang w:eastAsia="ro-RO"/>
            </w:rPr>
            <w:t>poate exercita, în calitate de acţionar, o influenţă determinantă, în virtutea unor clauze de natură a stabili strategia de management al întreprinderii publice, cuprinse în contracte încheiate cu întreprinderea publică sau în actul constitutiv al acesteia;</w:t>
          </w:r>
        </w:p>
        <w:p>
          <w:pPr>
            <w:spacing w:before="0" w:after="0"/>
            <w:jc w:val="both"/>
            <w:rPr>
              <w:rFonts w:asciiTheme="majorHAnsi" w:hAnsiTheme="majorHAnsi"/>
              <w:lang w:eastAsia="ro-RO"/>
            </w:rPr>
          </w:pPr>
          <w:r>
            <w:rPr>
              <w:rFonts w:asciiTheme="majorHAnsi" w:hAnsiTheme="majorHAnsi"/>
              <w:b/>
              <w:bCs/>
              <w:lang w:eastAsia="ro-RO"/>
            </w:rPr>
            <w:t>Întreprindere publică activă</w:t>
          </w:r>
          <w:r>
            <w:rPr>
              <w:rFonts w:asciiTheme="majorHAnsi" w:hAnsiTheme="majorHAnsi"/>
              <w:lang w:eastAsia="ro-RO"/>
            </w:rPr>
            <w:t xml:space="preserve"> – întreprindere publică aflată în stare de funcționare;</w:t>
          </w:r>
        </w:p>
        <w:p>
          <w:pPr>
            <w:spacing w:before="0" w:after="0"/>
            <w:jc w:val="both"/>
            <w:rPr>
              <w:rFonts w:asciiTheme="majorHAnsi" w:hAnsiTheme="majorHAnsi"/>
              <w:lang w:eastAsia="ro-RO"/>
            </w:rPr>
          </w:pPr>
          <w:r>
            <w:rPr>
              <w:rFonts w:asciiTheme="majorHAnsi" w:hAnsiTheme="majorHAnsi"/>
              <w:b/>
              <w:bCs/>
              <w:lang w:eastAsia="ro-RO"/>
            </w:rPr>
            <w:t>Întreprindere</w:t>
          </w:r>
          <w:r>
            <w:rPr>
              <w:rFonts w:asciiTheme="majorHAnsi" w:hAnsiTheme="majorHAnsi"/>
              <w:lang w:eastAsia="ro-RO"/>
            </w:rPr>
            <w:t xml:space="preserve"> – orice formă de organizare a unei activități economice, autonomă patrimonial și autorizată potrivit legilor în vigoare să facă acte și fapte de comerț, în scopul obținerii de profit prin producerea de bunuri materiale și vânzarea acestora pe piață sau prin prestări de servicii, în condiții de concurență, care</w:t>
          </w:r>
          <w:r>
            <w:rPr>
              <w:rFonts w:ascii="Open Sans" w:hAnsi="Open Sans" w:cs="Open Sans"/>
              <w:shd w:val="clear" w:color="auto" w:fill="FFFFFF"/>
            </w:rPr>
            <w:t xml:space="preserve"> </w:t>
          </w:r>
          <w:r>
            <w:rPr>
              <w:rFonts w:asciiTheme="majorHAnsi" w:hAnsiTheme="majorHAnsi"/>
              <w:lang w:eastAsia="ro-RO"/>
            </w:rPr>
            <w:t>întocmește şi depune situaţii financiare anuale şi raportări contabile la Ministerul Finanţelor Publice conform Ordinului Ministerului Finanţelor Publice nr. 470/2018</w:t>
          </w:r>
          <w:r>
            <w:rPr>
              <w:rStyle w:val="33"/>
              <w:rFonts w:asciiTheme="majorHAnsi" w:hAnsiTheme="majorHAnsi"/>
              <w:lang w:eastAsia="ro-RO"/>
            </w:rPr>
            <w:footnoteReference w:id="0"/>
          </w:r>
          <w:r>
            <w:rPr>
              <w:rFonts w:asciiTheme="majorHAnsi" w:hAnsiTheme="majorHAnsi"/>
              <w:lang w:eastAsia="ro-RO"/>
            </w:rPr>
            <w:t xml:space="preserve">, </w:t>
          </w:r>
          <w:r>
            <w:rPr>
              <w:rFonts w:asciiTheme="majorHAnsi" w:hAnsiTheme="majorHAnsi"/>
              <w:b/>
              <w:bCs/>
              <w:lang w:eastAsia="ro-RO"/>
            </w:rPr>
            <w:t>indiferent de forma de proprietate a acesteia</w:t>
          </w:r>
          <w:r>
            <w:rPr>
              <w:rFonts w:asciiTheme="majorHAnsi" w:hAnsiTheme="majorHAnsi"/>
              <w:lang w:eastAsia="ro-RO"/>
            </w:rPr>
            <w:t>;</w:t>
          </w:r>
        </w:p>
        <w:p>
          <w:pPr>
            <w:spacing w:before="0" w:after="0"/>
            <w:jc w:val="both"/>
            <w:rPr>
              <w:rFonts w:asciiTheme="majorHAnsi" w:hAnsiTheme="majorHAnsi"/>
              <w:lang w:val="en-US" w:eastAsia="ro-RO"/>
            </w:rPr>
          </w:pPr>
          <w:r>
            <w:rPr>
              <w:rFonts w:asciiTheme="majorHAnsi" w:hAnsiTheme="majorHAnsi"/>
              <w:b/>
              <w:bCs/>
              <w:lang w:eastAsia="ro-RO"/>
            </w:rPr>
            <w:t>Întreprindere privată</w:t>
          </w:r>
          <w:r>
            <w:rPr>
              <w:rFonts w:asciiTheme="majorHAnsi" w:hAnsiTheme="majorHAnsi"/>
              <w:lang w:eastAsia="ro-RO"/>
            </w:rPr>
            <w:t xml:space="preserve"> – întreprindere la care statul sau unităţile administrativ teritoriale deţin participaţii </w:t>
          </w:r>
          <w:r>
            <w:rPr>
              <w:rFonts w:asciiTheme="majorHAnsi" w:hAnsiTheme="majorHAnsi"/>
              <w:b/>
              <w:bCs/>
              <w:lang w:eastAsia="ro-RO"/>
            </w:rPr>
            <w:t>sub 50%</w:t>
          </w:r>
          <w:r>
            <w:rPr>
              <w:rFonts w:asciiTheme="majorHAnsi" w:hAnsiTheme="majorHAnsi"/>
              <w:lang w:eastAsia="ro-RO"/>
            </w:rPr>
            <w:t xml:space="preserve"> sau </w:t>
          </w:r>
          <w:r>
            <w:rPr>
              <w:rFonts w:asciiTheme="majorHAnsi" w:hAnsiTheme="majorHAnsi"/>
              <w:b/>
              <w:bCs/>
              <w:lang w:eastAsia="ro-RO"/>
            </w:rPr>
            <w:t>nu deţin controlul</w:t>
          </w:r>
          <w:r>
            <w:rPr>
              <w:rFonts w:asciiTheme="majorHAnsi" w:hAnsiTheme="majorHAnsi"/>
              <w:lang w:val="en-US" w:eastAsia="ro-RO"/>
            </w:rPr>
            <w:t>.</w:t>
          </w:r>
        </w:p>
        <w:p>
          <w:pPr>
            <w:spacing w:before="120" w:after="120" w:line="240" w:lineRule="auto"/>
            <w:jc w:val="both"/>
            <w:rPr>
              <w:rFonts w:asciiTheme="majorHAnsi" w:hAnsiTheme="majorHAnsi"/>
              <w:color w:val="0F6FC6" w:themeColor="accent1"/>
              <w:lang w:val="en-US" w:eastAsia="ro-RO"/>
              <w14:textFill>
                <w14:solidFill>
                  <w14:schemeClr w14:val="accent1"/>
                </w14:solidFill>
              </w14:textFill>
            </w:rPr>
          </w:pPr>
          <w:r>
            <w:rPr>
              <w:rFonts w:asciiTheme="majorHAnsi" w:hAnsiTheme="majorHAnsi"/>
              <w:b/>
              <w:color w:val="0F6FC6" w:themeColor="accent1"/>
              <w:lang w:val="en-US" w:eastAsia="ro-RO"/>
              <w14:textFill>
                <w14:solidFill>
                  <w14:schemeClr w14:val="accent1"/>
                </w14:solidFill>
              </w14:textFill>
            </w:rPr>
            <w:t>Definiții prevăzute în Hotărârea de Guvern nr. 722/2016</w:t>
          </w:r>
          <w:r>
            <w:rPr>
              <w:rStyle w:val="33"/>
              <w:rFonts w:asciiTheme="majorHAnsi" w:hAnsiTheme="majorHAnsi"/>
              <w:b/>
              <w:color w:val="0F6FC6" w:themeColor="accent1"/>
              <w:lang w:val="en-US" w:eastAsia="ro-RO"/>
              <w14:textFill>
                <w14:solidFill>
                  <w14:schemeClr w14:val="accent1"/>
                </w14:solidFill>
              </w14:textFill>
            </w:rPr>
            <w:footnoteReference w:id="1"/>
          </w:r>
          <w:r>
            <w:rPr>
              <w:rFonts w:asciiTheme="majorHAnsi" w:hAnsiTheme="majorHAnsi"/>
              <w:color w:val="0F6FC6" w:themeColor="accent1"/>
              <w:lang w:val="en-US" w:eastAsia="ro-RO"/>
              <w14:textFill>
                <w14:solidFill>
                  <w14:schemeClr w14:val="accent1"/>
                </w14:solidFill>
              </w14:textFill>
            </w:rPr>
            <w:t xml:space="preserve"> </w:t>
          </w:r>
        </w:p>
        <w:p>
          <w:pPr>
            <w:pStyle w:val="66"/>
            <w:numPr>
              <w:ilvl w:val="0"/>
              <w:numId w:val="5"/>
            </w:numPr>
            <w:spacing w:before="0" w:after="0"/>
            <w:ind w:left="270" w:hanging="270"/>
            <w:jc w:val="both"/>
            <w:rPr>
              <w:rFonts w:asciiTheme="majorHAnsi" w:hAnsiTheme="majorHAnsi"/>
              <w:lang w:val="en-US" w:eastAsia="ro-RO"/>
            </w:rPr>
          </w:pPr>
          <w:r>
            <w:rPr>
              <w:rFonts w:asciiTheme="majorHAnsi" w:hAnsiTheme="majorHAnsi"/>
              <w:lang w:val="en-US" w:eastAsia="ro-RO"/>
            </w:rPr>
            <w:t>Conform articolului 1, capitolul 1, anexa 1 din Hotărârea de Guvern nr. 722/2016 în sensul prezentelor norme, termenii şi expresiile de mai jos au următoarele semnificaţii:</w:t>
          </w:r>
        </w:p>
        <w:p>
          <w:pPr>
            <w:pStyle w:val="66"/>
            <w:numPr>
              <w:ilvl w:val="1"/>
              <w:numId w:val="3"/>
            </w:numPr>
            <w:spacing w:before="0" w:after="0"/>
            <w:ind w:left="270" w:hanging="270"/>
            <w:jc w:val="both"/>
            <w:rPr>
              <w:rFonts w:asciiTheme="majorHAnsi" w:hAnsiTheme="majorHAnsi"/>
              <w:lang w:val="en-US" w:eastAsia="ro-RO"/>
            </w:rPr>
          </w:pPr>
          <w:r>
            <w:rPr>
              <w:rFonts w:asciiTheme="majorHAnsi" w:hAnsiTheme="majorHAnsi"/>
              <w:b/>
              <w:lang w:val="en-US" w:eastAsia="ro-RO"/>
            </w:rPr>
            <w:t>Structura de guvernanţă corporativă</w:t>
          </w:r>
          <w:r>
            <w:rPr>
              <w:rFonts w:asciiTheme="majorHAnsi" w:hAnsiTheme="majorHAnsi"/>
              <w:lang w:val="en-US" w:eastAsia="ro-RO"/>
            </w:rPr>
            <w:t xml:space="preserve"> – compartimentul, serviciul, direcţia, organizate în cadrul fiecărei autorităţi publice tutelare, conform art. III din Legea nr. 111/2016 pentru aprobarea Ordonanţei de urgenţă a Guvernului nr. 109/2011 privind guvernanţa corporativă a întreprinderilor publice, care exercită atribuţiile şi competenţele prevăzute la art. 3 din ordonanţa de urgenţă, întocmirea mandatelor în vederea prezentării acestora de către reprezentanţii statului în adunarea generală a acţionarilor, precum şi alte atribuţii şi competenţe conform prevederilor legale şi bunelor practici privind guvernanţa corporativă, asigurând interfaţa dintre autoritatea publică tutelară şi adunarea generală a acţionarilor.</w:t>
          </w:r>
        </w:p>
        <w:p>
          <w:pPr>
            <w:pStyle w:val="66"/>
            <w:spacing w:before="0" w:after="0"/>
            <w:ind w:left="630"/>
            <w:jc w:val="both"/>
            <w:rPr>
              <w:rFonts w:asciiTheme="majorHAnsi" w:hAnsiTheme="majorHAnsi"/>
              <w:lang w:val="en-US" w:eastAsia="ro-RO"/>
            </w:rPr>
          </w:pPr>
        </w:p>
        <w:p>
          <w:pPr>
            <w:pStyle w:val="66"/>
            <w:numPr>
              <w:ilvl w:val="0"/>
              <w:numId w:val="5"/>
            </w:numPr>
            <w:spacing w:before="0" w:after="0"/>
            <w:ind w:left="270" w:hanging="270"/>
            <w:jc w:val="both"/>
            <w:rPr>
              <w:rFonts w:asciiTheme="majorHAnsi" w:hAnsiTheme="majorHAnsi"/>
              <w:lang w:val="en-US" w:eastAsia="ro-RO"/>
            </w:rPr>
          </w:pPr>
          <w:r>
            <w:rPr>
              <w:rFonts w:asciiTheme="majorHAnsi" w:hAnsiTheme="majorHAnsi"/>
              <w:lang w:val="en-US" w:eastAsia="ro-RO"/>
            </w:rPr>
            <w:t>Conform articolului 1, secțiunea I, capitolul 1, anexa 2 din Hotărârea de Guvern nr. 722/2016 în înţelesul prezentelor norme metodologice, termenii şi expresiile de mai jos au următoarele semnificaţii:</w:t>
          </w:r>
        </w:p>
        <w:p>
          <w:pPr>
            <w:pStyle w:val="66"/>
            <w:numPr>
              <w:ilvl w:val="0"/>
              <w:numId w:val="6"/>
            </w:numPr>
            <w:spacing w:before="0" w:after="0"/>
            <w:ind w:left="270" w:hanging="270"/>
            <w:jc w:val="both"/>
            <w:rPr>
              <w:rFonts w:asciiTheme="majorHAnsi" w:hAnsiTheme="majorHAnsi"/>
              <w:lang w:val="en-US" w:eastAsia="ro-RO"/>
            </w:rPr>
          </w:pPr>
          <w:r>
            <w:rPr>
              <w:rFonts w:asciiTheme="majorHAnsi" w:hAnsiTheme="majorHAnsi"/>
              <w:b/>
              <w:lang w:val="en-US" w:eastAsia="ro-RO"/>
            </w:rPr>
            <w:t>Indicatori de performanţă</w:t>
          </w:r>
          <w:r>
            <w:rPr>
              <w:rFonts w:asciiTheme="majorHAnsi" w:hAnsiTheme="majorHAnsi"/>
              <w:lang w:val="en-US" w:eastAsia="ro-RO"/>
            </w:rPr>
            <w:t xml:space="preserve"> – instrumente de măsurare cantitativă şi calitativă a performanţei financiare şi nefinanciare care indică atingerea unor obiective cuantificabile raportate la ţinte specifice de performanţă;</w:t>
          </w:r>
        </w:p>
        <w:p>
          <w:pPr>
            <w:pStyle w:val="66"/>
            <w:numPr>
              <w:ilvl w:val="0"/>
              <w:numId w:val="6"/>
            </w:numPr>
            <w:spacing w:before="0" w:after="0"/>
            <w:ind w:left="270" w:hanging="270"/>
            <w:jc w:val="both"/>
            <w:rPr>
              <w:rFonts w:asciiTheme="majorHAnsi" w:hAnsiTheme="majorHAnsi"/>
              <w:lang w:val="en-US" w:eastAsia="ro-RO"/>
            </w:rPr>
          </w:pPr>
          <w:r>
            <w:rPr>
              <w:rFonts w:asciiTheme="majorHAnsi" w:hAnsiTheme="majorHAnsi"/>
              <w:b/>
              <w:lang w:val="en-US" w:eastAsia="ro-RO"/>
            </w:rPr>
            <w:t>Indicatori-cheie de performanţă</w:t>
          </w:r>
          <w:r>
            <w:rPr>
              <w:rFonts w:asciiTheme="majorHAnsi" w:hAnsiTheme="majorHAnsi"/>
              <w:lang w:val="en-US" w:eastAsia="ro-RO"/>
            </w:rPr>
            <w:t xml:space="preserve"> – indicatori de performanţă prevăzuţi în anexa la contractul de mandat, denumiţi în continuare ICP;</w:t>
          </w:r>
        </w:p>
        <w:p>
          <w:pPr>
            <w:pStyle w:val="66"/>
            <w:numPr>
              <w:ilvl w:val="0"/>
              <w:numId w:val="6"/>
            </w:numPr>
            <w:spacing w:before="0" w:after="0"/>
            <w:ind w:left="270" w:hanging="270"/>
            <w:jc w:val="both"/>
            <w:rPr>
              <w:rFonts w:asciiTheme="majorHAnsi" w:hAnsiTheme="majorHAnsi"/>
              <w:lang w:val="en-US" w:eastAsia="ro-RO"/>
            </w:rPr>
          </w:pPr>
          <w:r>
            <w:rPr>
              <w:rFonts w:asciiTheme="majorHAnsi" w:hAnsiTheme="majorHAnsi"/>
              <w:b/>
              <w:lang w:val="en-US" w:eastAsia="ro-RO"/>
            </w:rPr>
            <w:t>Indicatorii de performanţă financiari</w:t>
          </w:r>
          <w:r>
            <w:rPr>
              <w:rFonts w:asciiTheme="majorHAnsi" w:hAnsiTheme="majorHAnsi"/>
              <w:lang w:val="en-US" w:eastAsia="ro-RO"/>
            </w:rPr>
            <w:t xml:space="preserve"> –  instrumente de măsurare a performanţei, utilizate pentru a determina eficienţa utilizării resurselor pentru generarea veniturilor, acoperirea costurilor şi obţinerea profitului. De obicei, aceştia se exprimă sub forma unui raport dintre două mărimi, două categorii de mărimi din cadrul situaţiilor financiare anuale, contului de profit şi pierdere şi bugetul de venituri şi cheltuieli ale întreprinderii publice;</w:t>
          </w:r>
        </w:p>
        <w:p>
          <w:pPr>
            <w:pStyle w:val="66"/>
            <w:numPr>
              <w:ilvl w:val="0"/>
              <w:numId w:val="6"/>
            </w:numPr>
            <w:spacing w:before="0" w:after="0"/>
            <w:ind w:left="270" w:hanging="270"/>
            <w:jc w:val="both"/>
            <w:rPr>
              <w:rFonts w:asciiTheme="majorHAnsi" w:hAnsiTheme="majorHAnsi"/>
              <w:lang w:val="en-US" w:eastAsia="ro-RO"/>
            </w:rPr>
          </w:pPr>
          <w:r>
            <w:rPr>
              <w:rFonts w:asciiTheme="majorHAnsi" w:hAnsiTheme="majorHAnsi"/>
              <w:b/>
              <w:lang w:val="en-US" w:eastAsia="ro-RO"/>
            </w:rPr>
            <w:t>Indicatorii de performanţă nefinanciari</w:t>
          </w:r>
          <w:r>
            <w:rPr>
              <w:rFonts w:asciiTheme="majorHAnsi" w:hAnsiTheme="majorHAnsi"/>
              <w:lang w:val="en-US" w:eastAsia="ro-RO"/>
            </w:rPr>
            <w:t xml:space="preserve"> – instrumente de măsurare a performanţei, care determină cât de bine utilizează întreprinderea publică resursele, în principal pentru:</w:t>
          </w:r>
        </w:p>
        <w:p>
          <w:pPr>
            <w:spacing w:before="0" w:after="0"/>
            <w:ind w:left="540"/>
            <w:jc w:val="both"/>
            <w:rPr>
              <w:rFonts w:asciiTheme="majorHAnsi" w:hAnsiTheme="majorHAnsi"/>
              <w:lang w:val="en-US" w:eastAsia="ro-RO"/>
            </w:rPr>
          </w:pPr>
          <w:r>
            <w:rPr>
              <w:rFonts w:asciiTheme="majorHAnsi" w:hAnsiTheme="majorHAnsi"/>
              <w:lang w:val="en-US" w:eastAsia="ro-RO"/>
            </w:rPr>
            <w:t>a) eficientizarea activităţii interne;</w:t>
          </w:r>
        </w:p>
        <w:p>
          <w:pPr>
            <w:spacing w:before="0" w:after="0"/>
            <w:ind w:left="540"/>
            <w:jc w:val="both"/>
            <w:rPr>
              <w:rFonts w:asciiTheme="majorHAnsi" w:hAnsiTheme="majorHAnsi"/>
              <w:lang w:val="en-US" w:eastAsia="ro-RO"/>
            </w:rPr>
          </w:pPr>
          <w:r>
            <w:rPr>
              <w:rFonts w:asciiTheme="majorHAnsi" w:hAnsiTheme="majorHAnsi"/>
              <w:lang w:val="en-US" w:eastAsia="ro-RO"/>
            </w:rPr>
            <w:t>b) furnizarea de servicii externe pentru clienţi;</w:t>
          </w:r>
        </w:p>
        <w:p>
          <w:pPr>
            <w:spacing w:before="0" w:after="0"/>
            <w:ind w:left="540"/>
            <w:jc w:val="both"/>
            <w:rPr>
              <w:rFonts w:asciiTheme="majorHAnsi" w:hAnsiTheme="majorHAnsi"/>
              <w:lang w:val="en-US" w:eastAsia="ro-RO"/>
            </w:rPr>
          </w:pPr>
          <w:r>
            <w:rPr>
              <w:rFonts w:asciiTheme="majorHAnsi" w:hAnsiTheme="majorHAnsi"/>
              <w:lang w:val="en-US" w:eastAsia="ro-RO"/>
            </w:rPr>
            <w:t>c) îndeplinirea cerinţelor legale.</w:t>
          </w:r>
        </w:p>
        <w:p>
          <w:pPr>
            <w:spacing w:before="0" w:after="0"/>
            <w:ind w:left="270"/>
            <w:jc w:val="both"/>
            <w:rPr>
              <w:rFonts w:asciiTheme="majorHAnsi" w:hAnsiTheme="majorHAnsi"/>
              <w:lang w:val="en-US" w:eastAsia="ro-RO"/>
            </w:rPr>
          </w:pPr>
          <w:r>
            <w:rPr>
              <w:rFonts w:asciiTheme="majorHAnsi" w:hAnsiTheme="majorHAnsi"/>
              <w:lang w:val="en-US" w:eastAsia="ro-RO"/>
            </w:rPr>
            <w:t>Indicatorii de performanţă nefinanciari sunt, de obicei, derivaţi din politica întreprinderii, nivelul de satisfacţie a clienţilor, cota de piaţă a întreprinderii publice etc.</w:t>
          </w:r>
        </w:p>
        <w:p>
          <w:pPr>
            <w:spacing w:before="120" w:after="120" w:line="240" w:lineRule="auto"/>
            <w:jc w:val="both"/>
            <w:rPr>
              <w:rFonts w:asciiTheme="majorHAnsi" w:hAnsiTheme="majorHAnsi"/>
              <w:color w:val="262626" w:themeColor="text1" w:themeTint="D9"/>
              <w:lang w:val="en-US" w:eastAsia="ro-RO"/>
              <w14:textFill>
                <w14:solidFill>
                  <w14:schemeClr w14:val="tx1">
                    <w14:lumMod w14:val="85000"/>
                    <w14:lumOff w14:val="15000"/>
                  </w14:schemeClr>
                </w14:solidFill>
              </w14:textFill>
            </w:rPr>
          </w:pPr>
        </w:p>
        <w:p>
          <w:pPr>
            <w:pStyle w:val="66"/>
            <w:ind w:left="0"/>
            <w:rPr>
              <w:rFonts w:asciiTheme="majorHAnsi" w:hAnsiTheme="majorHAnsi"/>
              <w:b/>
              <w:bCs/>
              <w:color w:val="0F6FC6" w:themeColor="accent1"/>
              <w:sz w:val="28"/>
              <w:szCs w:val="28"/>
              <w:lang w:eastAsia="ro-RO"/>
              <w14:textFill>
                <w14:solidFill>
                  <w14:schemeClr w14:val="accent1"/>
                </w14:solidFill>
              </w14:textFill>
            </w:rPr>
          </w:pPr>
          <w:r>
            <w:rPr>
              <w:rFonts w:asciiTheme="majorHAnsi" w:hAnsiTheme="majorHAnsi"/>
              <w:b/>
              <w:bCs/>
              <w:color w:val="0F6FC6" w:themeColor="accent1"/>
              <w:sz w:val="28"/>
              <w:szCs w:val="28"/>
              <w:lang w:eastAsia="ro-RO"/>
              <w14:textFill>
                <w14:solidFill>
                  <w14:schemeClr w14:val="accent1"/>
                </w14:solidFill>
              </w14:textFill>
            </w:rPr>
            <w:t>Abrevieri</w:t>
          </w:r>
        </w:p>
        <w:tbl>
          <w:tblPr>
            <w:tblStyle w:val="36"/>
            <w:tblW w:w="8564" w:type="dxa"/>
            <w:tblInd w:w="108" w:type="dxa"/>
            <w:tblLayout w:type="fixed"/>
            <w:tblCellMar>
              <w:top w:w="0" w:type="dxa"/>
              <w:left w:w="108" w:type="dxa"/>
              <w:bottom w:w="0" w:type="dxa"/>
              <w:right w:w="108" w:type="dxa"/>
            </w:tblCellMar>
          </w:tblPr>
          <w:tblGrid>
            <w:gridCol w:w="1440"/>
            <w:gridCol w:w="7124"/>
          </w:tblGrid>
          <w:tr>
            <w:tblPrEx>
              <w:tblLayout w:type="fixed"/>
              <w:tblCellMar>
                <w:top w:w="0" w:type="dxa"/>
                <w:left w:w="108" w:type="dxa"/>
                <w:bottom w:w="0" w:type="dxa"/>
                <w:right w:w="108" w:type="dxa"/>
              </w:tblCellMar>
            </w:tblPrEx>
            <w:trPr>
              <w:trHeight w:val="564" w:hRule="atLeast"/>
            </w:trPr>
            <w:tc>
              <w:tcPr>
                <w:tcW w:w="1440" w:type="dxa"/>
                <w:tcBorders>
                  <w:top w:val="nil"/>
                  <w:left w:val="single" w:color="FFFFFF" w:sz="8" w:space="0"/>
                  <w:bottom w:val="single" w:color="0F6FC6" w:themeColor="accent1" w:sz="8" w:space="0"/>
                  <w:right w:val="nil"/>
                </w:tcBorders>
                <w:shd w:val="clear" w:color="000000" w:fill="FFFFFF"/>
                <w:vAlign w:val="center"/>
              </w:tcPr>
              <w:p>
                <w:pPr>
                  <w:spacing w:before="0" w:after="0" w:line="240" w:lineRule="auto"/>
                  <w:rPr>
                    <w:rFonts w:ascii="Calibri Light" w:hAnsi="Calibri Light" w:eastAsia="Times New Roman" w:cs="Calibri Light"/>
                    <w:b/>
                    <w:bCs/>
                    <w:lang w:val="en-US"/>
                  </w:rPr>
                </w:pPr>
                <w:r>
                  <w:rPr>
                    <w:rFonts w:ascii="Calibri Light" w:hAnsi="Calibri Light" w:eastAsia="Times New Roman" w:cs="Calibri Light"/>
                    <w:b/>
                    <w:bCs/>
                    <w:lang w:val="en-US"/>
                  </w:rPr>
                  <w:t xml:space="preserve">Abreviere </w:t>
                </w:r>
              </w:p>
            </w:tc>
            <w:tc>
              <w:tcPr>
                <w:tcW w:w="7124" w:type="dxa"/>
                <w:tcBorders>
                  <w:top w:val="nil"/>
                  <w:left w:val="nil"/>
                  <w:bottom w:val="single" w:color="0F6FC6" w:themeColor="accent1" w:sz="8" w:space="0"/>
                  <w:right w:val="single" w:color="FFFFFF" w:sz="8" w:space="0"/>
                </w:tcBorders>
                <w:shd w:val="clear" w:color="000000" w:fill="FFFFFF"/>
                <w:vAlign w:val="center"/>
              </w:tcPr>
              <w:p>
                <w:pPr>
                  <w:spacing w:before="0" w:after="0" w:line="240" w:lineRule="auto"/>
                  <w:rPr>
                    <w:rFonts w:ascii="Calibri Light" w:hAnsi="Calibri Light" w:eastAsia="Times New Roman" w:cs="Calibri Light"/>
                    <w:b/>
                    <w:bCs/>
                  </w:rPr>
                </w:pPr>
                <w:r>
                  <w:rPr>
                    <w:rFonts w:ascii="Calibri Light" w:hAnsi="Calibri Light" w:eastAsia="Times New Roman" w:cs="Calibri Light"/>
                    <w:b/>
                    <w:bCs/>
                    <w:lang w:val="en-US"/>
                  </w:rPr>
                  <w:t>Semnifica</w:t>
                </w:r>
                <w:r>
                  <w:rPr>
                    <w:rFonts w:ascii="Calibri Light" w:hAnsi="Calibri Light" w:eastAsia="Times New Roman" w:cs="Calibri Light"/>
                    <w:b/>
                    <w:bCs/>
                  </w:rPr>
                  <w:t>ție</w:t>
                </w:r>
              </w:p>
            </w:tc>
          </w:tr>
          <w:tr>
            <w:tblPrEx>
              <w:tblLayout w:type="fixed"/>
              <w:tblCellMar>
                <w:top w:w="0" w:type="dxa"/>
                <w:left w:w="108" w:type="dxa"/>
                <w:bottom w:w="0" w:type="dxa"/>
                <w:right w:w="108" w:type="dxa"/>
              </w:tblCellMar>
            </w:tblPrEx>
            <w:trPr>
              <w:trHeight w:val="376" w:hRule="atLeast"/>
            </w:trPr>
            <w:tc>
              <w:tcPr>
                <w:tcW w:w="1440" w:type="dxa"/>
                <w:tcBorders>
                  <w:top w:val="single" w:color="0F6FC6" w:themeColor="accent1" w:sz="8" w:space="0"/>
                  <w:left w:val="nil"/>
                  <w:bottom w:val="nil"/>
                  <w:right w:val="single" w:color="FFFFFF" w:sz="8" w:space="0"/>
                </w:tcBorders>
                <w:shd w:val="clear" w:color="000000" w:fill="FFFFFF"/>
              </w:tcPr>
              <w:p>
                <w:pPr>
                  <w:spacing w:before="0" w:after="0" w:line="240" w:lineRule="auto"/>
                  <w:rPr>
                    <w:rFonts w:ascii="Calibri Light" w:hAnsi="Calibri Light" w:eastAsia="Times New Roman" w:cs="Calibri Light"/>
                    <w:b/>
                    <w:bCs/>
                    <w:lang w:val="en-US"/>
                  </w:rPr>
                </w:pPr>
                <w:r>
                  <w:rPr>
                    <w:rFonts w:ascii="Calibri Light" w:hAnsi="Calibri Light" w:eastAsia="Times New Roman" w:cs="Calibri Light"/>
                    <w:b/>
                    <w:bCs/>
                    <w:lang w:val="en-US"/>
                  </w:rPr>
                  <w:t>SOC</w:t>
                </w:r>
              </w:p>
            </w:tc>
            <w:tc>
              <w:tcPr>
                <w:tcW w:w="7124" w:type="dxa"/>
                <w:tcBorders>
                  <w:top w:val="single" w:color="0F6FC6" w:themeColor="accent1" w:sz="8" w:space="0"/>
                  <w:left w:val="nil"/>
                  <w:bottom w:val="nil"/>
                  <w:right w:val="single" w:color="FFFFFF" w:sz="8" w:space="0"/>
                </w:tcBorders>
                <w:shd w:val="clear" w:color="000000" w:fill="FFFFFF"/>
              </w:tcPr>
              <w:p>
                <w:pPr>
                  <w:spacing w:before="0" w:after="0" w:line="240" w:lineRule="auto"/>
                  <w:jc w:val="both"/>
                  <w:rPr>
                    <w:rFonts w:ascii="Calibri Light" w:hAnsi="Calibri Light" w:eastAsia="Times New Roman" w:cs="Calibri Light"/>
                    <w:lang w:val="en-US"/>
                  </w:rPr>
                </w:pPr>
                <w:r>
                  <w:rPr>
                    <w:rFonts w:ascii="Calibri Light" w:hAnsi="Calibri Light" w:eastAsia="Times New Roman" w:cs="Calibri Light"/>
                    <w:lang w:val="en-US"/>
                  </w:rPr>
                  <w:t>Companii și societăți naționale, societăți la care statul sau o unitate administrativ-teritorială este acționar unic, majoritar sau la care deține controlul</w:t>
                </w:r>
              </w:p>
            </w:tc>
          </w:tr>
          <w:tr>
            <w:tblPrEx>
              <w:tblLayout w:type="fixed"/>
              <w:tblCellMar>
                <w:top w:w="0" w:type="dxa"/>
                <w:left w:w="108" w:type="dxa"/>
                <w:bottom w:w="0" w:type="dxa"/>
                <w:right w:w="108" w:type="dxa"/>
              </w:tblCellMar>
            </w:tblPrEx>
            <w:trPr>
              <w:trHeight w:val="531" w:hRule="atLeast"/>
            </w:trPr>
            <w:tc>
              <w:tcPr>
                <w:tcW w:w="1440" w:type="dxa"/>
                <w:tcBorders>
                  <w:top w:val="nil"/>
                  <w:left w:val="nil"/>
                  <w:bottom w:val="nil"/>
                  <w:right w:val="single" w:color="FFFFFF" w:sz="8" w:space="0"/>
                </w:tcBorders>
                <w:shd w:val="clear" w:color="000000" w:fill="FFFFFF"/>
              </w:tcPr>
              <w:p>
                <w:pPr>
                  <w:spacing w:before="0" w:after="0" w:line="240" w:lineRule="auto"/>
                  <w:rPr>
                    <w:rFonts w:ascii="Calibri Light" w:hAnsi="Calibri Light" w:eastAsia="Times New Roman" w:cs="Calibri Light"/>
                    <w:b/>
                    <w:bCs/>
                    <w:lang w:val="en-US"/>
                  </w:rPr>
                </w:pPr>
                <w:r>
                  <w:rPr>
                    <w:rFonts w:ascii="Calibri Light" w:hAnsi="Calibri Light" w:eastAsia="Times New Roman" w:cs="Calibri Light"/>
                    <w:b/>
                    <w:bCs/>
                    <w:lang w:val="en-US"/>
                  </w:rPr>
                  <w:t>FIL</w:t>
                </w:r>
              </w:p>
            </w:tc>
            <w:tc>
              <w:tcPr>
                <w:tcW w:w="7124" w:type="dxa"/>
                <w:tcBorders>
                  <w:top w:val="nil"/>
                  <w:left w:val="nil"/>
                  <w:bottom w:val="nil"/>
                  <w:right w:val="single" w:color="FFFFFF" w:sz="8" w:space="0"/>
                </w:tcBorders>
                <w:shd w:val="clear" w:color="000000" w:fill="FFFFFF"/>
              </w:tcPr>
              <w:p>
                <w:pPr>
                  <w:spacing w:before="0" w:after="0" w:line="240" w:lineRule="auto"/>
                  <w:jc w:val="both"/>
                  <w:rPr>
                    <w:rFonts w:ascii="Calibri Light" w:hAnsi="Calibri Light" w:eastAsia="Times New Roman" w:cs="Calibri Light"/>
                    <w:lang w:val="en-US"/>
                  </w:rPr>
                </w:pPr>
                <w:r>
                  <w:rPr>
                    <w:rFonts w:ascii="Calibri Light" w:hAnsi="Calibri Light" w:eastAsia="Times New Roman" w:cs="Calibri Light"/>
                    <w:lang w:val="en-US"/>
                  </w:rPr>
                  <w:t>Filiale ale regiilor autonome, societăților/companiilor naționale, societăților (la care societatea mamă deține peste 50% inclusiv pondere cumulată a capitalului)</w:t>
                </w:r>
              </w:p>
            </w:tc>
          </w:tr>
          <w:tr>
            <w:tblPrEx>
              <w:tblLayout w:type="fixed"/>
              <w:tblCellMar>
                <w:top w:w="0" w:type="dxa"/>
                <w:left w:w="108" w:type="dxa"/>
                <w:bottom w:w="0" w:type="dxa"/>
                <w:right w:w="108" w:type="dxa"/>
              </w:tblCellMar>
            </w:tblPrEx>
            <w:trPr>
              <w:trHeight w:val="288" w:hRule="atLeast"/>
            </w:trPr>
            <w:tc>
              <w:tcPr>
                <w:tcW w:w="1440" w:type="dxa"/>
                <w:tcBorders>
                  <w:top w:val="nil"/>
                  <w:left w:val="nil"/>
                  <w:bottom w:val="nil"/>
                  <w:right w:val="single" w:color="FFFFFF" w:sz="8" w:space="0"/>
                </w:tcBorders>
                <w:shd w:val="clear" w:color="000000" w:fill="FFFFFF"/>
              </w:tcPr>
              <w:p>
                <w:pPr>
                  <w:spacing w:before="0" w:after="0" w:line="240" w:lineRule="auto"/>
                  <w:rPr>
                    <w:rFonts w:ascii="Calibri Light" w:hAnsi="Calibri Light" w:eastAsia="Times New Roman" w:cs="Calibri Light"/>
                    <w:b/>
                    <w:bCs/>
                    <w:lang w:val="en-US"/>
                  </w:rPr>
                </w:pPr>
                <w:r>
                  <w:rPr>
                    <w:rFonts w:ascii="Calibri Light" w:hAnsi="Calibri Light" w:eastAsia="Times New Roman" w:cs="Calibri Light"/>
                    <w:b/>
                    <w:bCs/>
                    <w:lang w:val="en-US"/>
                  </w:rPr>
                  <w:t>ÎP</w:t>
                </w:r>
              </w:p>
            </w:tc>
            <w:tc>
              <w:tcPr>
                <w:tcW w:w="7124" w:type="dxa"/>
                <w:tcBorders>
                  <w:top w:val="nil"/>
                  <w:left w:val="nil"/>
                  <w:bottom w:val="nil"/>
                  <w:right w:val="single" w:color="FFFFFF" w:sz="8" w:space="0"/>
                </w:tcBorders>
                <w:shd w:val="clear" w:color="000000" w:fill="FFFFFF"/>
              </w:tcPr>
              <w:p>
                <w:pPr>
                  <w:spacing w:before="0" w:after="0" w:line="240" w:lineRule="auto"/>
                  <w:jc w:val="both"/>
                  <w:rPr>
                    <w:rFonts w:ascii="Calibri Light" w:hAnsi="Calibri Light" w:eastAsia="Times New Roman" w:cs="Calibri Light"/>
                    <w:lang w:val="en-US"/>
                  </w:rPr>
                </w:pPr>
                <w:r>
                  <w:rPr>
                    <w:rFonts w:ascii="Calibri Light" w:hAnsi="Calibri Light" w:eastAsia="Times New Roman" w:cs="Calibri Light"/>
                    <w:lang w:val="en-US"/>
                  </w:rPr>
                  <w:t>Întreprindere publică</w:t>
                </w:r>
              </w:p>
            </w:tc>
          </w:tr>
          <w:tr>
            <w:tblPrEx>
              <w:tblLayout w:type="fixed"/>
              <w:tblCellMar>
                <w:top w:w="0" w:type="dxa"/>
                <w:left w:w="108" w:type="dxa"/>
                <w:bottom w:w="0" w:type="dxa"/>
                <w:right w:w="108" w:type="dxa"/>
              </w:tblCellMar>
            </w:tblPrEx>
            <w:trPr>
              <w:trHeight w:val="288" w:hRule="atLeast"/>
            </w:trPr>
            <w:tc>
              <w:tcPr>
                <w:tcW w:w="1440" w:type="dxa"/>
                <w:tcBorders>
                  <w:top w:val="nil"/>
                  <w:left w:val="nil"/>
                  <w:bottom w:val="nil"/>
                  <w:right w:val="single" w:color="FFFFFF" w:sz="8" w:space="0"/>
                </w:tcBorders>
                <w:shd w:val="clear" w:color="000000" w:fill="FFFFFF"/>
              </w:tcPr>
              <w:p>
                <w:pPr>
                  <w:spacing w:before="0" w:after="0" w:line="240" w:lineRule="auto"/>
                  <w:rPr>
                    <w:rFonts w:ascii="Calibri Light" w:hAnsi="Calibri Light" w:eastAsia="Times New Roman" w:cs="Calibri Light"/>
                    <w:b/>
                    <w:bCs/>
                    <w:lang w:val="en-US"/>
                  </w:rPr>
                </w:pPr>
                <w:r>
                  <w:rPr>
                    <w:rFonts w:ascii="Calibri Light" w:hAnsi="Calibri Light" w:eastAsia="Times New Roman" w:cs="Calibri Light"/>
                    <w:b/>
                    <w:bCs/>
                    <w:lang w:val="en-US"/>
                  </w:rPr>
                  <w:t>APT</w:t>
                </w:r>
              </w:p>
            </w:tc>
            <w:tc>
              <w:tcPr>
                <w:tcW w:w="7124" w:type="dxa"/>
                <w:tcBorders>
                  <w:top w:val="nil"/>
                  <w:left w:val="nil"/>
                  <w:bottom w:val="nil"/>
                  <w:right w:val="single" w:color="FFFFFF" w:sz="8" w:space="0"/>
                </w:tcBorders>
                <w:shd w:val="clear" w:color="000000" w:fill="FFFFFF"/>
              </w:tcPr>
              <w:p>
                <w:pPr>
                  <w:spacing w:before="0" w:after="0" w:line="240" w:lineRule="auto"/>
                  <w:jc w:val="both"/>
                  <w:rPr>
                    <w:rFonts w:ascii="Calibri Light" w:hAnsi="Calibri Light" w:eastAsia="Times New Roman" w:cs="Calibri Light"/>
                    <w:lang w:val="en-US"/>
                  </w:rPr>
                </w:pPr>
                <w:r>
                  <w:rPr>
                    <w:rFonts w:ascii="Calibri Light" w:hAnsi="Calibri Light" w:eastAsia="Times New Roman" w:cs="Calibri Light"/>
                    <w:lang w:val="en-US"/>
                  </w:rPr>
                  <w:t>Autoritate Publică Tutelară</w:t>
                </w:r>
              </w:p>
            </w:tc>
          </w:tr>
          <w:tr>
            <w:tblPrEx>
              <w:tblLayout w:type="fixed"/>
              <w:tblCellMar>
                <w:top w:w="0" w:type="dxa"/>
                <w:left w:w="108" w:type="dxa"/>
                <w:bottom w:w="0" w:type="dxa"/>
                <w:right w:w="108" w:type="dxa"/>
              </w:tblCellMar>
            </w:tblPrEx>
            <w:trPr>
              <w:trHeight w:val="288" w:hRule="atLeast"/>
            </w:trPr>
            <w:tc>
              <w:tcPr>
                <w:tcW w:w="1440" w:type="dxa"/>
                <w:tcBorders>
                  <w:top w:val="nil"/>
                  <w:left w:val="nil"/>
                  <w:bottom w:val="nil"/>
                  <w:right w:val="single" w:color="FFFFFF" w:sz="8" w:space="0"/>
                </w:tcBorders>
                <w:shd w:val="clear" w:color="000000" w:fill="FFFFFF"/>
              </w:tcPr>
              <w:p>
                <w:pPr>
                  <w:spacing w:before="0" w:after="0" w:line="240" w:lineRule="auto"/>
                  <w:rPr>
                    <w:rFonts w:ascii="Calibri Light" w:hAnsi="Calibri Light" w:eastAsia="Times New Roman" w:cs="Calibri Light"/>
                    <w:b/>
                    <w:bCs/>
                    <w:lang w:val="en-US"/>
                  </w:rPr>
                </w:pPr>
                <w:r>
                  <w:rPr>
                    <w:rFonts w:ascii="Calibri Light" w:hAnsi="Calibri Light" w:eastAsia="Times New Roman" w:cs="Calibri Light"/>
                    <w:b/>
                    <w:bCs/>
                    <w:lang w:val="en-US"/>
                  </w:rPr>
                  <w:t>MF</w:t>
                </w:r>
              </w:p>
            </w:tc>
            <w:tc>
              <w:tcPr>
                <w:tcW w:w="7124" w:type="dxa"/>
                <w:tcBorders>
                  <w:top w:val="nil"/>
                  <w:left w:val="nil"/>
                  <w:bottom w:val="nil"/>
                  <w:right w:val="single" w:color="FFFFFF" w:sz="8" w:space="0"/>
                </w:tcBorders>
                <w:shd w:val="clear" w:color="000000" w:fill="FFFFFF"/>
              </w:tcPr>
              <w:p>
                <w:pPr>
                  <w:spacing w:before="0" w:after="0" w:line="240" w:lineRule="auto"/>
                  <w:jc w:val="both"/>
                  <w:rPr>
                    <w:rFonts w:ascii="Calibri Light" w:hAnsi="Calibri Light" w:eastAsia="Times New Roman" w:cs="Calibri Light"/>
                    <w:lang w:val="en-US"/>
                  </w:rPr>
                </w:pPr>
                <w:r>
                  <w:rPr>
                    <w:rFonts w:ascii="Calibri Light" w:hAnsi="Calibri Light" w:eastAsia="Times New Roman" w:cs="Calibri Light"/>
                    <w:lang w:val="en-US"/>
                  </w:rPr>
                  <w:t>Ministerul Finanțelor</w:t>
                </w:r>
              </w:p>
            </w:tc>
          </w:tr>
          <w:tr>
            <w:tblPrEx>
              <w:tblLayout w:type="fixed"/>
              <w:tblCellMar>
                <w:top w:w="0" w:type="dxa"/>
                <w:left w:w="108" w:type="dxa"/>
                <w:bottom w:w="0" w:type="dxa"/>
                <w:right w:w="108" w:type="dxa"/>
              </w:tblCellMar>
            </w:tblPrEx>
            <w:trPr>
              <w:trHeight w:val="288" w:hRule="atLeast"/>
            </w:trPr>
            <w:tc>
              <w:tcPr>
                <w:tcW w:w="1440" w:type="dxa"/>
                <w:tcBorders>
                  <w:top w:val="nil"/>
                  <w:left w:val="nil"/>
                  <w:bottom w:val="nil"/>
                  <w:right w:val="single" w:color="FFFFFF" w:sz="8" w:space="0"/>
                </w:tcBorders>
                <w:shd w:val="clear" w:color="000000" w:fill="FFFFFF"/>
              </w:tcPr>
              <w:p>
                <w:pPr>
                  <w:spacing w:before="0" w:after="0" w:line="240" w:lineRule="auto"/>
                  <w:rPr>
                    <w:rFonts w:ascii="Calibri Light" w:hAnsi="Calibri Light" w:eastAsia="Times New Roman" w:cs="Calibri Light"/>
                    <w:b/>
                    <w:bCs/>
                    <w:lang w:val="en-US"/>
                  </w:rPr>
                </w:pPr>
                <w:r>
                  <w:rPr>
                    <w:rFonts w:ascii="Calibri Light" w:hAnsi="Calibri Light" w:eastAsia="Times New Roman" w:cs="Calibri Light"/>
                    <w:b/>
                    <w:bCs/>
                    <w:lang w:val="en-US"/>
                  </w:rPr>
                  <w:t>SAPS</w:t>
                </w:r>
              </w:p>
            </w:tc>
            <w:tc>
              <w:tcPr>
                <w:tcW w:w="7124" w:type="dxa"/>
                <w:tcBorders>
                  <w:top w:val="nil"/>
                  <w:left w:val="nil"/>
                  <w:bottom w:val="nil"/>
                  <w:right w:val="single" w:color="FFFFFF" w:sz="8" w:space="0"/>
                </w:tcBorders>
                <w:shd w:val="clear" w:color="000000" w:fill="FFFFFF"/>
              </w:tcPr>
              <w:p>
                <w:pPr>
                  <w:spacing w:before="0" w:after="0" w:line="240" w:lineRule="auto"/>
                  <w:jc w:val="both"/>
                  <w:rPr>
                    <w:rFonts w:ascii="Calibri Light" w:hAnsi="Calibri Light" w:eastAsia="Times New Roman" w:cs="Calibri Light"/>
                    <w:lang w:val="en-US"/>
                  </w:rPr>
                </w:pPr>
                <w:r>
                  <w:rPr>
                    <w:rFonts w:ascii="Calibri Light" w:hAnsi="Calibri Light" w:eastAsia="Times New Roman" w:cs="Calibri Light"/>
                    <w:lang w:val="en-US"/>
                  </w:rPr>
                  <w:t>Serviciul administrarea participațiilor statului din cadrul Direcției generale management al domeniilor reglementate specific desemnată drept structură de guvernanță corporativă la întreprinderile publice la care statul, prin Ministerul Finanțelor deține participații majoritare/integrale</w:t>
                </w:r>
              </w:p>
            </w:tc>
          </w:tr>
          <w:tr>
            <w:tblPrEx>
              <w:tblLayout w:type="fixed"/>
              <w:tblCellMar>
                <w:top w:w="0" w:type="dxa"/>
                <w:left w:w="108" w:type="dxa"/>
                <w:bottom w:w="0" w:type="dxa"/>
                <w:right w:w="108" w:type="dxa"/>
              </w:tblCellMar>
            </w:tblPrEx>
            <w:trPr>
              <w:trHeight w:val="288" w:hRule="atLeast"/>
            </w:trPr>
            <w:tc>
              <w:tcPr>
                <w:tcW w:w="1440" w:type="dxa"/>
                <w:tcBorders>
                  <w:top w:val="nil"/>
                  <w:left w:val="nil"/>
                  <w:bottom w:val="nil"/>
                  <w:right w:val="single" w:color="FFFFFF" w:sz="8" w:space="0"/>
                </w:tcBorders>
                <w:shd w:val="clear" w:color="000000" w:fill="FFFFFF"/>
              </w:tcPr>
              <w:p>
                <w:pPr>
                  <w:spacing w:before="0" w:after="0" w:line="240" w:lineRule="auto"/>
                  <w:rPr>
                    <w:rFonts w:ascii="Calibri Light" w:hAnsi="Calibri Light" w:eastAsia="Times New Roman" w:cs="Calibri Light"/>
                    <w:b/>
                    <w:bCs/>
                    <w:lang w:val="en-US"/>
                  </w:rPr>
                </w:pPr>
                <w:r>
                  <w:rPr>
                    <w:rFonts w:ascii="Calibri Light" w:hAnsi="Calibri Light" w:eastAsia="Times New Roman" w:cs="Calibri Light"/>
                    <w:b/>
                    <w:bCs/>
                    <w:lang w:val="en-US"/>
                  </w:rPr>
                  <w:t>N/A</w:t>
                </w:r>
              </w:p>
            </w:tc>
            <w:tc>
              <w:tcPr>
                <w:tcW w:w="7124" w:type="dxa"/>
                <w:tcBorders>
                  <w:top w:val="nil"/>
                  <w:left w:val="nil"/>
                  <w:bottom w:val="nil"/>
                  <w:right w:val="single" w:color="FFFFFF" w:sz="8" w:space="0"/>
                </w:tcBorders>
                <w:shd w:val="clear" w:color="000000" w:fill="FFFFFF"/>
              </w:tcPr>
              <w:p>
                <w:pPr>
                  <w:spacing w:before="0" w:after="0" w:line="240" w:lineRule="auto"/>
                  <w:jc w:val="both"/>
                  <w:rPr>
                    <w:rFonts w:ascii="Calibri Light" w:hAnsi="Calibri Light" w:eastAsia="Times New Roman" w:cs="Calibri Light"/>
                    <w:lang w:val="en-US"/>
                  </w:rPr>
                </w:pPr>
                <w:r>
                  <w:rPr>
                    <w:rFonts w:ascii="Calibri Light" w:hAnsi="Calibri Light" w:eastAsia="Times New Roman" w:cs="Calibri Light"/>
                    <w:lang w:val="en-US"/>
                  </w:rPr>
                  <w:t>Acronim folosit în tabele care semnifică nu se poate calcula</w:t>
                </w:r>
              </w:p>
            </w:tc>
          </w:tr>
        </w:tbl>
        <w:p>
          <w:pPr>
            <w:rPr>
              <w:rFonts w:asciiTheme="majorHAnsi" w:hAnsiTheme="majorHAnsi"/>
              <w:lang w:eastAsia="ro-RO"/>
            </w:rPr>
          </w:pPr>
        </w:p>
        <w:tbl>
          <w:tblPr>
            <w:tblStyle w:val="36"/>
            <w:tblW w:w="9445" w:type="dxa"/>
            <w:tblInd w:w="93" w:type="dxa"/>
            <w:tblLayout w:type="fixed"/>
            <w:tblCellMar>
              <w:top w:w="0" w:type="dxa"/>
              <w:left w:w="108" w:type="dxa"/>
              <w:bottom w:w="0" w:type="dxa"/>
              <w:right w:w="108" w:type="dxa"/>
            </w:tblCellMar>
          </w:tblPr>
          <w:tblGrid>
            <w:gridCol w:w="1365"/>
            <w:gridCol w:w="8080"/>
          </w:tblGrid>
          <w:tr>
            <w:tblPrEx>
              <w:tblLayout w:type="fixed"/>
              <w:tblCellMar>
                <w:top w:w="0" w:type="dxa"/>
                <w:left w:w="108" w:type="dxa"/>
                <w:bottom w:w="0" w:type="dxa"/>
                <w:right w:w="108" w:type="dxa"/>
              </w:tblCellMar>
            </w:tblPrEx>
            <w:trPr>
              <w:trHeight w:val="300" w:hRule="atLeast"/>
            </w:trPr>
            <w:tc>
              <w:tcPr>
                <w:tcW w:w="1365"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ascii="Calibri Light" w:hAnsi="Calibri Light" w:eastAsia="Times New Roman" w:cs="Calibri Light"/>
                    <w:b/>
                    <w:lang w:val="en-US"/>
                  </w:rPr>
                </w:pPr>
                <w:r>
                  <w:rPr>
                    <w:rFonts w:ascii="Calibri Light" w:hAnsi="Calibri Light" w:eastAsia="Times New Roman" w:cs="Calibri Light"/>
                    <w:b/>
                    <w:lang w:val="en-US"/>
                  </w:rPr>
                  <w:t>Abreviere</w:t>
                </w:r>
              </w:p>
            </w:tc>
            <w:tc>
              <w:tcPr>
                <w:tcW w:w="8080" w:type="dxa"/>
                <w:tcBorders>
                  <w:top w:val="nil"/>
                  <w:left w:val="nil"/>
                  <w:bottom w:val="single" w:color="4F81BD" w:sz="4" w:space="0"/>
                  <w:right w:val="single" w:color="FFFFFF" w:sz="4" w:space="0"/>
                </w:tcBorders>
                <w:shd w:val="clear" w:color="auto" w:fill="auto"/>
                <w:vAlign w:val="bottom"/>
              </w:tcPr>
              <w:p>
                <w:pPr>
                  <w:spacing w:before="0" w:after="0" w:line="240" w:lineRule="auto"/>
                  <w:rPr>
                    <w:rFonts w:ascii="Calibri Light" w:hAnsi="Calibri Light" w:eastAsia="Times New Roman" w:cs="Calibri Light"/>
                    <w:b/>
                    <w:lang w:val="en-US"/>
                  </w:rPr>
                </w:pPr>
                <w:r>
                  <w:rPr>
                    <w:rFonts w:ascii="Calibri Light" w:hAnsi="Calibri Light" w:eastAsia="Times New Roman" w:cs="Calibri Light"/>
                    <w:b/>
                    <w:lang w:val="en-US"/>
                  </w:rPr>
                  <w:t>Denumire întreprindere publică/societate</w:t>
                </w:r>
              </w:p>
              <w:p>
                <w:pPr>
                  <w:spacing w:before="0" w:after="0" w:line="240" w:lineRule="auto"/>
                  <w:rPr>
                    <w:rFonts w:ascii="Calibri Light" w:hAnsi="Calibri Light" w:eastAsia="Times New Roman" w:cs="Calibri Light"/>
                    <w:b/>
                    <w:lang w:val="en-US"/>
                  </w:rPr>
                </w:pPr>
              </w:p>
            </w:tc>
          </w:tr>
          <w:tr>
            <w:tblPrEx>
              <w:tblLayout w:type="fixed"/>
              <w:tblCellMar>
                <w:top w:w="0" w:type="dxa"/>
                <w:left w:w="108" w:type="dxa"/>
                <w:bottom w:w="0" w:type="dxa"/>
                <w:right w:w="108" w:type="dxa"/>
              </w:tblCellMar>
            </w:tblPrEx>
            <w:trPr>
              <w:trHeight w:val="300" w:hRule="atLeast"/>
            </w:trPr>
            <w:tc>
              <w:tcPr>
                <w:tcW w:w="1365" w:type="dxa"/>
                <w:tcBorders>
                  <w:top w:val="single" w:color="4F81BD" w:sz="4" w:space="0"/>
                  <w:left w:val="single" w:color="FFFFFF" w:sz="4" w:space="0"/>
                  <w:right w:val="single" w:color="FFFFFF" w:sz="4" w:space="0"/>
                </w:tcBorders>
                <w:shd w:val="clear" w:color="000000" w:fill="FFFFFF"/>
              </w:tcPr>
              <w:p>
                <w:pPr>
                  <w:spacing w:before="0" w:after="0" w:line="240" w:lineRule="auto"/>
                  <w:rPr>
                    <w:rFonts w:ascii="Calibri Light" w:hAnsi="Calibri Light" w:eastAsia="Times New Roman" w:cs="Calibri Light"/>
                    <w:b/>
                    <w:lang w:val="en-US"/>
                  </w:rPr>
                </w:pPr>
                <w:r>
                  <w:rPr>
                    <w:rFonts w:ascii="Calibri Light" w:hAnsi="Calibri Light" w:eastAsia="Times New Roman" w:cs="Calibri Light"/>
                    <w:b/>
                    <w:lang w:val="en-US"/>
                  </w:rPr>
                  <w:t>BR</w:t>
                </w:r>
              </w:p>
            </w:tc>
            <w:tc>
              <w:tcPr>
                <w:tcW w:w="8080" w:type="dxa"/>
                <w:tcBorders>
                  <w:top w:val="single" w:color="4F81BD" w:sz="4" w:space="0"/>
                  <w:left w:val="nil"/>
                  <w:right w:val="single" w:color="FFFFFF" w:sz="4" w:space="0"/>
                </w:tcBorders>
                <w:shd w:val="clear" w:color="C6EFCE" w:fill="FFFFFF"/>
              </w:tcPr>
              <w:p>
                <w:pPr>
                  <w:spacing w:before="0" w:after="0" w:line="240" w:lineRule="auto"/>
                  <w:rPr>
                    <w:rFonts w:ascii="Calibri Light" w:hAnsi="Calibri Light" w:eastAsia="Times New Roman" w:cs="Calibri Light"/>
                    <w:bCs/>
                    <w:lang w:val="en-US"/>
                  </w:rPr>
                </w:pPr>
                <w:r>
                  <w:rPr>
                    <w:rFonts w:ascii="Calibri Light" w:hAnsi="Calibri Light" w:eastAsia="Times New Roman" w:cs="Calibri Light"/>
                    <w:bCs/>
                    <w:lang w:val="en-US"/>
                  </w:rPr>
                  <w:t>Banca Românească S.A.</w:t>
                </w:r>
              </w:p>
            </w:tc>
          </w:tr>
          <w:tr>
            <w:tblPrEx>
              <w:tblLayout w:type="fixed"/>
              <w:tblCellMar>
                <w:top w:w="0" w:type="dxa"/>
                <w:left w:w="108" w:type="dxa"/>
                <w:bottom w:w="0" w:type="dxa"/>
                <w:right w:w="108" w:type="dxa"/>
              </w:tblCellMar>
            </w:tblPrEx>
            <w:trPr>
              <w:trHeight w:val="300" w:hRule="atLeast"/>
            </w:trPr>
            <w:tc>
              <w:tcPr>
                <w:tcW w:w="1365" w:type="dxa"/>
                <w:tcBorders>
                  <w:top w:val="nil"/>
                  <w:left w:val="single" w:color="FFFFFF" w:sz="4" w:space="0"/>
                  <w:right w:val="single" w:color="FFFFFF" w:sz="4" w:space="0"/>
                </w:tcBorders>
                <w:shd w:val="clear" w:color="000000" w:fill="FFFFFF"/>
              </w:tcPr>
              <w:p>
                <w:pPr>
                  <w:spacing w:before="0" w:after="0" w:line="240" w:lineRule="auto"/>
                  <w:rPr>
                    <w:rFonts w:ascii="Calibri Light" w:hAnsi="Calibri Light" w:eastAsia="Times New Roman" w:cs="Calibri Light"/>
                    <w:b/>
                    <w:lang w:val="en-US"/>
                  </w:rPr>
                </w:pPr>
                <w:r>
                  <w:rPr>
                    <w:rFonts w:ascii="Calibri Light" w:hAnsi="Calibri Light" w:eastAsia="Times New Roman" w:cs="Calibri Light"/>
                    <w:b/>
                    <w:lang w:val="en-US"/>
                  </w:rPr>
                  <w:t>CNIN</w:t>
                </w:r>
              </w:p>
            </w:tc>
            <w:tc>
              <w:tcPr>
                <w:tcW w:w="8080" w:type="dxa"/>
                <w:tcBorders>
                  <w:top w:val="nil"/>
                  <w:left w:val="nil"/>
                  <w:right w:val="single" w:color="FFFFFF" w:sz="4" w:space="0"/>
                </w:tcBorders>
                <w:shd w:val="clear" w:color="C6EFCE" w:fill="FFFFFF"/>
              </w:tcPr>
              <w:p>
                <w:pPr>
                  <w:spacing w:before="0" w:after="0" w:line="240" w:lineRule="auto"/>
                  <w:rPr>
                    <w:rFonts w:ascii="Calibri Light" w:hAnsi="Calibri Light" w:eastAsia="Times New Roman" w:cs="Calibri Light"/>
                    <w:bCs/>
                    <w:lang w:val="en-US"/>
                  </w:rPr>
                </w:pPr>
                <w:r>
                  <w:rPr>
                    <w:rFonts w:ascii="Calibri Light" w:hAnsi="Calibri Light" w:eastAsia="Times New Roman" w:cs="Calibri Light"/>
                    <w:bCs/>
                    <w:lang w:val="en-US"/>
                  </w:rPr>
                  <w:t>Compania Națională “Imprimeria Națională” S.A.</w:t>
                </w:r>
              </w:p>
            </w:tc>
          </w:tr>
          <w:tr>
            <w:tblPrEx>
              <w:tblLayout w:type="fixed"/>
              <w:tblCellMar>
                <w:top w:w="0" w:type="dxa"/>
                <w:left w:w="108" w:type="dxa"/>
                <w:bottom w:w="0" w:type="dxa"/>
                <w:right w:w="108" w:type="dxa"/>
              </w:tblCellMar>
            </w:tblPrEx>
            <w:trPr>
              <w:trHeight w:val="300" w:hRule="atLeast"/>
            </w:trPr>
            <w:tc>
              <w:tcPr>
                <w:tcW w:w="1365" w:type="dxa"/>
                <w:tcBorders>
                  <w:top w:val="nil"/>
                  <w:left w:val="single" w:color="FFFFFF" w:sz="4" w:space="0"/>
                  <w:right w:val="single" w:color="FFFFFF" w:sz="4" w:space="0"/>
                </w:tcBorders>
                <w:shd w:val="clear" w:color="000000" w:fill="FFFFFF"/>
              </w:tcPr>
              <w:p>
                <w:pPr>
                  <w:spacing w:before="0" w:after="0" w:line="240" w:lineRule="auto"/>
                  <w:rPr>
                    <w:rFonts w:ascii="Calibri Light" w:hAnsi="Calibri Light" w:eastAsia="Times New Roman" w:cs="Calibri Light"/>
                    <w:b/>
                    <w:lang w:val="en-US"/>
                  </w:rPr>
                </w:pPr>
                <w:r>
                  <w:rPr>
                    <w:rFonts w:ascii="Calibri Light" w:hAnsi="Calibri Light" w:eastAsia="Times New Roman" w:cs="Calibri Light"/>
                    <w:b/>
                    <w:lang w:val="en-US"/>
                  </w:rPr>
                  <w:t>FNGCIMM</w:t>
                </w:r>
              </w:p>
            </w:tc>
            <w:tc>
              <w:tcPr>
                <w:tcW w:w="8080" w:type="dxa"/>
                <w:tcBorders>
                  <w:top w:val="nil"/>
                  <w:left w:val="nil"/>
                  <w:right w:val="single" w:color="FFFFFF" w:sz="4" w:space="0"/>
                </w:tcBorders>
                <w:shd w:val="clear" w:color="C6EFCE" w:fill="FFFFFF"/>
              </w:tcPr>
              <w:p>
                <w:pPr>
                  <w:spacing w:before="0" w:after="0" w:line="240" w:lineRule="auto"/>
                  <w:rPr>
                    <w:rFonts w:ascii="Calibri Light" w:hAnsi="Calibri Light" w:eastAsia="Times New Roman" w:cs="Calibri Light"/>
                    <w:bCs/>
                    <w:lang w:val="en-US"/>
                  </w:rPr>
                </w:pPr>
                <w:r>
                  <w:rPr>
                    <w:rFonts w:ascii="Calibri Light" w:hAnsi="Calibri Light" w:eastAsia="Times New Roman" w:cs="Calibri Light"/>
                    <w:bCs/>
                    <w:lang w:val="en-US"/>
                  </w:rPr>
                  <w:t>Fondul Național de Garantare a Creditelor pentru Întreprinderile Mici și Mijlocii S.A. - IFN</w:t>
                </w:r>
              </w:p>
            </w:tc>
          </w:tr>
          <w:tr>
            <w:tblPrEx>
              <w:tblLayout w:type="fixed"/>
              <w:tblCellMar>
                <w:top w:w="0" w:type="dxa"/>
                <w:left w:w="108" w:type="dxa"/>
                <w:bottom w:w="0" w:type="dxa"/>
                <w:right w:w="108" w:type="dxa"/>
              </w:tblCellMar>
            </w:tblPrEx>
            <w:trPr>
              <w:trHeight w:val="300" w:hRule="atLeast"/>
            </w:trPr>
            <w:tc>
              <w:tcPr>
                <w:tcW w:w="1365" w:type="dxa"/>
                <w:tcBorders>
                  <w:top w:val="nil"/>
                  <w:left w:val="single" w:color="FFFFFF" w:sz="4" w:space="0"/>
                  <w:right w:val="single" w:color="FFFFFF" w:sz="4" w:space="0"/>
                </w:tcBorders>
                <w:shd w:val="clear" w:color="000000" w:fill="FFFFFF"/>
              </w:tcPr>
              <w:p>
                <w:pPr>
                  <w:spacing w:before="0" w:after="0" w:line="240" w:lineRule="auto"/>
                  <w:rPr>
                    <w:rFonts w:ascii="Calibri Light" w:hAnsi="Calibri Light" w:eastAsia="Times New Roman" w:cs="Calibri Light"/>
                    <w:b/>
                    <w:lang w:val="en-US"/>
                  </w:rPr>
                </w:pPr>
                <w:r>
                  <w:rPr>
                    <w:rFonts w:ascii="Calibri Light" w:hAnsi="Calibri Light" w:eastAsia="Times New Roman" w:cs="Calibri Light"/>
                    <w:b/>
                    <w:lang w:val="en-US"/>
                  </w:rPr>
                  <w:t>FLG Focșani</w:t>
                </w:r>
              </w:p>
            </w:tc>
            <w:tc>
              <w:tcPr>
                <w:tcW w:w="8080" w:type="dxa"/>
                <w:tcBorders>
                  <w:top w:val="nil"/>
                  <w:left w:val="nil"/>
                  <w:right w:val="single" w:color="FFFFFF" w:sz="4" w:space="0"/>
                </w:tcBorders>
                <w:shd w:val="clear" w:color="C6EFCE" w:fill="FFFFFF"/>
              </w:tcPr>
              <w:p>
                <w:pPr>
                  <w:spacing w:before="0" w:after="0" w:line="240" w:lineRule="auto"/>
                  <w:rPr>
                    <w:rFonts w:ascii="Calibri Light" w:hAnsi="Calibri Light" w:eastAsia="Times New Roman" w:cs="Calibri Light"/>
                    <w:bCs/>
                    <w:lang w:val="en-US"/>
                  </w:rPr>
                </w:pPr>
                <w:r>
                  <w:rPr>
                    <w:rFonts w:ascii="Calibri Light" w:hAnsi="Calibri Light" w:eastAsia="Times New Roman" w:cs="Calibri Light"/>
                    <w:bCs/>
                    <w:lang w:val="en-US"/>
                  </w:rPr>
                  <w:t>Fondul Local de Garantare Focșani IFN S.A.- filiala FNGCIMM</w:t>
                </w:r>
              </w:p>
            </w:tc>
          </w:tr>
          <w:tr>
            <w:tblPrEx>
              <w:tblLayout w:type="fixed"/>
              <w:tblCellMar>
                <w:top w:w="0" w:type="dxa"/>
                <w:left w:w="108" w:type="dxa"/>
                <w:bottom w:w="0" w:type="dxa"/>
                <w:right w:w="108" w:type="dxa"/>
              </w:tblCellMar>
            </w:tblPrEx>
            <w:trPr>
              <w:trHeight w:val="300" w:hRule="atLeast"/>
            </w:trPr>
            <w:tc>
              <w:tcPr>
                <w:tcW w:w="1365" w:type="dxa"/>
                <w:tcBorders>
                  <w:top w:val="nil"/>
                  <w:left w:val="single" w:color="FFFFFF" w:sz="4" w:space="0"/>
                  <w:right w:val="single" w:color="FFFFFF" w:sz="4" w:space="0"/>
                </w:tcBorders>
                <w:shd w:val="clear" w:color="000000" w:fill="FFFFFF"/>
              </w:tcPr>
              <w:p>
                <w:pPr>
                  <w:spacing w:before="0" w:after="0" w:line="240" w:lineRule="auto"/>
                  <w:rPr>
                    <w:rFonts w:ascii="Calibri Light" w:hAnsi="Calibri Light" w:eastAsia="Times New Roman" w:cs="Calibri Light"/>
                    <w:b/>
                    <w:lang w:val="en-US"/>
                  </w:rPr>
                </w:pPr>
                <w:r>
                  <w:rPr>
                    <w:rFonts w:ascii="Calibri Light" w:hAnsi="Calibri Light" w:eastAsia="Times New Roman" w:cs="Calibri Light"/>
                    <w:b/>
                    <w:lang w:val="en-US"/>
                  </w:rPr>
                  <w:t>EximAsig</w:t>
                </w:r>
              </w:p>
            </w:tc>
            <w:tc>
              <w:tcPr>
                <w:tcW w:w="8080" w:type="dxa"/>
                <w:tcBorders>
                  <w:top w:val="nil"/>
                  <w:left w:val="nil"/>
                  <w:right w:val="single" w:color="FFFFFF" w:sz="4" w:space="0"/>
                </w:tcBorders>
                <w:shd w:val="clear" w:color="C6EFCE" w:fill="FFFFFF"/>
              </w:tcPr>
              <w:p>
                <w:pPr>
                  <w:spacing w:before="0" w:after="0" w:line="240" w:lineRule="auto"/>
                  <w:rPr>
                    <w:rFonts w:ascii="Calibri Light" w:hAnsi="Calibri Light" w:eastAsia="Times New Roman" w:cs="Calibri Light"/>
                    <w:bCs/>
                    <w:lang w:val="en-US"/>
                  </w:rPr>
                </w:pPr>
                <w:r>
                  <w:rPr>
                    <w:rFonts w:ascii="Calibri Light" w:hAnsi="Calibri Light" w:eastAsia="Times New Roman" w:cs="Calibri Light"/>
                    <w:bCs/>
                    <w:lang w:val="en-US"/>
                  </w:rPr>
                  <w:t>Compania de Asigurări-Reasigurări Exim România (Care-România) S.A.</w:t>
                </w:r>
              </w:p>
            </w:tc>
          </w:tr>
          <w:tr>
            <w:tblPrEx>
              <w:tblLayout w:type="fixed"/>
              <w:tblCellMar>
                <w:top w:w="0" w:type="dxa"/>
                <w:left w:w="108" w:type="dxa"/>
                <w:bottom w:w="0" w:type="dxa"/>
                <w:right w:w="108" w:type="dxa"/>
              </w:tblCellMar>
            </w:tblPrEx>
            <w:trPr>
              <w:trHeight w:val="300" w:hRule="atLeast"/>
            </w:trPr>
            <w:tc>
              <w:tcPr>
                <w:tcW w:w="1365" w:type="dxa"/>
                <w:tcBorders>
                  <w:top w:val="nil"/>
                  <w:left w:val="single" w:color="FFFFFF" w:sz="4" w:space="0"/>
                  <w:right w:val="single" w:color="FFFFFF" w:sz="4" w:space="0"/>
                </w:tcBorders>
                <w:shd w:val="clear" w:color="000000" w:fill="FFFFFF"/>
              </w:tcPr>
              <w:p>
                <w:pPr>
                  <w:spacing w:before="0" w:after="0" w:line="240" w:lineRule="auto"/>
                  <w:rPr>
                    <w:rFonts w:ascii="Calibri Light" w:hAnsi="Calibri Light" w:eastAsia="Times New Roman" w:cs="Calibri Light"/>
                    <w:b/>
                    <w:lang w:val="en-US"/>
                  </w:rPr>
                </w:pPr>
                <w:r>
                  <w:rPr>
                    <w:rFonts w:ascii="Calibri Light" w:hAnsi="Calibri Light" w:eastAsia="Times New Roman" w:cs="Calibri Light"/>
                    <w:b/>
                    <w:lang w:val="en-US"/>
                  </w:rPr>
                  <w:t>FRC</w:t>
                </w:r>
              </w:p>
            </w:tc>
            <w:tc>
              <w:tcPr>
                <w:tcW w:w="8080" w:type="dxa"/>
                <w:tcBorders>
                  <w:top w:val="nil"/>
                  <w:left w:val="nil"/>
                  <w:right w:val="single" w:color="FFFFFF" w:sz="4" w:space="0"/>
                </w:tcBorders>
                <w:shd w:val="clear" w:color="C6EFCE" w:fill="FFFFFF"/>
              </w:tcPr>
              <w:p>
                <w:pPr>
                  <w:spacing w:before="0" w:after="0" w:line="240" w:lineRule="auto"/>
                  <w:rPr>
                    <w:rFonts w:ascii="Calibri Light" w:hAnsi="Calibri Light" w:eastAsia="Times New Roman" w:cs="Calibri Light"/>
                    <w:bCs/>
                    <w:lang w:val="en-US"/>
                  </w:rPr>
                </w:pPr>
                <w:r>
                  <w:rPr>
                    <w:rFonts w:ascii="Calibri Light" w:hAnsi="Calibri Light" w:eastAsia="Times New Roman" w:cs="Calibri Light"/>
                    <w:bCs/>
                    <w:lang w:val="en-US"/>
                  </w:rPr>
                  <w:t>Fondul Român de Contragarantare S.A.</w:t>
                </w:r>
              </w:p>
            </w:tc>
          </w:tr>
          <w:tr>
            <w:tblPrEx>
              <w:tblLayout w:type="fixed"/>
              <w:tblCellMar>
                <w:top w:w="0" w:type="dxa"/>
                <w:left w:w="108" w:type="dxa"/>
                <w:bottom w:w="0" w:type="dxa"/>
                <w:right w:w="108" w:type="dxa"/>
              </w:tblCellMar>
            </w:tblPrEx>
            <w:trPr>
              <w:trHeight w:val="300" w:hRule="atLeast"/>
            </w:trPr>
            <w:tc>
              <w:tcPr>
                <w:tcW w:w="1365" w:type="dxa"/>
                <w:tcBorders>
                  <w:top w:val="nil"/>
                  <w:left w:val="single" w:color="FFFFFF" w:sz="4" w:space="0"/>
                  <w:right w:val="single" w:color="FFFFFF" w:sz="4" w:space="0"/>
                </w:tcBorders>
                <w:shd w:val="clear" w:color="000000" w:fill="FFFFFF"/>
              </w:tcPr>
              <w:p>
                <w:pPr>
                  <w:spacing w:before="0" w:after="0" w:line="240" w:lineRule="auto"/>
                  <w:rPr>
                    <w:rFonts w:ascii="Calibri Light" w:hAnsi="Calibri Light" w:eastAsia="Times New Roman" w:cs="Calibri Light"/>
                    <w:b/>
                    <w:lang w:val="en-US"/>
                  </w:rPr>
                </w:pPr>
                <w:r>
                  <w:rPr>
                    <w:rFonts w:ascii="Calibri Light" w:hAnsi="Calibri Light" w:eastAsia="Times New Roman" w:cs="Calibri Light"/>
                    <w:b/>
                    <w:lang w:val="en-US"/>
                  </w:rPr>
                  <w:t>EximBank</w:t>
                </w:r>
              </w:p>
            </w:tc>
            <w:tc>
              <w:tcPr>
                <w:tcW w:w="8080" w:type="dxa"/>
                <w:tcBorders>
                  <w:top w:val="nil"/>
                  <w:left w:val="nil"/>
                  <w:right w:val="single" w:color="FFFFFF" w:sz="4" w:space="0"/>
                </w:tcBorders>
                <w:shd w:val="clear" w:color="C6EFCE" w:fill="FFFFFF"/>
              </w:tcPr>
              <w:p>
                <w:pPr>
                  <w:spacing w:before="0" w:after="0" w:line="240" w:lineRule="auto"/>
                  <w:rPr>
                    <w:rFonts w:ascii="Calibri Light" w:hAnsi="Calibri Light" w:eastAsia="Times New Roman" w:cs="Calibri Light"/>
                    <w:bCs/>
                    <w:lang w:val="en-US"/>
                  </w:rPr>
                </w:pPr>
                <w:r>
                  <w:rPr>
                    <w:rFonts w:ascii="Calibri Light" w:hAnsi="Calibri Light" w:eastAsia="Times New Roman" w:cs="Calibri Light"/>
                    <w:bCs/>
                    <w:lang w:val="en-US"/>
                  </w:rPr>
                  <w:t>Banca de Export Import a României (Eximbank) S.A.</w:t>
                </w:r>
              </w:p>
            </w:tc>
          </w:tr>
          <w:tr>
            <w:tblPrEx>
              <w:tblLayout w:type="fixed"/>
              <w:tblCellMar>
                <w:top w:w="0" w:type="dxa"/>
                <w:left w:w="108" w:type="dxa"/>
                <w:bottom w:w="0" w:type="dxa"/>
                <w:right w:w="108" w:type="dxa"/>
              </w:tblCellMar>
            </w:tblPrEx>
            <w:trPr>
              <w:trHeight w:val="300" w:hRule="atLeast"/>
            </w:trPr>
            <w:tc>
              <w:tcPr>
                <w:tcW w:w="1365" w:type="dxa"/>
                <w:tcBorders>
                  <w:top w:val="nil"/>
                  <w:left w:val="single" w:color="FFFFFF" w:sz="4" w:space="0"/>
                  <w:right w:val="single" w:color="FFFFFF" w:sz="4" w:space="0"/>
                </w:tcBorders>
                <w:shd w:val="clear" w:color="000000" w:fill="FFFFFF"/>
              </w:tcPr>
              <w:p>
                <w:pPr>
                  <w:spacing w:before="0" w:after="0" w:line="240" w:lineRule="auto"/>
                  <w:rPr>
                    <w:rFonts w:ascii="Calibri Light" w:hAnsi="Calibri Light" w:eastAsia="Times New Roman" w:cs="Calibri Light"/>
                    <w:b/>
                    <w:lang w:val="en-US"/>
                  </w:rPr>
                </w:pPr>
                <w:r>
                  <w:rPr>
                    <w:rFonts w:ascii="Calibri Light" w:hAnsi="Calibri Light" w:eastAsia="Times New Roman" w:cs="Calibri Light"/>
                    <w:b/>
                    <w:lang w:val="en-US"/>
                  </w:rPr>
                  <w:t>CEC</w:t>
                </w:r>
              </w:p>
            </w:tc>
            <w:tc>
              <w:tcPr>
                <w:tcW w:w="8080" w:type="dxa"/>
                <w:tcBorders>
                  <w:top w:val="nil"/>
                  <w:left w:val="nil"/>
                  <w:right w:val="single" w:color="FFFFFF" w:sz="4" w:space="0"/>
                </w:tcBorders>
                <w:shd w:val="clear" w:color="C6EFCE" w:fill="FFFFFF"/>
              </w:tcPr>
              <w:p>
                <w:pPr>
                  <w:spacing w:before="0" w:after="0" w:line="240" w:lineRule="auto"/>
                  <w:rPr>
                    <w:rFonts w:ascii="Calibri Light" w:hAnsi="Calibri Light" w:eastAsia="Times New Roman" w:cs="Calibri Light"/>
                    <w:bCs/>
                    <w:lang w:val="en-US"/>
                  </w:rPr>
                </w:pPr>
                <w:r>
                  <w:rPr>
                    <w:rFonts w:ascii="Calibri Light" w:hAnsi="Calibri Light" w:eastAsia="Times New Roman" w:cs="Calibri Light"/>
                    <w:bCs/>
                    <w:lang w:val="en-US"/>
                  </w:rPr>
                  <w:t>CEC Bank S.A.</w:t>
                </w:r>
              </w:p>
            </w:tc>
          </w:tr>
        </w:tbl>
        <w:p>
          <w:pPr>
            <w:pStyle w:val="66"/>
            <w:ind w:left="0"/>
            <w:jc w:val="both"/>
            <w:rPr>
              <w:rFonts w:asciiTheme="majorHAnsi" w:hAnsiTheme="majorHAnsi"/>
              <w:b/>
              <w:bCs/>
            </w:rPr>
          </w:pPr>
          <w:bookmarkStart w:id="1" w:name="_Toc490763506"/>
          <w:bookmarkStart w:id="2" w:name="_Toc490763687"/>
          <w:bookmarkStart w:id="3" w:name="_Toc490763855"/>
        </w:p>
        <w:p>
          <w:pPr>
            <w:pStyle w:val="69"/>
            <w:outlineLvl w:val="0"/>
            <w:rPr>
              <w:rFonts w:asciiTheme="majorHAnsi" w:hAnsiTheme="majorHAnsi" w:cstheme="majorHAnsi"/>
              <w:b/>
              <w:color w:val="0F6FC6" w:themeColor="accent1"/>
              <w:sz w:val="36"/>
              <w14:textFill>
                <w14:solidFill>
                  <w14:schemeClr w14:val="accent1"/>
                </w14:solidFill>
              </w14:textFill>
            </w:rPr>
          </w:pPr>
          <w:bookmarkStart w:id="4" w:name="_Toc76365822"/>
          <w:r>
            <w:rPr>
              <w:rFonts w:asciiTheme="majorHAnsi" w:hAnsiTheme="majorHAnsi" w:cstheme="majorHAnsi"/>
              <w:b/>
              <w:color w:val="0F6FC6" w:themeColor="accent1"/>
              <w:sz w:val="36"/>
              <w14:textFill>
                <w14:solidFill>
                  <w14:schemeClr w14:val="accent1"/>
                </w14:solidFill>
              </w14:textFill>
            </w:rPr>
            <w:t>C</w:t>
          </w:r>
          <w:bookmarkEnd w:id="1"/>
          <w:bookmarkEnd w:id="2"/>
          <w:bookmarkEnd w:id="3"/>
          <w:r>
            <w:rPr>
              <w:rFonts w:asciiTheme="majorHAnsi" w:hAnsiTheme="majorHAnsi" w:cstheme="majorHAnsi"/>
              <w:b/>
              <w:color w:val="0F6FC6" w:themeColor="accent1"/>
              <w:sz w:val="36"/>
              <w14:textFill>
                <w14:solidFill>
                  <w14:schemeClr w14:val="accent1"/>
                </w14:solidFill>
              </w14:textFill>
            </w:rPr>
            <w:t>adrul legislativ general aplicat la întocmirea prezentului raport</w:t>
          </w:r>
          <w:bookmarkEnd w:id="4"/>
        </w:p>
        <w:p>
          <w:pPr>
            <w:spacing w:before="0" w:after="0"/>
            <w:jc w:val="both"/>
            <w:rPr>
              <w:rFonts w:asciiTheme="majorHAnsi" w:hAnsiTheme="majorHAnsi"/>
              <w:b/>
              <w:bCs/>
              <w:color w:val="0F6FC6" w:themeColor="accent1"/>
              <w:sz w:val="36"/>
              <w:szCs w:val="36"/>
              <w:lang w:eastAsia="ro-RO"/>
              <w14:textFill>
                <w14:solidFill>
                  <w14:schemeClr w14:val="accent1"/>
                </w14:solidFill>
              </w14:textFill>
            </w:rPr>
          </w:pPr>
        </w:p>
        <w:p>
          <w:pPr>
            <w:spacing w:before="0" w:after="0"/>
            <w:jc w:val="both"/>
            <w:rPr>
              <w:rFonts w:asciiTheme="majorHAnsi" w:hAnsiTheme="majorHAnsi"/>
              <w:lang w:eastAsia="ro-RO"/>
            </w:rPr>
          </w:pPr>
          <w:r>
            <w:rPr>
              <w:rFonts w:asciiTheme="majorHAnsi" w:hAnsiTheme="majorHAnsi"/>
              <w:b/>
              <w:bCs/>
              <w:lang w:eastAsia="ro-RO"/>
            </w:rPr>
            <w:t>Legea nr. 31/1990</w:t>
          </w:r>
          <w:r>
            <w:rPr>
              <w:rFonts w:asciiTheme="majorHAnsi" w:hAnsiTheme="majorHAnsi"/>
              <w:lang w:eastAsia="ro-RO"/>
            </w:rPr>
            <w:t xml:space="preserve"> privind societățile, republicată, cu modificările și completările ulterioare;</w:t>
          </w:r>
        </w:p>
        <w:p>
          <w:pPr>
            <w:spacing w:before="0" w:after="0"/>
            <w:jc w:val="both"/>
            <w:rPr>
              <w:rFonts w:asciiTheme="majorHAnsi" w:hAnsiTheme="majorHAnsi"/>
              <w:lang w:eastAsia="ro-RO"/>
            </w:rPr>
          </w:pPr>
          <w:r>
            <w:rPr>
              <w:rFonts w:asciiTheme="majorHAnsi" w:hAnsiTheme="majorHAnsi"/>
              <w:b/>
              <w:bCs/>
              <w:lang w:eastAsia="ro-RO"/>
            </w:rPr>
            <w:t>Legea nr. 85/2014</w:t>
          </w:r>
          <w:r>
            <w:rPr>
              <w:rFonts w:asciiTheme="majorHAnsi" w:hAnsiTheme="majorHAnsi"/>
              <w:lang w:eastAsia="ro-RO"/>
            </w:rPr>
            <w:t xml:space="preserve"> privind procedurile de prevenire a insolvenței și de insolvență, cu modificările și completările ulterioare;</w:t>
          </w:r>
        </w:p>
        <w:p>
          <w:pPr>
            <w:spacing w:before="0" w:after="0"/>
            <w:jc w:val="both"/>
            <w:rPr>
              <w:rFonts w:asciiTheme="majorHAnsi" w:hAnsiTheme="majorHAnsi"/>
              <w:lang w:eastAsia="ro-RO"/>
            </w:rPr>
          </w:pPr>
          <w:r>
            <w:rPr>
              <w:rFonts w:asciiTheme="majorHAnsi" w:hAnsiTheme="majorHAnsi"/>
              <w:b/>
              <w:lang w:eastAsia="ro-RO"/>
            </w:rPr>
            <w:t>Legea nr. 544/2001</w:t>
          </w:r>
          <w:r>
            <w:rPr>
              <w:rFonts w:asciiTheme="majorHAnsi" w:hAnsiTheme="majorHAnsi"/>
              <w:lang w:eastAsia="ro-RO"/>
            </w:rPr>
            <w:t xml:space="preserve"> privind liberul acces la informațiile de interes public, cu modificările și completările ulterioare;</w:t>
          </w:r>
        </w:p>
        <w:p>
          <w:pPr>
            <w:spacing w:before="0" w:after="0"/>
            <w:jc w:val="both"/>
            <w:rPr>
              <w:rFonts w:asciiTheme="majorHAnsi" w:hAnsiTheme="majorHAnsi"/>
              <w:lang w:eastAsia="ro-RO"/>
            </w:rPr>
          </w:pPr>
          <w:r>
            <w:rPr>
              <w:rFonts w:asciiTheme="majorHAnsi" w:hAnsiTheme="majorHAnsi"/>
              <w:b/>
              <w:lang w:eastAsia="ro-RO"/>
            </w:rPr>
            <w:t>Ordonanţa Guvernului nr. 64/2001</w:t>
          </w:r>
          <w:r>
            <w:rPr>
              <w:rFonts w:asciiTheme="majorHAnsi" w:hAnsiTheme="majorHAnsi"/>
              <w:lang w:eastAsia="ro-RO"/>
            </w:rPr>
            <w:t xml:space="preserve"> privind repartizarea profitului la societăţile naţionale, companiile naţionale şi societăţile comerciale cu capital integral sau majoritar de stat, precum şi la regiile autonome, cu modificările şi completările ulterioare;</w:t>
          </w:r>
        </w:p>
        <w:p>
          <w:pPr>
            <w:spacing w:before="0" w:after="0"/>
            <w:jc w:val="both"/>
            <w:rPr>
              <w:rFonts w:asciiTheme="majorHAnsi" w:hAnsiTheme="majorHAnsi"/>
              <w:lang w:eastAsia="ro-RO"/>
            </w:rPr>
          </w:pPr>
          <w:r>
            <w:rPr>
              <w:rFonts w:asciiTheme="majorHAnsi" w:hAnsiTheme="majorHAnsi"/>
              <w:b/>
              <w:bCs/>
              <w:lang w:eastAsia="ro-RO"/>
            </w:rPr>
            <w:t>Ordonanța Guvernului nr. 26/2013</w:t>
          </w:r>
          <w:r>
            <w:rPr>
              <w:rFonts w:asciiTheme="majorHAnsi" w:hAnsiTheme="majorHAnsi"/>
              <w:lang w:eastAsia="ro-RO"/>
            </w:rPr>
            <w:t xml:space="preserve"> privind întărirea disciplinei financiare la nivelul unor operatori economici la care statul sau unitățile administrativ-teritoriale sunt acționari unici ori majoritari sau dețin direct ori indirect o participație majoritară, cu modificările și completările ulterioare;</w:t>
          </w:r>
        </w:p>
        <w:p>
          <w:pPr>
            <w:spacing w:before="0" w:after="0"/>
            <w:jc w:val="both"/>
            <w:rPr>
              <w:rFonts w:asciiTheme="majorHAnsi" w:hAnsiTheme="majorHAnsi"/>
              <w:lang w:val="en-US" w:eastAsia="ro-RO"/>
            </w:rPr>
          </w:pPr>
          <w:r>
            <w:rPr>
              <w:rFonts w:asciiTheme="majorHAnsi" w:hAnsiTheme="majorHAnsi"/>
              <w:b/>
              <w:bCs/>
              <w:lang w:eastAsia="ro-RO"/>
            </w:rPr>
            <w:t xml:space="preserve">Ordonanța Guvernului nr. </w:t>
          </w:r>
          <w:r>
            <w:rPr>
              <w:rFonts w:asciiTheme="majorHAnsi" w:hAnsiTheme="majorHAnsi"/>
              <w:b/>
              <w:lang w:eastAsia="ro-RO"/>
            </w:rPr>
            <w:t>29/2013</w:t>
          </w:r>
          <w:r>
            <w:rPr>
              <w:rFonts w:asciiTheme="majorHAnsi" w:hAnsiTheme="majorHAnsi"/>
              <w:lang w:eastAsia="ro-RO"/>
            </w:rPr>
            <w:t xml:space="preserve"> privind reglementarea unor măsuri bugetare, cu modificările ulterioare</w:t>
          </w:r>
          <w:r>
            <w:rPr>
              <w:rFonts w:asciiTheme="majorHAnsi" w:hAnsiTheme="majorHAnsi"/>
              <w:lang w:val="en-US" w:eastAsia="ro-RO"/>
            </w:rPr>
            <w:t>;</w:t>
          </w:r>
        </w:p>
        <w:p>
          <w:pPr>
            <w:spacing w:before="0" w:after="0"/>
            <w:jc w:val="both"/>
            <w:rPr>
              <w:rFonts w:asciiTheme="majorHAnsi" w:hAnsiTheme="majorHAnsi"/>
              <w:lang w:eastAsia="ro-RO"/>
            </w:rPr>
          </w:pPr>
          <w:r>
            <w:rPr>
              <w:rFonts w:asciiTheme="majorHAnsi" w:hAnsiTheme="majorHAnsi"/>
              <w:b/>
              <w:lang w:eastAsia="ro-RO"/>
            </w:rPr>
            <w:t>Ordonanța Guvernului nr. 29/2017</w:t>
          </w:r>
          <w:r>
            <w:rPr>
              <w:rFonts w:asciiTheme="majorHAnsi" w:hAnsiTheme="majorHAnsi"/>
              <w:lang w:eastAsia="ro-RO"/>
            </w:rPr>
            <w:t xml:space="preserve"> pentru modificarea art. 1 alin. (1) lit. g) din Ordonanţa Guvernului nr. 64/2001 privind repartizarea profitului la societăţile naţionale, companiile naţionale şi societăţile comerciale cu capital integral sau majoritar de stat, precum şi la regiile autonome şi pentru modificarea art. 1 alin. (2) şi (3) din Ordonanţa de urgenţă a Guvernului nr. 109/2011 privind guvernanţa corporativă a întreprinderilor publice;</w:t>
          </w:r>
        </w:p>
        <w:p>
          <w:pPr>
            <w:spacing w:before="0" w:after="0"/>
            <w:jc w:val="both"/>
            <w:rPr>
              <w:rFonts w:hAnsi="Arial" w:eastAsia="Times New Roman" w:cs="Arial" w:asciiTheme="majorHAnsi"/>
              <w:bCs/>
              <w:lang w:eastAsia="zh-CN"/>
            </w:rPr>
          </w:pPr>
          <w:r>
            <w:rPr>
              <w:rFonts w:hAnsi="Arial" w:eastAsia="Times New Roman" w:cs="Arial" w:asciiTheme="majorHAnsi"/>
              <w:b/>
              <w:bCs/>
              <w:lang w:val="en-GB" w:eastAsia="zh-CN"/>
            </w:rPr>
            <w:t xml:space="preserve">Ordonanța de Urgență a Guvernului nr. 99/2006 </w:t>
          </w:r>
          <w:r>
            <w:rPr>
              <w:rFonts w:hAnsi="Arial" w:eastAsia="Times New Roman" w:cs="Arial" w:asciiTheme="majorHAnsi"/>
              <w:bCs/>
              <w:i/>
              <w:iCs/>
              <w:lang w:val="en-GB" w:eastAsia="zh-CN"/>
            </w:rPr>
            <w:t xml:space="preserve">privind instituţiile de credit şi adecvarea capitalului, </w:t>
          </w:r>
          <w:r>
            <w:rPr>
              <w:rFonts w:hAnsi="Arial" w:eastAsia="Times New Roman" w:cs="Arial" w:asciiTheme="majorHAnsi"/>
              <w:bCs/>
              <w:lang w:val="en-GB" w:eastAsia="zh-CN"/>
            </w:rPr>
            <w:t>cu modificările și completările ulterioare</w:t>
          </w:r>
          <w:r>
            <w:rPr>
              <w:rFonts w:hAnsi="Arial" w:eastAsia="Times New Roman" w:cs="Arial" w:asciiTheme="majorHAnsi"/>
              <w:bCs/>
              <w:lang w:eastAsia="zh-CN"/>
            </w:rPr>
            <w:t>;</w:t>
          </w:r>
        </w:p>
        <w:p>
          <w:pPr>
            <w:spacing w:before="0" w:after="0"/>
            <w:jc w:val="both"/>
            <w:rPr>
              <w:rFonts w:asciiTheme="majorHAnsi" w:hAnsiTheme="majorHAnsi"/>
              <w:lang w:eastAsia="ro-RO"/>
            </w:rPr>
          </w:pPr>
          <w:r>
            <w:rPr>
              <w:rFonts w:asciiTheme="majorHAnsi" w:hAnsiTheme="majorHAnsi"/>
              <w:b/>
              <w:lang w:eastAsia="ro-RO"/>
            </w:rPr>
            <w:t>Ordonanța de Urgență a Guvernului nr. 109/2011</w:t>
          </w:r>
          <w:r>
            <w:rPr>
              <w:rFonts w:asciiTheme="majorHAnsi" w:hAnsiTheme="majorHAnsi"/>
              <w:lang w:eastAsia="ro-RO"/>
            </w:rPr>
            <w:t xml:space="preserve"> privind guvernanța corporativă a întreprinderilor publice, aprobată cu modificări și completări prin Legea nr. 111/2016, cu modificările ulterioare;</w:t>
          </w:r>
        </w:p>
        <w:p>
          <w:pPr>
            <w:spacing w:before="0" w:after="0"/>
            <w:jc w:val="both"/>
            <w:rPr>
              <w:rFonts w:asciiTheme="majorHAnsi" w:hAnsiTheme="majorHAnsi"/>
              <w:lang w:eastAsia="ro-RO"/>
            </w:rPr>
          </w:pPr>
          <w:r>
            <w:rPr>
              <w:rFonts w:asciiTheme="majorHAnsi" w:hAnsiTheme="majorHAnsi"/>
              <w:b/>
              <w:lang w:eastAsia="ro-RO"/>
            </w:rPr>
            <w:t>Hotărârea Guvernului nr. 34/2009</w:t>
          </w:r>
          <w:r>
            <w:rPr>
              <w:rFonts w:asciiTheme="majorHAnsi" w:hAnsiTheme="majorHAnsi"/>
              <w:lang w:eastAsia="ro-RO"/>
            </w:rPr>
            <w:t xml:space="preserve"> privind organizarea şi funcţionarea Ministerului Finanţelor Publice, cu modificările şi completările ulterioare;</w:t>
          </w:r>
        </w:p>
        <w:p>
          <w:pPr>
            <w:spacing w:before="0" w:after="0"/>
            <w:jc w:val="both"/>
            <w:rPr>
              <w:rFonts w:asciiTheme="majorHAnsi" w:hAnsiTheme="majorHAnsi"/>
              <w:lang w:val="en-US" w:eastAsia="ro-RO"/>
            </w:rPr>
          </w:pPr>
          <w:r>
            <w:rPr>
              <w:rFonts w:asciiTheme="majorHAnsi" w:hAnsiTheme="majorHAnsi"/>
              <w:b/>
              <w:lang w:val="en-US" w:eastAsia="ro-RO"/>
            </w:rPr>
            <w:t>Hotărârea Guvernului nr. 722/2016</w:t>
          </w:r>
          <w:r>
            <w:rPr>
              <w:rFonts w:asciiTheme="majorHAnsi" w:hAnsiTheme="majorHAnsi"/>
              <w:lang w:val="en-US" w:eastAsia="ro-RO"/>
            </w:rPr>
            <w:t xml:space="preserve"> pentru aprobarea Normelor metodologice de aplicare a unor prevederi din Ordonanţa de urgenţă a Guvernului nr. 109/2011 privind guvernanţa corporativă a întreprinderilor publice aprobată cu modificări și completări prin Legea nr. 111/2016;</w:t>
          </w:r>
        </w:p>
        <w:p>
          <w:pPr>
            <w:spacing w:before="0" w:after="0"/>
            <w:jc w:val="both"/>
            <w:rPr>
              <w:rFonts w:asciiTheme="majorHAnsi" w:hAnsiTheme="majorHAnsi"/>
              <w:lang w:eastAsia="ro-RO"/>
            </w:rPr>
          </w:pPr>
          <w:r>
            <w:rPr>
              <w:rFonts w:asciiTheme="majorHAnsi" w:hAnsiTheme="majorHAnsi"/>
              <w:b/>
              <w:bCs/>
              <w:lang w:eastAsia="ro-RO"/>
            </w:rPr>
            <w:t>Ordinul Ministrului Finanțelor Publice nr. 2873/2016</w:t>
          </w:r>
          <w:r>
            <w:rPr>
              <w:rFonts w:asciiTheme="majorHAnsi" w:hAnsiTheme="majorHAnsi"/>
              <w:lang w:eastAsia="ro-RO"/>
            </w:rPr>
            <w:t xml:space="preserve"> privind reglementarea procedurii de raportare a unor indicatori economico-financiari de către operatorii economici cu capital/patrimoniu integral ori majoritar deţinut direct sau indirect de autorităţile publice centrale ori locale, cu modificările şi completările ulterioare; </w:t>
          </w:r>
        </w:p>
        <w:p>
          <w:pPr>
            <w:spacing w:before="0" w:after="0"/>
            <w:jc w:val="both"/>
            <w:rPr>
              <w:rFonts w:asciiTheme="majorHAnsi" w:hAnsiTheme="majorHAnsi"/>
              <w:b/>
              <w:bCs/>
              <w:lang w:eastAsia="ro-RO"/>
            </w:rPr>
          </w:pPr>
          <w:r>
            <w:rPr>
              <w:rFonts w:asciiTheme="majorHAnsi" w:hAnsiTheme="majorHAnsi"/>
              <w:b/>
              <w:bCs/>
              <w:lang w:val="en-US" w:eastAsia="ro-RO"/>
            </w:rPr>
            <w:t>Ordinul Ministrului Finanțelor Publice nr.</w:t>
          </w:r>
          <w:r>
            <w:rPr>
              <w:rFonts w:asciiTheme="majorHAnsi" w:hAnsiTheme="majorHAnsi"/>
              <w:lang w:val="en-US" w:eastAsia="ro-RO"/>
            </w:rPr>
            <w:t xml:space="preserve"> </w:t>
          </w:r>
          <w:r>
            <w:rPr>
              <w:rFonts w:asciiTheme="majorHAnsi" w:hAnsiTheme="majorHAnsi"/>
              <w:b/>
              <w:bCs/>
              <w:lang w:val="en-US" w:eastAsia="ro-RO"/>
            </w:rPr>
            <w:t>2460/2016</w:t>
          </w:r>
          <w:r>
            <w:rPr>
              <w:rFonts w:asciiTheme="majorHAnsi" w:hAnsiTheme="majorHAnsi"/>
              <w:lang w:val="en-US" w:eastAsia="ro-RO"/>
            </w:rPr>
            <w:t xml:space="preserve"> privind împuternicirea persoanelor din cadrul aparatului de inspecţie economico-financiară de a constata contravenţiile şi a aplica sancţiunile prevăzute de Ordonanţa de urgenţă a Guvernului nr. 109/2011 privind guvernanţa corporativă a întreprinderilor publice;</w:t>
          </w:r>
          <w:r>
            <w:rPr>
              <w:rFonts w:asciiTheme="majorHAnsi" w:hAnsiTheme="majorHAnsi"/>
              <w:b/>
              <w:bCs/>
              <w:lang w:eastAsia="ro-RO"/>
            </w:rPr>
            <w:t xml:space="preserve"> </w:t>
          </w:r>
        </w:p>
        <w:p>
          <w:pPr>
            <w:spacing w:before="0" w:after="0"/>
            <w:jc w:val="lowKashida"/>
            <w:rPr>
              <w:rFonts w:asciiTheme="majorHAnsi" w:hAnsiTheme="majorHAnsi"/>
              <w:lang w:val="en-US" w:eastAsia="ro-RO"/>
            </w:rPr>
          </w:pPr>
          <w:r>
            <w:rPr>
              <w:rFonts w:asciiTheme="majorHAnsi" w:hAnsiTheme="majorHAnsi"/>
              <w:b/>
              <w:bCs/>
              <w:lang w:eastAsia="ro-RO"/>
            </w:rPr>
            <w:t>Ordinul Ministrului Finanțelor Publice nr. 1952/2018</w:t>
          </w:r>
          <w:r>
            <w:rPr>
              <w:rFonts w:asciiTheme="majorHAnsi" w:hAnsiTheme="majorHAnsi"/>
              <w:sz w:val="16"/>
              <w:szCs w:val="16"/>
            </w:rPr>
            <w:t xml:space="preserve">  </w:t>
          </w:r>
          <w:r>
            <w:rPr>
              <w:rFonts w:asciiTheme="majorHAnsi" w:hAnsiTheme="majorHAnsi"/>
              <w:lang w:eastAsia="ro-RO"/>
            </w:rPr>
            <w:t xml:space="preserve">privind reglementarea procedurii de monitorizare a implementării prevederilor Ordonanței de urgență a Guvernului nr. 109/2011 privind guvernanța corporativă a întreprinderilor publice cu modificările şi completările ulterioare; </w:t>
          </w:r>
        </w:p>
        <w:p>
          <w:pPr>
            <w:spacing w:before="0" w:after="0"/>
            <w:jc w:val="both"/>
            <w:rPr>
              <w:rFonts w:asciiTheme="majorHAnsi" w:hAnsiTheme="majorHAnsi"/>
              <w:lang w:val="en-US" w:eastAsia="ro-RO"/>
            </w:rPr>
          </w:pPr>
          <w:r>
            <w:rPr>
              <w:rFonts w:asciiTheme="majorHAnsi" w:hAnsiTheme="majorHAnsi"/>
              <w:b/>
              <w:bCs/>
              <w:lang w:eastAsia="ro-RO"/>
            </w:rPr>
            <w:t>Ordinul Institutului Național de Statistică nr. 337/2007</w:t>
          </w:r>
          <w:r>
            <w:rPr>
              <w:rFonts w:asciiTheme="majorHAnsi" w:hAnsiTheme="majorHAnsi"/>
              <w:lang w:eastAsia="ro-RO"/>
            </w:rPr>
            <w:t xml:space="preserve"> privind actualizarea Clasificării activităților din economia națională – CAEN</w:t>
          </w:r>
          <w:r>
            <w:rPr>
              <w:rFonts w:asciiTheme="majorHAnsi" w:hAnsiTheme="majorHAnsi"/>
              <w:lang w:val="en-US" w:eastAsia="ro-RO"/>
            </w:rPr>
            <w:t>;</w:t>
          </w:r>
        </w:p>
        <w:p>
          <w:pPr>
            <w:spacing w:before="0" w:after="0" w:line="240" w:lineRule="auto"/>
            <w:jc w:val="both"/>
            <w:rPr>
              <w:rFonts w:hAnsi="Arial" w:eastAsia="Times New Roman" w:cs="Arial" w:asciiTheme="majorHAnsi"/>
              <w:lang w:eastAsia="zh-CN"/>
            </w:rPr>
          </w:pPr>
          <w:r>
            <w:rPr>
              <w:rFonts w:hAnsi="Arial" w:eastAsia="Times New Roman" w:cs="Arial" w:asciiTheme="majorHAnsi"/>
              <w:b/>
              <w:bCs/>
              <w:lang w:val="en-GB" w:eastAsia="zh-CN"/>
            </w:rPr>
            <w:t xml:space="preserve">Regulamentul BNR nr. 5/2013 </w:t>
          </w:r>
          <w:r>
            <w:rPr>
              <w:rFonts w:hAnsi="Arial" w:eastAsia="Times New Roman" w:cs="Arial" w:asciiTheme="majorHAnsi"/>
              <w:i/>
              <w:iCs/>
              <w:lang w:val="en-GB" w:eastAsia="zh-CN"/>
            </w:rPr>
            <w:t>privind cerinţe prudenţiale pentru instituţiile de credit,</w:t>
          </w:r>
          <w:r>
            <w:rPr>
              <w:rFonts w:hAnsi="Arial" w:eastAsia="Times New Roman" w:cs="Arial" w:asciiTheme="majorHAnsi"/>
              <w:lang w:val="en-GB" w:eastAsia="zh-CN"/>
            </w:rPr>
            <w:t xml:space="preserve"> cu modificările și completările ulterioare</w:t>
          </w:r>
          <w:r>
            <w:rPr>
              <w:rFonts w:hAnsi="Arial" w:eastAsia="Times New Roman" w:cs="Arial" w:asciiTheme="majorHAnsi"/>
              <w:lang w:eastAsia="zh-CN"/>
            </w:rPr>
            <w:t>;</w:t>
          </w:r>
        </w:p>
        <w:p>
          <w:pPr>
            <w:spacing w:before="0" w:after="0" w:line="240" w:lineRule="auto"/>
            <w:jc w:val="both"/>
            <w:rPr>
              <w:rFonts w:hAnsi="Arial" w:eastAsia="Times New Roman" w:cs="Arial" w:asciiTheme="majorHAnsi"/>
              <w:lang w:eastAsia="zh-CN"/>
            </w:rPr>
          </w:pPr>
          <w:r>
            <w:rPr>
              <w:rFonts w:hAnsi="Arial" w:eastAsia="Times New Roman" w:cs="Arial" w:asciiTheme="majorHAnsi"/>
              <w:b/>
              <w:bCs/>
              <w:lang w:val="en-GB" w:eastAsia="zh-CN"/>
            </w:rPr>
            <w:t xml:space="preserve">Regulamentul BNR nr. 6/2008 </w:t>
          </w:r>
          <w:r>
            <w:rPr>
              <w:rFonts w:hAnsi="Arial" w:eastAsia="Times New Roman" w:cs="Arial" w:asciiTheme="majorHAnsi"/>
              <w:i/>
              <w:iCs/>
              <w:lang w:val="en-GB" w:eastAsia="zh-CN"/>
            </w:rPr>
            <w:t>privind începerea activităţii şi modificările în situaţia instituţiilor de credit, persoane juridice române, şi a sucursalelor din România ale instituţiilor de credit din state terţe</w:t>
          </w:r>
          <w:r>
            <w:rPr>
              <w:rFonts w:hAnsi="Arial" w:eastAsia="Times New Roman" w:cs="Arial" w:asciiTheme="majorHAnsi"/>
              <w:lang w:val="en-GB" w:eastAsia="zh-CN"/>
            </w:rPr>
            <w:t>, cu modificările și completările ulterioare</w:t>
          </w:r>
          <w:r>
            <w:rPr>
              <w:rFonts w:hAnsi="Arial" w:eastAsia="Times New Roman" w:cs="Arial" w:asciiTheme="majorHAnsi"/>
              <w:lang w:eastAsia="zh-CN"/>
            </w:rPr>
            <w:t>;</w:t>
          </w:r>
        </w:p>
        <w:p>
          <w:pPr>
            <w:spacing w:before="0" w:after="0" w:line="240" w:lineRule="auto"/>
            <w:jc w:val="both"/>
            <w:rPr>
              <w:rFonts w:hAnsi="Arial" w:eastAsia="Times New Roman" w:cs="Arial" w:asciiTheme="majorHAnsi"/>
              <w:lang w:val="en-GB" w:eastAsia="zh-CN"/>
            </w:rPr>
          </w:pPr>
          <w:r>
            <w:rPr>
              <w:rFonts w:hAnsi="Arial" w:eastAsia="Times New Roman" w:cs="Arial" w:asciiTheme="majorHAnsi"/>
              <w:b/>
              <w:bCs/>
              <w:lang w:val="en-GB" w:eastAsia="zh-CN"/>
            </w:rPr>
            <w:t>Regulamentul BNR nr. 11/2007</w:t>
          </w:r>
          <w:r>
            <w:rPr>
              <w:rFonts w:hAnsi="Arial" w:eastAsia="Times New Roman" w:cs="Arial" w:asciiTheme="majorHAnsi"/>
              <w:lang w:val="en-GB" w:eastAsia="zh-CN"/>
            </w:rPr>
            <w:t xml:space="preserve"> </w:t>
          </w:r>
          <w:r>
            <w:rPr>
              <w:rFonts w:hAnsi="Arial" w:eastAsia="Times New Roman" w:cs="Arial" w:asciiTheme="majorHAnsi"/>
              <w:i/>
              <w:iCs/>
              <w:lang w:val="en-GB" w:eastAsia="zh-CN"/>
            </w:rPr>
            <w:t>privind autorizarea instituţiilor de credit, persoane juridice române, şi a sucursalelor din România ale instituţiilor de credit din state terţe,</w:t>
          </w:r>
          <w:r>
            <w:rPr>
              <w:rFonts w:hAnsi="Arial" w:eastAsia="Times New Roman" w:cs="Arial" w:asciiTheme="majorHAnsi"/>
              <w:lang w:val="en-GB" w:eastAsia="zh-CN"/>
            </w:rPr>
            <w:t xml:space="preserve"> cu modificările și completările ulterioare</w:t>
          </w:r>
          <w:r>
            <w:rPr>
              <w:rFonts w:hAnsi="Arial" w:eastAsia="Times New Roman" w:cs="Arial" w:asciiTheme="majorHAnsi"/>
              <w:sz w:val="24"/>
              <w:szCs w:val="24"/>
              <w:lang w:val="en-GB" w:eastAsia="zh-CN"/>
            </w:rPr>
            <w:t>;</w:t>
          </w:r>
          <w:r>
            <w:rPr>
              <w:rFonts w:ascii="Arial" w:hAnsi="Arial" w:eastAsia="Times New Roman" w:cs="Arial"/>
              <w:sz w:val="24"/>
              <w:szCs w:val="24"/>
              <w:lang w:val="en-GB" w:eastAsia="zh-CN"/>
            </w:rPr>
            <w:t xml:space="preserve"> </w:t>
          </w:r>
          <w:r>
            <w:rPr>
              <w:rFonts w:hAnsi="Arial" w:eastAsia="Times New Roman" w:cs="Arial" w:asciiTheme="majorHAnsi"/>
              <w:b/>
              <w:bCs/>
              <w:lang w:val="en-GB" w:eastAsia="zh-CN"/>
            </w:rPr>
            <w:t>Regulamentul (UE) nr. 575/2013;</w:t>
          </w:r>
        </w:p>
        <w:p>
          <w:pPr>
            <w:tabs>
              <w:tab w:val="left" w:pos="1134"/>
            </w:tabs>
            <w:spacing w:before="0" w:after="0" w:line="240" w:lineRule="auto"/>
            <w:jc w:val="both"/>
            <w:rPr>
              <w:rFonts w:hAnsi="Arial" w:eastAsia="Times New Roman" w:cs="Arial" w:asciiTheme="majorHAnsi"/>
              <w:b/>
              <w:bCs/>
              <w:lang w:val="en-GB" w:eastAsia="zh-CN"/>
            </w:rPr>
          </w:pPr>
          <w:r>
            <w:rPr>
              <w:rFonts w:hAnsi="Arial" w:eastAsia="Times New Roman" w:cs="Arial" w:asciiTheme="majorHAnsi"/>
              <w:b/>
              <w:bCs/>
              <w:lang w:val="en-GB" w:eastAsia="zh-CN"/>
            </w:rPr>
            <w:t>alte regulamente BNR și norme aferente domeniului bancar.</w:t>
          </w:r>
        </w:p>
        <w:p>
          <w:pPr>
            <w:tabs>
              <w:tab w:val="left" w:pos="1134"/>
            </w:tabs>
            <w:spacing w:before="0" w:after="0" w:line="240" w:lineRule="auto"/>
            <w:jc w:val="both"/>
            <w:rPr>
              <w:rFonts w:ascii="Arial" w:hAnsi="Arial" w:eastAsia="Times New Roman" w:cs="Arial"/>
              <w:sz w:val="24"/>
              <w:szCs w:val="24"/>
              <w:lang w:val="en-GB" w:eastAsia="zh-CN"/>
            </w:rPr>
          </w:pPr>
        </w:p>
        <w:p>
          <w:pPr>
            <w:tabs>
              <w:tab w:val="left" w:pos="1134"/>
            </w:tabs>
            <w:spacing w:before="0" w:after="0" w:line="240" w:lineRule="auto"/>
            <w:jc w:val="both"/>
            <w:rPr>
              <w:rFonts w:ascii="Arial" w:hAnsi="Arial" w:eastAsia="Times New Roman" w:cs="Arial"/>
              <w:sz w:val="24"/>
              <w:szCs w:val="24"/>
              <w:lang w:val="en-GB" w:eastAsia="zh-CN"/>
            </w:rPr>
          </w:pPr>
        </w:p>
        <w:p>
          <w:pPr>
            <w:tabs>
              <w:tab w:val="left" w:pos="1134"/>
            </w:tabs>
            <w:spacing w:before="0" w:after="0" w:line="240" w:lineRule="auto"/>
            <w:jc w:val="both"/>
            <w:rPr>
              <w:rFonts w:ascii="Arial" w:hAnsi="Arial" w:eastAsia="Times New Roman" w:cs="Arial"/>
              <w:sz w:val="24"/>
              <w:szCs w:val="24"/>
              <w:lang w:val="en-GB" w:eastAsia="zh-CN"/>
            </w:rPr>
          </w:pPr>
        </w:p>
        <w:p>
          <w:pPr>
            <w:pStyle w:val="66"/>
            <w:ind w:left="0"/>
            <w:outlineLvl w:val="0"/>
            <w:rPr>
              <w:rFonts w:asciiTheme="majorHAnsi" w:hAnsiTheme="majorHAnsi"/>
              <w:b/>
              <w:bCs/>
              <w:color w:val="0F6FC6" w:themeColor="accent1"/>
              <w:sz w:val="36"/>
              <w:szCs w:val="36"/>
              <w14:textFill>
                <w14:solidFill>
                  <w14:schemeClr w14:val="accent1"/>
                </w14:solidFill>
              </w14:textFill>
            </w:rPr>
          </w:pPr>
          <w:bookmarkStart w:id="5" w:name="_Toc460591511"/>
          <w:bookmarkStart w:id="6" w:name="_Toc490763507"/>
          <w:bookmarkStart w:id="7" w:name="_Toc76365823"/>
          <w:bookmarkStart w:id="8" w:name="_Toc490763688"/>
          <w:bookmarkStart w:id="9" w:name="_Toc490763856"/>
          <w:r>
            <w:rPr>
              <w:rFonts w:asciiTheme="majorHAnsi" w:hAnsiTheme="majorHAnsi"/>
              <w:b/>
              <w:bCs/>
              <w:color w:val="0F6FC6" w:themeColor="accent1"/>
              <w:sz w:val="36"/>
              <w:szCs w:val="36"/>
              <w14:textFill>
                <w14:solidFill>
                  <w14:schemeClr w14:val="accent1"/>
                </w14:solidFill>
              </w14:textFill>
            </w:rPr>
            <w:t>Introdu</w:t>
          </w:r>
          <w:bookmarkEnd w:id="5"/>
          <w:r>
            <w:rPr>
              <w:rFonts w:asciiTheme="majorHAnsi" w:hAnsiTheme="majorHAnsi"/>
              <w:b/>
              <w:bCs/>
              <w:color w:val="0F6FC6" w:themeColor="accent1"/>
              <w:sz w:val="36"/>
              <w:szCs w:val="36"/>
              <w14:textFill>
                <w14:solidFill>
                  <w14:schemeClr w14:val="accent1"/>
                </w14:solidFill>
              </w14:textFill>
            </w:rPr>
            <w:t>cere</w:t>
          </w:r>
        </w:p>
      </w:sdtContent>
    </w:sdt>
    <w:bookmarkEnd w:id="6"/>
    <w:bookmarkEnd w:id="7"/>
    <w:bookmarkEnd w:id="8"/>
    <w:bookmarkEnd w:id="9"/>
    <w:p>
      <w:pPr>
        <w:spacing w:before="240"/>
        <w:jc w:val="both"/>
        <w:rPr>
          <w:rFonts w:asciiTheme="majorHAnsi" w:hAnsiTheme="majorHAnsi" w:cstheme="majorHAnsi"/>
          <w:bCs/>
        </w:rPr>
      </w:pPr>
      <w:r>
        <w:rPr>
          <w:rFonts w:asciiTheme="majorHAnsi" w:hAnsiTheme="majorHAnsi" w:cstheme="majorHAnsi"/>
          <w:b/>
          <w:bCs/>
        </w:rPr>
        <w:t xml:space="preserve">Principalul scop al raportului </w:t>
      </w:r>
      <w:r>
        <w:rPr>
          <w:rFonts w:asciiTheme="majorHAnsi" w:hAnsiTheme="majorHAnsi" w:cstheme="majorHAnsi"/>
          <w:bCs/>
        </w:rPr>
        <w:t>îl reprezintă prezentarea performanțelor ﬁnanciare și evaluarea aplicării prevederilor guvernanței corporative</w:t>
      </w:r>
      <w:r>
        <w:rPr>
          <w:rFonts w:asciiTheme="majorHAnsi" w:hAnsiTheme="majorHAnsi" w:cstheme="majorHAnsi"/>
        </w:rPr>
        <w:t xml:space="preserve"> la</w:t>
      </w:r>
      <w:r>
        <w:rPr>
          <w:rFonts w:asciiTheme="majorHAnsi" w:hAnsiTheme="majorHAnsi" w:cstheme="majorHAnsi"/>
          <w:bCs/>
        </w:rPr>
        <w:t xml:space="preserve"> </w:t>
      </w:r>
      <w:r>
        <w:rPr>
          <w:rFonts w:asciiTheme="majorHAnsi" w:hAnsiTheme="majorHAnsi" w:cstheme="majorHAnsi"/>
          <w:bCs/>
          <w:lang w:val="ro-RO"/>
        </w:rPr>
        <w:t>s</w:t>
      </w:r>
      <w:bookmarkStart w:id="21" w:name="_GoBack"/>
      <w:bookmarkEnd w:id="21"/>
      <w:r>
        <w:rPr>
          <w:rFonts w:asciiTheme="majorHAnsi" w:hAnsiTheme="majorHAnsi" w:cstheme="majorHAnsi"/>
          <w:bCs/>
        </w:rPr>
        <w:t>ocietățile aflate în administrarea sau sub autoritatea  Ministerului Finanțelor, în concordanță cu obligațiile ce le revin potrivit legislației aflate în vigoare. În acest sens Ministerul Finanțelor elaborează în fiecare an și publică pe pagina proprie de internet raportul menționat mai sus în temeiul prevederilor alin. (1) art. 58 din Ordonanța de Urgență a Guvernului nr. 109/2011 dar și a prevederilor Ordonanței Guvernului nr. 26/2013</w:t>
      </w:r>
      <w:r>
        <w:rPr>
          <w:rStyle w:val="33"/>
          <w:rFonts w:asciiTheme="majorHAnsi" w:hAnsiTheme="majorHAnsi" w:cstheme="majorHAnsi"/>
          <w:bCs/>
        </w:rPr>
        <w:footnoteReference w:id="2"/>
      </w:r>
      <w:r>
        <w:rPr>
          <w:rFonts w:asciiTheme="majorHAnsi" w:hAnsiTheme="majorHAnsi" w:cstheme="majorHAnsi"/>
          <w:bCs/>
        </w:rPr>
        <w:t xml:space="preserve">. </w:t>
      </w:r>
    </w:p>
    <w:p>
      <w:pPr>
        <w:spacing w:before="240"/>
        <w:jc w:val="both"/>
        <w:rPr>
          <w:rFonts w:asciiTheme="majorHAnsi" w:hAnsiTheme="majorHAnsi" w:cstheme="majorHAnsi"/>
        </w:rPr>
      </w:pPr>
      <w:r>
        <w:rPr>
          <w:rFonts w:asciiTheme="majorHAnsi" w:hAnsiTheme="majorHAnsi" w:cstheme="majorHAnsi"/>
          <w:bCs/>
        </w:rPr>
        <w:t>Societățile</w:t>
      </w:r>
      <w:r>
        <w:rPr>
          <w:rFonts w:asciiTheme="majorHAnsi" w:hAnsiTheme="majorHAnsi" w:cstheme="majorHAnsi"/>
        </w:rPr>
        <w:t xml:space="preserve"> aflate în </w:t>
      </w:r>
      <w:r>
        <w:rPr>
          <w:rFonts w:asciiTheme="majorHAnsi" w:hAnsiTheme="majorHAnsi" w:cstheme="majorHAnsi"/>
          <w:bCs/>
        </w:rPr>
        <w:t>administrarea sau sub autoritatea</w:t>
      </w:r>
      <w:r>
        <w:rPr>
          <w:rFonts w:asciiTheme="majorHAnsi" w:hAnsiTheme="majorHAnsi" w:cstheme="majorHAnsi"/>
        </w:rPr>
        <w:t xml:space="preserve"> Ministerului Finanțelor activează în următoarele sectoare</w:t>
      </w:r>
      <w:r>
        <w:rPr>
          <w:rFonts w:asciiTheme="majorHAnsi" w:hAnsiTheme="majorHAnsi" w:cstheme="majorHAnsi"/>
          <w:lang w:val="en-US"/>
        </w:rPr>
        <w:t>:</w:t>
      </w:r>
      <w:r>
        <w:rPr>
          <w:rFonts w:asciiTheme="majorHAnsi" w:hAnsiTheme="majorHAnsi" w:cstheme="majorHAnsi"/>
        </w:rPr>
        <w:t xml:space="preserve"> activități de intermedieri monetare, activități de creditare, activități de intermedieri financiare, activități de asigurare (exceptând asigurările de viață) și activități de tipărire. </w:t>
      </w:r>
    </w:p>
    <w:p>
      <w:pPr>
        <w:spacing w:before="240"/>
        <w:jc w:val="both"/>
        <w:rPr>
          <w:rFonts w:asciiTheme="majorHAnsi" w:hAnsiTheme="majorHAnsi" w:cstheme="majorHAnsi"/>
        </w:rPr>
      </w:pPr>
      <w:r>
        <w:rPr>
          <w:rFonts w:asciiTheme="majorHAnsi" w:hAnsiTheme="majorHAnsi" w:cstheme="majorHAnsi"/>
        </w:rPr>
        <w:t xml:space="preserve">Ministerul Finanțelor exercită calitatea de acționar majoritar/minoritar direct sau indirect în numele statului la instituţii de credit, la instituții financiare nebancare, instituții financiare specializate, companii de asigurări-reasigurări și la o companie naţională, majoritatea având o istorie și o tradiție îndelungată pe plan național. </w:t>
      </w:r>
    </w:p>
    <w:p>
      <w:pPr>
        <w:spacing w:before="240"/>
        <w:jc w:val="both"/>
        <w:rPr>
          <w:rFonts w:asciiTheme="majorHAnsi" w:hAnsiTheme="majorHAnsi" w:cstheme="majorHAnsi"/>
          <w:lang w:val="en-US"/>
        </w:rPr>
      </w:pPr>
      <w:r>
        <w:rPr>
          <w:rFonts w:asciiTheme="majorHAnsi" w:hAnsiTheme="majorHAnsi" w:cstheme="majorHAnsi"/>
        </w:rPr>
        <w:t>În continuare prezentăm pe scurt rolul acestor entități în economia națională</w:t>
      </w:r>
      <w:r>
        <w:rPr>
          <w:rFonts w:asciiTheme="majorHAnsi" w:hAnsiTheme="majorHAnsi" w:cstheme="majorHAnsi"/>
          <w:lang w:val="en-US"/>
        </w:rPr>
        <w:t>:</w:t>
      </w:r>
    </w:p>
    <w:p>
      <w:pPr>
        <w:pStyle w:val="66"/>
        <w:numPr>
          <w:ilvl w:val="0"/>
          <w:numId w:val="7"/>
        </w:numPr>
        <w:spacing w:before="240"/>
        <w:ind w:left="270" w:hanging="270"/>
        <w:jc w:val="both"/>
        <w:rPr>
          <w:rFonts w:asciiTheme="majorHAnsi" w:hAnsiTheme="majorHAnsi" w:cstheme="majorHAnsi"/>
        </w:rPr>
      </w:pPr>
      <w:r>
        <w:rPr>
          <w:rFonts w:asciiTheme="majorHAnsi" w:hAnsiTheme="majorHAnsi" w:cstheme="majorHAnsi"/>
        </w:rPr>
        <w:t>C.E.C. Bank S.A. (fondată în 1864) și Banca de Import – Export a României EximBank S.A., ambele sunt instituții de credit</w:t>
      </w:r>
      <w:r>
        <w:rPr>
          <w:rFonts w:asciiTheme="majorHAnsi" w:hAnsiTheme="majorHAnsi" w:cstheme="majorHAnsi"/>
          <w:i/>
          <w:iCs/>
        </w:rPr>
        <w:t xml:space="preserve"> </w:t>
      </w:r>
      <w:r>
        <w:rPr>
          <w:rFonts w:asciiTheme="majorHAnsi" w:hAnsiTheme="majorHAnsi" w:cstheme="majorHAnsi"/>
        </w:rPr>
        <w:t>implicate activ în susținerea și promovarea mediului de afaceri românesc prin instrumentele financiare specifice puse la dispoziție de acestea și care reprezintă un vector important de redresare economică și echilibrare a bugetului de stat, funcționalitatea, solvabilitatea și lichiditatea acestor societăți având o largă influență asupra ansamblului economiei.</w:t>
      </w:r>
    </w:p>
    <w:p>
      <w:pPr>
        <w:pStyle w:val="66"/>
        <w:numPr>
          <w:ilvl w:val="0"/>
          <w:numId w:val="7"/>
        </w:numPr>
        <w:spacing w:before="240"/>
        <w:ind w:left="270" w:hanging="270"/>
        <w:jc w:val="both"/>
        <w:rPr>
          <w:rFonts w:asciiTheme="majorHAnsi" w:hAnsiTheme="majorHAnsi" w:cstheme="majorHAnsi"/>
        </w:rPr>
      </w:pPr>
      <w:r>
        <w:rPr>
          <w:rFonts w:asciiTheme="majorHAnsi" w:hAnsiTheme="majorHAnsi" w:cstheme="majorHAnsi"/>
        </w:rPr>
        <w:t>Banca Românească S.A.</w:t>
      </w:r>
      <w:r>
        <w:rPr>
          <w:rStyle w:val="33"/>
          <w:rFonts w:asciiTheme="majorHAnsi" w:hAnsiTheme="majorHAnsi" w:cstheme="majorHAnsi"/>
        </w:rPr>
        <w:footnoteReference w:id="3"/>
      </w:r>
      <w:r>
        <w:rPr>
          <w:rFonts w:asciiTheme="majorHAnsi" w:hAnsiTheme="majorHAnsi" w:cstheme="majorHAnsi"/>
        </w:rPr>
        <w:t xml:space="preserve"> – este o bancă cu activitate preponderentă de retail. Activitatea de retail se concentrează pe acordarea de credite, pe vânzări de tip cross-selling și pe digitalizarea graduală a serviciilor și produselor oferite. Activitatea de corporate banking are ca obiectiv principal o creștere calitativă a activității de creditare și diversificare a ofertei de produse de finanțare, inclusiv a celor pentru susținerea programelor guvernamentale adresate IMM-urilor și a proiectelor finanțate din fonduri de la Uniunea Europeană. Produsele de finanțare pentru persoanele fizice ale Băncii Românești includ creditele pentru locuințe (Programul Noua Casă și ipotecare), de consum, de refinanțare, cardurile de credit. Pe partea de tranzacționare, banca oferă conturi curente, pachete de cont curent cu card atașat prin care se pot executa plata facturilor la utilități și transferuri, iar pe partea de economisire banca pune la dispoziția clienților o gamă largă de depozite care variază în funcție de caracteristicile/segmentul de clienți țintă. De asemenea, Banca Românească oferă o serie de servicii pentru clienții retail, cum ar fi: transfer de bani prin Western Union, asigurări sau servicii de informații comerciale, alerte SMS aferente tranzacțiilor autorizate.</w:t>
      </w:r>
    </w:p>
    <w:p>
      <w:pPr>
        <w:pStyle w:val="66"/>
        <w:numPr>
          <w:ilvl w:val="0"/>
          <w:numId w:val="7"/>
        </w:numPr>
        <w:spacing w:before="240"/>
        <w:ind w:left="270" w:hanging="270"/>
        <w:jc w:val="both"/>
        <w:rPr>
          <w:rFonts w:asciiTheme="majorHAnsi" w:hAnsiTheme="majorHAnsi" w:cstheme="majorHAnsi"/>
        </w:rPr>
      </w:pPr>
      <w:r>
        <w:rPr>
          <w:rFonts w:asciiTheme="majorHAnsi" w:hAnsiTheme="majorHAnsi" w:cstheme="majorHAnsi"/>
        </w:rPr>
        <w:t>Fondul Național de Garantare a Creditelor pentru Întreprinderile Mici și Mijlocii (FNGCIMM S.A.-IFN) – este o instituție financiară nebancară, cu capital de risc, înființată în scopul facilitării accesului IMM-urilor la finanțări, prin acordarea de garanții pentru instrumentele de finanțare contractate de la bănci comerciale sau din alte surse. FNGCIMM are un rol foarte important din punct de vedere economic și social având în vedere că instrumentează programe guvernamentale destinate relansării economice, dezvoltării mediului de afaceri, precum și creării și susținerii de locuri de muncă, funcționând ca o societate comercială pe acțiuni, cu acționar unic statul român, sub supravegherea prudențială a Băncii Naționale a României. FNGCIMM deține o filială, respectiv Fondul Local de Garantare Focșani IFN S.A.</w:t>
      </w:r>
    </w:p>
    <w:p>
      <w:pPr>
        <w:pStyle w:val="66"/>
        <w:numPr>
          <w:ilvl w:val="0"/>
          <w:numId w:val="7"/>
        </w:numPr>
        <w:spacing w:before="240"/>
        <w:ind w:left="270" w:hanging="270"/>
        <w:jc w:val="both"/>
        <w:rPr>
          <w:rFonts w:asciiTheme="majorHAnsi" w:hAnsiTheme="majorHAnsi" w:cstheme="majorHAnsi"/>
        </w:rPr>
      </w:pPr>
      <w:r>
        <w:rPr>
          <w:rFonts w:asciiTheme="majorHAnsi" w:hAnsiTheme="majorHAnsi" w:cstheme="majorHAnsi"/>
        </w:rPr>
        <w:t xml:space="preserve">Fondul Român de Contragarantare (FRC) S.A. – are misiunea de contragarantare a garanţiilor acordate de fondurile de garantare pentru credite şi alte instrumente de finanţare obţinute de întreprinderile mici și mijlocii (IMM) de la instituţiile de credit şi alte instituţii financiare nebancare. </w:t>
      </w:r>
    </w:p>
    <w:p>
      <w:pPr>
        <w:pStyle w:val="66"/>
        <w:numPr>
          <w:ilvl w:val="0"/>
          <w:numId w:val="7"/>
        </w:numPr>
        <w:spacing w:before="240"/>
        <w:ind w:left="270" w:hanging="270"/>
        <w:jc w:val="both"/>
        <w:rPr>
          <w:rFonts w:asciiTheme="majorHAnsi" w:hAnsiTheme="majorHAnsi" w:cstheme="majorHAnsi"/>
        </w:rPr>
      </w:pPr>
      <w:r>
        <w:rPr>
          <w:rFonts w:asciiTheme="majorHAnsi" w:hAnsiTheme="majorHAnsi" w:cstheme="majorHAnsi"/>
        </w:rPr>
        <w:t>Compania de Asigurări-Reasigurări Exim România (Care-România) S.A.</w:t>
      </w:r>
      <w:r>
        <w:rPr>
          <w:rStyle w:val="33"/>
          <w:rFonts w:asciiTheme="majorHAnsi" w:hAnsiTheme="majorHAnsi" w:cstheme="majorHAnsi"/>
        </w:rPr>
        <w:footnoteReference w:id="4"/>
      </w:r>
      <w:r>
        <w:rPr>
          <w:rFonts w:asciiTheme="majorHAnsi" w:hAnsiTheme="majorHAnsi" w:cstheme="majorHAnsi"/>
        </w:rPr>
        <w:t xml:space="preserve">  – asigură clienților săi produse de protecție financiară eficiente menite să protejeze patrimoniul acestora și furnizează servicii de consultanță în scopul alcătuirii unui plan de protecție financiară adecvat specificului activității. Astfel, EximAsig deține în portofoliu 30 de produse aferente acestor clase. Produsele se adresează companiilor care desfășoară activități comerciale cu parteneri externi și interni în domeniul construcțiilor, producției de bunuri și industriale, transporturilor rutiere, navale, aeriene, prestărilor de servicii, exportatorilor și celor din industria IT.</w:t>
      </w:r>
    </w:p>
    <w:p>
      <w:pPr>
        <w:pStyle w:val="66"/>
        <w:numPr>
          <w:ilvl w:val="0"/>
          <w:numId w:val="7"/>
        </w:numPr>
        <w:spacing w:before="240"/>
        <w:ind w:left="270" w:hanging="270"/>
        <w:jc w:val="both"/>
        <w:rPr>
          <w:rFonts w:asciiTheme="majorHAnsi" w:hAnsiTheme="majorHAnsi" w:cstheme="majorHAnsi"/>
        </w:rPr>
      </w:pPr>
      <w:r>
        <w:rPr>
          <w:rFonts w:asciiTheme="majorHAnsi" w:hAnsiTheme="majorHAnsi" w:cstheme="majorHAnsi"/>
        </w:rPr>
        <w:t>Compania Națională „Imprimeria Națională</w:t>
      </w:r>
      <w:r>
        <w:rPr>
          <w:rFonts w:asciiTheme="majorHAnsi" w:hAnsiTheme="majorHAnsi" w:cstheme="majorHAnsi"/>
          <w:lang w:val="en-US"/>
        </w:rPr>
        <w:t>”</w:t>
      </w:r>
      <w:r>
        <w:rPr>
          <w:rFonts w:asciiTheme="majorHAnsi" w:hAnsiTheme="majorHAnsi" w:cstheme="majorHAnsi"/>
        </w:rPr>
        <w:t xml:space="preserve"> S.A. – desfășoară activităţi de interes public național, în scopul realizării cadrului organizat pentru utilizarea, emiterea şi circulația hârtiilor de valoare (inclusiv a timbrelor, banderolelor sau etichetelor utilizate la marcarea produselor supuse accizelor, certificatelor de trezorerie, bonurilor de tezaur, timbrelor fiscale, formularelor necesare pentru administrarea impozitului pe venit), a formularelor tipizate cu regim special (a formularelor pe suport electronic, gestionarea activităţii de producere şi distribuţie a biletelor de tombolă, de pronosticuri (pariuri) sportive, de pariuri de orice fel şi a cartoanelor pentru jocuri de tip bingo desfăşurate în săli de joc, prin reţele de televiziune sau prin mijloace de transmisie asimilate), comune sau specifice pe economie, a tipăriturilor cu caracter special.  Începând cu anul 2009, compania produce cu titlu de exclusivitate, în condiţiile Regulamentului Consiliului (CE) nr. 2.252/2004 şi ale Deciziei Comisiei nr. C(2005)409, paşapoarte electronice, permise de şedere şi documente de călătorie care se eliberează străinilor, colantul uniform de viză, paşapoarte temporare, titluri de călătorie pentru cetăţenii români, titluri de călătorie provizorii pentru cetăţenii din statele membre ale Uniunii Europene, colante pentru vize biometrice, formulare pentru aplicarea vizei volante, precum şi alte documente ale căror specificaţii tehnice sunt clasificate „secret UE”. Compania mai produce, cu titlu de exclusivitate, cărţi electronice de identitate, cărţi de identitate, cărţi de alegător, cărţi de identitate provizorii, dovezi de reşedinţă, cărţi electronice de rezidenţă şi a cărţi de rezidenţă.</w:t>
      </w:r>
    </w:p>
    <w:p>
      <w:pPr>
        <w:spacing w:before="240"/>
        <w:jc w:val="both"/>
        <w:rPr>
          <w:rFonts w:asciiTheme="majorHAnsi" w:hAnsiTheme="majorHAnsi" w:cstheme="majorHAnsi"/>
        </w:rPr>
      </w:pPr>
      <w:r>
        <w:rPr>
          <w:rFonts w:asciiTheme="majorHAnsi" w:hAnsiTheme="majorHAnsi" w:cstheme="majorHAnsi"/>
        </w:rPr>
        <w:t>Entitățile, prezentate mai sus, reprezintă un vector important pentru redresarea și relansarea economică, pentru dezvoltarea mediului de afaceri, pentru crearea și susținerea locurilor de muncă și pentru echilibrarea bugetului de stat. Funcționalitatea, solvabilitatea și lichiditatea acestor entități au o largă influență asupra ansamblului economiei, prin efectul de multiplicare. În același timp însă, obiectivele guvernamentale de bună gestionare a participațiilor statului înseamnă totodată o mai bună monitorizare a performanțelor, o orientare nu numai pe aspecte financiare, ci și pe aspecte de bună guvernare, transparență și integritate.</w:t>
      </w:r>
    </w:p>
    <w:p>
      <w:pPr>
        <w:jc w:val="both"/>
        <w:rPr>
          <w:rFonts w:asciiTheme="majorHAnsi" w:hAnsiTheme="majorHAnsi" w:cstheme="majorHAnsi"/>
        </w:rPr>
      </w:pPr>
      <w:r>
        <w:rPr>
          <w:rFonts w:asciiTheme="majorHAnsi" w:hAnsiTheme="majorHAnsi" w:cstheme="majorHAnsi"/>
        </w:rPr>
        <w:t>Necesitatea îmbunătățirii guvernanței corporative a întreprinderilor publice</w:t>
      </w:r>
      <w:r>
        <w:rPr>
          <w:rFonts w:asciiTheme="majorHAnsi" w:hAnsiTheme="majorHAnsi" w:cstheme="majorHAnsi"/>
          <w:bCs/>
        </w:rPr>
        <w:t>/societăților</w:t>
      </w:r>
      <w:r>
        <w:rPr>
          <w:rFonts w:asciiTheme="majorHAnsi" w:hAnsiTheme="majorHAnsi" w:cstheme="majorHAnsi"/>
        </w:rPr>
        <w:t xml:space="preserve"> are la bază în principal, rațiuni economice. Implementarea guvernanței corporative are loc în scopul gestionării eficiente a participațiilor statului. Astfel, monitorizarea performanțelor administratorilor și a directorilor prin îndeplinirea indicatorilor cheie de performanță asociați obiectivelor din contractele de mandat și orientarea nu numai pe urmărirea aspectelor financiare ci și pe aspecte de bună guvernare, transparență și integritate reprezintă elemente care trebuie să fie conștientizate și asumate de toți actorii implicați în gestionarea participațiilor statului.</w:t>
      </w:r>
    </w:p>
    <w:p>
      <w:pPr>
        <w:jc w:val="both"/>
        <w:rPr>
          <w:rFonts w:asciiTheme="majorHAnsi" w:hAnsiTheme="majorHAnsi" w:cstheme="majorHAnsi"/>
        </w:rPr>
      </w:pPr>
      <w:r>
        <w:rPr>
          <w:rFonts w:asciiTheme="majorHAnsi" w:hAnsiTheme="majorHAnsi" w:cstheme="majorHAnsi"/>
        </w:rPr>
        <w:t xml:space="preserve">Provocarea generală a statului în calitatea de acționar constă în realizarea unui echilibru între profitabilitate sustenabilă și îndeplinirea obiectivelor programelor guvernamentale. </w:t>
      </w:r>
    </w:p>
    <w:p>
      <w:pPr>
        <w:jc w:val="both"/>
        <w:rPr>
          <w:rFonts w:asciiTheme="majorHAnsi" w:hAnsiTheme="majorHAnsi" w:cstheme="majorHAnsi"/>
        </w:rPr>
      </w:pPr>
      <w:r>
        <w:rPr>
          <w:rFonts w:asciiTheme="majorHAnsi" w:hAnsiTheme="majorHAnsi" w:cstheme="majorHAnsi"/>
        </w:rPr>
        <w:t>Unul din principiile esențiale în guvernanța corporativă a societăților îl reprezintă conferirea de responsabilități, prerogative și instrumente adecvate fiecărui nivel decizional, astfel încât să existe un lanț decizional clar, bine delimitat, formal, trasabil, delegările de atribuții și competențe făcându-se proporțional cu structura de răspundere și control existentă.</w:t>
      </w:r>
    </w:p>
    <w:p>
      <w:pPr>
        <w:jc w:val="both"/>
        <w:rPr>
          <w:rFonts w:asciiTheme="majorHAnsi" w:hAnsiTheme="majorHAnsi" w:cstheme="majorHAnsi"/>
        </w:rPr>
      </w:pPr>
      <w:r>
        <w:rPr>
          <w:rFonts w:asciiTheme="majorHAnsi" w:hAnsiTheme="majorHAnsi" w:cstheme="majorHAnsi"/>
        </w:rPr>
        <w:t>Consiliul de administrație sau consiliul de supraveghere este principalul organ decizional privind activitatea de administrare a societății și, conform legislației în vigoare și bunelor practici internaționale, este esențial ca membrii lui să fie selectați în mod profesionist și transparent ținând cont de scrisorile de așteptări din partea acționarilor. Consiliul de administrație trebuie să funcționeze ca interfață între conducerea executivă a societății și autoritatea publică tutelară.</w:t>
      </w:r>
    </w:p>
    <w:p>
      <w:pPr>
        <w:jc w:val="both"/>
        <w:rPr>
          <w:rFonts w:asciiTheme="majorHAnsi" w:hAnsiTheme="majorHAnsi" w:cstheme="majorHAnsi"/>
        </w:rPr>
      </w:pPr>
      <w:r>
        <w:rPr>
          <w:rFonts w:asciiTheme="majorHAnsi" w:hAnsiTheme="majorHAnsi" w:cstheme="majorHAnsi"/>
        </w:rPr>
        <w:t xml:space="preserve">În Raportul prezent urmează să prezentăm stadiul aplicării legislației privind guvernanța corporativă la societățile aflate în administrarea sau sub autoritatea Ministerului Finanțelor dar și o prezentare a principalilor indicatori economico-financiari înregistrați la data de 31.12.2020 pentru </w:t>
      </w:r>
      <w:r>
        <w:rPr>
          <w:rFonts w:asciiTheme="majorHAnsi" w:hAnsiTheme="majorHAnsi" w:cstheme="majorHAnsi"/>
          <w:b/>
        </w:rPr>
        <w:t>cele opt societăți</w:t>
      </w:r>
      <w:r>
        <w:rPr>
          <w:rFonts w:asciiTheme="majorHAnsi" w:hAnsiTheme="majorHAnsi" w:cstheme="majorHAnsi"/>
        </w:rPr>
        <w:t xml:space="preserve"> la care Ministerul Finanțelor deține participații majoritare sau integrale în numele statului.</w:t>
      </w:r>
    </w:p>
    <w:p>
      <w:pPr>
        <w:pStyle w:val="66"/>
        <w:spacing w:beforeAutospacing="1" w:after="100" w:afterAutospacing="1" w:line="240" w:lineRule="auto"/>
        <w:ind w:left="0"/>
        <w:jc w:val="both"/>
        <w:outlineLvl w:val="0"/>
        <w:rPr>
          <w:rFonts w:asciiTheme="majorHAnsi" w:hAnsiTheme="majorHAnsi"/>
          <w:b/>
          <w:bCs/>
          <w:color w:val="0F6FC6" w:themeColor="accent1"/>
          <w:sz w:val="36"/>
          <w:szCs w:val="36"/>
          <w14:textFill>
            <w14:solidFill>
              <w14:schemeClr w14:val="accent1"/>
            </w14:solidFill>
          </w14:textFill>
        </w:rPr>
      </w:pPr>
      <w:bookmarkStart w:id="10" w:name="_Toc76365824"/>
      <w:bookmarkStart w:id="11" w:name="_Toc490763858"/>
      <w:bookmarkStart w:id="12" w:name="_Toc490763690"/>
      <w:bookmarkStart w:id="13" w:name="_Toc490763509"/>
      <w:r>
        <w:rPr>
          <w:rFonts w:asciiTheme="majorHAnsi" w:hAnsiTheme="majorHAnsi"/>
          <w:b/>
          <w:bCs/>
          <w:color w:val="0F6FC6" w:themeColor="accent1"/>
          <w:sz w:val="36"/>
          <w:szCs w:val="36"/>
          <w14:textFill>
            <w14:solidFill>
              <w14:schemeClr w14:val="accent1"/>
            </w14:solidFill>
          </w14:textFill>
        </w:rPr>
        <w:t>Capitolul 1 – Structura portofoliului de participații deținut de Ministerul Finanțelor și politica de acționariat</w:t>
      </w:r>
      <w:bookmarkEnd w:id="10"/>
      <w:r>
        <w:rPr>
          <w:rFonts w:asciiTheme="majorHAnsi" w:hAnsiTheme="majorHAnsi"/>
          <w:b/>
          <w:bCs/>
          <w:color w:val="0F6FC6" w:themeColor="accent1"/>
          <w:sz w:val="36"/>
          <w:szCs w:val="36"/>
          <w14:textFill>
            <w14:solidFill>
              <w14:schemeClr w14:val="accent1"/>
            </w14:solidFill>
          </w14:textFill>
        </w:rPr>
        <w:t xml:space="preserve">  </w:t>
      </w:r>
      <w:bookmarkEnd w:id="11"/>
      <w:bookmarkEnd w:id="12"/>
      <w:bookmarkEnd w:id="13"/>
    </w:p>
    <w:p>
      <w:pPr>
        <w:spacing w:before="0" w:after="240"/>
        <w:jc w:val="both"/>
        <w:rPr>
          <w:rFonts w:asciiTheme="majorHAnsi" w:hAnsiTheme="majorHAnsi"/>
          <w:bCs/>
        </w:rPr>
      </w:pPr>
      <w:r>
        <w:rPr>
          <w:rFonts w:asciiTheme="majorHAnsi" w:hAnsiTheme="majorHAnsi"/>
          <w:bCs/>
        </w:rPr>
        <w:t xml:space="preserve">Ministerul Finanțelor îndeplineşte atribuţiile de autoritate publică tutelară pentru </w:t>
      </w:r>
      <w:r>
        <w:rPr>
          <w:rFonts w:asciiTheme="majorHAnsi" w:hAnsiTheme="majorHAnsi" w:cstheme="majorHAnsi"/>
          <w:bCs/>
        </w:rPr>
        <w:t>societățile</w:t>
      </w:r>
      <w:r>
        <w:rPr>
          <w:rFonts w:asciiTheme="majorHAnsi" w:hAnsiTheme="majorHAnsi"/>
          <w:bCs/>
        </w:rPr>
        <w:t xml:space="preserve"> la care reprezintă statul în calitate de acţionar, în conformitate cu prevederile legale privind guvernanţa corporativă a întreprinderilor publice. Pentru îndepinirea acestor atribuții Serviciul Administrarea Participaţiilor Statului (SAPS) din cadrul Direcţiei Generale Management al Domeniilor Reglementate Specific a fost desemnată drept structură de guvernanță a Ministerului Finanțelor în temeiul Hotărârii Guvernului nr. 34/2009 și a Ordonanței de urgență a Guvernului nr. 109/2011. </w:t>
      </w:r>
    </w:p>
    <w:p>
      <w:pPr>
        <w:spacing w:before="0" w:after="240"/>
        <w:jc w:val="both"/>
        <w:rPr>
          <w:rFonts w:asciiTheme="majorHAnsi" w:hAnsiTheme="majorHAnsi"/>
          <w:bCs/>
          <w:lang w:val="en-US"/>
        </w:rPr>
      </w:pPr>
      <w:r>
        <w:rPr>
          <w:rFonts w:asciiTheme="majorHAnsi" w:hAnsiTheme="majorHAnsi"/>
          <w:bCs/>
        </w:rPr>
        <w:t>Printre principalele atribuţii ale SAPS, enumerăm</w:t>
      </w:r>
      <w:r>
        <w:rPr>
          <w:rFonts w:asciiTheme="majorHAnsi" w:hAnsiTheme="majorHAnsi"/>
          <w:bCs/>
          <w:lang w:val="en-US"/>
        </w:rPr>
        <w:t>:</w:t>
      </w:r>
    </w:p>
    <w:p>
      <w:pPr>
        <w:pStyle w:val="66"/>
        <w:numPr>
          <w:ilvl w:val="0"/>
          <w:numId w:val="8"/>
        </w:numPr>
        <w:spacing w:before="0" w:after="240"/>
        <w:ind w:left="270" w:hanging="270"/>
        <w:jc w:val="both"/>
        <w:rPr>
          <w:rFonts w:asciiTheme="majorHAnsi" w:hAnsiTheme="majorHAnsi"/>
          <w:bCs/>
          <w:lang w:val="en-US"/>
        </w:rPr>
      </w:pPr>
      <w:r>
        <w:rPr>
          <w:rFonts w:asciiTheme="majorHAnsi" w:hAnsiTheme="majorHAnsi"/>
          <w:bCs/>
          <w:lang w:val="en-US"/>
        </w:rPr>
        <w:t>îndeplineşte atribuţiile ce derivă din calitatea Ministerului Finanțelor de autoritate publică tutelară sau acționar, pentru întreprinderile publice din portofoliul Ministerului Finanțelor, în conformitate cu prevederile legale aflate în vigoare;</w:t>
      </w:r>
    </w:p>
    <w:p>
      <w:pPr>
        <w:pStyle w:val="66"/>
        <w:numPr>
          <w:ilvl w:val="0"/>
          <w:numId w:val="8"/>
        </w:numPr>
        <w:spacing w:before="0" w:after="240"/>
        <w:ind w:left="270" w:hanging="270"/>
        <w:jc w:val="both"/>
        <w:rPr>
          <w:rFonts w:asciiTheme="majorHAnsi" w:hAnsiTheme="majorHAnsi"/>
          <w:bCs/>
          <w:lang w:val="en-US"/>
        </w:rPr>
      </w:pPr>
      <w:r>
        <w:rPr>
          <w:rFonts w:asciiTheme="majorHAnsi" w:hAnsiTheme="majorHAnsi"/>
          <w:bCs/>
          <w:lang w:val="en-US"/>
        </w:rPr>
        <w:t>aplică prevederile Ordonanței de urgență a Guvernului nr. 109/2011 la întreprinderile publice la care Ministerul Finanțelor este autoritate  publică tutelară sau acţionar.</w:t>
      </w:r>
    </w:p>
    <w:p>
      <w:pPr>
        <w:spacing w:before="0" w:after="240"/>
        <w:jc w:val="both"/>
        <w:rPr>
          <w:rFonts w:asciiTheme="majorHAnsi" w:hAnsiTheme="majorHAnsi"/>
          <w:bCs/>
          <w:lang w:val="en-US"/>
        </w:rPr>
      </w:pPr>
      <w:r>
        <w:rPr>
          <w:rFonts w:asciiTheme="majorHAnsi" w:hAnsiTheme="majorHAnsi"/>
          <w:bCs/>
          <w:lang w:val="en-US"/>
        </w:rPr>
        <w:t xml:space="preserve">Ministerul Finanțelor în calitate de acționar în numele statului deține acțiuni într-o proporție majoritară sau integrală, atât în mod direct cât și indirect, la un număr de </w:t>
      </w:r>
      <w:r>
        <w:rPr>
          <w:rFonts w:asciiTheme="majorHAnsi" w:hAnsiTheme="majorHAnsi"/>
          <w:b/>
          <w:bCs/>
          <w:lang w:val="en-US"/>
        </w:rPr>
        <w:t xml:space="preserve">opt </w:t>
      </w:r>
      <w:r>
        <w:rPr>
          <w:rFonts w:asciiTheme="majorHAnsi" w:hAnsiTheme="majorHAnsi" w:cstheme="majorHAnsi"/>
          <w:b/>
        </w:rPr>
        <w:t>societăț</w:t>
      </w:r>
      <w:r>
        <w:rPr>
          <w:rFonts w:asciiTheme="majorHAnsi" w:hAnsiTheme="majorHAnsi" w:cstheme="majorHAnsi"/>
          <w:bCs/>
        </w:rPr>
        <w:t>i</w:t>
      </w:r>
      <w:r>
        <w:rPr>
          <w:rFonts w:asciiTheme="majorHAnsi" w:hAnsiTheme="majorHAnsi"/>
          <w:bCs/>
          <w:lang w:val="en-US"/>
        </w:rPr>
        <w:t>, portofoliul fiind structurat astfel:</w:t>
      </w:r>
    </w:p>
    <w:p>
      <w:pPr>
        <w:pStyle w:val="66"/>
        <w:numPr>
          <w:ilvl w:val="1"/>
          <w:numId w:val="9"/>
        </w:numPr>
        <w:spacing w:before="0" w:after="240"/>
        <w:ind w:left="270" w:hanging="270"/>
        <w:jc w:val="both"/>
        <w:rPr>
          <w:rFonts w:asciiTheme="majorHAnsi" w:hAnsiTheme="majorHAnsi"/>
          <w:bCs/>
          <w:lang w:val="en-US"/>
        </w:rPr>
      </w:pPr>
      <w:r>
        <w:rPr>
          <w:rFonts w:asciiTheme="majorHAnsi" w:hAnsiTheme="majorHAnsi"/>
          <w:b/>
          <w:bCs/>
          <w:lang w:val="en-US"/>
        </w:rPr>
        <w:t xml:space="preserve">Companii naţionale: </w:t>
      </w:r>
    </w:p>
    <w:p>
      <w:pPr>
        <w:pStyle w:val="66"/>
        <w:numPr>
          <w:ilvl w:val="0"/>
          <w:numId w:val="10"/>
        </w:numPr>
        <w:spacing w:before="0" w:after="240"/>
        <w:ind w:left="540" w:hanging="270"/>
        <w:jc w:val="both"/>
        <w:rPr>
          <w:rFonts w:asciiTheme="majorHAnsi" w:hAnsiTheme="majorHAnsi"/>
          <w:bCs/>
          <w:lang w:val="en-US"/>
        </w:rPr>
      </w:pPr>
      <w:r>
        <w:rPr>
          <w:rFonts w:asciiTheme="majorHAnsi" w:hAnsiTheme="majorHAnsi"/>
          <w:bCs/>
          <w:lang w:val="en-US"/>
        </w:rPr>
        <w:t>Compania Naţională “Imprimeria Naţională" – S.A (CNIN) - participații integrale;</w:t>
      </w:r>
    </w:p>
    <w:p>
      <w:pPr>
        <w:pStyle w:val="66"/>
        <w:numPr>
          <w:ilvl w:val="1"/>
          <w:numId w:val="9"/>
        </w:numPr>
        <w:spacing w:before="0" w:after="240"/>
        <w:ind w:left="270" w:hanging="270"/>
        <w:jc w:val="both"/>
        <w:rPr>
          <w:rFonts w:asciiTheme="majorHAnsi" w:hAnsiTheme="majorHAnsi"/>
          <w:bCs/>
          <w:lang w:val="en-US"/>
        </w:rPr>
      </w:pPr>
      <w:r>
        <w:rPr>
          <w:rFonts w:asciiTheme="majorHAnsi" w:hAnsiTheme="majorHAnsi"/>
          <w:b/>
          <w:bCs/>
          <w:lang w:val="en-US"/>
        </w:rPr>
        <w:t xml:space="preserve">Instituţii financiare nebancare: </w:t>
      </w:r>
    </w:p>
    <w:p>
      <w:pPr>
        <w:pStyle w:val="66"/>
        <w:numPr>
          <w:ilvl w:val="0"/>
          <w:numId w:val="11"/>
        </w:numPr>
        <w:spacing w:before="0" w:after="240"/>
        <w:ind w:left="540" w:hanging="270"/>
        <w:jc w:val="both"/>
        <w:rPr>
          <w:rFonts w:asciiTheme="majorHAnsi" w:hAnsiTheme="majorHAnsi"/>
          <w:bCs/>
          <w:lang w:val="en-US"/>
        </w:rPr>
      </w:pPr>
      <w:r>
        <w:rPr>
          <w:rFonts w:asciiTheme="majorHAnsi" w:hAnsiTheme="majorHAnsi"/>
          <w:bCs/>
          <w:lang w:val="en-US"/>
        </w:rPr>
        <w:t>Fondul Naţional de Garantare a Creditelor pentru Întreprinderile Mici şi Mijlocii - IFN S.A. – participa</w:t>
      </w:r>
      <w:r>
        <w:rPr>
          <w:rFonts w:asciiTheme="majorHAnsi" w:hAnsiTheme="majorHAnsi"/>
          <w:bCs/>
        </w:rPr>
        <w:t xml:space="preserve">ții integrale </w:t>
      </w:r>
      <w:r>
        <w:rPr>
          <w:rFonts w:asciiTheme="majorHAnsi" w:hAnsiTheme="majorHAnsi"/>
          <w:bCs/>
          <w:lang w:val="en-US"/>
        </w:rPr>
        <w:t xml:space="preserve">şi </w:t>
      </w:r>
    </w:p>
    <w:p>
      <w:pPr>
        <w:pStyle w:val="66"/>
        <w:numPr>
          <w:ilvl w:val="0"/>
          <w:numId w:val="11"/>
        </w:numPr>
        <w:spacing w:before="0" w:after="240"/>
        <w:ind w:left="540" w:hanging="270"/>
        <w:jc w:val="both"/>
        <w:rPr>
          <w:rFonts w:asciiTheme="majorHAnsi" w:hAnsiTheme="majorHAnsi"/>
          <w:bCs/>
          <w:lang w:val="en-US"/>
        </w:rPr>
      </w:pPr>
      <w:r>
        <w:rPr>
          <w:rFonts w:asciiTheme="majorHAnsi" w:hAnsiTheme="majorHAnsi"/>
          <w:bCs/>
          <w:lang w:val="en-US"/>
        </w:rPr>
        <w:t>filiala sa Fondul Local de Garantare Focşani S.A. (FLG Focşani) - participații deţinute atât în mod direct într-o pondere de 27,17% prin MF, cât şi indirect într-o pondere de 72,72% prin FNGCIMM;</w:t>
      </w:r>
    </w:p>
    <w:p>
      <w:pPr>
        <w:pStyle w:val="66"/>
        <w:numPr>
          <w:ilvl w:val="1"/>
          <w:numId w:val="9"/>
        </w:numPr>
        <w:spacing w:before="0" w:after="240"/>
        <w:ind w:left="270" w:hanging="270"/>
        <w:jc w:val="both"/>
        <w:rPr>
          <w:rFonts w:asciiTheme="majorHAnsi" w:hAnsiTheme="majorHAnsi"/>
          <w:bCs/>
          <w:lang w:val="en-US"/>
        </w:rPr>
      </w:pPr>
      <w:r>
        <w:rPr>
          <w:rFonts w:asciiTheme="majorHAnsi" w:hAnsiTheme="majorHAnsi"/>
          <w:b/>
          <w:bCs/>
          <w:lang w:val="en-US"/>
        </w:rPr>
        <w:t xml:space="preserve">Instituţii financiare specializate: </w:t>
      </w:r>
    </w:p>
    <w:p>
      <w:pPr>
        <w:pStyle w:val="66"/>
        <w:numPr>
          <w:ilvl w:val="0"/>
          <w:numId w:val="12"/>
        </w:numPr>
        <w:spacing w:before="0" w:after="240"/>
        <w:ind w:left="540" w:hanging="270"/>
        <w:jc w:val="both"/>
        <w:rPr>
          <w:rFonts w:asciiTheme="majorHAnsi" w:hAnsiTheme="majorHAnsi"/>
          <w:bCs/>
          <w:lang w:val="en-US"/>
        </w:rPr>
      </w:pPr>
      <w:r>
        <w:rPr>
          <w:rFonts w:asciiTheme="majorHAnsi" w:hAnsiTheme="majorHAnsi"/>
          <w:bCs/>
          <w:lang w:val="en-US"/>
        </w:rPr>
        <w:t xml:space="preserve">Fondul Român de Contragarantare S.A.(FRC) – participații directe într-o pondere de 68,00%;    </w:t>
      </w:r>
    </w:p>
    <w:p>
      <w:pPr>
        <w:pStyle w:val="66"/>
        <w:numPr>
          <w:ilvl w:val="1"/>
          <w:numId w:val="9"/>
        </w:numPr>
        <w:spacing w:before="0" w:after="240"/>
        <w:ind w:left="270" w:hanging="270"/>
        <w:jc w:val="both"/>
        <w:rPr>
          <w:rFonts w:asciiTheme="majorHAnsi" w:hAnsiTheme="majorHAnsi"/>
          <w:bCs/>
          <w:lang w:val="en-US"/>
        </w:rPr>
      </w:pPr>
      <w:r>
        <w:rPr>
          <w:rFonts w:asciiTheme="majorHAnsi" w:hAnsiTheme="majorHAnsi"/>
          <w:b/>
          <w:bCs/>
          <w:lang w:val="en-US"/>
        </w:rPr>
        <w:t>Instituţii de credit:</w:t>
      </w:r>
      <w:r>
        <w:rPr>
          <w:rFonts w:asciiTheme="majorHAnsi" w:hAnsiTheme="majorHAnsi"/>
          <w:bCs/>
          <w:lang w:val="en-US"/>
        </w:rPr>
        <w:t xml:space="preserve"> </w:t>
      </w:r>
    </w:p>
    <w:p>
      <w:pPr>
        <w:pStyle w:val="66"/>
        <w:numPr>
          <w:ilvl w:val="0"/>
          <w:numId w:val="13"/>
        </w:numPr>
        <w:spacing w:before="0" w:after="240"/>
        <w:ind w:left="540" w:hanging="270"/>
        <w:jc w:val="both"/>
        <w:rPr>
          <w:rFonts w:asciiTheme="majorHAnsi" w:hAnsiTheme="majorHAnsi"/>
          <w:bCs/>
          <w:lang w:val="en-US"/>
        </w:rPr>
      </w:pPr>
      <w:r>
        <w:rPr>
          <w:rFonts w:asciiTheme="majorHAnsi" w:hAnsiTheme="majorHAnsi"/>
          <w:bCs/>
          <w:lang w:val="en-US"/>
        </w:rPr>
        <w:t xml:space="preserve">CEC Bank S.A. - participații integrale; </w:t>
      </w:r>
    </w:p>
    <w:p>
      <w:pPr>
        <w:pStyle w:val="66"/>
        <w:numPr>
          <w:ilvl w:val="0"/>
          <w:numId w:val="13"/>
        </w:numPr>
        <w:spacing w:before="0" w:after="240"/>
        <w:ind w:left="540" w:hanging="270"/>
        <w:jc w:val="both"/>
        <w:rPr>
          <w:rFonts w:asciiTheme="majorHAnsi" w:hAnsiTheme="majorHAnsi"/>
          <w:bCs/>
          <w:lang w:val="en-US"/>
        </w:rPr>
      </w:pPr>
      <w:r>
        <w:rPr>
          <w:rFonts w:asciiTheme="majorHAnsi" w:hAnsiTheme="majorHAnsi"/>
          <w:bCs/>
          <w:lang w:val="en-US"/>
        </w:rPr>
        <w:t xml:space="preserve">Banca de Import – Export a României EximBank S.A. – participații majoritare într-o pondere de 95,37% </w:t>
      </w:r>
      <w:r>
        <w:rPr>
          <w:rFonts w:asciiTheme="majorHAnsi" w:hAnsiTheme="majorHAnsi"/>
          <w:bCs/>
        </w:rPr>
        <w:t xml:space="preserve">și </w:t>
      </w:r>
    </w:p>
    <w:p>
      <w:pPr>
        <w:pStyle w:val="66"/>
        <w:numPr>
          <w:ilvl w:val="0"/>
          <w:numId w:val="13"/>
        </w:numPr>
        <w:spacing w:before="0" w:after="240"/>
        <w:ind w:left="540" w:hanging="270"/>
        <w:jc w:val="both"/>
        <w:rPr>
          <w:rFonts w:asciiTheme="majorHAnsi" w:hAnsiTheme="majorHAnsi"/>
          <w:bCs/>
          <w:lang w:val="en-US"/>
        </w:rPr>
      </w:pPr>
      <w:r>
        <w:rPr>
          <w:rFonts w:asciiTheme="majorHAnsi" w:hAnsiTheme="majorHAnsi"/>
          <w:bCs/>
        </w:rPr>
        <w:t>Banca Românească S.A. – participații majoritare indirecte deținute de Eximbank S.A. într-o pondere de 99,28%</w:t>
      </w:r>
      <w:r>
        <w:rPr>
          <w:rFonts w:asciiTheme="majorHAnsi" w:hAnsiTheme="majorHAnsi"/>
          <w:bCs/>
          <w:lang w:val="en-US"/>
        </w:rPr>
        <w:t>;</w:t>
      </w:r>
    </w:p>
    <w:p>
      <w:pPr>
        <w:pStyle w:val="66"/>
        <w:numPr>
          <w:ilvl w:val="1"/>
          <w:numId w:val="9"/>
        </w:numPr>
        <w:spacing w:before="0" w:after="240"/>
        <w:ind w:left="270" w:hanging="270"/>
        <w:jc w:val="both"/>
        <w:rPr>
          <w:rFonts w:asciiTheme="majorHAnsi" w:hAnsiTheme="majorHAnsi"/>
          <w:bCs/>
          <w:lang w:val="en-US"/>
        </w:rPr>
      </w:pPr>
      <w:r>
        <w:rPr>
          <w:rFonts w:asciiTheme="majorHAnsi" w:hAnsiTheme="majorHAnsi"/>
          <w:b/>
          <w:bCs/>
          <w:lang w:val="en-US"/>
        </w:rPr>
        <w:t>Companii de asigurări-reasigurări:</w:t>
      </w:r>
      <w:r>
        <w:rPr>
          <w:rFonts w:asciiTheme="majorHAnsi" w:hAnsiTheme="majorHAnsi"/>
          <w:bCs/>
          <w:lang w:val="en-US"/>
        </w:rPr>
        <w:t xml:space="preserve"> </w:t>
      </w:r>
    </w:p>
    <w:p>
      <w:pPr>
        <w:pStyle w:val="66"/>
        <w:numPr>
          <w:ilvl w:val="0"/>
          <w:numId w:val="14"/>
        </w:numPr>
        <w:spacing w:before="0" w:after="240"/>
        <w:ind w:left="540" w:hanging="270"/>
        <w:jc w:val="both"/>
        <w:rPr>
          <w:rFonts w:asciiTheme="majorHAnsi" w:hAnsiTheme="majorHAnsi"/>
          <w:bCs/>
          <w:lang w:val="en-US"/>
        </w:rPr>
      </w:pPr>
      <w:r>
        <w:rPr>
          <w:rFonts w:asciiTheme="majorHAnsi" w:hAnsiTheme="majorHAnsi"/>
          <w:bCs/>
          <w:lang w:val="en-US"/>
        </w:rPr>
        <w:t>Compania de Asigurări-Reasigurări Exim România S.A. - (Care România) – participa</w:t>
      </w:r>
      <w:r>
        <w:rPr>
          <w:rFonts w:asciiTheme="majorHAnsi" w:hAnsiTheme="majorHAnsi"/>
          <w:bCs/>
        </w:rPr>
        <w:t xml:space="preserve">ții deținute în mod indirect </w:t>
      </w:r>
      <w:r>
        <w:rPr>
          <w:rFonts w:asciiTheme="majorHAnsi" w:hAnsiTheme="majorHAnsi"/>
          <w:bCs/>
          <w:lang w:val="en-US"/>
        </w:rPr>
        <w:t xml:space="preserve">într-o pondere 98,57% </w:t>
      </w:r>
      <w:r>
        <w:rPr>
          <w:rFonts w:asciiTheme="majorHAnsi" w:hAnsiTheme="majorHAnsi"/>
          <w:bCs/>
        </w:rPr>
        <w:t xml:space="preserve">prin </w:t>
      </w:r>
      <w:r>
        <w:rPr>
          <w:rFonts w:asciiTheme="majorHAnsi" w:hAnsiTheme="majorHAnsi"/>
          <w:bCs/>
          <w:lang w:val="en-US"/>
        </w:rPr>
        <w:t>Banca de Import – Export a României EximBank S.A..</w:t>
      </w:r>
    </w:p>
    <w:p>
      <w:pPr>
        <w:spacing w:before="0" w:after="240"/>
        <w:jc w:val="both"/>
        <w:rPr>
          <w:rFonts w:asciiTheme="majorHAnsi" w:hAnsiTheme="majorHAnsi"/>
          <w:bCs/>
          <w:lang w:val="en-US"/>
        </w:rPr>
      </w:pPr>
      <w:r>
        <w:rPr>
          <w:rFonts w:asciiTheme="majorHAnsi" w:hAnsiTheme="majorHAnsi"/>
          <w:bCs/>
          <w:lang w:val="en-US"/>
        </w:rPr>
        <w:t>La data de 31.12.2020 Ministerul Finanțelor mai deținea participații minoritare la Fondul Proprietatea S.A. într-o pondere de 5,14% din capitalul social subscris în sumă de 191.620.424,84 lei, din care capital social subscris și vărsat în sumă de 2.438.002,84 lei, conform datelor publicate pe pagina de internet a acestora</w:t>
      </w:r>
      <w:r>
        <w:rPr>
          <w:rStyle w:val="33"/>
          <w:rFonts w:asciiTheme="majorHAnsi" w:hAnsiTheme="majorHAnsi"/>
          <w:bCs/>
          <w:lang w:val="en-US"/>
        </w:rPr>
        <w:footnoteReference w:id="5"/>
      </w:r>
      <w:r>
        <w:rPr>
          <w:rFonts w:asciiTheme="majorHAnsi" w:hAnsiTheme="majorHAnsi"/>
          <w:bCs/>
          <w:lang w:val="en-US"/>
        </w:rPr>
        <w:t>.</w:t>
      </w:r>
    </w:p>
    <w:tbl>
      <w:tblPr>
        <w:tblStyle w:val="36"/>
        <w:tblW w:w="9626" w:type="dxa"/>
        <w:tblInd w:w="20" w:type="dxa"/>
        <w:tblLayout w:type="fixed"/>
        <w:tblCellMar>
          <w:top w:w="0" w:type="dxa"/>
          <w:left w:w="108" w:type="dxa"/>
          <w:bottom w:w="0" w:type="dxa"/>
          <w:right w:w="108" w:type="dxa"/>
        </w:tblCellMar>
      </w:tblPr>
      <w:tblGrid>
        <w:gridCol w:w="462"/>
        <w:gridCol w:w="979"/>
        <w:gridCol w:w="1067"/>
        <w:gridCol w:w="979"/>
        <w:gridCol w:w="801"/>
        <w:gridCol w:w="1067"/>
        <w:gridCol w:w="979"/>
        <w:gridCol w:w="623"/>
        <w:gridCol w:w="979"/>
        <w:gridCol w:w="1067"/>
        <w:gridCol w:w="623"/>
      </w:tblGrid>
      <w:tr>
        <w:tblPrEx>
          <w:tblLayout w:type="fixed"/>
          <w:tblCellMar>
            <w:top w:w="0" w:type="dxa"/>
            <w:left w:w="108" w:type="dxa"/>
            <w:bottom w:w="0" w:type="dxa"/>
            <w:right w:w="108" w:type="dxa"/>
          </w:tblCellMar>
        </w:tblPrEx>
        <w:trPr>
          <w:trHeight w:val="187" w:hRule="atLeast"/>
        </w:trPr>
        <w:tc>
          <w:tcPr>
            <w:tcW w:w="9626" w:type="dxa"/>
            <w:gridSpan w:val="11"/>
            <w:tcBorders>
              <w:top w:val="nil"/>
              <w:left w:val="nil"/>
              <w:bottom w:val="nil"/>
              <w:right w:val="nil"/>
            </w:tcBorders>
            <w:shd w:val="clear" w:color="auto" w:fill="auto"/>
            <w:vAlign w:val="center"/>
          </w:tcPr>
          <w:p>
            <w:pPr>
              <w:spacing w:before="0" w:after="0" w:line="240" w:lineRule="auto"/>
              <w:rPr>
                <w:rFonts w:ascii="Calibri Light" w:hAnsi="Calibri Light" w:eastAsia="Times New Roman" w:cs="Calibri Light"/>
                <w:color w:val="000000"/>
                <w:lang w:val="en-US"/>
              </w:rPr>
            </w:pPr>
            <w:r>
              <w:rPr>
                <w:rFonts w:ascii="Calibri Light" w:hAnsi="Calibri Light" w:eastAsia="Times New Roman" w:cs="Calibri Light"/>
                <w:lang w:val="en-US"/>
              </w:rPr>
              <w:t>TABEL: Structura portofoliului Ministerului Finanțelor la 31.12.2020:</w:t>
            </w:r>
          </w:p>
          <w:p>
            <w:pPr>
              <w:spacing w:before="0" w:after="0" w:line="240" w:lineRule="auto"/>
              <w:rPr>
                <w:rFonts w:ascii="Calibri Light" w:hAnsi="Calibri Light" w:eastAsia="Times New Roman" w:cs="Calibri Light"/>
                <w:color w:val="000000"/>
                <w:lang w:val="en-US"/>
              </w:rPr>
            </w:pPr>
          </w:p>
        </w:tc>
      </w:tr>
      <w:tr>
        <w:tblPrEx>
          <w:tblLayout w:type="fixed"/>
          <w:tblCellMar>
            <w:top w:w="0" w:type="dxa"/>
            <w:left w:w="108" w:type="dxa"/>
            <w:bottom w:w="0" w:type="dxa"/>
            <w:right w:w="108" w:type="dxa"/>
          </w:tblCellMar>
        </w:tblPrEx>
        <w:trPr>
          <w:trHeight w:val="655" w:hRule="atLeast"/>
        </w:trPr>
        <w:tc>
          <w:tcPr>
            <w:tcW w:w="462" w:type="dxa"/>
            <w:vMerge w:val="restart"/>
            <w:tcBorders>
              <w:top w:val="single" w:color="4F81BD" w:sz="4" w:space="0"/>
              <w:left w:val="single" w:color="FFFFFF" w:sz="4" w:space="0"/>
              <w:bottom w:val="single" w:color="4F81BD" w:sz="4" w:space="0"/>
              <w:right w:val="single" w:color="FFFFFF" w:sz="4" w:space="0"/>
            </w:tcBorders>
            <w:shd w:val="clear" w:color="000000" w:fill="FFFFFF"/>
          </w:tcPr>
          <w:p>
            <w:pPr>
              <w:spacing w:before="0" w:after="0" w:line="240" w:lineRule="auto"/>
              <w:rPr>
                <w:rFonts w:ascii="Calibri Light" w:hAnsi="Calibri Light" w:eastAsia="Times New Roman" w:cs="Calibri Light"/>
                <w:b/>
                <w:bCs/>
                <w:color w:val="4F81BD"/>
                <w:sz w:val="16"/>
                <w:szCs w:val="16"/>
                <w:lang w:val="en-US"/>
              </w:rPr>
            </w:pPr>
            <w:r>
              <w:rPr>
                <w:rFonts w:ascii="Calibri Light" w:hAnsi="Calibri Light" w:eastAsia="Times New Roman" w:cs="Calibri Light"/>
                <w:b/>
                <w:bCs/>
                <w:color w:val="4F81BD"/>
                <w:sz w:val="16"/>
                <w:szCs w:val="16"/>
              </w:rPr>
              <w:t>Nr. crt.</w:t>
            </w:r>
          </w:p>
        </w:tc>
        <w:tc>
          <w:tcPr>
            <w:tcW w:w="979" w:type="dxa"/>
            <w:vMerge w:val="restart"/>
            <w:tcBorders>
              <w:top w:val="single" w:color="4F81BD" w:sz="4" w:space="0"/>
              <w:left w:val="single" w:color="FFFFFF" w:sz="4" w:space="0"/>
              <w:bottom w:val="single" w:color="4F81BD" w:sz="4" w:space="0"/>
              <w:right w:val="single" w:color="FFFFFF" w:sz="4" w:space="0"/>
            </w:tcBorders>
            <w:shd w:val="clear" w:color="000000" w:fill="FFFFFF"/>
          </w:tcPr>
          <w:p>
            <w:pPr>
              <w:spacing w:before="0" w:after="0" w:line="240" w:lineRule="auto"/>
              <w:rPr>
                <w:rFonts w:ascii="Calibri Light" w:hAnsi="Calibri Light" w:eastAsia="Times New Roman" w:cs="Calibri Light"/>
                <w:b/>
                <w:bCs/>
                <w:color w:val="4F81BD"/>
                <w:sz w:val="16"/>
                <w:szCs w:val="16"/>
              </w:rPr>
            </w:pPr>
            <w:r>
              <w:rPr>
                <w:rFonts w:ascii="Calibri Light" w:hAnsi="Calibri Light" w:eastAsia="Times New Roman" w:cs="Calibri Light"/>
                <w:b/>
                <w:bCs/>
                <w:color w:val="4F81BD"/>
                <w:sz w:val="16"/>
                <w:szCs w:val="16"/>
              </w:rPr>
              <w:t>Denumire ÎP</w:t>
            </w:r>
          </w:p>
          <w:p>
            <w:pPr>
              <w:spacing w:before="0" w:after="0" w:line="240" w:lineRule="auto"/>
              <w:rPr>
                <w:rFonts w:ascii="Calibri Light" w:hAnsi="Calibri Light" w:eastAsia="Times New Roman" w:cs="Calibri Light"/>
                <w:b/>
                <w:bCs/>
                <w:color w:val="4F81BD"/>
                <w:sz w:val="16"/>
                <w:szCs w:val="16"/>
                <w:lang w:val="en-US"/>
              </w:rPr>
            </w:pPr>
          </w:p>
        </w:tc>
        <w:tc>
          <w:tcPr>
            <w:tcW w:w="1067" w:type="dxa"/>
            <w:vMerge w:val="restart"/>
            <w:tcBorders>
              <w:top w:val="single" w:color="4F81BD" w:sz="4" w:space="0"/>
              <w:left w:val="single" w:color="FFFFFF" w:sz="4" w:space="0"/>
              <w:bottom w:val="single" w:color="4F81BD" w:sz="4" w:space="0"/>
              <w:right w:val="single" w:color="FFFFFF" w:sz="4" w:space="0"/>
            </w:tcBorders>
            <w:shd w:val="clear" w:color="000000" w:fill="FFFFFF"/>
          </w:tcPr>
          <w:p>
            <w:pPr>
              <w:spacing w:before="0" w:after="0" w:line="240" w:lineRule="auto"/>
              <w:jc w:val="right"/>
              <w:rPr>
                <w:rFonts w:ascii="Calibri Light" w:hAnsi="Calibri Light" w:eastAsia="Times New Roman" w:cs="Calibri Light"/>
                <w:b/>
                <w:bCs/>
                <w:color w:val="4F81BD"/>
                <w:sz w:val="16"/>
                <w:szCs w:val="16"/>
                <w:lang w:val="en-US"/>
              </w:rPr>
            </w:pPr>
            <w:r>
              <w:rPr>
                <w:rFonts w:ascii="Calibri Light" w:hAnsi="Calibri Light" w:eastAsia="Times New Roman" w:cs="Calibri Light"/>
                <w:b/>
                <w:bCs/>
                <w:color w:val="4F81BD"/>
                <w:sz w:val="16"/>
                <w:szCs w:val="16"/>
              </w:rPr>
              <w:t>Capital social (lei)</w:t>
            </w:r>
          </w:p>
        </w:tc>
        <w:tc>
          <w:tcPr>
            <w:tcW w:w="979" w:type="dxa"/>
            <w:vMerge w:val="restart"/>
            <w:tcBorders>
              <w:top w:val="single" w:color="4F81BD" w:sz="4" w:space="0"/>
              <w:left w:val="single" w:color="FFFFFF" w:sz="4" w:space="0"/>
              <w:bottom w:val="single" w:color="4F81BD" w:sz="4" w:space="0"/>
              <w:right w:val="single" w:color="FFFFFF" w:sz="4" w:space="0"/>
            </w:tcBorders>
            <w:shd w:val="clear" w:color="000000" w:fill="FFFFFF"/>
          </w:tcPr>
          <w:p>
            <w:pPr>
              <w:spacing w:before="0" w:after="0" w:line="240" w:lineRule="auto"/>
              <w:jc w:val="right"/>
              <w:rPr>
                <w:rFonts w:ascii="Calibri Light" w:hAnsi="Calibri Light" w:eastAsia="Times New Roman" w:cs="Calibri Light"/>
                <w:b/>
                <w:bCs/>
                <w:color w:val="4F81BD"/>
                <w:sz w:val="16"/>
                <w:szCs w:val="16"/>
                <w:lang w:val="en-US"/>
              </w:rPr>
            </w:pPr>
            <w:r>
              <w:rPr>
                <w:rFonts w:ascii="Calibri Light" w:hAnsi="Calibri Light" w:eastAsia="Times New Roman" w:cs="Calibri Light"/>
                <w:b/>
                <w:bCs/>
                <w:color w:val="4F81BD"/>
                <w:sz w:val="16"/>
                <w:szCs w:val="16"/>
              </w:rPr>
              <w:t>Număr de acţiuni</w:t>
            </w:r>
          </w:p>
        </w:tc>
        <w:tc>
          <w:tcPr>
            <w:tcW w:w="801" w:type="dxa"/>
            <w:vMerge w:val="restart"/>
            <w:tcBorders>
              <w:top w:val="single" w:color="4F81BD" w:sz="4" w:space="0"/>
              <w:left w:val="single" w:color="FFFFFF" w:sz="4" w:space="0"/>
              <w:bottom w:val="single" w:color="4F81BD" w:sz="4" w:space="0"/>
              <w:right w:val="nil"/>
            </w:tcBorders>
            <w:shd w:val="clear" w:color="000000" w:fill="FFFFFF"/>
          </w:tcPr>
          <w:p>
            <w:pPr>
              <w:spacing w:before="0" w:after="0" w:line="240" w:lineRule="auto"/>
              <w:jc w:val="right"/>
              <w:rPr>
                <w:rFonts w:ascii="Calibri Light" w:hAnsi="Calibri Light" w:eastAsia="Times New Roman" w:cs="Calibri Light"/>
                <w:b/>
                <w:bCs/>
                <w:color w:val="4F81BD"/>
                <w:sz w:val="16"/>
                <w:szCs w:val="16"/>
                <w:lang w:val="en-US"/>
              </w:rPr>
            </w:pPr>
            <w:r>
              <w:rPr>
                <w:rFonts w:ascii="Calibri Light" w:hAnsi="Calibri Light" w:eastAsia="Times New Roman" w:cs="Calibri Light"/>
                <w:b/>
                <w:bCs/>
                <w:color w:val="4F81BD"/>
                <w:sz w:val="16"/>
                <w:szCs w:val="16"/>
              </w:rPr>
              <w:t>Valoare nominală lei/acţ</w:t>
            </w:r>
          </w:p>
        </w:tc>
        <w:tc>
          <w:tcPr>
            <w:tcW w:w="2669" w:type="dxa"/>
            <w:gridSpan w:val="3"/>
            <w:tcBorders>
              <w:top w:val="double" w:color="4F81BD" w:sz="6" w:space="0"/>
              <w:left w:val="double" w:color="4F81BD" w:sz="6" w:space="0"/>
              <w:bottom w:val="single" w:color="4F81BD" w:sz="4" w:space="0"/>
              <w:right w:val="double" w:color="4F81BD" w:sz="6" w:space="0"/>
            </w:tcBorders>
            <w:shd w:val="clear" w:color="000000" w:fill="FFFFFF"/>
          </w:tcPr>
          <w:p>
            <w:pPr>
              <w:spacing w:before="0" w:after="0" w:line="240" w:lineRule="auto"/>
              <w:jc w:val="right"/>
              <w:rPr>
                <w:rFonts w:ascii="Calibri Light" w:hAnsi="Calibri Light" w:eastAsia="Times New Roman" w:cs="Calibri Light"/>
                <w:b/>
                <w:bCs/>
                <w:color w:val="4F81BD"/>
                <w:sz w:val="16"/>
                <w:szCs w:val="16"/>
                <w:lang w:val="en-US"/>
              </w:rPr>
            </w:pPr>
            <w:r>
              <w:rPr>
                <w:rFonts w:ascii="Calibri Light" w:hAnsi="Calibri Light" w:eastAsia="Times New Roman" w:cs="Calibri Light"/>
                <w:b/>
                <w:bCs/>
                <w:color w:val="4F81BD"/>
                <w:sz w:val="16"/>
                <w:szCs w:val="16"/>
              </w:rPr>
              <w:t xml:space="preserve">Acţiuni deţinute în mod </w:t>
            </w:r>
            <w:r>
              <w:rPr>
                <w:rFonts w:ascii="Calibri Light" w:hAnsi="Calibri Light" w:eastAsia="Times New Roman" w:cs="Calibri Light"/>
                <w:b/>
                <w:bCs/>
                <w:color w:val="4F81BD"/>
                <w:sz w:val="16"/>
                <w:szCs w:val="16"/>
                <w:u w:val="single"/>
              </w:rPr>
              <w:t>direct</w:t>
            </w:r>
            <w:r>
              <w:rPr>
                <w:rFonts w:ascii="Calibri Light" w:hAnsi="Calibri Light" w:eastAsia="Times New Roman" w:cs="Calibri Light"/>
                <w:b/>
                <w:bCs/>
                <w:color w:val="4F81BD"/>
                <w:sz w:val="16"/>
                <w:szCs w:val="16"/>
              </w:rPr>
              <w:t xml:space="preserve"> de Statul român prin MF</w:t>
            </w:r>
          </w:p>
        </w:tc>
        <w:tc>
          <w:tcPr>
            <w:tcW w:w="2669" w:type="dxa"/>
            <w:gridSpan w:val="3"/>
            <w:tcBorders>
              <w:top w:val="double" w:color="4F81BD" w:sz="6" w:space="0"/>
              <w:left w:val="nil"/>
              <w:bottom w:val="single" w:color="4F81BD" w:sz="4" w:space="0"/>
              <w:right w:val="double" w:color="4F81BD" w:sz="6" w:space="0"/>
            </w:tcBorders>
            <w:shd w:val="clear" w:color="000000" w:fill="FFFFFF"/>
          </w:tcPr>
          <w:p>
            <w:pPr>
              <w:spacing w:before="0" w:after="0" w:line="240" w:lineRule="auto"/>
              <w:jc w:val="right"/>
              <w:rPr>
                <w:rFonts w:ascii="Calibri Light" w:hAnsi="Calibri Light" w:eastAsia="Times New Roman" w:cs="Calibri Light"/>
                <w:b/>
                <w:bCs/>
                <w:color w:val="4F81BD"/>
                <w:sz w:val="16"/>
                <w:szCs w:val="16"/>
                <w:lang w:val="en-US"/>
              </w:rPr>
            </w:pPr>
            <w:r>
              <w:rPr>
                <w:rFonts w:ascii="Calibri Light" w:hAnsi="Calibri Light" w:eastAsia="Times New Roman" w:cs="Calibri Light"/>
                <w:b/>
                <w:bCs/>
                <w:color w:val="4F81BD"/>
                <w:sz w:val="16"/>
                <w:szCs w:val="16"/>
              </w:rPr>
              <w:t xml:space="preserve">Acţiuni deţinute în mod </w:t>
            </w:r>
            <w:r>
              <w:rPr>
                <w:rFonts w:ascii="Calibri Light" w:hAnsi="Calibri Light" w:eastAsia="Times New Roman" w:cs="Calibri Light"/>
                <w:b/>
                <w:bCs/>
                <w:color w:val="4F81BD"/>
                <w:sz w:val="16"/>
                <w:szCs w:val="16"/>
                <w:u w:val="single"/>
              </w:rPr>
              <w:t>indirect</w:t>
            </w:r>
            <w:r>
              <w:rPr>
                <w:rFonts w:ascii="Calibri Light" w:hAnsi="Calibri Light" w:eastAsia="Times New Roman" w:cs="Calibri Light"/>
                <w:b/>
                <w:bCs/>
                <w:color w:val="4F81BD"/>
                <w:sz w:val="16"/>
                <w:szCs w:val="16"/>
              </w:rPr>
              <w:t xml:space="preserve"> de Statul român prin compania mamă  la care MF deține participații directe</w:t>
            </w:r>
          </w:p>
        </w:tc>
      </w:tr>
      <w:tr>
        <w:tblPrEx>
          <w:tblLayout w:type="fixed"/>
          <w:tblCellMar>
            <w:top w:w="0" w:type="dxa"/>
            <w:left w:w="108" w:type="dxa"/>
            <w:bottom w:w="0" w:type="dxa"/>
            <w:right w:w="108" w:type="dxa"/>
          </w:tblCellMar>
        </w:tblPrEx>
        <w:trPr>
          <w:trHeight w:val="267" w:hRule="atLeast"/>
        </w:trPr>
        <w:tc>
          <w:tcPr>
            <w:tcW w:w="462" w:type="dxa"/>
            <w:vMerge w:val="continue"/>
            <w:tcBorders>
              <w:top w:val="single" w:color="4F81BD" w:sz="4" w:space="0"/>
              <w:left w:val="single" w:color="FFFFFF" w:sz="4" w:space="0"/>
              <w:bottom w:val="single" w:color="4F81BD" w:sz="4" w:space="0"/>
              <w:right w:val="single" w:color="FFFFFF" w:sz="4" w:space="0"/>
            </w:tcBorders>
          </w:tcPr>
          <w:p>
            <w:pPr>
              <w:spacing w:before="0" w:after="0" w:line="240" w:lineRule="auto"/>
              <w:jc w:val="right"/>
              <w:rPr>
                <w:rFonts w:ascii="Calibri Light" w:hAnsi="Calibri Light" w:eastAsia="Times New Roman" w:cs="Calibri Light"/>
                <w:b/>
                <w:bCs/>
                <w:color w:val="4F81BD"/>
                <w:sz w:val="16"/>
                <w:szCs w:val="16"/>
                <w:lang w:val="en-US"/>
              </w:rPr>
            </w:pPr>
          </w:p>
        </w:tc>
        <w:tc>
          <w:tcPr>
            <w:tcW w:w="979" w:type="dxa"/>
            <w:vMerge w:val="continue"/>
            <w:tcBorders>
              <w:top w:val="single" w:color="4F81BD" w:sz="4" w:space="0"/>
              <w:left w:val="single" w:color="FFFFFF" w:sz="4" w:space="0"/>
              <w:bottom w:val="single" w:color="4F81BD" w:sz="4" w:space="0"/>
              <w:right w:val="single" w:color="FFFFFF" w:sz="4" w:space="0"/>
            </w:tcBorders>
          </w:tcPr>
          <w:p>
            <w:pPr>
              <w:spacing w:before="0" w:after="0" w:line="240" w:lineRule="auto"/>
              <w:jc w:val="right"/>
              <w:rPr>
                <w:rFonts w:ascii="Calibri Light" w:hAnsi="Calibri Light" w:eastAsia="Times New Roman" w:cs="Calibri Light"/>
                <w:b/>
                <w:bCs/>
                <w:color w:val="4F81BD"/>
                <w:sz w:val="16"/>
                <w:szCs w:val="16"/>
                <w:lang w:val="en-US"/>
              </w:rPr>
            </w:pPr>
          </w:p>
        </w:tc>
        <w:tc>
          <w:tcPr>
            <w:tcW w:w="1067" w:type="dxa"/>
            <w:vMerge w:val="continue"/>
            <w:tcBorders>
              <w:top w:val="single" w:color="4F81BD" w:sz="4" w:space="0"/>
              <w:left w:val="single" w:color="FFFFFF" w:sz="4" w:space="0"/>
              <w:bottom w:val="single" w:color="4F81BD" w:sz="4" w:space="0"/>
              <w:right w:val="single" w:color="FFFFFF" w:sz="4" w:space="0"/>
            </w:tcBorders>
          </w:tcPr>
          <w:p>
            <w:pPr>
              <w:spacing w:before="0" w:after="0" w:line="240" w:lineRule="auto"/>
              <w:jc w:val="right"/>
              <w:rPr>
                <w:rFonts w:ascii="Calibri Light" w:hAnsi="Calibri Light" w:eastAsia="Times New Roman" w:cs="Calibri Light"/>
                <w:b/>
                <w:bCs/>
                <w:color w:val="4F81BD"/>
                <w:sz w:val="16"/>
                <w:szCs w:val="16"/>
                <w:lang w:val="en-US"/>
              </w:rPr>
            </w:pPr>
          </w:p>
        </w:tc>
        <w:tc>
          <w:tcPr>
            <w:tcW w:w="979" w:type="dxa"/>
            <w:vMerge w:val="continue"/>
            <w:tcBorders>
              <w:top w:val="single" w:color="4F81BD" w:sz="4" w:space="0"/>
              <w:left w:val="single" w:color="FFFFFF" w:sz="4" w:space="0"/>
              <w:bottom w:val="single" w:color="4F81BD" w:sz="4" w:space="0"/>
              <w:right w:val="single" w:color="FFFFFF" w:sz="4" w:space="0"/>
            </w:tcBorders>
          </w:tcPr>
          <w:p>
            <w:pPr>
              <w:spacing w:before="0" w:after="0" w:line="240" w:lineRule="auto"/>
              <w:jc w:val="right"/>
              <w:rPr>
                <w:rFonts w:ascii="Calibri Light" w:hAnsi="Calibri Light" w:eastAsia="Times New Roman" w:cs="Calibri Light"/>
                <w:b/>
                <w:bCs/>
                <w:color w:val="4F81BD"/>
                <w:sz w:val="16"/>
                <w:szCs w:val="16"/>
                <w:lang w:val="en-US"/>
              </w:rPr>
            </w:pPr>
          </w:p>
        </w:tc>
        <w:tc>
          <w:tcPr>
            <w:tcW w:w="801" w:type="dxa"/>
            <w:vMerge w:val="continue"/>
            <w:tcBorders>
              <w:top w:val="single" w:color="4F81BD" w:sz="4" w:space="0"/>
              <w:left w:val="single" w:color="FFFFFF" w:sz="4" w:space="0"/>
              <w:bottom w:val="single" w:color="4F81BD" w:sz="4" w:space="0"/>
              <w:right w:val="nil"/>
            </w:tcBorders>
          </w:tcPr>
          <w:p>
            <w:pPr>
              <w:spacing w:before="0" w:after="0" w:line="240" w:lineRule="auto"/>
              <w:jc w:val="right"/>
              <w:rPr>
                <w:rFonts w:ascii="Calibri Light" w:hAnsi="Calibri Light" w:eastAsia="Times New Roman" w:cs="Calibri Light"/>
                <w:b/>
                <w:bCs/>
                <w:color w:val="4F81BD"/>
                <w:sz w:val="16"/>
                <w:szCs w:val="16"/>
                <w:lang w:val="en-US"/>
              </w:rPr>
            </w:pPr>
          </w:p>
        </w:tc>
        <w:tc>
          <w:tcPr>
            <w:tcW w:w="1067" w:type="dxa"/>
            <w:tcBorders>
              <w:top w:val="nil"/>
              <w:left w:val="double" w:color="4F81BD" w:sz="6" w:space="0"/>
              <w:bottom w:val="single" w:color="4F81BD" w:sz="4" w:space="0"/>
              <w:right w:val="single" w:color="FFFFFF" w:sz="4" w:space="0"/>
            </w:tcBorders>
            <w:shd w:val="clear" w:color="000000" w:fill="FFFFFF"/>
          </w:tcPr>
          <w:p>
            <w:pPr>
              <w:spacing w:before="0" w:after="0" w:line="240" w:lineRule="auto"/>
              <w:jc w:val="right"/>
              <w:rPr>
                <w:rFonts w:ascii="Calibri Light" w:hAnsi="Calibri Light" w:eastAsia="Times New Roman" w:cs="Calibri Light"/>
                <w:bCs/>
                <w:color w:val="4F81BD"/>
                <w:sz w:val="14"/>
                <w:szCs w:val="16"/>
                <w:lang w:val="en-US"/>
              </w:rPr>
            </w:pPr>
            <w:r>
              <w:rPr>
                <w:rFonts w:ascii="Calibri Light" w:hAnsi="Calibri Light" w:eastAsia="Times New Roman" w:cs="Calibri Light"/>
                <w:bCs/>
                <w:color w:val="4F81BD"/>
                <w:sz w:val="14"/>
                <w:szCs w:val="16"/>
              </w:rPr>
              <w:t>Valoare nom. pachet (lei)</w:t>
            </w:r>
          </w:p>
        </w:tc>
        <w:tc>
          <w:tcPr>
            <w:tcW w:w="979" w:type="dxa"/>
            <w:tcBorders>
              <w:top w:val="nil"/>
              <w:left w:val="nil"/>
              <w:bottom w:val="single" w:color="4F81BD" w:sz="4" w:space="0"/>
              <w:right w:val="single" w:color="FFFFFF" w:sz="4" w:space="0"/>
            </w:tcBorders>
            <w:shd w:val="clear" w:color="000000" w:fill="FFFFFF"/>
          </w:tcPr>
          <w:p>
            <w:pPr>
              <w:spacing w:before="0" w:after="0" w:line="240" w:lineRule="auto"/>
              <w:jc w:val="right"/>
              <w:rPr>
                <w:rFonts w:ascii="Calibri Light" w:hAnsi="Calibri Light" w:eastAsia="Times New Roman" w:cs="Calibri Light"/>
                <w:bCs/>
                <w:color w:val="4F81BD"/>
                <w:sz w:val="14"/>
                <w:szCs w:val="16"/>
                <w:lang w:val="en-US"/>
              </w:rPr>
            </w:pPr>
            <w:r>
              <w:rPr>
                <w:rFonts w:ascii="Calibri Light" w:hAnsi="Calibri Light" w:eastAsia="Times New Roman" w:cs="Calibri Light"/>
                <w:bCs/>
                <w:color w:val="4F81BD"/>
                <w:sz w:val="14"/>
                <w:szCs w:val="16"/>
              </w:rPr>
              <w:t>Nr. acţiuni</w:t>
            </w:r>
          </w:p>
        </w:tc>
        <w:tc>
          <w:tcPr>
            <w:tcW w:w="623" w:type="dxa"/>
            <w:tcBorders>
              <w:top w:val="nil"/>
              <w:left w:val="nil"/>
              <w:bottom w:val="single" w:color="4F81BD" w:sz="4" w:space="0"/>
              <w:right w:val="double" w:color="4F81BD" w:sz="6" w:space="0"/>
            </w:tcBorders>
            <w:shd w:val="clear" w:color="000000" w:fill="FFFFFF"/>
          </w:tcPr>
          <w:p>
            <w:pPr>
              <w:spacing w:before="0" w:after="0" w:line="240" w:lineRule="auto"/>
              <w:jc w:val="right"/>
              <w:rPr>
                <w:rFonts w:ascii="Calibri Light" w:hAnsi="Calibri Light" w:eastAsia="Times New Roman" w:cs="Calibri Light"/>
                <w:bCs/>
                <w:color w:val="4F81BD"/>
                <w:sz w:val="14"/>
                <w:szCs w:val="16"/>
                <w:lang w:val="en-US"/>
              </w:rPr>
            </w:pPr>
            <w:r>
              <w:rPr>
                <w:rFonts w:ascii="Calibri Light" w:hAnsi="Calibri Light" w:eastAsia="Times New Roman" w:cs="Calibri Light"/>
                <w:bCs/>
                <w:color w:val="4F81BD"/>
                <w:sz w:val="14"/>
                <w:szCs w:val="16"/>
              </w:rPr>
              <w:t>%</w:t>
            </w:r>
          </w:p>
        </w:tc>
        <w:tc>
          <w:tcPr>
            <w:tcW w:w="979" w:type="dxa"/>
            <w:tcBorders>
              <w:top w:val="nil"/>
              <w:left w:val="nil"/>
              <w:bottom w:val="single" w:color="4F81BD" w:sz="4" w:space="0"/>
              <w:right w:val="single" w:color="FFFFFF" w:sz="4" w:space="0"/>
            </w:tcBorders>
            <w:shd w:val="clear" w:color="000000" w:fill="FFFFFF"/>
          </w:tcPr>
          <w:p>
            <w:pPr>
              <w:spacing w:before="0" w:after="0" w:line="240" w:lineRule="auto"/>
              <w:jc w:val="right"/>
              <w:rPr>
                <w:rFonts w:ascii="Calibri Light" w:hAnsi="Calibri Light" w:eastAsia="Times New Roman" w:cs="Calibri Light"/>
                <w:bCs/>
                <w:color w:val="4F81BD"/>
                <w:sz w:val="14"/>
                <w:szCs w:val="16"/>
                <w:lang w:val="en-US"/>
              </w:rPr>
            </w:pPr>
            <w:r>
              <w:rPr>
                <w:rFonts w:ascii="Calibri Light" w:hAnsi="Calibri Light" w:eastAsia="Times New Roman" w:cs="Calibri Light"/>
                <w:bCs/>
                <w:color w:val="4F81BD"/>
                <w:sz w:val="14"/>
                <w:szCs w:val="16"/>
              </w:rPr>
              <w:t>Valoare nom. pachet (lei)</w:t>
            </w:r>
          </w:p>
        </w:tc>
        <w:tc>
          <w:tcPr>
            <w:tcW w:w="1067" w:type="dxa"/>
            <w:tcBorders>
              <w:top w:val="nil"/>
              <w:left w:val="nil"/>
              <w:bottom w:val="single" w:color="4F81BD" w:sz="4" w:space="0"/>
              <w:right w:val="single" w:color="FFFFFF" w:sz="4" w:space="0"/>
            </w:tcBorders>
            <w:shd w:val="clear" w:color="000000" w:fill="FFFFFF"/>
          </w:tcPr>
          <w:p>
            <w:pPr>
              <w:spacing w:before="0" w:after="0" w:line="240" w:lineRule="auto"/>
              <w:jc w:val="right"/>
              <w:rPr>
                <w:rFonts w:ascii="Calibri Light" w:hAnsi="Calibri Light" w:eastAsia="Times New Roman" w:cs="Calibri Light"/>
                <w:bCs/>
                <w:color w:val="4F81BD"/>
                <w:sz w:val="14"/>
                <w:szCs w:val="16"/>
                <w:lang w:val="en-US"/>
              </w:rPr>
            </w:pPr>
            <w:r>
              <w:rPr>
                <w:rFonts w:ascii="Calibri Light" w:hAnsi="Calibri Light" w:eastAsia="Times New Roman" w:cs="Calibri Light"/>
                <w:bCs/>
                <w:color w:val="4F81BD"/>
                <w:sz w:val="14"/>
                <w:szCs w:val="16"/>
              </w:rPr>
              <w:t>Nr. acţiuni</w:t>
            </w:r>
          </w:p>
        </w:tc>
        <w:tc>
          <w:tcPr>
            <w:tcW w:w="623" w:type="dxa"/>
            <w:tcBorders>
              <w:top w:val="nil"/>
              <w:left w:val="nil"/>
              <w:bottom w:val="single" w:color="4F81BD" w:sz="4" w:space="0"/>
              <w:right w:val="double" w:color="4F81BD" w:sz="6" w:space="0"/>
            </w:tcBorders>
            <w:shd w:val="clear" w:color="000000" w:fill="FFFFFF"/>
          </w:tcPr>
          <w:p>
            <w:pPr>
              <w:spacing w:before="0" w:after="0" w:line="240" w:lineRule="auto"/>
              <w:jc w:val="right"/>
              <w:rPr>
                <w:rFonts w:ascii="Calibri Light" w:hAnsi="Calibri Light" w:eastAsia="Times New Roman" w:cs="Calibri Light"/>
                <w:bCs/>
                <w:color w:val="4F81BD"/>
                <w:sz w:val="14"/>
                <w:szCs w:val="16"/>
                <w:lang w:val="en-US"/>
              </w:rPr>
            </w:pPr>
            <w:r>
              <w:rPr>
                <w:rFonts w:ascii="Calibri Light" w:hAnsi="Calibri Light" w:eastAsia="Times New Roman" w:cs="Calibri Light"/>
                <w:bCs/>
                <w:color w:val="4F81BD"/>
                <w:sz w:val="14"/>
                <w:szCs w:val="16"/>
              </w:rPr>
              <w:t>%</w:t>
            </w:r>
          </w:p>
        </w:tc>
      </w:tr>
      <w:tr>
        <w:tblPrEx>
          <w:tblLayout w:type="fixed"/>
          <w:tblCellMar>
            <w:top w:w="0" w:type="dxa"/>
            <w:left w:w="108" w:type="dxa"/>
            <w:bottom w:w="0" w:type="dxa"/>
            <w:right w:w="108" w:type="dxa"/>
          </w:tblCellMar>
        </w:tblPrEx>
        <w:trPr>
          <w:trHeight w:val="178" w:hRule="atLeast"/>
        </w:trPr>
        <w:tc>
          <w:tcPr>
            <w:tcW w:w="462"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1</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EXIMBANK</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800.759.862</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133.459.977</w:t>
            </w:r>
          </w:p>
        </w:tc>
        <w:tc>
          <w:tcPr>
            <w:tcW w:w="801" w:type="dxa"/>
            <w:tcBorders>
              <w:top w:val="nil"/>
              <w:left w:val="nil"/>
              <w:bottom w:val="single" w:color="4F81BD" w:sz="4" w:space="0"/>
              <w:right w:val="nil"/>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6</w:t>
            </w:r>
          </w:p>
        </w:tc>
        <w:tc>
          <w:tcPr>
            <w:tcW w:w="1067" w:type="dxa"/>
            <w:tcBorders>
              <w:top w:val="nil"/>
              <w:left w:val="double" w:color="4F81BD" w:sz="6"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763.718.742</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127.286.457</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color w:val="000000"/>
                <w:sz w:val="14"/>
                <w:szCs w:val="14"/>
                <w:lang w:val="en-US"/>
              </w:rPr>
            </w:pPr>
            <w:r>
              <w:rPr>
                <w:rFonts w:eastAsia="Times New Roman" w:asciiTheme="majorHAnsi" w:hAnsiTheme="majorHAnsi" w:cstheme="majorHAnsi"/>
                <w:b/>
                <w:color w:val="000000"/>
                <w:sz w:val="14"/>
                <w:szCs w:val="14"/>
                <w:lang w:val="en-US"/>
              </w:rPr>
              <w:t>95,37</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0</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0</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color w:val="000000"/>
                <w:sz w:val="14"/>
                <w:szCs w:val="14"/>
                <w:lang w:val="en-US"/>
              </w:rPr>
            </w:pPr>
            <w:r>
              <w:rPr>
                <w:rFonts w:eastAsia="Times New Roman" w:asciiTheme="majorHAnsi" w:hAnsiTheme="majorHAnsi" w:cstheme="majorHAnsi"/>
                <w:b/>
                <w:color w:val="000000"/>
                <w:sz w:val="14"/>
                <w:szCs w:val="14"/>
                <w:lang w:val="en-US"/>
              </w:rPr>
              <w:t>0,00</w:t>
            </w:r>
          </w:p>
        </w:tc>
      </w:tr>
      <w:tr>
        <w:tblPrEx>
          <w:tblLayout w:type="fixed"/>
          <w:tblCellMar>
            <w:top w:w="0" w:type="dxa"/>
            <w:left w:w="108" w:type="dxa"/>
            <w:bottom w:w="0" w:type="dxa"/>
            <w:right w:w="108" w:type="dxa"/>
          </w:tblCellMar>
        </w:tblPrEx>
        <w:trPr>
          <w:trHeight w:val="178" w:hRule="atLeast"/>
        </w:trPr>
        <w:tc>
          <w:tcPr>
            <w:tcW w:w="462"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2</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BR</w:t>
            </w:r>
            <w:r>
              <w:rPr>
                <w:rStyle w:val="33"/>
                <w:rFonts w:eastAsia="Times New Roman" w:asciiTheme="majorHAnsi" w:hAnsiTheme="majorHAnsi" w:cstheme="majorHAnsi"/>
                <w:color w:val="000000"/>
                <w:sz w:val="16"/>
                <w:szCs w:val="16"/>
                <w:lang w:val="en-US"/>
              </w:rPr>
              <w:footnoteReference w:id="6"/>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748.648.220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374.324.110</w:t>
            </w:r>
          </w:p>
        </w:tc>
        <w:tc>
          <w:tcPr>
            <w:tcW w:w="801" w:type="dxa"/>
            <w:tcBorders>
              <w:top w:val="nil"/>
              <w:left w:val="nil"/>
              <w:bottom w:val="single" w:color="4F81BD" w:sz="4" w:space="0"/>
              <w:right w:val="nil"/>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2</w:t>
            </w:r>
          </w:p>
        </w:tc>
        <w:tc>
          <w:tcPr>
            <w:tcW w:w="1067" w:type="dxa"/>
            <w:tcBorders>
              <w:top w:val="nil"/>
              <w:left w:val="double" w:color="4F81BD" w:sz="6"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0</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color w:val="000000"/>
                <w:sz w:val="14"/>
                <w:szCs w:val="14"/>
                <w:lang w:val="en-US"/>
              </w:rPr>
            </w:pPr>
            <w:r>
              <w:rPr>
                <w:rFonts w:eastAsia="Times New Roman" w:asciiTheme="majorHAnsi" w:hAnsiTheme="majorHAnsi" w:cstheme="majorHAnsi"/>
                <w:b/>
                <w:color w:val="000000"/>
                <w:sz w:val="14"/>
                <w:szCs w:val="14"/>
                <w:lang w:val="en-US"/>
              </w:rPr>
              <w:t>0,00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743.249.018</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371.624.509</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color w:val="000000"/>
                <w:sz w:val="14"/>
                <w:szCs w:val="14"/>
                <w:lang w:val="en-US"/>
              </w:rPr>
            </w:pPr>
            <w:r>
              <w:rPr>
                <w:rFonts w:eastAsia="Times New Roman" w:asciiTheme="majorHAnsi" w:hAnsiTheme="majorHAnsi" w:cstheme="majorHAnsi"/>
                <w:b/>
                <w:color w:val="000000"/>
                <w:sz w:val="14"/>
                <w:szCs w:val="14"/>
                <w:lang w:val="en-US"/>
              </w:rPr>
              <w:t>99,28</w:t>
            </w:r>
          </w:p>
        </w:tc>
      </w:tr>
      <w:tr>
        <w:tblPrEx>
          <w:tblLayout w:type="fixed"/>
          <w:tblCellMar>
            <w:top w:w="0" w:type="dxa"/>
            <w:left w:w="108" w:type="dxa"/>
            <w:bottom w:w="0" w:type="dxa"/>
            <w:right w:w="108" w:type="dxa"/>
          </w:tblCellMar>
        </w:tblPrEx>
        <w:trPr>
          <w:trHeight w:val="178" w:hRule="atLeast"/>
        </w:trPr>
        <w:tc>
          <w:tcPr>
            <w:tcW w:w="462"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3</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 xml:space="preserve">CEC BANK </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2.290.661.600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22.906.616</w:t>
            </w:r>
          </w:p>
        </w:tc>
        <w:tc>
          <w:tcPr>
            <w:tcW w:w="801" w:type="dxa"/>
            <w:tcBorders>
              <w:top w:val="nil"/>
              <w:left w:val="nil"/>
              <w:bottom w:val="single" w:color="4F81BD" w:sz="4" w:space="0"/>
              <w:right w:val="nil"/>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100</w:t>
            </w:r>
          </w:p>
        </w:tc>
        <w:tc>
          <w:tcPr>
            <w:tcW w:w="1067" w:type="dxa"/>
            <w:tcBorders>
              <w:top w:val="nil"/>
              <w:left w:val="double" w:color="4F81BD" w:sz="6"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2.290.661.600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22.906.616</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color w:val="000000"/>
                <w:sz w:val="14"/>
                <w:szCs w:val="14"/>
                <w:lang w:val="en-US"/>
              </w:rPr>
            </w:pPr>
            <w:r>
              <w:rPr>
                <w:rFonts w:eastAsia="Times New Roman" w:asciiTheme="majorHAnsi" w:hAnsiTheme="majorHAnsi" w:cstheme="majorHAnsi"/>
                <w:b/>
                <w:color w:val="000000"/>
                <w:sz w:val="14"/>
                <w:szCs w:val="14"/>
                <w:lang w:val="en-US"/>
              </w:rPr>
              <w:t>100,00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0</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0</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color w:val="000000"/>
                <w:sz w:val="14"/>
                <w:szCs w:val="14"/>
                <w:lang w:val="en-US"/>
              </w:rPr>
            </w:pPr>
            <w:r>
              <w:rPr>
                <w:rFonts w:eastAsia="Times New Roman" w:asciiTheme="majorHAnsi" w:hAnsiTheme="majorHAnsi" w:cstheme="majorHAnsi"/>
                <w:b/>
                <w:color w:val="000000"/>
                <w:sz w:val="14"/>
                <w:szCs w:val="14"/>
                <w:lang w:val="en-US"/>
              </w:rPr>
              <w:t>0,00</w:t>
            </w:r>
          </w:p>
        </w:tc>
      </w:tr>
      <w:tr>
        <w:tblPrEx>
          <w:tblLayout w:type="fixed"/>
          <w:tblCellMar>
            <w:top w:w="0" w:type="dxa"/>
            <w:left w:w="108" w:type="dxa"/>
            <w:bottom w:w="0" w:type="dxa"/>
            <w:right w:w="108" w:type="dxa"/>
          </w:tblCellMar>
        </w:tblPrEx>
        <w:trPr>
          <w:trHeight w:val="178" w:hRule="atLeast"/>
        </w:trPr>
        <w:tc>
          <w:tcPr>
            <w:tcW w:w="462"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4</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CNIN</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561.700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56.170</w:t>
            </w:r>
          </w:p>
        </w:tc>
        <w:tc>
          <w:tcPr>
            <w:tcW w:w="801" w:type="dxa"/>
            <w:tcBorders>
              <w:top w:val="nil"/>
              <w:left w:val="nil"/>
              <w:bottom w:val="single" w:color="4F81BD" w:sz="4" w:space="0"/>
              <w:right w:val="nil"/>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10</w:t>
            </w:r>
          </w:p>
        </w:tc>
        <w:tc>
          <w:tcPr>
            <w:tcW w:w="1067" w:type="dxa"/>
            <w:tcBorders>
              <w:top w:val="nil"/>
              <w:left w:val="double" w:color="4F81BD" w:sz="6"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561.700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56.170</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color w:val="000000"/>
                <w:sz w:val="14"/>
                <w:szCs w:val="14"/>
                <w:lang w:val="en-US"/>
              </w:rPr>
            </w:pPr>
            <w:r>
              <w:rPr>
                <w:rFonts w:eastAsia="Times New Roman" w:asciiTheme="majorHAnsi" w:hAnsiTheme="majorHAnsi" w:cstheme="majorHAnsi"/>
                <w:b/>
                <w:color w:val="000000"/>
                <w:sz w:val="14"/>
                <w:szCs w:val="14"/>
                <w:lang w:val="en-US"/>
              </w:rPr>
              <w:t>100,00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0</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0</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color w:val="000000"/>
                <w:sz w:val="14"/>
                <w:szCs w:val="14"/>
                <w:lang w:val="en-US"/>
              </w:rPr>
            </w:pPr>
            <w:r>
              <w:rPr>
                <w:rFonts w:eastAsia="Times New Roman" w:asciiTheme="majorHAnsi" w:hAnsiTheme="majorHAnsi" w:cstheme="majorHAnsi"/>
                <w:b/>
                <w:color w:val="000000"/>
                <w:sz w:val="14"/>
                <w:szCs w:val="14"/>
                <w:lang w:val="en-US"/>
              </w:rPr>
              <w:t>0,00</w:t>
            </w:r>
          </w:p>
        </w:tc>
      </w:tr>
      <w:tr>
        <w:tblPrEx>
          <w:tblLayout w:type="fixed"/>
          <w:tblCellMar>
            <w:top w:w="0" w:type="dxa"/>
            <w:left w:w="108" w:type="dxa"/>
            <w:bottom w:w="0" w:type="dxa"/>
            <w:right w:w="108" w:type="dxa"/>
          </w:tblCellMar>
        </w:tblPrEx>
        <w:trPr>
          <w:trHeight w:val="178" w:hRule="atLeast"/>
        </w:trPr>
        <w:tc>
          <w:tcPr>
            <w:tcW w:w="462"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5</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FNGCIMM</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940.507.600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9.405.076</w:t>
            </w:r>
          </w:p>
        </w:tc>
        <w:tc>
          <w:tcPr>
            <w:tcW w:w="801" w:type="dxa"/>
            <w:tcBorders>
              <w:top w:val="nil"/>
              <w:left w:val="nil"/>
              <w:bottom w:val="single" w:color="4F81BD" w:sz="4" w:space="0"/>
              <w:right w:val="nil"/>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100</w:t>
            </w:r>
          </w:p>
        </w:tc>
        <w:tc>
          <w:tcPr>
            <w:tcW w:w="1067" w:type="dxa"/>
            <w:tcBorders>
              <w:top w:val="nil"/>
              <w:left w:val="double" w:color="4F81BD" w:sz="6"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940.507.600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9.405.076</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color w:val="000000"/>
                <w:sz w:val="14"/>
                <w:szCs w:val="14"/>
                <w:lang w:val="en-US"/>
              </w:rPr>
            </w:pPr>
            <w:r>
              <w:rPr>
                <w:rFonts w:eastAsia="Times New Roman" w:asciiTheme="majorHAnsi" w:hAnsiTheme="majorHAnsi" w:cstheme="majorHAnsi"/>
                <w:b/>
                <w:color w:val="000000"/>
                <w:sz w:val="14"/>
                <w:szCs w:val="14"/>
                <w:lang w:val="en-US"/>
              </w:rPr>
              <w:t>100,00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0</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0</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color w:val="000000"/>
                <w:sz w:val="14"/>
                <w:szCs w:val="14"/>
                <w:lang w:val="en-US"/>
              </w:rPr>
            </w:pPr>
            <w:r>
              <w:rPr>
                <w:rFonts w:eastAsia="Times New Roman" w:asciiTheme="majorHAnsi" w:hAnsiTheme="majorHAnsi" w:cstheme="majorHAnsi"/>
                <w:b/>
                <w:color w:val="000000"/>
                <w:sz w:val="14"/>
                <w:szCs w:val="14"/>
                <w:lang w:val="en-US"/>
              </w:rPr>
              <w:t>0,00</w:t>
            </w:r>
          </w:p>
        </w:tc>
      </w:tr>
      <w:tr>
        <w:tblPrEx>
          <w:tblLayout w:type="fixed"/>
          <w:tblCellMar>
            <w:top w:w="0" w:type="dxa"/>
            <w:left w:w="108" w:type="dxa"/>
            <w:bottom w:w="0" w:type="dxa"/>
            <w:right w:w="108" w:type="dxa"/>
          </w:tblCellMar>
        </w:tblPrEx>
        <w:trPr>
          <w:trHeight w:val="178" w:hRule="atLeast"/>
        </w:trPr>
        <w:tc>
          <w:tcPr>
            <w:tcW w:w="462"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6</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FLG Focșani</w:t>
            </w:r>
            <w:r>
              <w:rPr>
                <w:rStyle w:val="33"/>
                <w:rFonts w:eastAsia="Times New Roman" w:asciiTheme="majorHAnsi" w:hAnsiTheme="majorHAnsi" w:cstheme="majorHAnsi"/>
                <w:color w:val="000000"/>
                <w:sz w:val="16"/>
                <w:szCs w:val="16"/>
                <w:lang w:val="en-US"/>
              </w:rPr>
              <w:footnoteReference w:id="7"/>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19.363.700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193.637</w:t>
            </w:r>
          </w:p>
        </w:tc>
        <w:tc>
          <w:tcPr>
            <w:tcW w:w="801" w:type="dxa"/>
            <w:tcBorders>
              <w:top w:val="nil"/>
              <w:left w:val="nil"/>
              <w:bottom w:val="single" w:color="4F81BD" w:sz="4" w:space="0"/>
              <w:right w:val="nil"/>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100</w:t>
            </w:r>
          </w:p>
        </w:tc>
        <w:tc>
          <w:tcPr>
            <w:tcW w:w="1067" w:type="dxa"/>
            <w:tcBorders>
              <w:top w:val="nil"/>
              <w:left w:val="double" w:color="4F81BD" w:sz="6"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5.261.500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52.615</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color w:val="000000"/>
                <w:sz w:val="14"/>
                <w:szCs w:val="14"/>
                <w:lang w:val="en-US"/>
              </w:rPr>
            </w:pPr>
            <w:r>
              <w:rPr>
                <w:rFonts w:eastAsia="Times New Roman" w:asciiTheme="majorHAnsi" w:hAnsiTheme="majorHAnsi" w:cstheme="majorHAnsi"/>
                <w:b/>
                <w:color w:val="000000"/>
                <w:sz w:val="14"/>
                <w:szCs w:val="14"/>
                <w:lang w:val="en-US"/>
              </w:rPr>
              <w:t>27,17</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14.082.200</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140.822</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color w:val="000000"/>
                <w:sz w:val="14"/>
                <w:szCs w:val="14"/>
                <w:lang w:val="en-US"/>
              </w:rPr>
            </w:pPr>
            <w:r>
              <w:rPr>
                <w:rFonts w:eastAsia="Times New Roman" w:asciiTheme="majorHAnsi" w:hAnsiTheme="majorHAnsi" w:cstheme="majorHAnsi"/>
                <w:b/>
                <w:color w:val="000000"/>
                <w:sz w:val="14"/>
                <w:szCs w:val="14"/>
                <w:lang w:val="en-US"/>
              </w:rPr>
              <w:t>72,72</w:t>
            </w:r>
          </w:p>
        </w:tc>
      </w:tr>
      <w:tr>
        <w:tblPrEx>
          <w:tblLayout w:type="fixed"/>
          <w:tblCellMar>
            <w:top w:w="0" w:type="dxa"/>
            <w:left w:w="108" w:type="dxa"/>
            <w:bottom w:w="0" w:type="dxa"/>
            <w:right w:w="108" w:type="dxa"/>
          </w:tblCellMar>
        </w:tblPrEx>
        <w:trPr>
          <w:trHeight w:val="178" w:hRule="atLeast"/>
        </w:trPr>
        <w:tc>
          <w:tcPr>
            <w:tcW w:w="462"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7</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EximAsig</w:t>
            </w:r>
            <w:r>
              <w:rPr>
                <w:rStyle w:val="33"/>
                <w:rFonts w:eastAsia="Times New Roman" w:asciiTheme="majorHAnsi" w:hAnsiTheme="majorHAnsi" w:cstheme="majorHAnsi"/>
                <w:color w:val="000000"/>
                <w:sz w:val="16"/>
                <w:szCs w:val="16"/>
                <w:lang w:val="en-US"/>
              </w:rPr>
              <w:footnoteReference w:id="8"/>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38.821.998</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19.410.999</w:t>
            </w:r>
          </w:p>
        </w:tc>
        <w:tc>
          <w:tcPr>
            <w:tcW w:w="801" w:type="dxa"/>
            <w:tcBorders>
              <w:top w:val="nil"/>
              <w:left w:val="nil"/>
              <w:bottom w:val="single" w:color="4F81BD" w:sz="4" w:space="0"/>
              <w:right w:val="nil"/>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2</w:t>
            </w:r>
          </w:p>
        </w:tc>
        <w:tc>
          <w:tcPr>
            <w:tcW w:w="1067" w:type="dxa"/>
            <w:tcBorders>
              <w:top w:val="nil"/>
              <w:left w:val="double" w:color="4F81BD" w:sz="6"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0</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color w:val="000000"/>
                <w:sz w:val="14"/>
                <w:szCs w:val="14"/>
                <w:lang w:val="en-US"/>
              </w:rPr>
            </w:pPr>
            <w:r>
              <w:rPr>
                <w:rFonts w:eastAsia="Times New Roman" w:asciiTheme="majorHAnsi" w:hAnsiTheme="majorHAnsi" w:cstheme="majorHAnsi"/>
                <w:b/>
                <w:color w:val="000000"/>
                <w:sz w:val="14"/>
                <w:szCs w:val="14"/>
                <w:lang w:val="en-US"/>
              </w:rPr>
              <w:t>0,00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38.266.922</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19.133.461</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color w:val="000000"/>
                <w:sz w:val="14"/>
                <w:szCs w:val="14"/>
                <w:lang w:val="en-US"/>
              </w:rPr>
            </w:pPr>
            <w:r>
              <w:rPr>
                <w:rFonts w:eastAsia="Times New Roman" w:asciiTheme="majorHAnsi" w:hAnsiTheme="majorHAnsi" w:cstheme="majorHAnsi"/>
                <w:b/>
                <w:color w:val="000000"/>
                <w:sz w:val="14"/>
                <w:szCs w:val="14"/>
                <w:lang w:val="en-US"/>
              </w:rPr>
              <w:t>98,57</w:t>
            </w:r>
          </w:p>
        </w:tc>
      </w:tr>
      <w:tr>
        <w:tblPrEx>
          <w:tblLayout w:type="fixed"/>
          <w:tblCellMar>
            <w:top w:w="0" w:type="dxa"/>
            <w:left w:w="108" w:type="dxa"/>
            <w:bottom w:w="0" w:type="dxa"/>
            <w:right w:w="108" w:type="dxa"/>
          </w:tblCellMar>
        </w:tblPrEx>
        <w:trPr>
          <w:trHeight w:val="178" w:hRule="atLeast"/>
        </w:trPr>
        <w:tc>
          <w:tcPr>
            <w:tcW w:w="462"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8</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FRC</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400.000.000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4.000.000</w:t>
            </w:r>
          </w:p>
        </w:tc>
        <w:tc>
          <w:tcPr>
            <w:tcW w:w="801" w:type="dxa"/>
            <w:tcBorders>
              <w:top w:val="nil"/>
              <w:left w:val="nil"/>
              <w:bottom w:val="single" w:color="4F81BD" w:sz="4" w:space="0"/>
              <w:right w:val="nil"/>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100</w:t>
            </w:r>
          </w:p>
        </w:tc>
        <w:tc>
          <w:tcPr>
            <w:tcW w:w="1067" w:type="dxa"/>
            <w:tcBorders>
              <w:top w:val="nil"/>
              <w:left w:val="double" w:color="4F81BD" w:sz="6"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272.000.000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2.720.000</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color w:val="000000"/>
                <w:sz w:val="14"/>
                <w:szCs w:val="14"/>
                <w:lang w:val="en-US"/>
              </w:rPr>
            </w:pPr>
            <w:r>
              <w:rPr>
                <w:rFonts w:eastAsia="Times New Roman" w:asciiTheme="majorHAnsi" w:hAnsiTheme="majorHAnsi" w:cstheme="majorHAnsi"/>
                <w:b/>
                <w:color w:val="000000"/>
                <w:sz w:val="14"/>
                <w:szCs w:val="14"/>
                <w:lang w:val="en-US"/>
              </w:rPr>
              <w:t>68,00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0</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0</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color w:val="000000"/>
                <w:sz w:val="14"/>
                <w:szCs w:val="14"/>
                <w:lang w:val="en-US"/>
              </w:rPr>
            </w:pPr>
            <w:r>
              <w:rPr>
                <w:rFonts w:eastAsia="Times New Roman" w:asciiTheme="majorHAnsi" w:hAnsiTheme="majorHAnsi" w:cstheme="majorHAnsi"/>
                <w:b/>
                <w:color w:val="000000"/>
                <w:sz w:val="14"/>
                <w:szCs w:val="14"/>
                <w:lang w:val="en-US"/>
              </w:rPr>
              <w:t>0,00</w:t>
            </w:r>
          </w:p>
        </w:tc>
      </w:tr>
      <w:tr>
        <w:tblPrEx>
          <w:tblLayout w:type="fixed"/>
          <w:tblCellMar>
            <w:top w:w="0" w:type="dxa"/>
            <w:left w:w="108" w:type="dxa"/>
            <w:bottom w:w="0" w:type="dxa"/>
            <w:right w:w="108" w:type="dxa"/>
          </w:tblCellMar>
        </w:tblPrEx>
        <w:trPr>
          <w:trHeight w:val="187" w:hRule="atLeast"/>
        </w:trPr>
        <w:tc>
          <w:tcPr>
            <w:tcW w:w="1441" w:type="dxa"/>
            <w:gridSpan w:val="2"/>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b/>
                <w:bCs/>
                <w:color w:val="4F81BD"/>
                <w:sz w:val="16"/>
                <w:szCs w:val="16"/>
                <w:lang w:val="en-US"/>
              </w:rPr>
            </w:pPr>
            <w:r>
              <w:rPr>
                <w:rFonts w:eastAsia="Times New Roman" w:asciiTheme="majorHAnsi" w:hAnsiTheme="majorHAnsi" w:cstheme="majorHAnsi"/>
                <w:b/>
                <w:bCs/>
                <w:color w:val="4F81BD"/>
                <w:sz w:val="16"/>
                <w:szCs w:val="16"/>
                <w:lang w:val="en-US"/>
              </w:rPr>
              <w:t>TOTAL GENERAL</w:t>
            </w:r>
          </w:p>
          <w:p>
            <w:pPr>
              <w:spacing w:before="0" w:after="0" w:line="240" w:lineRule="auto"/>
              <w:rPr>
                <w:rFonts w:eastAsia="Times New Roman" w:asciiTheme="majorHAnsi" w:hAnsiTheme="majorHAnsi" w:cstheme="majorHAnsi"/>
                <w:b/>
                <w:bCs/>
                <w:color w:val="4F81BD"/>
                <w:sz w:val="16"/>
                <w:szCs w:val="16"/>
                <w:lang w:val="en-US"/>
              </w:rPr>
            </w:pPr>
            <w:r>
              <w:rPr>
                <w:rFonts w:eastAsia="Times New Roman" w:asciiTheme="majorHAnsi" w:hAnsiTheme="majorHAnsi" w:cstheme="majorHAnsi"/>
                <w:b/>
                <w:bCs/>
                <w:color w:val="4F81BD"/>
                <w:sz w:val="16"/>
                <w:szCs w:val="16"/>
                <w:lang w:val="en-US"/>
              </w:rPr>
              <w:t> </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
                <w:bCs/>
                <w:color w:val="4F81BD"/>
                <w:sz w:val="14"/>
                <w:szCs w:val="14"/>
                <w:lang w:val="en-US"/>
              </w:rPr>
            </w:pPr>
            <w:r>
              <w:rPr>
                <w:rFonts w:eastAsia="Times New Roman" w:asciiTheme="majorHAnsi" w:hAnsiTheme="majorHAnsi" w:cstheme="majorHAnsi"/>
                <w:b/>
                <w:bCs/>
                <w:color w:val="4F81BD"/>
                <w:sz w:val="14"/>
                <w:szCs w:val="14"/>
                <w:lang w:val="en-US"/>
              </w:rPr>
              <w:t>5.239.324.680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
                <w:bCs/>
                <w:color w:val="4F81BD"/>
                <w:sz w:val="14"/>
                <w:szCs w:val="14"/>
                <w:lang w:val="en-US"/>
              </w:rPr>
            </w:pPr>
            <w:r>
              <w:rPr>
                <w:rFonts w:eastAsia="Times New Roman" w:asciiTheme="majorHAnsi" w:hAnsiTheme="majorHAnsi" w:cstheme="majorHAnsi"/>
                <w:b/>
                <w:bCs/>
                <w:color w:val="4F81BD"/>
                <w:sz w:val="14"/>
                <w:szCs w:val="14"/>
                <w:lang w:val="en-US"/>
              </w:rPr>
              <w:t>563.756.585</w:t>
            </w:r>
          </w:p>
        </w:tc>
        <w:tc>
          <w:tcPr>
            <w:tcW w:w="801" w:type="dxa"/>
            <w:tcBorders>
              <w:top w:val="nil"/>
              <w:left w:val="nil"/>
              <w:bottom w:val="single" w:color="4F81BD" w:sz="4" w:space="0"/>
              <w:right w:val="nil"/>
            </w:tcBorders>
            <w:shd w:val="clear" w:color="auto" w:fill="auto"/>
          </w:tcPr>
          <w:p>
            <w:pPr>
              <w:spacing w:before="0" w:after="0" w:line="240" w:lineRule="auto"/>
              <w:jc w:val="right"/>
              <w:rPr>
                <w:rFonts w:eastAsia="Times New Roman" w:asciiTheme="majorHAnsi" w:hAnsiTheme="majorHAnsi" w:cstheme="majorHAnsi"/>
                <w:b/>
                <w:bCs/>
                <w:color w:val="4F81BD"/>
                <w:sz w:val="14"/>
                <w:szCs w:val="14"/>
                <w:lang w:val="en-US"/>
              </w:rPr>
            </w:pPr>
            <w:r>
              <w:rPr>
                <w:rFonts w:eastAsia="Times New Roman" w:asciiTheme="majorHAnsi" w:hAnsiTheme="majorHAnsi" w:cstheme="majorHAnsi"/>
                <w:b/>
                <w:bCs/>
                <w:color w:val="4F81BD"/>
                <w:sz w:val="14"/>
                <w:szCs w:val="14"/>
                <w:lang w:val="en-US"/>
              </w:rPr>
              <w:t> </w:t>
            </w:r>
          </w:p>
        </w:tc>
        <w:tc>
          <w:tcPr>
            <w:tcW w:w="1067" w:type="dxa"/>
            <w:tcBorders>
              <w:top w:val="nil"/>
              <w:left w:val="double" w:color="4F81BD" w:sz="6" w:space="0"/>
              <w:bottom w:val="double" w:color="4F81BD" w:sz="6"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
                <w:bCs/>
                <w:color w:val="4F81BD"/>
                <w:sz w:val="14"/>
                <w:szCs w:val="14"/>
                <w:lang w:val="en-US"/>
              </w:rPr>
            </w:pPr>
            <w:r>
              <w:rPr>
                <w:rFonts w:eastAsia="Times New Roman" w:asciiTheme="majorHAnsi" w:hAnsiTheme="majorHAnsi" w:cstheme="majorHAnsi"/>
                <w:b/>
                <w:bCs/>
                <w:color w:val="4F81BD"/>
                <w:sz w:val="14"/>
                <w:szCs w:val="14"/>
                <w:lang w:val="en-US"/>
              </w:rPr>
              <w:t>4.272.711.142</w:t>
            </w:r>
          </w:p>
        </w:tc>
        <w:tc>
          <w:tcPr>
            <w:tcW w:w="979" w:type="dxa"/>
            <w:tcBorders>
              <w:top w:val="nil"/>
              <w:left w:val="nil"/>
              <w:bottom w:val="double" w:color="4F81BD" w:sz="6"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
                <w:bCs/>
                <w:color w:val="4F81BD"/>
                <w:sz w:val="14"/>
                <w:szCs w:val="14"/>
                <w:lang w:val="en-US"/>
              </w:rPr>
            </w:pPr>
            <w:r>
              <w:rPr>
                <w:rFonts w:eastAsia="Times New Roman" w:asciiTheme="majorHAnsi" w:hAnsiTheme="majorHAnsi" w:cstheme="majorHAnsi"/>
                <w:b/>
                <w:bCs/>
                <w:color w:val="4F81BD"/>
                <w:sz w:val="14"/>
                <w:szCs w:val="14"/>
                <w:lang w:val="en-US"/>
              </w:rPr>
              <w:t>162.426.934</w:t>
            </w:r>
          </w:p>
        </w:tc>
        <w:tc>
          <w:tcPr>
            <w:tcW w:w="623" w:type="dxa"/>
            <w:tcBorders>
              <w:top w:val="nil"/>
              <w:left w:val="nil"/>
              <w:bottom w:val="double" w:color="4F81BD" w:sz="6"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bCs/>
                <w:color w:val="4F81BD"/>
                <w:sz w:val="14"/>
                <w:szCs w:val="14"/>
                <w:lang w:val="en-US"/>
              </w:rPr>
            </w:pPr>
            <w:r>
              <w:rPr>
                <w:rFonts w:eastAsia="Times New Roman" w:asciiTheme="majorHAnsi" w:hAnsiTheme="majorHAnsi" w:cstheme="majorHAnsi"/>
                <w:b/>
                <w:bCs/>
                <w:color w:val="4F81BD"/>
                <w:sz w:val="14"/>
                <w:szCs w:val="14"/>
                <w:lang w:val="en-US"/>
              </w:rPr>
              <w:t> </w:t>
            </w:r>
          </w:p>
        </w:tc>
        <w:tc>
          <w:tcPr>
            <w:tcW w:w="979" w:type="dxa"/>
            <w:tcBorders>
              <w:top w:val="nil"/>
              <w:left w:val="nil"/>
              <w:bottom w:val="double" w:color="4F81BD" w:sz="6"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
                <w:bCs/>
                <w:color w:val="4F81BD"/>
                <w:sz w:val="14"/>
                <w:szCs w:val="14"/>
                <w:lang w:val="en-US"/>
              </w:rPr>
            </w:pPr>
            <w:r>
              <w:rPr>
                <w:rFonts w:eastAsia="Times New Roman" w:asciiTheme="majorHAnsi" w:hAnsiTheme="majorHAnsi" w:cstheme="majorHAnsi"/>
                <w:b/>
                <w:bCs/>
                <w:color w:val="4F81BD"/>
                <w:sz w:val="14"/>
                <w:szCs w:val="14"/>
                <w:lang w:val="en-US"/>
              </w:rPr>
              <w:t>795.598.140</w:t>
            </w:r>
          </w:p>
        </w:tc>
        <w:tc>
          <w:tcPr>
            <w:tcW w:w="1067" w:type="dxa"/>
            <w:tcBorders>
              <w:top w:val="nil"/>
              <w:left w:val="nil"/>
              <w:bottom w:val="double" w:color="4F81BD" w:sz="6"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
                <w:bCs/>
                <w:color w:val="4F81BD"/>
                <w:sz w:val="14"/>
                <w:szCs w:val="14"/>
                <w:lang w:val="en-US"/>
              </w:rPr>
            </w:pPr>
            <w:r>
              <w:rPr>
                <w:rFonts w:eastAsia="Times New Roman" w:asciiTheme="majorHAnsi" w:hAnsiTheme="majorHAnsi" w:cstheme="majorHAnsi"/>
                <w:b/>
                <w:bCs/>
                <w:color w:val="4F81BD"/>
                <w:sz w:val="14"/>
                <w:szCs w:val="14"/>
                <w:lang w:val="en-US"/>
              </w:rPr>
              <w:t>390.898.792</w:t>
            </w:r>
          </w:p>
        </w:tc>
        <w:tc>
          <w:tcPr>
            <w:tcW w:w="623" w:type="dxa"/>
            <w:tcBorders>
              <w:top w:val="nil"/>
              <w:left w:val="nil"/>
              <w:bottom w:val="double" w:color="4F81BD" w:sz="6"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bCs/>
                <w:color w:val="4F81BD"/>
                <w:sz w:val="14"/>
                <w:szCs w:val="14"/>
                <w:lang w:val="en-US"/>
              </w:rPr>
            </w:pPr>
            <w:r>
              <w:rPr>
                <w:rFonts w:eastAsia="Times New Roman" w:asciiTheme="majorHAnsi" w:hAnsiTheme="majorHAnsi" w:cstheme="majorHAnsi"/>
                <w:b/>
                <w:bCs/>
                <w:color w:val="4F81BD"/>
                <w:sz w:val="14"/>
                <w:szCs w:val="14"/>
                <w:lang w:val="en-US"/>
              </w:rPr>
              <w:t> </w:t>
            </w:r>
          </w:p>
        </w:tc>
      </w:tr>
    </w:tbl>
    <w:p>
      <w:pPr>
        <w:spacing w:before="0" w:after="240"/>
        <w:jc w:val="both"/>
        <w:rPr>
          <w:rFonts w:asciiTheme="majorHAnsi" w:hAnsiTheme="majorHAnsi"/>
          <w:bCs/>
        </w:rPr>
      </w:pPr>
      <w:r>
        <w:rPr>
          <w:rFonts w:asciiTheme="majorHAnsi" w:hAnsiTheme="majorHAnsi"/>
          <w:bCs/>
          <w:lang w:val="en-US"/>
        </w:rPr>
        <w:t xml:space="preserve">Ministerul Finanțelor deține la data de 31.12.2020 la </w:t>
      </w:r>
      <w:r>
        <w:rPr>
          <w:rFonts w:asciiTheme="majorHAnsi" w:hAnsiTheme="majorHAnsi"/>
          <w:bCs/>
        </w:rPr>
        <w:t>societățile aflate în administrare</w:t>
      </w:r>
      <w:r>
        <w:rPr>
          <w:rFonts w:asciiTheme="majorHAnsi" w:hAnsiTheme="majorHAnsi"/>
          <w:bCs/>
          <w:lang w:val="en-US"/>
        </w:rPr>
        <w:t xml:space="preserve"> </w:t>
      </w:r>
      <w:r>
        <w:rPr>
          <w:rFonts w:asciiTheme="majorHAnsi" w:hAnsiTheme="majorHAnsi"/>
          <w:bCs/>
        </w:rPr>
        <w:t>sau</w:t>
      </w:r>
      <w:r>
        <w:rPr>
          <w:rFonts w:asciiTheme="majorHAnsi" w:hAnsiTheme="majorHAnsi"/>
          <w:bCs/>
          <w:lang w:val="en-US"/>
        </w:rPr>
        <w:t xml:space="preserve"> sub</w:t>
      </w:r>
      <w:r>
        <w:rPr>
          <w:rFonts w:asciiTheme="majorHAnsi" w:hAnsiTheme="majorHAnsi"/>
          <w:bCs/>
        </w:rPr>
        <w:t xml:space="preserve"> autoritate</w:t>
      </w:r>
      <w:r>
        <w:rPr>
          <w:rFonts w:asciiTheme="majorHAnsi" w:hAnsiTheme="majorHAnsi"/>
          <w:bCs/>
          <w:lang w:val="en-US"/>
        </w:rPr>
        <w:t xml:space="preserve"> </w:t>
      </w:r>
      <w:r>
        <w:rPr>
          <w:rFonts w:asciiTheme="majorHAnsi" w:hAnsiTheme="majorHAnsi"/>
          <w:b/>
          <w:bCs/>
          <w:lang w:val="en-US"/>
        </w:rPr>
        <w:t>participații directe</w:t>
      </w:r>
      <w:r>
        <w:rPr>
          <w:rFonts w:asciiTheme="majorHAnsi" w:hAnsiTheme="majorHAnsi"/>
          <w:bCs/>
          <w:lang w:val="en-US"/>
        </w:rPr>
        <w:t xml:space="preserve"> în sumă totală de </w:t>
      </w:r>
      <w:r>
        <w:rPr>
          <w:rFonts w:asciiTheme="majorHAnsi" w:hAnsiTheme="majorHAnsi"/>
          <w:b/>
          <w:bCs/>
          <w:lang w:val="en-US"/>
        </w:rPr>
        <w:t>4.272.711 mii lei</w:t>
      </w:r>
      <w:r>
        <w:rPr>
          <w:rFonts w:asciiTheme="majorHAnsi" w:hAnsiTheme="majorHAnsi"/>
          <w:bCs/>
          <w:lang w:val="en-US"/>
        </w:rPr>
        <w:t xml:space="preserve"> și </w:t>
      </w:r>
      <w:r>
        <w:rPr>
          <w:rFonts w:asciiTheme="majorHAnsi" w:hAnsiTheme="majorHAnsi"/>
          <w:b/>
          <w:bCs/>
          <w:lang w:val="en-US"/>
        </w:rPr>
        <w:t>participații indirecte</w:t>
      </w:r>
      <w:r>
        <w:rPr>
          <w:rStyle w:val="33"/>
          <w:rFonts w:asciiTheme="majorHAnsi" w:hAnsiTheme="majorHAnsi"/>
          <w:b/>
          <w:bCs/>
          <w:lang w:val="en-US"/>
        </w:rPr>
        <w:footnoteReference w:id="9"/>
      </w:r>
      <w:r>
        <w:rPr>
          <w:rFonts w:asciiTheme="majorHAnsi" w:hAnsiTheme="majorHAnsi"/>
          <w:bCs/>
          <w:lang w:val="en-US"/>
        </w:rPr>
        <w:t xml:space="preserve"> în sumă totală de </w:t>
      </w:r>
      <w:r>
        <w:rPr>
          <w:rFonts w:asciiTheme="majorHAnsi" w:hAnsiTheme="majorHAnsi"/>
          <w:b/>
          <w:bCs/>
          <w:lang w:val="en-US"/>
        </w:rPr>
        <w:t>795.598 mii lei</w:t>
      </w:r>
      <w:r>
        <w:rPr>
          <w:rFonts w:asciiTheme="majorHAnsi" w:hAnsiTheme="majorHAnsi"/>
          <w:bCs/>
          <w:lang w:val="en-US"/>
        </w:rPr>
        <w:t xml:space="preserve"> prin </w:t>
      </w:r>
      <w:r>
        <w:rPr>
          <w:rFonts w:asciiTheme="majorHAnsi" w:hAnsiTheme="majorHAnsi"/>
          <w:bCs/>
        </w:rPr>
        <w:t>societăți</w:t>
      </w:r>
      <w:r>
        <w:rPr>
          <w:rFonts w:asciiTheme="majorHAnsi" w:hAnsiTheme="majorHAnsi"/>
          <w:bCs/>
          <w:lang w:val="en-US"/>
        </w:rPr>
        <w:t>le la care Ministerul Finanțelor deține participații directe</w:t>
      </w:r>
      <w:r>
        <w:rPr>
          <w:rFonts w:asciiTheme="majorHAnsi" w:hAnsiTheme="majorHAnsi"/>
          <w:b/>
          <w:bCs/>
          <w:lang w:val="en-US"/>
        </w:rPr>
        <w:t>.</w:t>
      </w:r>
    </w:p>
    <w:p>
      <w:pPr>
        <w:pStyle w:val="66"/>
        <w:spacing w:beforeAutospacing="1" w:after="100" w:afterAutospacing="1" w:line="240" w:lineRule="auto"/>
        <w:ind w:left="0"/>
        <w:jc w:val="both"/>
        <w:outlineLvl w:val="0"/>
        <w:rPr>
          <w:rFonts w:asciiTheme="majorHAnsi" w:hAnsiTheme="majorHAnsi"/>
          <w:b/>
          <w:bCs/>
          <w:color w:val="0F6FC6" w:themeColor="accent1"/>
          <w:sz w:val="36"/>
          <w:szCs w:val="36"/>
          <w14:textFill>
            <w14:solidFill>
              <w14:schemeClr w14:val="accent1"/>
            </w14:solidFill>
          </w14:textFill>
        </w:rPr>
      </w:pPr>
      <w:bookmarkStart w:id="14" w:name="_Toc76365825"/>
      <w:r>
        <w:rPr>
          <w:rFonts w:asciiTheme="majorHAnsi" w:hAnsiTheme="majorHAnsi"/>
          <w:b/>
          <w:bCs/>
          <w:color w:val="0F6FC6" w:themeColor="accent1"/>
          <w:sz w:val="36"/>
          <w:szCs w:val="36"/>
          <w14:textFill>
            <w14:solidFill>
              <w14:schemeClr w14:val="accent1"/>
            </w14:solidFill>
          </w14:textFill>
        </w:rPr>
        <w:t>Capitolul 2 - Modificări strategice</w:t>
      </w:r>
      <w:bookmarkEnd w:id="14"/>
    </w:p>
    <w:p>
      <w:pPr>
        <w:spacing w:before="0" w:after="240"/>
        <w:jc w:val="both"/>
        <w:rPr>
          <w:rFonts w:hint="default" w:hAnsi="Arial" w:cs="Arial" w:asciiTheme="majorAscii"/>
          <w:bCs/>
          <w:sz w:val="20"/>
          <w:szCs w:val="20"/>
        </w:rPr>
      </w:pPr>
      <w:r>
        <w:rPr>
          <w:rFonts w:hint="default" w:hAnsi="Arial" w:cs="Arial" w:asciiTheme="majorAscii"/>
          <w:bCs/>
        </w:rPr>
        <w:t xml:space="preserve">În anul 2020, Ministerul Finanțelor prin SAPS a desfăşurat, în principal, o activitate de administrare a participaţiilor statului care a avut în vedere creşterea performanţelor economice și  financiare  ale societăților aflate în portofoliul său. </w:t>
      </w:r>
      <w:r>
        <w:rPr>
          <w:rFonts w:hint="default" w:hAnsi="Arial" w:cs="Arial" w:asciiTheme="majorAscii"/>
          <w:color w:val="000000"/>
          <w:sz w:val="20"/>
          <w:szCs w:val="20"/>
        </w:rPr>
        <w:t>In  contextul anului 2020 în condițiile adverse determinate de pandemia COVID-19, societățile din portofoliul MF au depus eforturi semnificative pentru atingerea obiectivelor anuale, în condiții de performanță financiară. Îndeplinirea cu succes a acestor obiective a necesitat revizuiri majore ale fluxurilor operaționale, dezvoltări ale sistemelor informatice, investiții, digitalizare, creșterea eforturilor in ceea ce priveste activitățile de suport, precum și  pregatirea și specializărea personalului direct implicat.</w:t>
      </w:r>
    </w:p>
    <w:p>
      <w:pPr>
        <w:spacing w:before="0" w:after="240"/>
        <w:jc w:val="both"/>
        <w:rPr>
          <w:rFonts w:asciiTheme="majorHAnsi" w:hAnsiTheme="majorHAnsi"/>
          <w:bCs/>
          <w:lang w:val="en-US"/>
        </w:rPr>
      </w:pPr>
      <w:r>
        <w:rPr>
          <w:rFonts w:asciiTheme="majorHAnsi" w:hAnsiTheme="majorHAnsi"/>
          <w:bCs/>
        </w:rPr>
        <w:t xml:space="preserve">Pe parcursul anului 2020 au fost implementate următoarele </w:t>
      </w:r>
      <w:r>
        <w:rPr>
          <w:rFonts w:asciiTheme="majorHAnsi" w:hAnsiTheme="majorHAnsi"/>
          <w:b/>
          <w:bCs/>
        </w:rPr>
        <w:t>modificări strategice</w:t>
      </w:r>
      <w:r>
        <w:t xml:space="preserve"> </w:t>
      </w:r>
      <w:r>
        <w:rPr>
          <w:rFonts w:asciiTheme="majorHAnsi" w:hAnsiTheme="majorHAnsi"/>
          <w:bCs/>
        </w:rPr>
        <w:t xml:space="preserve">în funcţionarea </w:t>
      </w:r>
      <w:r>
        <w:rPr>
          <w:rFonts w:asciiTheme="majorHAnsi" w:hAnsiTheme="majorHAnsi" w:cstheme="majorHAnsi"/>
          <w:bCs/>
        </w:rPr>
        <w:t>societăților</w:t>
      </w:r>
      <w:r>
        <w:rPr>
          <w:rFonts w:asciiTheme="majorHAnsi" w:hAnsiTheme="majorHAnsi"/>
          <w:bCs/>
        </w:rPr>
        <w:t xml:space="preserve"> aflate în administrarea sau sub autoritatea Ministerului Finanțelor</w:t>
      </w:r>
      <w:r>
        <w:rPr>
          <w:rFonts w:asciiTheme="majorHAnsi" w:hAnsiTheme="majorHAnsi"/>
          <w:bCs/>
          <w:lang w:val="en-US"/>
        </w:rPr>
        <w:t>:</w:t>
      </w:r>
    </w:p>
    <w:p>
      <w:pPr>
        <w:pStyle w:val="66"/>
        <w:numPr>
          <w:ilvl w:val="0"/>
          <w:numId w:val="15"/>
        </w:numPr>
        <w:spacing w:before="0" w:after="240"/>
        <w:ind w:left="270" w:hanging="270"/>
        <w:jc w:val="both"/>
        <w:rPr>
          <w:rFonts w:asciiTheme="majorHAnsi" w:hAnsiTheme="majorHAnsi"/>
          <w:bCs/>
          <w:lang w:val="en-US"/>
        </w:rPr>
      </w:pPr>
      <w:r>
        <w:rPr>
          <w:rFonts w:asciiTheme="majorHAnsi" w:hAnsiTheme="majorHAnsi"/>
          <w:b/>
          <w:bCs/>
          <w:lang w:val="en-US"/>
        </w:rPr>
        <w:t>În cadrul grupului FNGCIMM</w:t>
      </w:r>
      <w:r>
        <w:rPr>
          <w:rStyle w:val="33"/>
          <w:rFonts w:asciiTheme="majorHAnsi" w:hAnsiTheme="majorHAnsi"/>
          <w:b/>
          <w:bCs/>
          <w:lang w:val="en-US"/>
        </w:rPr>
        <w:footnoteReference w:id="10"/>
      </w:r>
      <w:r>
        <w:rPr>
          <w:rFonts w:asciiTheme="majorHAnsi" w:hAnsiTheme="majorHAnsi"/>
          <w:b/>
          <w:bCs/>
          <w:lang w:val="en-US"/>
        </w:rPr>
        <w:t xml:space="preserve"> </w:t>
      </w:r>
    </w:p>
    <w:p>
      <w:pPr>
        <w:pStyle w:val="66"/>
        <w:spacing w:before="0" w:after="240"/>
        <w:ind w:left="270"/>
        <w:jc w:val="both"/>
        <w:rPr>
          <w:rFonts w:asciiTheme="majorHAnsi" w:hAnsiTheme="majorHAnsi"/>
          <w:b/>
          <w:bCs/>
          <w:lang w:val="en-US"/>
        </w:rPr>
      </w:pPr>
    </w:p>
    <w:p>
      <w:pPr>
        <w:pStyle w:val="66"/>
        <w:spacing w:before="0" w:after="240"/>
        <w:ind w:left="270"/>
        <w:jc w:val="both"/>
        <w:rPr>
          <w:rFonts w:hint="default" w:ascii="Calibri Light" w:hAnsi="Calibri Light" w:cs="Calibri Light"/>
          <w:bCs/>
          <w:sz w:val="20"/>
          <w:szCs w:val="20"/>
          <w:lang w:val="en-US"/>
        </w:rPr>
      </w:pPr>
      <w:r>
        <w:rPr>
          <w:rFonts w:asciiTheme="majorHAnsi" w:hAnsiTheme="majorHAnsi"/>
          <w:bCs/>
          <w:lang w:val="en-US"/>
        </w:rPr>
        <w:t xml:space="preserve">Din rațiuni de eficiență economică prin Hotărârea nr. 137/08.07.2020 a Adunării Generale a Acţionarilor FNGCIMM SA IFN în etapa 1 a fost prevăzută </w:t>
      </w:r>
      <w:r>
        <w:rPr>
          <w:rFonts w:asciiTheme="majorHAnsi" w:hAnsiTheme="majorHAnsi"/>
          <w:b/>
          <w:bCs/>
          <w:lang w:val="en-US"/>
        </w:rPr>
        <w:t>fuziunea prin absorbţie</w:t>
      </w:r>
      <w:r>
        <w:rPr>
          <w:rFonts w:asciiTheme="majorHAnsi" w:hAnsiTheme="majorHAnsi"/>
          <w:bCs/>
          <w:lang w:val="en-US"/>
        </w:rPr>
        <w:t xml:space="preserve"> a Fondului local de garantare Craiova - Filiala F.N.G.C.I.M.M. – I.F.N. și Fondului local de garantare Sfântu Gheorghe - Filiala F.N.G.C.I.M.M. – I.F.N. ca societăți absorbite, cu Fondul Național de Garantare a Creditelor pentru Întreprinderi Mici și Mijlocii – I.F.N.- societate absorbantă. Prin soluţionarea favorabilă a dosarului nr. 32865/3/2020</w:t>
      </w:r>
      <w:r>
        <w:rPr>
          <w:rStyle w:val="33"/>
          <w:rFonts w:asciiTheme="majorHAnsi" w:hAnsiTheme="majorHAnsi"/>
          <w:bCs/>
          <w:lang w:val="en-US"/>
        </w:rPr>
        <w:footnoteReference w:id="11"/>
      </w:r>
      <w:r>
        <w:rPr>
          <w:rFonts w:asciiTheme="majorHAnsi" w:hAnsiTheme="majorHAnsi"/>
          <w:bCs/>
          <w:lang w:val="en-US"/>
        </w:rPr>
        <w:t xml:space="preserve"> de către Tribunalul Bucureşti, </w:t>
      </w:r>
      <w:r>
        <w:rPr>
          <w:rFonts w:asciiTheme="majorHAnsi" w:hAnsiTheme="majorHAnsi"/>
          <w:b/>
          <w:bCs/>
          <w:lang w:val="en-US"/>
        </w:rPr>
        <w:t>cu data de 31.12.2020 a fost finalizată absorbția prin fuziune de către F.N.G.C.I.M.M. – I.F.N. S.A. a celor 2 filiale</w:t>
      </w:r>
      <w:r>
        <w:rPr>
          <w:rFonts w:asciiTheme="majorHAnsi" w:hAnsiTheme="majorHAnsi"/>
          <w:bCs/>
          <w:lang w:val="en-US"/>
        </w:rPr>
        <w:t xml:space="preserve"> care ulterior au fost radiate de la Oficiul Național al Registrului Comerțului. </w:t>
      </w:r>
      <w:r>
        <w:rPr>
          <w:rFonts w:hint="default" w:ascii="Calibri Light" w:hAnsi="Calibri Light" w:cs="Calibri Light"/>
          <w:color w:val="000000"/>
          <w:sz w:val="20"/>
          <w:szCs w:val="20"/>
        </w:rPr>
        <w:t>Data de referință a fuziunii prin absorbție a FLG Focsani SA va fi aprobată de către actionarul FNGCIMM într-o ședință ulterioară a Adunării generale a actionarilor, după finalizarea operațiunii de răscumpărare a acțiunilor deținute de acționarul minoritar persoana fizică.Procesul de fuziune se află în curs de implementare, un prim pas se referă la achizitia participatiilor persoanelor fizice -actionari ai Filialei Focsani avand în vedere faptul ca la capitalul FNGCIMM IFN SA pot participa doar institutii publice sau societăti financiare</w:t>
      </w:r>
    </w:p>
    <w:p>
      <w:pPr>
        <w:pStyle w:val="66"/>
        <w:spacing w:before="0" w:after="240"/>
        <w:ind w:left="270"/>
        <w:jc w:val="left"/>
        <w:rPr>
          <w:rFonts w:hint="default" w:ascii="Calibri Light" w:hAnsi="Calibri Light" w:cs="Calibri Light"/>
          <w:bCs/>
          <w:sz w:val="20"/>
          <w:szCs w:val="20"/>
          <w:lang w:val="en-US"/>
        </w:rPr>
      </w:pPr>
    </w:p>
    <w:p>
      <w:pPr>
        <w:spacing w:before="0" w:after="240"/>
        <w:ind w:left="270"/>
        <w:jc w:val="both"/>
        <w:rPr>
          <w:rFonts w:asciiTheme="majorHAnsi" w:hAnsiTheme="majorHAnsi"/>
          <w:bCs/>
          <w:lang w:val="en-US"/>
        </w:rPr>
      </w:pPr>
      <w:r>
        <w:rPr>
          <w:rFonts w:asciiTheme="majorHAnsi" w:hAnsiTheme="majorHAnsi"/>
          <w:bCs/>
          <w:lang w:val="en-US"/>
        </w:rPr>
        <w:t xml:space="preserve">Valoarea participațiilor deţinute de MF prin FNGCIMM în capitalul social al filialelor </w:t>
      </w:r>
      <w:r>
        <w:rPr>
          <w:rFonts w:asciiTheme="majorHAnsi" w:hAnsiTheme="majorHAnsi"/>
          <w:bCs/>
        </w:rPr>
        <w:t xml:space="preserve">sale </w:t>
      </w:r>
      <w:r>
        <w:rPr>
          <w:rFonts w:asciiTheme="majorHAnsi" w:hAnsiTheme="majorHAnsi"/>
          <w:bCs/>
          <w:lang w:val="en-US"/>
        </w:rPr>
        <w:t>la 31.12.2020 este:</w:t>
      </w:r>
    </w:p>
    <w:tbl>
      <w:tblPr>
        <w:tblStyle w:val="36"/>
        <w:tblW w:w="8820" w:type="dxa"/>
        <w:tblInd w:w="380" w:type="dxa"/>
        <w:tblLayout w:type="fixed"/>
        <w:tblCellMar>
          <w:top w:w="0" w:type="dxa"/>
          <w:left w:w="108" w:type="dxa"/>
          <w:bottom w:w="0" w:type="dxa"/>
          <w:right w:w="108" w:type="dxa"/>
        </w:tblCellMar>
      </w:tblPr>
      <w:tblGrid>
        <w:gridCol w:w="3557"/>
        <w:gridCol w:w="1221"/>
        <w:gridCol w:w="1307"/>
        <w:gridCol w:w="1489"/>
        <w:gridCol w:w="1246"/>
      </w:tblGrid>
      <w:tr>
        <w:tblPrEx>
          <w:tblLayout w:type="fixed"/>
          <w:tblCellMar>
            <w:top w:w="0" w:type="dxa"/>
            <w:left w:w="108" w:type="dxa"/>
            <w:bottom w:w="0" w:type="dxa"/>
            <w:right w:w="108" w:type="dxa"/>
          </w:tblCellMar>
        </w:tblPrEx>
        <w:trPr>
          <w:trHeight w:val="328" w:hRule="atLeast"/>
        </w:trPr>
        <w:tc>
          <w:tcPr>
            <w:tcW w:w="3557" w:type="dxa"/>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ind w:left="270"/>
              <w:rPr>
                <w:rFonts w:ascii="Calibri Light" w:hAnsi="Calibri Light" w:eastAsia="Times New Roman" w:cs="Calibri Light"/>
                <w:bCs/>
                <w:color w:val="4F81BD"/>
                <w:sz w:val="16"/>
                <w:szCs w:val="16"/>
                <w:lang w:val="en-US"/>
              </w:rPr>
            </w:pPr>
            <w:r>
              <w:rPr>
                <w:rFonts w:ascii="Calibri Light" w:hAnsi="Calibri Light" w:eastAsia="Times New Roman" w:cs="Calibri Light"/>
                <w:bCs/>
                <w:color w:val="4F81BD"/>
                <w:sz w:val="16"/>
                <w:szCs w:val="16"/>
              </w:rPr>
              <w:t>Entitatea</w:t>
            </w:r>
          </w:p>
        </w:tc>
        <w:tc>
          <w:tcPr>
            <w:tcW w:w="1221" w:type="dxa"/>
            <w:tcBorders>
              <w:top w:val="single" w:color="4F81BD" w:sz="4" w:space="0"/>
              <w:left w:val="nil"/>
              <w:bottom w:val="single" w:color="4F81BD" w:sz="4" w:space="0"/>
              <w:right w:val="single" w:color="FFFFFF" w:sz="4" w:space="0"/>
            </w:tcBorders>
            <w:shd w:val="clear" w:color="auto" w:fill="auto"/>
          </w:tcPr>
          <w:p>
            <w:pPr>
              <w:spacing w:before="0" w:after="0" w:line="240" w:lineRule="auto"/>
              <w:ind w:left="270"/>
              <w:jc w:val="center"/>
              <w:rPr>
                <w:rFonts w:ascii="Calibri Light" w:hAnsi="Calibri Light" w:eastAsia="Times New Roman" w:cs="Calibri Light"/>
                <w:bCs/>
                <w:color w:val="4F81BD"/>
                <w:sz w:val="16"/>
                <w:szCs w:val="16"/>
                <w:lang w:val="en-US"/>
              </w:rPr>
            </w:pPr>
            <w:r>
              <w:rPr>
                <w:rFonts w:ascii="Calibri Light" w:hAnsi="Calibri Light" w:eastAsia="Times New Roman" w:cs="Calibri Light"/>
                <w:bCs/>
                <w:color w:val="4F81BD"/>
                <w:sz w:val="16"/>
                <w:szCs w:val="16"/>
              </w:rPr>
              <w:t>Procent deținere FNGCIMM  la 31.12.2020</w:t>
            </w:r>
          </w:p>
        </w:tc>
        <w:tc>
          <w:tcPr>
            <w:tcW w:w="1307" w:type="dxa"/>
            <w:tcBorders>
              <w:top w:val="single" w:color="4F81BD" w:sz="4" w:space="0"/>
              <w:left w:val="nil"/>
              <w:bottom w:val="single" w:color="4F81BD" w:sz="4" w:space="0"/>
              <w:right w:val="single" w:color="FFFFFF" w:sz="4" w:space="0"/>
            </w:tcBorders>
            <w:shd w:val="clear" w:color="auto" w:fill="auto"/>
          </w:tcPr>
          <w:p>
            <w:pPr>
              <w:spacing w:before="0" w:after="0" w:line="240" w:lineRule="auto"/>
              <w:ind w:left="270"/>
              <w:jc w:val="center"/>
              <w:rPr>
                <w:rFonts w:ascii="Calibri Light" w:hAnsi="Calibri Light" w:eastAsia="Times New Roman" w:cs="Calibri Light"/>
                <w:bCs/>
                <w:color w:val="4F81BD"/>
                <w:sz w:val="16"/>
                <w:szCs w:val="16"/>
                <w:lang w:val="en-US"/>
              </w:rPr>
            </w:pPr>
            <w:r>
              <w:rPr>
                <w:rFonts w:ascii="Calibri Light" w:hAnsi="Calibri Light" w:eastAsia="Times New Roman" w:cs="Calibri Light"/>
                <w:bCs/>
                <w:color w:val="4F81BD"/>
                <w:sz w:val="16"/>
                <w:szCs w:val="16"/>
              </w:rPr>
              <w:t>31.12.2019 (lei)</w:t>
            </w:r>
          </w:p>
        </w:tc>
        <w:tc>
          <w:tcPr>
            <w:tcW w:w="1489" w:type="dxa"/>
            <w:tcBorders>
              <w:top w:val="single" w:color="4F81BD" w:sz="4" w:space="0"/>
              <w:left w:val="nil"/>
              <w:bottom w:val="single" w:color="4F81BD" w:sz="4" w:space="0"/>
              <w:right w:val="single" w:color="FFFFFF" w:sz="4" w:space="0"/>
            </w:tcBorders>
            <w:shd w:val="clear" w:color="auto" w:fill="auto"/>
          </w:tcPr>
          <w:p>
            <w:pPr>
              <w:spacing w:before="0" w:after="0" w:line="240" w:lineRule="auto"/>
              <w:ind w:left="270"/>
              <w:jc w:val="center"/>
              <w:rPr>
                <w:rFonts w:ascii="Calibri Light" w:hAnsi="Calibri Light" w:eastAsia="Times New Roman" w:cs="Calibri Light"/>
                <w:bCs/>
                <w:color w:val="4F81BD"/>
                <w:sz w:val="16"/>
                <w:szCs w:val="16"/>
                <w:lang w:val="en-US"/>
              </w:rPr>
            </w:pPr>
            <w:r>
              <w:rPr>
                <w:rFonts w:ascii="Calibri Light" w:hAnsi="Calibri Light" w:eastAsia="Times New Roman" w:cs="Calibri Light"/>
                <w:bCs/>
                <w:color w:val="4F81BD"/>
                <w:sz w:val="16"/>
                <w:szCs w:val="16"/>
              </w:rPr>
              <w:t>31.12.2020 (lei)</w:t>
            </w:r>
          </w:p>
        </w:tc>
        <w:tc>
          <w:tcPr>
            <w:tcW w:w="1246" w:type="dxa"/>
            <w:tcBorders>
              <w:top w:val="single" w:color="4F81BD" w:sz="4" w:space="0"/>
              <w:left w:val="nil"/>
              <w:bottom w:val="single" w:color="4F81BD" w:sz="4" w:space="0"/>
              <w:right w:val="single" w:color="FFFFFF" w:sz="4" w:space="0"/>
            </w:tcBorders>
            <w:shd w:val="clear" w:color="auto" w:fill="auto"/>
          </w:tcPr>
          <w:p>
            <w:pPr>
              <w:spacing w:before="0" w:after="0" w:line="240" w:lineRule="auto"/>
              <w:ind w:left="270"/>
              <w:jc w:val="center"/>
              <w:rPr>
                <w:rFonts w:ascii="Calibri Light" w:hAnsi="Calibri Light" w:eastAsia="Times New Roman" w:cs="Calibri Light"/>
                <w:bCs/>
                <w:color w:val="4F81BD"/>
                <w:sz w:val="16"/>
                <w:szCs w:val="16"/>
                <w:lang w:val="en-US"/>
              </w:rPr>
            </w:pPr>
            <w:r>
              <w:rPr>
                <w:rFonts w:ascii="Calibri Light" w:hAnsi="Calibri Light" w:eastAsia="Times New Roman" w:cs="Calibri Light"/>
                <w:bCs/>
                <w:color w:val="4F81BD"/>
                <w:sz w:val="16"/>
                <w:szCs w:val="16"/>
              </w:rPr>
              <w:t>Impact fuziune (lei)</w:t>
            </w:r>
          </w:p>
        </w:tc>
      </w:tr>
      <w:tr>
        <w:tblPrEx>
          <w:tblLayout w:type="fixed"/>
          <w:tblCellMar>
            <w:top w:w="0" w:type="dxa"/>
            <w:left w:w="108" w:type="dxa"/>
            <w:bottom w:w="0" w:type="dxa"/>
            <w:right w:w="108" w:type="dxa"/>
          </w:tblCellMar>
        </w:tblPrEx>
        <w:trPr>
          <w:trHeight w:val="219" w:hRule="atLeast"/>
        </w:trPr>
        <w:tc>
          <w:tcPr>
            <w:tcW w:w="3557" w:type="dxa"/>
            <w:tcBorders>
              <w:top w:val="nil"/>
              <w:left w:val="single" w:color="FFFFFF" w:sz="4" w:space="0"/>
              <w:bottom w:val="single" w:color="4F81BD" w:sz="4" w:space="0"/>
              <w:right w:val="single" w:color="FFFFFF" w:sz="4" w:space="0"/>
            </w:tcBorders>
            <w:shd w:val="clear" w:color="auto" w:fill="auto"/>
            <w:vAlign w:val="center"/>
          </w:tcPr>
          <w:p>
            <w:pPr>
              <w:spacing w:before="0" w:after="0" w:line="240" w:lineRule="auto"/>
              <w:rPr>
                <w:rFonts w:ascii="Calibri Light" w:hAnsi="Calibri Light" w:eastAsia="Times New Roman" w:cs="Calibri Light"/>
                <w:color w:val="000000"/>
                <w:sz w:val="16"/>
                <w:szCs w:val="16"/>
                <w:lang w:val="en-US"/>
              </w:rPr>
            </w:pPr>
            <w:r>
              <w:rPr>
                <w:rFonts w:ascii="Calibri Light" w:hAnsi="Calibri Light" w:eastAsia="Times New Roman" w:cs="Calibri Light"/>
                <w:color w:val="000000"/>
                <w:sz w:val="16"/>
                <w:szCs w:val="16"/>
              </w:rPr>
              <w:t>Fondul Local de Garantare Craiova SA - IFN</w:t>
            </w:r>
          </w:p>
        </w:tc>
        <w:tc>
          <w:tcPr>
            <w:tcW w:w="1221" w:type="dxa"/>
            <w:tcBorders>
              <w:top w:val="nil"/>
              <w:left w:val="nil"/>
              <w:bottom w:val="single" w:color="4F81BD" w:sz="4" w:space="0"/>
              <w:right w:val="single" w:color="FFFFFF" w:sz="4" w:space="0"/>
            </w:tcBorders>
            <w:shd w:val="clear" w:color="auto" w:fill="auto"/>
            <w:vAlign w:val="center"/>
          </w:tcPr>
          <w:p>
            <w:pPr>
              <w:spacing w:before="0" w:after="0" w:line="240" w:lineRule="auto"/>
              <w:ind w:left="270"/>
              <w:jc w:val="center"/>
              <w:rPr>
                <w:rFonts w:ascii="Calibri Light" w:hAnsi="Calibri Light" w:eastAsia="Times New Roman" w:cs="Calibri Light"/>
                <w:color w:val="000000"/>
                <w:sz w:val="16"/>
                <w:szCs w:val="16"/>
                <w:lang w:val="en-US"/>
              </w:rPr>
            </w:pPr>
            <w:r>
              <w:rPr>
                <w:rFonts w:ascii="Calibri Light" w:hAnsi="Calibri Light" w:eastAsia="Times New Roman" w:cs="Calibri Light"/>
                <w:color w:val="000000"/>
                <w:sz w:val="16"/>
                <w:szCs w:val="16"/>
              </w:rPr>
              <w:t>0.00%</w:t>
            </w:r>
          </w:p>
        </w:tc>
        <w:tc>
          <w:tcPr>
            <w:tcW w:w="1307" w:type="dxa"/>
            <w:tcBorders>
              <w:top w:val="nil"/>
              <w:left w:val="nil"/>
              <w:bottom w:val="single" w:color="4F81BD" w:sz="4" w:space="0"/>
              <w:right w:val="single" w:color="FFFFFF" w:sz="4" w:space="0"/>
            </w:tcBorders>
            <w:shd w:val="clear" w:color="auto" w:fill="auto"/>
            <w:vAlign w:val="center"/>
          </w:tcPr>
          <w:p>
            <w:pPr>
              <w:spacing w:before="0" w:after="0" w:line="240" w:lineRule="auto"/>
              <w:ind w:left="270"/>
              <w:jc w:val="right"/>
              <w:rPr>
                <w:rFonts w:ascii="Calibri Light" w:hAnsi="Calibri Light" w:eastAsia="Times New Roman" w:cs="Calibri Light"/>
                <w:color w:val="000000"/>
                <w:sz w:val="16"/>
                <w:szCs w:val="16"/>
                <w:lang w:val="en-US"/>
              </w:rPr>
            </w:pPr>
            <w:r>
              <w:rPr>
                <w:rFonts w:ascii="Calibri Light" w:hAnsi="Calibri Light" w:eastAsia="Times New Roman" w:cs="Calibri Light"/>
                <w:color w:val="000000"/>
                <w:sz w:val="16"/>
                <w:szCs w:val="16"/>
              </w:rPr>
              <w:t>5.868.500</w:t>
            </w:r>
          </w:p>
        </w:tc>
        <w:tc>
          <w:tcPr>
            <w:tcW w:w="1489" w:type="dxa"/>
            <w:tcBorders>
              <w:top w:val="nil"/>
              <w:left w:val="nil"/>
              <w:bottom w:val="single" w:color="4F81BD" w:sz="4" w:space="0"/>
              <w:right w:val="single" w:color="FFFFFF" w:sz="4" w:space="0"/>
            </w:tcBorders>
            <w:shd w:val="clear" w:color="auto" w:fill="auto"/>
            <w:vAlign w:val="center"/>
          </w:tcPr>
          <w:p>
            <w:pPr>
              <w:spacing w:before="0" w:after="0" w:line="240" w:lineRule="auto"/>
              <w:ind w:left="270"/>
              <w:jc w:val="right"/>
              <w:rPr>
                <w:rFonts w:ascii="Calibri Light" w:hAnsi="Calibri Light" w:eastAsia="Times New Roman" w:cs="Calibri Light"/>
                <w:color w:val="000000"/>
                <w:sz w:val="16"/>
                <w:szCs w:val="16"/>
                <w:lang w:val="en-US"/>
              </w:rPr>
            </w:pPr>
            <w:r>
              <w:rPr>
                <w:rFonts w:ascii="Calibri Light" w:hAnsi="Calibri Light" w:eastAsia="Times New Roman" w:cs="Calibri Light"/>
                <w:color w:val="000000"/>
                <w:sz w:val="16"/>
                <w:szCs w:val="16"/>
              </w:rPr>
              <w:t>0</w:t>
            </w:r>
          </w:p>
        </w:tc>
        <w:tc>
          <w:tcPr>
            <w:tcW w:w="1246" w:type="dxa"/>
            <w:tcBorders>
              <w:top w:val="nil"/>
              <w:left w:val="nil"/>
              <w:bottom w:val="single" w:color="4F81BD" w:sz="4" w:space="0"/>
              <w:right w:val="single" w:color="FFFFFF" w:sz="4" w:space="0"/>
            </w:tcBorders>
            <w:shd w:val="clear" w:color="auto" w:fill="auto"/>
            <w:vAlign w:val="center"/>
          </w:tcPr>
          <w:p>
            <w:pPr>
              <w:spacing w:before="0" w:after="0" w:line="240" w:lineRule="auto"/>
              <w:ind w:left="270"/>
              <w:jc w:val="right"/>
              <w:rPr>
                <w:rFonts w:ascii="Calibri Light" w:hAnsi="Calibri Light" w:eastAsia="Times New Roman" w:cs="Calibri Light"/>
                <w:color w:val="000000"/>
                <w:sz w:val="16"/>
                <w:szCs w:val="16"/>
                <w:lang w:val="en-US"/>
              </w:rPr>
            </w:pPr>
            <w:r>
              <w:rPr>
                <w:rFonts w:ascii="Calibri Light" w:hAnsi="Calibri Light" w:eastAsia="Times New Roman" w:cs="Calibri Light"/>
                <w:color w:val="000000"/>
                <w:sz w:val="16"/>
                <w:szCs w:val="16"/>
              </w:rPr>
              <w:t>-5.868.500</w:t>
            </w:r>
          </w:p>
        </w:tc>
      </w:tr>
      <w:tr>
        <w:tblPrEx>
          <w:tblLayout w:type="fixed"/>
          <w:tblCellMar>
            <w:top w:w="0" w:type="dxa"/>
            <w:left w:w="108" w:type="dxa"/>
            <w:bottom w:w="0" w:type="dxa"/>
            <w:right w:w="108" w:type="dxa"/>
          </w:tblCellMar>
        </w:tblPrEx>
        <w:trPr>
          <w:trHeight w:val="219" w:hRule="atLeast"/>
        </w:trPr>
        <w:tc>
          <w:tcPr>
            <w:tcW w:w="3557" w:type="dxa"/>
            <w:tcBorders>
              <w:top w:val="nil"/>
              <w:left w:val="single" w:color="FFFFFF" w:sz="4" w:space="0"/>
              <w:bottom w:val="single" w:color="4F81BD" w:sz="4" w:space="0"/>
              <w:right w:val="single" w:color="FFFFFF" w:sz="4" w:space="0"/>
            </w:tcBorders>
            <w:shd w:val="clear" w:color="auto" w:fill="auto"/>
            <w:vAlign w:val="center"/>
          </w:tcPr>
          <w:p>
            <w:pPr>
              <w:spacing w:before="0" w:after="0" w:line="240" w:lineRule="auto"/>
              <w:rPr>
                <w:rFonts w:ascii="Calibri Light" w:hAnsi="Calibri Light" w:eastAsia="Times New Roman" w:cs="Calibri Light"/>
                <w:color w:val="000000"/>
                <w:sz w:val="16"/>
                <w:szCs w:val="16"/>
                <w:lang w:val="en-US"/>
              </w:rPr>
            </w:pPr>
            <w:r>
              <w:rPr>
                <w:rFonts w:ascii="Calibri Light" w:hAnsi="Calibri Light" w:eastAsia="Times New Roman" w:cs="Calibri Light"/>
                <w:color w:val="000000"/>
                <w:sz w:val="16"/>
                <w:szCs w:val="16"/>
              </w:rPr>
              <w:t>Fondul Local de Garantare Focșani SA - IFN</w:t>
            </w:r>
          </w:p>
        </w:tc>
        <w:tc>
          <w:tcPr>
            <w:tcW w:w="1221" w:type="dxa"/>
            <w:tcBorders>
              <w:top w:val="nil"/>
              <w:left w:val="nil"/>
              <w:bottom w:val="single" w:color="4F81BD" w:sz="4" w:space="0"/>
              <w:right w:val="single" w:color="FFFFFF" w:sz="4" w:space="0"/>
            </w:tcBorders>
            <w:shd w:val="clear" w:color="auto" w:fill="auto"/>
            <w:vAlign w:val="center"/>
          </w:tcPr>
          <w:p>
            <w:pPr>
              <w:spacing w:before="0" w:after="0" w:line="240" w:lineRule="auto"/>
              <w:ind w:left="270"/>
              <w:jc w:val="center"/>
              <w:rPr>
                <w:rFonts w:ascii="Calibri Light" w:hAnsi="Calibri Light" w:eastAsia="Times New Roman" w:cs="Calibri Light"/>
                <w:color w:val="000000"/>
                <w:sz w:val="16"/>
                <w:szCs w:val="16"/>
                <w:lang w:val="en-US"/>
              </w:rPr>
            </w:pPr>
            <w:r>
              <w:rPr>
                <w:rFonts w:ascii="Calibri Light" w:hAnsi="Calibri Light" w:eastAsia="Times New Roman" w:cs="Calibri Light"/>
                <w:color w:val="000000"/>
                <w:sz w:val="16"/>
                <w:szCs w:val="16"/>
              </w:rPr>
              <w:t>72,72%</w:t>
            </w:r>
          </w:p>
        </w:tc>
        <w:tc>
          <w:tcPr>
            <w:tcW w:w="1307" w:type="dxa"/>
            <w:tcBorders>
              <w:top w:val="nil"/>
              <w:left w:val="nil"/>
              <w:bottom w:val="single" w:color="4F81BD" w:sz="4" w:space="0"/>
              <w:right w:val="single" w:color="FFFFFF" w:sz="4" w:space="0"/>
            </w:tcBorders>
            <w:shd w:val="clear" w:color="auto" w:fill="auto"/>
            <w:vAlign w:val="center"/>
          </w:tcPr>
          <w:p>
            <w:pPr>
              <w:spacing w:before="0" w:after="0" w:line="240" w:lineRule="auto"/>
              <w:ind w:left="270"/>
              <w:jc w:val="right"/>
              <w:rPr>
                <w:rFonts w:ascii="Calibri Light" w:hAnsi="Calibri Light" w:eastAsia="Times New Roman" w:cs="Calibri Light"/>
                <w:color w:val="000000"/>
                <w:sz w:val="16"/>
                <w:szCs w:val="16"/>
                <w:lang w:val="en-US"/>
              </w:rPr>
            </w:pPr>
            <w:r>
              <w:rPr>
                <w:rFonts w:ascii="Calibri Light" w:hAnsi="Calibri Light" w:eastAsia="Times New Roman" w:cs="Calibri Light"/>
                <w:color w:val="000000"/>
                <w:sz w:val="16"/>
                <w:szCs w:val="16"/>
              </w:rPr>
              <w:t>14.071.200</w:t>
            </w:r>
          </w:p>
        </w:tc>
        <w:tc>
          <w:tcPr>
            <w:tcW w:w="1489" w:type="dxa"/>
            <w:tcBorders>
              <w:top w:val="nil"/>
              <w:left w:val="nil"/>
              <w:bottom w:val="single" w:color="4F81BD" w:sz="4" w:space="0"/>
              <w:right w:val="single" w:color="FFFFFF" w:sz="4" w:space="0"/>
            </w:tcBorders>
            <w:shd w:val="clear" w:color="auto" w:fill="auto"/>
            <w:vAlign w:val="center"/>
          </w:tcPr>
          <w:p>
            <w:pPr>
              <w:spacing w:before="0" w:after="0" w:line="240" w:lineRule="auto"/>
              <w:ind w:left="270"/>
              <w:jc w:val="right"/>
              <w:rPr>
                <w:rFonts w:ascii="Calibri Light" w:hAnsi="Calibri Light" w:eastAsia="Times New Roman" w:cs="Calibri Light"/>
                <w:color w:val="000000"/>
                <w:sz w:val="16"/>
                <w:szCs w:val="16"/>
                <w:lang w:val="en-US"/>
              </w:rPr>
            </w:pPr>
            <w:r>
              <w:rPr>
                <w:rFonts w:ascii="Calibri Light" w:hAnsi="Calibri Light" w:eastAsia="Times New Roman" w:cs="Calibri Light"/>
                <w:color w:val="000000"/>
                <w:sz w:val="16"/>
                <w:szCs w:val="16"/>
              </w:rPr>
              <w:t>14.082.200</w:t>
            </w:r>
          </w:p>
        </w:tc>
        <w:tc>
          <w:tcPr>
            <w:tcW w:w="1246" w:type="dxa"/>
            <w:tcBorders>
              <w:top w:val="nil"/>
              <w:left w:val="nil"/>
              <w:bottom w:val="single" w:color="4F81BD" w:sz="4" w:space="0"/>
              <w:right w:val="single" w:color="FFFFFF" w:sz="4" w:space="0"/>
            </w:tcBorders>
            <w:shd w:val="clear" w:color="auto" w:fill="auto"/>
            <w:vAlign w:val="center"/>
          </w:tcPr>
          <w:p>
            <w:pPr>
              <w:spacing w:before="0" w:after="0" w:line="240" w:lineRule="auto"/>
              <w:ind w:left="270"/>
              <w:jc w:val="right"/>
              <w:rPr>
                <w:rFonts w:ascii="Calibri Light" w:hAnsi="Calibri Light" w:eastAsia="Times New Roman" w:cs="Calibri Light"/>
                <w:color w:val="000000"/>
                <w:sz w:val="16"/>
                <w:szCs w:val="16"/>
                <w:lang w:val="en-US"/>
              </w:rPr>
            </w:pPr>
            <w:r>
              <w:rPr>
                <w:rFonts w:ascii="Calibri Light" w:hAnsi="Calibri Light" w:eastAsia="Times New Roman" w:cs="Calibri Light"/>
                <w:color w:val="000000"/>
                <w:sz w:val="16"/>
                <w:szCs w:val="16"/>
                <w:lang w:val="en-US"/>
              </w:rPr>
              <w:t>11.000</w:t>
            </w:r>
          </w:p>
        </w:tc>
      </w:tr>
      <w:tr>
        <w:tblPrEx>
          <w:tblLayout w:type="fixed"/>
          <w:tblCellMar>
            <w:top w:w="0" w:type="dxa"/>
            <w:left w:w="108" w:type="dxa"/>
            <w:bottom w:w="0" w:type="dxa"/>
            <w:right w:w="108" w:type="dxa"/>
          </w:tblCellMar>
        </w:tblPrEx>
        <w:trPr>
          <w:trHeight w:val="219" w:hRule="atLeast"/>
        </w:trPr>
        <w:tc>
          <w:tcPr>
            <w:tcW w:w="3557" w:type="dxa"/>
            <w:tcBorders>
              <w:top w:val="nil"/>
              <w:left w:val="single" w:color="FFFFFF" w:sz="4" w:space="0"/>
              <w:bottom w:val="single" w:color="4F81BD" w:sz="4" w:space="0"/>
              <w:right w:val="single" w:color="FFFFFF" w:sz="4" w:space="0"/>
            </w:tcBorders>
            <w:shd w:val="clear" w:color="auto" w:fill="auto"/>
            <w:vAlign w:val="center"/>
          </w:tcPr>
          <w:p>
            <w:pPr>
              <w:spacing w:before="0" w:after="0" w:line="240" w:lineRule="auto"/>
              <w:rPr>
                <w:rFonts w:ascii="Calibri Light" w:hAnsi="Calibri Light" w:eastAsia="Times New Roman" w:cs="Calibri Light"/>
                <w:color w:val="000000"/>
                <w:sz w:val="16"/>
                <w:szCs w:val="16"/>
                <w:lang w:val="en-US"/>
              </w:rPr>
            </w:pPr>
            <w:r>
              <w:rPr>
                <w:rFonts w:ascii="Calibri Light" w:hAnsi="Calibri Light" w:eastAsia="Times New Roman" w:cs="Calibri Light"/>
                <w:color w:val="000000"/>
                <w:sz w:val="16"/>
                <w:szCs w:val="16"/>
              </w:rPr>
              <w:t>Fondul Local de Garantare Sf. Gheorghe SA - IFN</w:t>
            </w:r>
          </w:p>
        </w:tc>
        <w:tc>
          <w:tcPr>
            <w:tcW w:w="1221" w:type="dxa"/>
            <w:tcBorders>
              <w:top w:val="nil"/>
              <w:left w:val="nil"/>
              <w:bottom w:val="single" w:color="4F81BD" w:sz="4" w:space="0"/>
              <w:right w:val="single" w:color="FFFFFF" w:sz="4" w:space="0"/>
            </w:tcBorders>
            <w:shd w:val="clear" w:color="auto" w:fill="auto"/>
            <w:vAlign w:val="center"/>
          </w:tcPr>
          <w:p>
            <w:pPr>
              <w:spacing w:before="0" w:after="0" w:line="240" w:lineRule="auto"/>
              <w:ind w:left="270"/>
              <w:jc w:val="center"/>
              <w:rPr>
                <w:rFonts w:ascii="Calibri Light" w:hAnsi="Calibri Light" w:eastAsia="Times New Roman" w:cs="Calibri Light"/>
                <w:color w:val="000000"/>
                <w:sz w:val="16"/>
                <w:szCs w:val="16"/>
                <w:lang w:val="en-US"/>
              </w:rPr>
            </w:pPr>
            <w:r>
              <w:rPr>
                <w:rFonts w:ascii="Calibri Light" w:hAnsi="Calibri Light" w:eastAsia="Times New Roman" w:cs="Calibri Light"/>
                <w:color w:val="000000"/>
                <w:sz w:val="16"/>
                <w:szCs w:val="16"/>
              </w:rPr>
              <w:t>0.00%</w:t>
            </w:r>
          </w:p>
        </w:tc>
        <w:tc>
          <w:tcPr>
            <w:tcW w:w="1307" w:type="dxa"/>
            <w:tcBorders>
              <w:top w:val="nil"/>
              <w:left w:val="nil"/>
              <w:bottom w:val="single" w:color="4F81BD" w:sz="4" w:space="0"/>
              <w:right w:val="single" w:color="FFFFFF" w:sz="4" w:space="0"/>
            </w:tcBorders>
            <w:shd w:val="clear" w:color="auto" w:fill="auto"/>
            <w:vAlign w:val="center"/>
          </w:tcPr>
          <w:p>
            <w:pPr>
              <w:spacing w:before="0" w:after="0" w:line="240" w:lineRule="auto"/>
              <w:ind w:left="270"/>
              <w:jc w:val="right"/>
              <w:rPr>
                <w:rFonts w:ascii="Calibri Light" w:hAnsi="Calibri Light" w:eastAsia="Times New Roman" w:cs="Calibri Light"/>
                <w:color w:val="000000"/>
                <w:sz w:val="16"/>
                <w:szCs w:val="16"/>
                <w:lang w:val="en-US"/>
              </w:rPr>
            </w:pPr>
            <w:r>
              <w:rPr>
                <w:rFonts w:ascii="Calibri Light" w:hAnsi="Calibri Light" w:eastAsia="Times New Roman" w:cs="Calibri Light"/>
                <w:color w:val="000000"/>
                <w:sz w:val="16"/>
                <w:szCs w:val="16"/>
              </w:rPr>
              <w:t>5.876.500</w:t>
            </w:r>
          </w:p>
        </w:tc>
        <w:tc>
          <w:tcPr>
            <w:tcW w:w="1489" w:type="dxa"/>
            <w:tcBorders>
              <w:top w:val="nil"/>
              <w:left w:val="nil"/>
              <w:bottom w:val="single" w:color="4F81BD" w:sz="4" w:space="0"/>
              <w:right w:val="single" w:color="FFFFFF" w:sz="4" w:space="0"/>
            </w:tcBorders>
            <w:shd w:val="clear" w:color="auto" w:fill="auto"/>
            <w:vAlign w:val="center"/>
          </w:tcPr>
          <w:p>
            <w:pPr>
              <w:spacing w:before="0" w:after="0" w:line="240" w:lineRule="auto"/>
              <w:ind w:left="270"/>
              <w:jc w:val="right"/>
              <w:rPr>
                <w:rFonts w:ascii="Calibri Light" w:hAnsi="Calibri Light" w:eastAsia="Times New Roman" w:cs="Calibri Light"/>
                <w:color w:val="000000"/>
                <w:sz w:val="16"/>
                <w:szCs w:val="16"/>
                <w:lang w:val="en-US"/>
              </w:rPr>
            </w:pPr>
            <w:r>
              <w:rPr>
                <w:rFonts w:ascii="Calibri Light" w:hAnsi="Calibri Light" w:eastAsia="Times New Roman" w:cs="Calibri Light"/>
                <w:color w:val="000000"/>
                <w:sz w:val="16"/>
                <w:szCs w:val="16"/>
              </w:rPr>
              <w:t>0</w:t>
            </w:r>
          </w:p>
        </w:tc>
        <w:tc>
          <w:tcPr>
            <w:tcW w:w="1246" w:type="dxa"/>
            <w:tcBorders>
              <w:top w:val="nil"/>
              <w:left w:val="nil"/>
              <w:bottom w:val="single" w:color="4F81BD" w:sz="4" w:space="0"/>
              <w:right w:val="single" w:color="FFFFFF" w:sz="4" w:space="0"/>
            </w:tcBorders>
            <w:shd w:val="clear" w:color="auto" w:fill="auto"/>
            <w:vAlign w:val="center"/>
          </w:tcPr>
          <w:p>
            <w:pPr>
              <w:spacing w:before="0" w:after="0" w:line="240" w:lineRule="auto"/>
              <w:ind w:left="270"/>
              <w:jc w:val="right"/>
              <w:rPr>
                <w:rFonts w:ascii="Calibri Light" w:hAnsi="Calibri Light" w:eastAsia="Times New Roman" w:cs="Calibri Light"/>
                <w:color w:val="000000"/>
                <w:sz w:val="16"/>
                <w:szCs w:val="16"/>
                <w:lang w:val="en-US"/>
              </w:rPr>
            </w:pPr>
            <w:r>
              <w:rPr>
                <w:rFonts w:ascii="Calibri Light" w:hAnsi="Calibri Light" w:eastAsia="Times New Roman" w:cs="Calibri Light"/>
                <w:color w:val="000000"/>
                <w:sz w:val="16"/>
                <w:szCs w:val="16"/>
              </w:rPr>
              <w:t>-5.876.500</w:t>
            </w:r>
          </w:p>
        </w:tc>
      </w:tr>
    </w:tbl>
    <w:p>
      <w:pPr>
        <w:spacing w:before="0" w:after="120"/>
        <w:ind w:left="274"/>
        <w:jc w:val="both"/>
        <w:rPr>
          <w:rFonts w:asciiTheme="majorHAnsi" w:hAnsiTheme="majorHAnsi"/>
          <w:bCs/>
          <w:lang w:val="en-US"/>
        </w:rPr>
      </w:pPr>
      <w:r>
        <w:rPr>
          <w:rFonts w:asciiTheme="majorHAnsi" w:hAnsiTheme="majorHAnsi"/>
          <w:bCs/>
          <w:lang w:val="en-US"/>
        </w:rPr>
        <w:t xml:space="preserve">Totodată, în cursul anului 2020, </w:t>
      </w:r>
      <w:r>
        <w:rPr>
          <w:rFonts w:asciiTheme="majorHAnsi" w:hAnsiTheme="majorHAnsi"/>
          <w:bCs/>
        </w:rPr>
        <w:t>în urma fuziunii prin absorbție a celor două filiale</w:t>
      </w:r>
      <w:r>
        <w:rPr>
          <w:rStyle w:val="33"/>
          <w:rFonts w:asciiTheme="majorHAnsi" w:hAnsiTheme="majorHAnsi"/>
          <w:bCs/>
        </w:rPr>
        <w:footnoteReference w:id="12"/>
      </w:r>
      <w:r>
        <w:rPr>
          <w:rFonts w:asciiTheme="majorHAnsi" w:hAnsiTheme="majorHAnsi"/>
          <w:bCs/>
        </w:rPr>
        <w:t xml:space="preserve"> ale FNGCIMM</w:t>
      </w:r>
      <w:r>
        <w:rPr>
          <w:rFonts w:asciiTheme="majorHAnsi" w:hAnsiTheme="majorHAnsi"/>
          <w:bCs/>
          <w:lang w:val="en-US"/>
        </w:rPr>
        <w:t xml:space="preserve"> structura acționariatului Fondului Local de Garantare Focșani S.A. - IFN s-a modificat FNGCIMM dobândind un număr de 110 acţiuni la valoarea nominală de 100 lei.</w:t>
      </w:r>
    </w:p>
    <w:p>
      <w:pPr>
        <w:spacing w:before="0" w:after="240"/>
        <w:ind w:left="270"/>
        <w:jc w:val="both"/>
        <w:rPr>
          <w:rFonts w:asciiTheme="majorHAnsi" w:hAnsiTheme="majorHAnsi"/>
          <w:bCs/>
          <w:lang w:val="en-US"/>
        </w:rPr>
      </w:pPr>
      <w:r>
        <w:rPr>
          <w:rFonts w:asciiTheme="majorHAnsi" w:hAnsiTheme="majorHAnsi"/>
          <w:bCs/>
          <w:lang w:val="en-US"/>
        </w:rPr>
        <w:t>Acţionarii FLG Focşani la data de 31.12. 2020 sunt:</w:t>
      </w:r>
    </w:p>
    <w:tbl>
      <w:tblPr>
        <w:tblStyle w:val="36"/>
        <w:tblW w:w="8786" w:type="dxa"/>
        <w:tblInd w:w="380" w:type="dxa"/>
        <w:tblLayout w:type="fixed"/>
        <w:tblCellMar>
          <w:top w:w="0" w:type="dxa"/>
          <w:left w:w="108" w:type="dxa"/>
          <w:bottom w:w="0" w:type="dxa"/>
          <w:right w:w="108" w:type="dxa"/>
        </w:tblCellMar>
      </w:tblPr>
      <w:tblGrid>
        <w:gridCol w:w="3725"/>
        <w:gridCol w:w="1560"/>
        <w:gridCol w:w="1846"/>
        <w:gridCol w:w="1655"/>
      </w:tblGrid>
      <w:tr>
        <w:tblPrEx>
          <w:tblLayout w:type="fixed"/>
          <w:tblCellMar>
            <w:top w:w="0" w:type="dxa"/>
            <w:left w:w="108" w:type="dxa"/>
            <w:bottom w:w="0" w:type="dxa"/>
            <w:right w:w="108" w:type="dxa"/>
          </w:tblCellMar>
        </w:tblPrEx>
        <w:trPr>
          <w:trHeight w:val="581" w:hRule="atLeast"/>
        </w:trPr>
        <w:tc>
          <w:tcPr>
            <w:tcW w:w="3725" w:type="dxa"/>
            <w:vMerge w:val="restart"/>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bCs/>
                <w:color w:val="4F81BD"/>
                <w:sz w:val="16"/>
                <w:szCs w:val="16"/>
                <w:lang w:val="en-US"/>
              </w:rPr>
            </w:pPr>
            <w:r>
              <w:rPr>
                <w:rFonts w:eastAsia="Times New Roman" w:asciiTheme="majorHAnsi" w:hAnsiTheme="majorHAnsi" w:cstheme="majorHAnsi"/>
                <w:bCs/>
                <w:color w:val="4F81BD"/>
                <w:sz w:val="16"/>
                <w:szCs w:val="16"/>
              </w:rPr>
              <w:t>Entitatea</w:t>
            </w:r>
          </w:p>
        </w:tc>
        <w:tc>
          <w:tcPr>
            <w:tcW w:w="1560" w:type="dxa"/>
            <w:vMerge w:val="restart"/>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Cs/>
                <w:color w:val="4F81BD"/>
                <w:sz w:val="16"/>
                <w:szCs w:val="16"/>
                <w:lang w:val="en-US"/>
              </w:rPr>
            </w:pPr>
            <w:r>
              <w:rPr>
                <w:rFonts w:eastAsia="Times New Roman" w:asciiTheme="majorHAnsi" w:hAnsiTheme="majorHAnsi" w:cstheme="majorHAnsi"/>
                <w:bCs/>
                <w:color w:val="4F81BD"/>
                <w:sz w:val="16"/>
                <w:szCs w:val="16"/>
              </w:rPr>
              <w:t>Deţinere (%)</w:t>
            </w:r>
          </w:p>
        </w:tc>
        <w:tc>
          <w:tcPr>
            <w:tcW w:w="1846" w:type="dxa"/>
            <w:vMerge w:val="restart"/>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Cs/>
                <w:color w:val="4F81BD"/>
                <w:sz w:val="16"/>
                <w:szCs w:val="16"/>
                <w:lang w:val="en-US"/>
              </w:rPr>
            </w:pPr>
            <w:r>
              <w:rPr>
                <w:rFonts w:eastAsia="Times New Roman" w:asciiTheme="majorHAnsi" w:hAnsiTheme="majorHAnsi" w:cstheme="majorHAnsi"/>
                <w:bCs/>
                <w:color w:val="4F81BD"/>
                <w:sz w:val="16"/>
                <w:szCs w:val="16"/>
              </w:rPr>
              <w:t>Număr acţiuni</w:t>
            </w:r>
          </w:p>
        </w:tc>
        <w:tc>
          <w:tcPr>
            <w:tcW w:w="1655" w:type="dxa"/>
            <w:vMerge w:val="restart"/>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Cs/>
                <w:color w:val="4F81BD"/>
                <w:sz w:val="16"/>
                <w:szCs w:val="16"/>
                <w:lang w:val="en-US"/>
              </w:rPr>
            </w:pPr>
            <w:r>
              <w:rPr>
                <w:rFonts w:eastAsia="Times New Roman" w:asciiTheme="majorHAnsi" w:hAnsiTheme="majorHAnsi" w:cstheme="majorHAnsi"/>
                <w:bCs/>
                <w:color w:val="4F81BD"/>
                <w:sz w:val="16"/>
                <w:szCs w:val="16"/>
              </w:rPr>
              <w:t>Valoare capital social (lei)</w:t>
            </w:r>
          </w:p>
        </w:tc>
      </w:tr>
      <w:tr>
        <w:tblPrEx>
          <w:tblLayout w:type="fixed"/>
          <w:tblCellMar>
            <w:top w:w="0" w:type="dxa"/>
            <w:left w:w="108" w:type="dxa"/>
            <w:bottom w:w="0" w:type="dxa"/>
            <w:right w:w="108" w:type="dxa"/>
          </w:tblCellMar>
        </w:tblPrEx>
        <w:trPr>
          <w:trHeight w:val="581" w:hRule="atLeast"/>
        </w:trPr>
        <w:tc>
          <w:tcPr>
            <w:tcW w:w="3725" w:type="dxa"/>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eastAsia="Times New Roman" w:asciiTheme="majorHAnsi" w:hAnsiTheme="majorHAnsi" w:cstheme="majorHAnsi"/>
                <w:b/>
                <w:bCs/>
                <w:color w:val="4F81BD"/>
                <w:sz w:val="16"/>
                <w:szCs w:val="16"/>
                <w:lang w:val="en-US"/>
              </w:rPr>
            </w:pPr>
          </w:p>
        </w:tc>
        <w:tc>
          <w:tcPr>
            <w:tcW w:w="1560" w:type="dxa"/>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eastAsia="Times New Roman" w:asciiTheme="majorHAnsi" w:hAnsiTheme="majorHAnsi" w:cstheme="majorHAnsi"/>
                <w:b/>
                <w:bCs/>
                <w:color w:val="4F81BD"/>
                <w:sz w:val="16"/>
                <w:szCs w:val="16"/>
                <w:lang w:val="en-US"/>
              </w:rPr>
            </w:pPr>
          </w:p>
        </w:tc>
        <w:tc>
          <w:tcPr>
            <w:tcW w:w="1846" w:type="dxa"/>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eastAsia="Times New Roman" w:asciiTheme="majorHAnsi" w:hAnsiTheme="majorHAnsi" w:cstheme="majorHAnsi"/>
                <w:b/>
                <w:bCs/>
                <w:color w:val="4F81BD"/>
                <w:sz w:val="16"/>
                <w:szCs w:val="16"/>
                <w:lang w:val="en-US"/>
              </w:rPr>
            </w:pPr>
          </w:p>
        </w:tc>
        <w:tc>
          <w:tcPr>
            <w:tcW w:w="1655" w:type="dxa"/>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eastAsia="Times New Roman" w:asciiTheme="majorHAnsi" w:hAnsiTheme="majorHAnsi" w:cstheme="majorHAnsi"/>
                <w:b/>
                <w:bCs/>
                <w:color w:val="4F81BD"/>
                <w:sz w:val="16"/>
                <w:szCs w:val="16"/>
                <w:lang w:val="en-US"/>
              </w:rPr>
            </w:pPr>
          </w:p>
        </w:tc>
      </w:tr>
      <w:tr>
        <w:tblPrEx>
          <w:tblLayout w:type="fixed"/>
          <w:tblCellMar>
            <w:top w:w="0" w:type="dxa"/>
            <w:left w:w="108" w:type="dxa"/>
            <w:bottom w:w="0" w:type="dxa"/>
            <w:right w:w="108" w:type="dxa"/>
          </w:tblCellMar>
        </w:tblPrEx>
        <w:trPr>
          <w:trHeight w:val="350" w:hRule="atLeast"/>
        </w:trPr>
        <w:tc>
          <w:tcPr>
            <w:tcW w:w="3725"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rPr>
              <w:t>Fondul Naţional  de Garantare a Creditelor pentru Întreprinderile Mici şi Mijlocii  SA – IFN Bucureşti</w:t>
            </w:r>
          </w:p>
        </w:tc>
        <w:tc>
          <w:tcPr>
            <w:tcW w:w="1560"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rPr>
              <w:t>72,72%</w:t>
            </w:r>
          </w:p>
        </w:tc>
        <w:tc>
          <w:tcPr>
            <w:tcW w:w="1846"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rPr>
              <w:t>140.822</w:t>
            </w:r>
          </w:p>
        </w:tc>
        <w:tc>
          <w:tcPr>
            <w:tcW w:w="1655"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rPr>
              <w:t>14.082.200</w:t>
            </w:r>
          </w:p>
        </w:tc>
      </w:tr>
      <w:tr>
        <w:tblPrEx>
          <w:tblLayout w:type="fixed"/>
          <w:tblCellMar>
            <w:top w:w="0" w:type="dxa"/>
            <w:left w:w="108" w:type="dxa"/>
            <w:bottom w:w="0" w:type="dxa"/>
            <w:right w:w="108" w:type="dxa"/>
          </w:tblCellMar>
        </w:tblPrEx>
        <w:trPr>
          <w:trHeight w:val="157" w:hRule="atLeast"/>
        </w:trPr>
        <w:tc>
          <w:tcPr>
            <w:tcW w:w="3725"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rPr>
              <w:t>Ministerul Finanţelor</w:t>
            </w:r>
          </w:p>
        </w:tc>
        <w:tc>
          <w:tcPr>
            <w:tcW w:w="1560"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rPr>
              <w:t>27,17%</w:t>
            </w:r>
          </w:p>
        </w:tc>
        <w:tc>
          <w:tcPr>
            <w:tcW w:w="1846"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rPr>
              <w:t>52.615</w:t>
            </w:r>
          </w:p>
        </w:tc>
        <w:tc>
          <w:tcPr>
            <w:tcW w:w="1655"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rPr>
              <w:t>5.261.500</w:t>
            </w:r>
          </w:p>
        </w:tc>
      </w:tr>
      <w:tr>
        <w:tblPrEx>
          <w:tblLayout w:type="fixed"/>
          <w:tblCellMar>
            <w:top w:w="0" w:type="dxa"/>
            <w:left w:w="108" w:type="dxa"/>
            <w:bottom w:w="0" w:type="dxa"/>
            <w:right w:w="108" w:type="dxa"/>
          </w:tblCellMar>
        </w:tblPrEx>
        <w:trPr>
          <w:trHeight w:val="157" w:hRule="atLeast"/>
        </w:trPr>
        <w:tc>
          <w:tcPr>
            <w:tcW w:w="3725"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rPr>
              <w:t>Persoane fizice</w:t>
            </w:r>
          </w:p>
        </w:tc>
        <w:tc>
          <w:tcPr>
            <w:tcW w:w="1560"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rPr>
              <w:t>0,10%</w:t>
            </w:r>
          </w:p>
        </w:tc>
        <w:tc>
          <w:tcPr>
            <w:tcW w:w="1846"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rPr>
              <w:t>200</w:t>
            </w:r>
          </w:p>
        </w:tc>
        <w:tc>
          <w:tcPr>
            <w:tcW w:w="1655"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rPr>
              <w:t>20.000</w:t>
            </w:r>
          </w:p>
        </w:tc>
      </w:tr>
      <w:tr>
        <w:tblPrEx>
          <w:tblLayout w:type="fixed"/>
          <w:tblCellMar>
            <w:top w:w="0" w:type="dxa"/>
            <w:left w:w="108" w:type="dxa"/>
            <w:bottom w:w="0" w:type="dxa"/>
            <w:right w:w="108" w:type="dxa"/>
          </w:tblCellMar>
        </w:tblPrEx>
        <w:trPr>
          <w:trHeight w:val="157" w:hRule="atLeast"/>
        </w:trPr>
        <w:tc>
          <w:tcPr>
            <w:tcW w:w="3725"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b/>
                <w:bCs/>
                <w:sz w:val="16"/>
                <w:szCs w:val="16"/>
                <w:lang w:val="en-US"/>
              </w:rPr>
            </w:pPr>
            <w:r>
              <w:rPr>
                <w:rFonts w:eastAsia="Times New Roman" w:asciiTheme="majorHAnsi" w:hAnsiTheme="majorHAnsi" w:cstheme="majorHAnsi"/>
                <w:b/>
                <w:bCs/>
                <w:sz w:val="16"/>
                <w:szCs w:val="16"/>
              </w:rPr>
              <w:t>Total</w:t>
            </w:r>
          </w:p>
        </w:tc>
        <w:tc>
          <w:tcPr>
            <w:tcW w:w="1560"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
                <w:bCs/>
                <w:sz w:val="16"/>
                <w:szCs w:val="16"/>
                <w:lang w:val="en-US"/>
              </w:rPr>
            </w:pPr>
            <w:r>
              <w:rPr>
                <w:rFonts w:eastAsia="Times New Roman" w:asciiTheme="majorHAnsi" w:hAnsiTheme="majorHAnsi" w:cstheme="majorHAnsi"/>
                <w:b/>
                <w:bCs/>
                <w:sz w:val="16"/>
                <w:szCs w:val="16"/>
              </w:rPr>
              <w:t>100,00%</w:t>
            </w:r>
          </w:p>
        </w:tc>
        <w:tc>
          <w:tcPr>
            <w:tcW w:w="1846"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
                <w:bCs/>
                <w:sz w:val="16"/>
                <w:szCs w:val="16"/>
                <w:lang w:val="en-US"/>
              </w:rPr>
            </w:pPr>
            <w:r>
              <w:rPr>
                <w:rFonts w:eastAsia="Times New Roman" w:asciiTheme="majorHAnsi" w:hAnsiTheme="majorHAnsi" w:cstheme="majorHAnsi"/>
                <w:b/>
                <w:bCs/>
                <w:sz w:val="16"/>
                <w:szCs w:val="16"/>
              </w:rPr>
              <w:t>193.637</w:t>
            </w:r>
          </w:p>
        </w:tc>
        <w:tc>
          <w:tcPr>
            <w:tcW w:w="1655"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
                <w:bCs/>
                <w:sz w:val="16"/>
                <w:szCs w:val="16"/>
                <w:lang w:val="en-US"/>
              </w:rPr>
            </w:pPr>
            <w:r>
              <w:rPr>
                <w:rFonts w:eastAsia="Times New Roman" w:asciiTheme="majorHAnsi" w:hAnsiTheme="majorHAnsi" w:cstheme="majorHAnsi"/>
                <w:b/>
                <w:bCs/>
                <w:sz w:val="16"/>
                <w:szCs w:val="16"/>
              </w:rPr>
              <w:t>19.363.700</w:t>
            </w:r>
          </w:p>
        </w:tc>
      </w:tr>
    </w:tbl>
    <w:p>
      <w:pPr>
        <w:pStyle w:val="66"/>
        <w:spacing w:before="0" w:after="240"/>
        <w:ind w:left="270"/>
        <w:jc w:val="both"/>
        <w:rPr>
          <w:rFonts w:asciiTheme="majorHAnsi" w:hAnsiTheme="majorHAnsi"/>
          <w:b/>
          <w:bCs/>
          <w:lang w:val="en-US"/>
        </w:rPr>
      </w:pPr>
    </w:p>
    <w:p>
      <w:pPr>
        <w:pStyle w:val="66"/>
        <w:numPr>
          <w:ilvl w:val="0"/>
          <w:numId w:val="15"/>
        </w:numPr>
        <w:spacing w:before="0" w:after="240"/>
        <w:ind w:left="270" w:hanging="270"/>
        <w:jc w:val="both"/>
        <w:rPr>
          <w:rFonts w:asciiTheme="majorHAnsi" w:hAnsiTheme="majorHAnsi"/>
          <w:b/>
          <w:bCs/>
          <w:lang w:val="en-US"/>
        </w:rPr>
      </w:pPr>
      <w:r>
        <w:rPr>
          <w:rFonts w:asciiTheme="majorHAnsi" w:hAnsiTheme="majorHAnsi"/>
          <w:b/>
          <w:bCs/>
          <w:lang w:val="en-US"/>
        </w:rPr>
        <w:t>În cadrul grupului EximBank S.A.</w:t>
      </w:r>
      <w:r>
        <w:rPr>
          <w:rStyle w:val="33"/>
          <w:rFonts w:asciiTheme="majorHAnsi" w:hAnsiTheme="majorHAnsi"/>
          <w:b/>
          <w:bCs/>
          <w:lang w:val="en-US"/>
        </w:rPr>
        <w:footnoteReference w:id="13"/>
      </w:r>
    </w:p>
    <w:p>
      <w:pPr>
        <w:spacing w:before="0" w:after="240"/>
        <w:ind w:left="270"/>
        <w:jc w:val="both"/>
        <w:rPr>
          <w:rFonts w:asciiTheme="majorHAnsi" w:hAnsiTheme="majorHAnsi"/>
          <w:bCs/>
          <w:lang w:val="en-US"/>
        </w:rPr>
      </w:pPr>
      <w:r>
        <w:rPr>
          <w:rFonts w:asciiTheme="majorHAnsi" w:hAnsiTheme="majorHAnsi"/>
          <w:bCs/>
          <w:lang w:val="en-US"/>
        </w:rPr>
        <w:t xml:space="preserve">Banca de Import – Export a României Eximbank S.A. a finalizat în data de </w:t>
      </w:r>
      <w:r>
        <w:rPr>
          <w:rFonts w:asciiTheme="majorHAnsi" w:hAnsiTheme="majorHAnsi"/>
          <w:b/>
          <w:bCs/>
          <w:lang w:val="en-US"/>
        </w:rPr>
        <w:t>23 ianuarie 2020</w:t>
      </w:r>
      <w:r>
        <w:rPr>
          <w:rFonts w:asciiTheme="majorHAnsi" w:hAnsiTheme="majorHAnsi"/>
          <w:bCs/>
          <w:lang w:val="en-US"/>
        </w:rPr>
        <w:t xml:space="preserve"> achiziţia unei participaţii de 99,28% din capitalul social al Băncii Româneşti S.A. de la National Bank of Greece S.A. („NBG”), contractul de vânzare-cumpărare fiind semnat în data de 20.06.2019. Eximbank S.A. a cumpărat o pondere de 99.28% din pachetul de acţiuni al BROM deţinut de NBG respectiv un număr de 371.624.509 acţiuni cu o valoare nominală de 2 RON/acţiune. În </w:t>
      </w:r>
      <w:r>
        <w:rPr>
          <w:rFonts w:asciiTheme="majorHAnsi" w:hAnsiTheme="majorHAnsi"/>
          <w:b/>
          <w:bCs/>
          <w:lang w:val="en-US"/>
        </w:rPr>
        <w:t>urma achiziției, EximBank S.A. intră pe atractiva piață de retail</w:t>
      </w:r>
      <w:r>
        <w:rPr>
          <w:rFonts w:asciiTheme="majorHAnsi" w:hAnsiTheme="majorHAnsi"/>
          <w:bCs/>
          <w:lang w:val="en-US"/>
        </w:rPr>
        <w:t xml:space="preserve"> din România, </w:t>
      </w:r>
      <w:r>
        <w:rPr>
          <w:rFonts w:asciiTheme="majorHAnsi" w:hAnsiTheme="majorHAnsi"/>
          <w:b/>
          <w:bCs/>
          <w:lang w:val="en-US"/>
        </w:rPr>
        <w:t>devenind o bancă universală cu servicii complete</w:t>
      </w:r>
      <w:r>
        <w:rPr>
          <w:rFonts w:asciiTheme="majorHAnsi" w:hAnsiTheme="majorHAnsi"/>
          <w:bCs/>
          <w:lang w:val="en-US"/>
        </w:rPr>
        <w:t xml:space="preserve"> și continuând să își îndeplinească misiunea pe termen lung prin susținerea și promovarea dezvoltării economice a României. </w:t>
      </w:r>
    </w:p>
    <w:tbl>
      <w:tblPr>
        <w:tblStyle w:val="36"/>
        <w:tblW w:w="8910" w:type="dxa"/>
        <w:tblInd w:w="290" w:type="dxa"/>
        <w:tblLayout w:type="fixed"/>
        <w:tblCellMar>
          <w:top w:w="0" w:type="dxa"/>
          <w:left w:w="108" w:type="dxa"/>
          <w:bottom w:w="0" w:type="dxa"/>
          <w:right w:w="108" w:type="dxa"/>
        </w:tblCellMar>
      </w:tblPr>
      <w:tblGrid>
        <w:gridCol w:w="592"/>
        <w:gridCol w:w="3216"/>
        <w:gridCol w:w="834"/>
        <w:gridCol w:w="835"/>
        <w:gridCol w:w="834"/>
        <w:gridCol w:w="835"/>
        <w:gridCol w:w="1764"/>
      </w:tblGrid>
      <w:tr>
        <w:tblPrEx>
          <w:tblLayout w:type="fixed"/>
          <w:tblCellMar>
            <w:top w:w="0" w:type="dxa"/>
            <w:left w:w="108" w:type="dxa"/>
            <w:bottom w:w="0" w:type="dxa"/>
            <w:right w:w="108" w:type="dxa"/>
          </w:tblCellMar>
        </w:tblPrEx>
        <w:trPr>
          <w:trHeight w:val="408" w:hRule="atLeast"/>
        </w:trPr>
        <w:tc>
          <w:tcPr>
            <w:tcW w:w="8910" w:type="dxa"/>
            <w:gridSpan w:val="7"/>
            <w:tcBorders>
              <w:top w:val="nil"/>
              <w:left w:val="nil"/>
              <w:bottom w:val="single" w:color="4F81BD" w:sz="4" w:space="0"/>
              <w:right w:val="nil"/>
            </w:tcBorders>
            <w:shd w:val="clear" w:color="auto" w:fill="auto"/>
          </w:tcPr>
          <w:p>
            <w:pPr>
              <w:spacing w:before="0" w:after="0" w:line="240" w:lineRule="auto"/>
              <w:rPr>
                <w:rFonts w:ascii="Calibri Light" w:hAnsi="Calibri Light" w:eastAsia="Times New Roman" w:cs="Calibri Light"/>
                <w:szCs w:val="16"/>
                <w:lang w:val="en-US"/>
              </w:rPr>
            </w:pPr>
            <w:r>
              <w:rPr>
                <w:rFonts w:ascii="Calibri Light" w:hAnsi="Calibri Light" w:eastAsia="Times New Roman" w:cs="Calibri Light"/>
                <w:szCs w:val="16"/>
                <w:lang w:val="en-US"/>
              </w:rPr>
              <w:t>Ponderea activului net bilanțier realizat de instituțiile de credit cu capital majoritar de stat în totalul activului net bilanțier realizat de toate instituțiile de credit de pe teritoriul României:</w:t>
            </w:r>
          </w:p>
          <w:p>
            <w:pPr>
              <w:spacing w:before="0" w:after="0" w:line="240" w:lineRule="auto"/>
              <w:rPr>
                <w:rFonts w:ascii="Calibri Light" w:hAnsi="Calibri Light" w:eastAsia="Times New Roman" w:cs="Calibri Light"/>
                <w:sz w:val="16"/>
                <w:szCs w:val="16"/>
                <w:lang w:val="en-US"/>
              </w:rPr>
            </w:pPr>
          </w:p>
        </w:tc>
      </w:tr>
      <w:tr>
        <w:tblPrEx>
          <w:tblLayout w:type="fixed"/>
          <w:tblCellMar>
            <w:top w:w="0" w:type="dxa"/>
            <w:left w:w="108" w:type="dxa"/>
            <w:bottom w:w="0" w:type="dxa"/>
            <w:right w:w="108" w:type="dxa"/>
          </w:tblCellMar>
        </w:tblPrEx>
        <w:trPr>
          <w:trHeight w:val="581" w:hRule="atLeast"/>
        </w:trPr>
        <w:tc>
          <w:tcPr>
            <w:tcW w:w="3808" w:type="dxa"/>
            <w:gridSpan w:val="2"/>
            <w:vMerge w:val="restart"/>
            <w:tcBorders>
              <w:top w:val="single" w:color="4F81BD" w:sz="4" w:space="0"/>
              <w:left w:val="single" w:color="FFFFFF" w:sz="4" w:space="0"/>
              <w:bottom w:val="single" w:color="4F81BD" w:sz="4" w:space="0"/>
              <w:right w:val="single" w:color="FFFFFF" w:sz="4" w:space="0"/>
            </w:tcBorders>
            <w:shd w:val="clear" w:color="auto" w:fill="auto"/>
            <w:vAlign w:val="bottom"/>
          </w:tcPr>
          <w:p>
            <w:pPr>
              <w:spacing w:before="0" w:after="0" w:line="240" w:lineRule="auto"/>
              <w:jc w:val="center"/>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 </w:t>
            </w:r>
          </w:p>
        </w:tc>
        <w:tc>
          <w:tcPr>
            <w:tcW w:w="1669" w:type="dxa"/>
            <w:gridSpan w:val="2"/>
            <w:vMerge w:val="restart"/>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Cs/>
                <w:color w:val="4F81BD"/>
                <w:sz w:val="16"/>
                <w:szCs w:val="16"/>
                <w:lang w:val="en-US"/>
              </w:rPr>
            </w:pPr>
            <w:r>
              <w:rPr>
                <w:rFonts w:eastAsia="Times New Roman" w:asciiTheme="majorHAnsi" w:hAnsiTheme="majorHAnsi" w:cstheme="majorHAnsi"/>
                <w:bCs/>
                <w:color w:val="4F81BD"/>
                <w:sz w:val="16"/>
                <w:szCs w:val="16"/>
                <w:lang w:val="en-US"/>
              </w:rPr>
              <w:t>Activ net bilanțier 2020</w:t>
            </w:r>
          </w:p>
        </w:tc>
        <w:tc>
          <w:tcPr>
            <w:tcW w:w="1669" w:type="dxa"/>
            <w:gridSpan w:val="2"/>
            <w:vMerge w:val="restart"/>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jc w:val="right"/>
              <w:rPr>
                <w:rFonts w:ascii="Calibri Light" w:hAnsi="Calibri Light" w:eastAsia="Times New Roman" w:cs="Calibri Light"/>
                <w:bCs/>
                <w:color w:val="4F81BD"/>
                <w:sz w:val="16"/>
                <w:szCs w:val="16"/>
                <w:lang w:val="en-US"/>
              </w:rPr>
            </w:pPr>
            <w:r>
              <w:rPr>
                <w:rFonts w:ascii="Calibri Light" w:hAnsi="Calibri Light" w:eastAsia="Times New Roman" w:cs="Calibri Light"/>
                <w:bCs/>
                <w:color w:val="4F81BD"/>
                <w:sz w:val="16"/>
                <w:szCs w:val="16"/>
                <w:lang w:val="en-US"/>
              </w:rPr>
              <w:t>Activ net bilanțier 2019</w:t>
            </w:r>
          </w:p>
        </w:tc>
        <w:tc>
          <w:tcPr>
            <w:tcW w:w="1764"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jc w:val="right"/>
              <w:rPr>
                <w:rFonts w:ascii="Calibri Light" w:hAnsi="Calibri Light" w:eastAsia="Times New Roman" w:cs="Calibri Light"/>
                <w:bCs/>
                <w:color w:val="4F81BD"/>
                <w:sz w:val="16"/>
                <w:szCs w:val="16"/>
                <w:lang w:val="en-US"/>
              </w:rPr>
            </w:pPr>
            <w:r>
              <w:rPr>
                <w:rFonts w:ascii="Calibri Light" w:hAnsi="Calibri Light" w:eastAsia="Times New Roman" w:cs="Calibri Light"/>
                <w:bCs/>
                <w:color w:val="4F81BD"/>
                <w:sz w:val="16"/>
                <w:szCs w:val="16"/>
                <w:lang w:val="en-US"/>
              </w:rPr>
              <w:t>Observații</w:t>
            </w:r>
          </w:p>
        </w:tc>
      </w:tr>
      <w:tr>
        <w:tblPrEx>
          <w:tblLayout w:type="fixed"/>
          <w:tblCellMar>
            <w:top w:w="0" w:type="dxa"/>
            <w:left w:w="108" w:type="dxa"/>
            <w:bottom w:w="0" w:type="dxa"/>
            <w:right w:w="108" w:type="dxa"/>
          </w:tblCellMar>
        </w:tblPrEx>
        <w:trPr>
          <w:trHeight w:val="581" w:hRule="atLeast"/>
        </w:trPr>
        <w:tc>
          <w:tcPr>
            <w:tcW w:w="3808" w:type="dxa"/>
            <w:gridSpan w:val="2"/>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eastAsia="Times New Roman" w:asciiTheme="majorHAnsi" w:hAnsiTheme="majorHAnsi" w:cstheme="majorHAnsi"/>
                <w:color w:val="000000"/>
                <w:sz w:val="16"/>
                <w:szCs w:val="16"/>
                <w:lang w:val="en-US"/>
              </w:rPr>
            </w:pPr>
          </w:p>
        </w:tc>
        <w:tc>
          <w:tcPr>
            <w:tcW w:w="1669" w:type="dxa"/>
            <w:gridSpan w:val="2"/>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eastAsia="Times New Roman" w:asciiTheme="majorHAnsi" w:hAnsiTheme="majorHAnsi" w:cstheme="majorHAnsi"/>
                <w:bCs/>
                <w:color w:val="4F81BD"/>
                <w:sz w:val="16"/>
                <w:szCs w:val="16"/>
                <w:lang w:val="en-US"/>
              </w:rPr>
            </w:pPr>
          </w:p>
        </w:tc>
        <w:tc>
          <w:tcPr>
            <w:tcW w:w="1669" w:type="dxa"/>
            <w:gridSpan w:val="2"/>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ascii="Calibri Light" w:hAnsi="Calibri Light" w:eastAsia="Times New Roman" w:cs="Calibri Light"/>
                <w:bCs/>
                <w:color w:val="4F81BD"/>
                <w:sz w:val="16"/>
                <w:szCs w:val="16"/>
                <w:lang w:val="en-US"/>
              </w:rPr>
            </w:pPr>
          </w:p>
        </w:tc>
        <w:tc>
          <w:tcPr>
            <w:tcW w:w="1764" w:type="dxa"/>
            <w:vMerge w:val="continue"/>
            <w:tcBorders>
              <w:top w:val="nil"/>
              <w:left w:val="single" w:color="FFFFFF" w:sz="4" w:space="0"/>
              <w:bottom w:val="single" w:color="4F81BD" w:sz="4" w:space="0"/>
              <w:right w:val="single" w:color="FFFFFF" w:sz="4" w:space="0"/>
            </w:tcBorders>
            <w:vAlign w:val="center"/>
          </w:tcPr>
          <w:p>
            <w:pPr>
              <w:spacing w:before="0" w:after="0" w:line="240" w:lineRule="auto"/>
              <w:rPr>
                <w:rFonts w:ascii="Calibri Light" w:hAnsi="Calibri Light" w:eastAsia="Times New Roman" w:cs="Calibri Light"/>
                <w:bCs/>
                <w:color w:val="4F81BD"/>
                <w:sz w:val="16"/>
                <w:szCs w:val="16"/>
                <w:lang w:val="en-US"/>
              </w:rPr>
            </w:pPr>
          </w:p>
        </w:tc>
      </w:tr>
      <w:tr>
        <w:tblPrEx>
          <w:tblLayout w:type="fixed"/>
          <w:tblCellMar>
            <w:top w:w="0" w:type="dxa"/>
            <w:left w:w="108" w:type="dxa"/>
            <w:bottom w:w="0" w:type="dxa"/>
            <w:right w:w="108" w:type="dxa"/>
          </w:tblCellMar>
        </w:tblPrEx>
        <w:trPr>
          <w:trHeight w:val="170" w:hRule="atLeast"/>
        </w:trPr>
        <w:tc>
          <w:tcPr>
            <w:tcW w:w="3808" w:type="dxa"/>
            <w:gridSpan w:val="2"/>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eastAsia="Times New Roman" w:asciiTheme="majorHAnsi" w:hAnsiTheme="majorHAnsi" w:cstheme="majorHAnsi"/>
                <w:color w:val="000000"/>
                <w:sz w:val="16"/>
                <w:szCs w:val="16"/>
                <w:lang w:val="en-US"/>
              </w:rPr>
            </w:pPr>
          </w:p>
        </w:tc>
        <w:tc>
          <w:tcPr>
            <w:tcW w:w="834"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Cs/>
                <w:i/>
                <w:color w:val="4F81BD"/>
                <w:sz w:val="16"/>
                <w:szCs w:val="16"/>
                <w:lang w:val="en-US"/>
              </w:rPr>
            </w:pPr>
            <w:r>
              <w:rPr>
                <w:rFonts w:eastAsia="Times New Roman" w:asciiTheme="majorHAnsi" w:hAnsiTheme="majorHAnsi" w:cstheme="majorHAnsi"/>
                <w:bCs/>
                <w:i/>
                <w:color w:val="4F81BD"/>
                <w:sz w:val="16"/>
                <w:szCs w:val="16"/>
                <w:lang w:val="en-US"/>
              </w:rPr>
              <w:t>mil lei</w:t>
            </w:r>
          </w:p>
        </w:tc>
        <w:tc>
          <w:tcPr>
            <w:tcW w:w="835"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Cs/>
                <w:i/>
                <w:color w:val="4F81BD"/>
                <w:sz w:val="16"/>
                <w:szCs w:val="16"/>
                <w:lang w:val="en-US"/>
              </w:rPr>
            </w:pPr>
            <w:r>
              <w:rPr>
                <w:rFonts w:eastAsia="Times New Roman" w:asciiTheme="majorHAnsi" w:hAnsiTheme="majorHAnsi" w:cstheme="majorHAnsi"/>
                <w:bCs/>
                <w:i/>
                <w:color w:val="4F81BD"/>
                <w:sz w:val="16"/>
                <w:szCs w:val="16"/>
                <w:lang w:val="en-US"/>
              </w:rPr>
              <w:t>%</w:t>
            </w:r>
          </w:p>
        </w:tc>
        <w:tc>
          <w:tcPr>
            <w:tcW w:w="834" w:type="dxa"/>
            <w:tcBorders>
              <w:top w:val="nil"/>
              <w:left w:val="nil"/>
              <w:bottom w:val="single" w:color="4F81BD" w:sz="4" w:space="0"/>
              <w:right w:val="single" w:color="FFFFFF" w:sz="4" w:space="0"/>
            </w:tcBorders>
            <w:shd w:val="clear" w:color="auto" w:fill="auto"/>
          </w:tcPr>
          <w:p>
            <w:pPr>
              <w:spacing w:before="0" w:after="0" w:line="240" w:lineRule="auto"/>
              <w:jc w:val="right"/>
              <w:rPr>
                <w:rFonts w:ascii="Calibri Light" w:hAnsi="Calibri Light" w:eastAsia="Times New Roman" w:cs="Calibri Light"/>
                <w:bCs/>
                <w:i/>
                <w:color w:val="4F81BD"/>
                <w:sz w:val="16"/>
                <w:szCs w:val="16"/>
                <w:lang w:val="en-US"/>
              </w:rPr>
            </w:pPr>
            <w:r>
              <w:rPr>
                <w:rFonts w:ascii="Calibri Light" w:hAnsi="Calibri Light" w:eastAsia="Times New Roman" w:cs="Calibri Light"/>
                <w:bCs/>
                <w:i/>
                <w:color w:val="4F81BD"/>
                <w:sz w:val="16"/>
                <w:szCs w:val="16"/>
                <w:lang w:val="en-US"/>
              </w:rPr>
              <w:t>mil lei</w:t>
            </w:r>
          </w:p>
        </w:tc>
        <w:tc>
          <w:tcPr>
            <w:tcW w:w="835" w:type="dxa"/>
            <w:tcBorders>
              <w:top w:val="nil"/>
              <w:left w:val="nil"/>
              <w:bottom w:val="single" w:color="4F81BD" w:sz="4" w:space="0"/>
              <w:right w:val="single" w:color="FFFFFF" w:sz="4" w:space="0"/>
            </w:tcBorders>
            <w:shd w:val="clear" w:color="auto" w:fill="auto"/>
          </w:tcPr>
          <w:p>
            <w:pPr>
              <w:spacing w:before="0" w:after="0" w:line="240" w:lineRule="auto"/>
              <w:jc w:val="right"/>
              <w:rPr>
                <w:rFonts w:ascii="Calibri Light" w:hAnsi="Calibri Light" w:eastAsia="Times New Roman" w:cs="Calibri Light"/>
                <w:bCs/>
                <w:i/>
                <w:color w:val="4F81BD"/>
                <w:sz w:val="16"/>
                <w:szCs w:val="16"/>
                <w:lang w:val="en-US"/>
              </w:rPr>
            </w:pPr>
            <w:r>
              <w:rPr>
                <w:rFonts w:ascii="Calibri Light" w:hAnsi="Calibri Light" w:eastAsia="Times New Roman" w:cs="Calibri Light"/>
                <w:bCs/>
                <w:i/>
                <w:color w:val="4F81BD"/>
                <w:sz w:val="16"/>
                <w:szCs w:val="16"/>
                <w:lang w:val="en-US"/>
              </w:rPr>
              <w:t>%</w:t>
            </w:r>
          </w:p>
        </w:tc>
        <w:tc>
          <w:tcPr>
            <w:tcW w:w="1764" w:type="dxa"/>
            <w:tcBorders>
              <w:top w:val="nil"/>
              <w:left w:val="nil"/>
              <w:bottom w:val="single" w:color="4F81BD" w:sz="4" w:space="0"/>
              <w:right w:val="single" w:color="FFFFFF" w:sz="4" w:space="0"/>
            </w:tcBorders>
            <w:shd w:val="clear" w:color="auto" w:fill="auto"/>
          </w:tcPr>
          <w:p>
            <w:pPr>
              <w:spacing w:before="0" w:after="0" w:line="240" w:lineRule="auto"/>
              <w:jc w:val="right"/>
              <w:rPr>
                <w:rFonts w:ascii="Calibri Light" w:hAnsi="Calibri Light" w:eastAsia="Times New Roman" w:cs="Calibri Light"/>
                <w:bCs/>
                <w:i/>
                <w:color w:val="4F81BD"/>
                <w:sz w:val="16"/>
                <w:szCs w:val="16"/>
                <w:lang w:val="en-US"/>
              </w:rPr>
            </w:pPr>
            <w:r>
              <w:rPr>
                <w:rFonts w:ascii="Calibri Light" w:hAnsi="Calibri Light" w:eastAsia="Times New Roman" w:cs="Calibri Light"/>
                <w:bCs/>
                <w:i/>
                <w:color w:val="4F81BD"/>
                <w:sz w:val="16"/>
                <w:szCs w:val="16"/>
                <w:lang w:val="en-US"/>
              </w:rPr>
              <w:t> </w:t>
            </w:r>
          </w:p>
        </w:tc>
      </w:tr>
      <w:tr>
        <w:tblPrEx>
          <w:tblLayout w:type="fixed"/>
          <w:tblCellMar>
            <w:top w:w="0" w:type="dxa"/>
            <w:left w:w="108" w:type="dxa"/>
            <w:bottom w:w="0" w:type="dxa"/>
            <w:right w:w="108" w:type="dxa"/>
          </w:tblCellMar>
        </w:tblPrEx>
        <w:trPr>
          <w:trHeight w:val="170" w:hRule="atLeast"/>
        </w:trPr>
        <w:tc>
          <w:tcPr>
            <w:tcW w:w="3808" w:type="dxa"/>
            <w:gridSpan w:val="2"/>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bCs/>
                <w:color w:val="000000"/>
                <w:sz w:val="16"/>
                <w:szCs w:val="16"/>
                <w:lang w:val="en-US"/>
              </w:rPr>
            </w:pPr>
            <w:r>
              <w:rPr>
                <w:rFonts w:eastAsia="Times New Roman" w:asciiTheme="majorHAnsi" w:hAnsiTheme="majorHAnsi" w:cstheme="majorHAnsi"/>
                <w:bCs/>
                <w:color w:val="000000"/>
                <w:sz w:val="16"/>
                <w:szCs w:val="16"/>
                <w:lang w:val="en-US"/>
              </w:rPr>
              <w:t>Total instituții de credit, din care:</w:t>
            </w:r>
          </w:p>
        </w:tc>
        <w:tc>
          <w:tcPr>
            <w:tcW w:w="834"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Cs/>
                <w:color w:val="000000"/>
                <w:sz w:val="16"/>
                <w:szCs w:val="16"/>
                <w:lang w:val="en-US"/>
              </w:rPr>
            </w:pPr>
            <w:r>
              <w:rPr>
                <w:rFonts w:eastAsia="Times New Roman" w:asciiTheme="majorHAnsi" w:hAnsiTheme="majorHAnsi" w:cstheme="majorHAnsi"/>
                <w:bCs/>
                <w:color w:val="000000"/>
                <w:sz w:val="16"/>
                <w:szCs w:val="16"/>
                <w:lang w:val="en-US"/>
              </w:rPr>
              <w:t>560.034</w:t>
            </w:r>
          </w:p>
        </w:tc>
        <w:tc>
          <w:tcPr>
            <w:tcW w:w="835"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Cs/>
                <w:color w:val="000000"/>
                <w:sz w:val="16"/>
                <w:szCs w:val="16"/>
                <w:lang w:val="en-US"/>
              </w:rPr>
            </w:pPr>
            <w:r>
              <w:rPr>
                <w:rFonts w:eastAsia="Times New Roman" w:asciiTheme="majorHAnsi" w:hAnsiTheme="majorHAnsi" w:cstheme="majorHAnsi"/>
                <w:bCs/>
                <w:color w:val="000000"/>
                <w:sz w:val="16"/>
                <w:szCs w:val="16"/>
                <w:lang w:val="en-US"/>
              </w:rPr>
              <w:t>100,00</w:t>
            </w:r>
          </w:p>
        </w:tc>
        <w:tc>
          <w:tcPr>
            <w:tcW w:w="834" w:type="dxa"/>
            <w:tcBorders>
              <w:top w:val="nil"/>
              <w:left w:val="nil"/>
              <w:bottom w:val="single" w:color="4F81BD" w:sz="4" w:space="0"/>
              <w:right w:val="single" w:color="FFFFFF" w:sz="4" w:space="0"/>
            </w:tcBorders>
            <w:shd w:val="clear" w:color="auto" w:fill="auto"/>
          </w:tcPr>
          <w:p>
            <w:pPr>
              <w:spacing w:before="0" w:after="0" w:line="240" w:lineRule="auto"/>
              <w:jc w:val="right"/>
              <w:rPr>
                <w:rFonts w:ascii="Calibri Light" w:hAnsi="Calibri Light" w:eastAsia="Times New Roman" w:cs="Calibri Light"/>
                <w:bCs/>
                <w:color w:val="000000"/>
                <w:sz w:val="16"/>
                <w:szCs w:val="16"/>
                <w:lang w:val="en-US"/>
              </w:rPr>
            </w:pPr>
            <w:r>
              <w:rPr>
                <w:rFonts w:ascii="Calibri Light" w:hAnsi="Calibri Light" w:eastAsia="Times New Roman" w:cs="Calibri Light"/>
                <w:bCs/>
                <w:color w:val="000000"/>
                <w:sz w:val="16"/>
                <w:szCs w:val="16"/>
                <w:lang w:val="en-US"/>
              </w:rPr>
              <w:t>495.298</w:t>
            </w:r>
          </w:p>
        </w:tc>
        <w:tc>
          <w:tcPr>
            <w:tcW w:w="835" w:type="dxa"/>
            <w:tcBorders>
              <w:top w:val="nil"/>
              <w:left w:val="nil"/>
              <w:bottom w:val="single" w:color="4F81BD" w:sz="4" w:space="0"/>
              <w:right w:val="single" w:color="FFFFFF" w:sz="4" w:space="0"/>
            </w:tcBorders>
            <w:shd w:val="clear" w:color="auto" w:fill="auto"/>
          </w:tcPr>
          <w:p>
            <w:pPr>
              <w:spacing w:before="0" w:after="0" w:line="240" w:lineRule="auto"/>
              <w:jc w:val="right"/>
              <w:rPr>
                <w:rFonts w:ascii="Calibri Light" w:hAnsi="Calibri Light" w:eastAsia="Times New Roman" w:cs="Calibri Light"/>
                <w:bCs/>
                <w:color w:val="000000"/>
                <w:sz w:val="16"/>
                <w:szCs w:val="16"/>
                <w:lang w:val="en-US"/>
              </w:rPr>
            </w:pPr>
            <w:r>
              <w:rPr>
                <w:rFonts w:ascii="Calibri Light" w:hAnsi="Calibri Light" w:eastAsia="Times New Roman" w:cs="Calibri Light"/>
                <w:bCs/>
                <w:color w:val="000000"/>
                <w:sz w:val="16"/>
                <w:szCs w:val="16"/>
                <w:lang w:val="en-US"/>
              </w:rPr>
              <w:t>100,00</w:t>
            </w:r>
          </w:p>
        </w:tc>
        <w:tc>
          <w:tcPr>
            <w:tcW w:w="1764" w:type="dxa"/>
            <w:tcBorders>
              <w:top w:val="nil"/>
              <w:left w:val="nil"/>
              <w:bottom w:val="single" w:color="4F81BD" w:sz="4" w:space="0"/>
              <w:right w:val="single" w:color="FFFFFF" w:sz="4" w:space="0"/>
            </w:tcBorders>
            <w:shd w:val="clear" w:color="auto" w:fill="auto"/>
          </w:tcPr>
          <w:p>
            <w:pPr>
              <w:spacing w:before="0" w:after="0" w:line="240" w:lineRule="auto"/>
              <w:rPr>
                <w:rFonts w:ascii="Calibri Light" w:hAnsi="Calibri Light" w:eastAsia="Times New Roman" w:cs="Calibri Light"/>
                <w:color w:val="000000"/>
                <w:sz w:val="16"/>
                <w:szCs w:val="16"/>
                <w:lang w:val="en-US"/>
              </w:rPr>
            </w:pPr>
            <w:r>
              <w:rPr>
                <w:rFonts w:ascii="Calibri Light" w:hAnsi="Calibri Light" w:eastAsia="Times New Roman" w:cs="Calibri Light"/>
                <w:color w:val="000000"/>
                <w:sz w:val="16"/>
                <w:szCs w:val="16"/>
                <w:lang w:val="en-US"/>
              </w:rPr>
              <w:t> </w:t>
            </w:r>
          </w:p>
        </w:tc>
      </w:tr>
      <w:tr>
        <w:tblPrEx>
          <w:tblLayout w:type="fixed"/>
          <w:tblCellMar>
            <w:top w:w="0" w:type="dxa"/>
            <w:left w:w="108" w:type="dxa"/>
            <w:bottom w:w="0" w:type="dxa"/>
            <w:right w:w="108" w:type="dxa"/>
          </w:tblCellMar>
        </w:tblPrEx>
        <w:trPr>
          <w:trHeight w:val="170" w:hRule="atLeast"/>
        </w:trPr>
        <w:tc>
          <w:tcPr>
            <w:tcW w:w="3808" w:type="dxa"/>
            <w:gridSpan w:val="2"/>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jc w:val="center"/>
              <w:rPr>
                <w:rFonts w:eastAsia="Times New Roman" w:asciiTheme="majorHAnsi" w:hAnsiTheme="majorHAnsi" w:cstheme="majorHAnsi"/>
                <w:b/>
                <w:bCs/>
                <w:sz w:val="16"/>
                <w:szCs w:val="16"/>
                <w:lang w:val="en-US"/>
              </w:rPr>
            </w:pPr>
            <w:r>
              <w:rPr>
                <w:rFonts w:eastAsia="Times New Roman" w:asciiTheme="majorHAnsi" w:hAnsiTheme="majorHAnsi" w:cstheme="majorHAnsi"/>
                <w:b/>
                <w:bCs/>
                <w:sz w:val="16"/>
                <w:szCs w:val="16"/>
                <w:lang w:val="en-US"/>
              </w:rPr>
              <w:t>TOTAL Instituții de credit din sectorul de stat</w:t>
            </w:r>
          </w:p>
        </w:tc>
        <w:tc>
          <w:tcPr>
            <w:tcW w:w="834"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
                <w:bCs/>
                <w:sz w:val="16"/>
                <w:szCs w:val="16"/>
                <w:lang w:val="en-US"/>
              </w:rPr>
            </w:pPr>
            <w:r>
              <w:rPr>
                <w:rFonts w:eastAsia="Times New Roman" w:asciiTheme="majorHAnsi" w:hAnsiTheme="majorHAnsi" w:cstheme="majorHAnsi"/>
                <w:b/>
                <w:bCs/>
                <w:sz w:val="16"/>
                <w:szCs w:val="16"/>
                <w:lang w:val="en-US"/>
              </w:rPr>
              <w:t>59.560</w:t>
            </w:r>
          </w:p>
        </w:tc>
        <w:tc>
          <w:tcPr>
            <w:tcW w:w="835"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
                <w:bCs/>
                <w:sz w:val="16"/>
                <w:szCs w:val="16"/>
                <w:lang w:val="en-US"/>
              </w:rPr>
            </w:pPr>
            <w:r>
              <w:rPr>
                <w:rFonts w:eastAsia="Times New Roman" w:asciiTheme="majorHAnsi" w:hAnsiTheme="majorHAnsi" w:cstheme="majorHAnsi"/>
                <w:b/>
                <w:bCs/>
                <w:sz w:val="16"/>
                <w:szCs w:val="16"/>
                <w:lang w:val="en-US"/>
              </w:rPr>
              <w:t>10,64</w:t>
            </w:r>
          </w:p>
        </w:tc>
        <w:tc>
          <w:tcPr>
            <w:tcW w:w="834" w:type="dxa"/>
            <w:tcBorders>
              <w:top w:val="nil"/>
              <w:left w:val="nil"/>
              <w:bottom w:val="single" w:color="4F81BD" w:sz="4" w:space="0"/>
              <w:right w:val="single" w:color="FFFFFF" w:sz="4" w:space="0"/>
            </w:tcBorders>
            <w:shd w:val="clear" w:color="auto" w:fill="auto"/>
          </w:tcPr>
          <w:p>
            <w:pPr>
              <w:spacing w:before="0" w:after="0" w:line="240" w:lineRule="auto"/>
              <w:jc w:val="right"/>
              <w:rPr>
                <w:rFonts w:ascii="Calibri Light" w:hAnsi="Calibri Light" w:eastAsia="Times New Roman" w:cs="Calibri Light"/>
                <w:b/>
                <w:bCs/>
                <w:sz w:val="16"/>
                <w:szCs w:val="16"/>
                <w:lang w:val="en-US"/>
              </w:rPr>
            </w:pPr>
            <w:r>
              <w:rPr>
                <w:rFonts w:ascii="Calibri Light" w:hAnsi="Calibri Light" w:eastAsia="Times New Roman" w:cs="Calibri Light"/>
                <w:b/>
                <w:bCs/>
                <w:sz w:val="16"/>
                <w:szCs w:val="16"/>
                <w:lang w:val="en-US"/>
              </w:rPr>
              <w:t>40.649</w:t>
            </w:r>
          </w:p>
        </w:tc>
        <w:tc>
          <w:tcPr>
            <w:tcW w:w="835" w:type="dxa"/>
            <w:tcBorders>
              <w:top w:val="nil"/>
              <w:left w:val="nil"/>
              <w:bottom w:val="single" w:color="4F81BD" w:sz="4" w:space="0"/>
              <w:right w:val="single" w:color="FFFFFF" w:sz="4" w:space="0"/>
            </w:tcBorders>
            <w:shd w:val="clear" w:color="auto" w:fill="auto"/>
          </w:tcPr>
          <w:p>
            <w:pPr>
              <w:spacing w:before="0" w:after="0" w:line="240" w:lineRule="auto"/>
              <w:jc w:val="right"/>
              <w:rPr>
                <w:rFonts w:ascii="Calibri Light" w:hAnsi="Calibri Light" w:eastAsia="Times New Roman" w:cs="Calibri Light"/>
                <w:b/>
                <w:bCs/>
                <w:sz w:val="16"/>
                <w:szCs w:val="16"/>
                <w:lang w:val="en-US"/>
              </w:rPr>
            </w:pPr>
            <w:r>
              <w:rPr>
                <w:rFonts w:ascii="Calibri Light" w:hAnsi="Calibri Light" w:eastAsia="Times New Roman" w:cs="Calibri Light"/>
                <w:b/>
                <w:bCs/>
                <w:sz w:val="16"/>
                <w:szCs w:val="16"/>
                <w:lang w:val="en-US"/>
              </w:rPr>
              <w:t>8,21</w:t>
            </w:r>
          </w:p>
        </w:tc>
        <w:tc>
          <w:tcPr>
            <w:tcW w:w="1764" w:type="dxa"/>
            <w:tcBorders>
              <w:top w:val="nil"/>
              <w:left w:val="nil"/>
              <w:bottom w:val="single" w:color="4F81BD" w:sz="4" w:space="0"/>
              <w:right w:val="single" w:color="FFFFFF" w:sz="4" w:space="0"/>
            </w:tcBorders>
            <w:shd w:val="clear" w:color="auto" w:fill="auto"/>
          </w:tcPr>
          <w:p>
            <w:pPr>
              <w:spacing w:before="0" w:after="0" w:line="240" w:lineRule="auto"/>
              <w:rPr>
                <w:rFonts w:ascii="Calibri Light" w:hAnsi="Calibri Light" w:eastAsia="Times New Roman" w:cs="Calibri Light"/>
                <w:color w:val="000000"/>
                <w:sz w:val="16"/>
                <w:szCs w:val="16"/>
                <w:lang w:val="en-US"/>
              </w:rPr>
            </w:pPr>
            <w:r>
              <w:rPr>
                <w:rFonts w:ascii="Calibri Light" w:hAnsi="Calibri Light" w:eastAsia="Times New Roman" w:cs="Calibri Light"/>
                <w:color w:val="000000"/>
                <w:sz w:val="16"/>
                <w:szCs w:val="16"/>
                <w:lang w:val="en-US"/>
              </w:rPr>
              <w:t> </w:t>
            </w:r>
          </w:p>
        </w:tc>
      </w:tr>
      <w:tr>
        <w:tblPrEx>
          <w:tblLayout w:type="fixed"/>
          <w:tblCellMar>
            <w:top w:w="0" w:type="dxa"/>
            <w:left w:w="108" w:type="dxa"/>
            <w:bottom w:w="0" w:type="dxa"/>
            <w:right w:w="108" w:type="dxa"/>
          </w:tblCellMar>
        </w:tblPrEx>
        <w:trPr>
          <w:trHeight w:val="170" w:hRule="atLeast"/>
        </w:trPr>
        <w:tc>
          <w:tcPr>
            <w:tcW w:w="592" w:type="dxa"/>
            <w:tcBorders>
              <w:top w:val="nil"/>
              <w:left w:val="single" w:color="FFFFFF" w:sz="4"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1.</w:t>
            </w:r>
          </w:p>
        </w:tc>
        <w:tc>
          <w:tcPr>
            <w:tcW w:w="3216"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CEC Bank</w:t>
            </w:r>
          </w:p>
        </w:tc>
        <w:tc>
          <w:tcPr>
            <w:tcW w:w="834"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41.298</w:t>
            </w:r>
          </w:p>
        </w:tc>
        <w:tc>
          <w:tcPr>
            <w:tcW w:w="835"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7,37</w:t>
            </w:r>
          </w:p>
        </w:tc>
        <w:tc>
          <w:tcPr>
            <w:tcW w:w="834" w:type="dxa"/>
            <w:tcBorders>
              <w:top w:val="nil"/>
              <w:left w:val="nil"/>
              <w:bottom w:val="single" w:color="4F81BD" w:sz="4" w:space="0"/>
              <w:right w:val="single" w:color="FFFFFF" w:sz="4" w:space="0"/>
            </w:tcBorders>
            <w:shd w:val="clear" w:color="auto" w:fill="auto"/>
          </w:tcPr>
          <w:p>
            <w:pPr>
              <w:spacing w:before="0" w:after="0" w:line="240" w:lineRule="auto"/>
              <w:jc w:val="right"/>
              <w:rPr>
                <w:rFonts w:ascii="Calibri Light" w:hAnsi="Calibri Light" w:eastAsia="Times New Roman" w:cs="Calibri Light"/>
                <w:color w:val="000000"/>
                <w:sz w:val="16"/>
                <w:szCs w:val="16"/>
                <w:lang w:val="en-US"/>
              </w:rPr>
            </w:pPr>
            <w:r>
              <w:rPr>
                <w:rFonts w:ascii="Calibri Light" w:hAnsi="Calibri Light" w:eastAsia="Times New Roman" w:cs="Calibri Light"/>
                <w:color w:val="000000"/>
                <w:sz w:val="16"/>
                <w:szCs w:val="16"/>
                <w:lang w:val="en-US"/>
              </w:rPr>
              <w:t>32.898</w:t>
            </w:r>
          </w:p>
        </w:tc>
        <w:tc>
          <w:tcPr>
            <w:tcW w:w="835" w:type="dxa"/>
            <w:tcBorders>
              <w:top w:val="nil"/>
              <w:left w:val="nil"/>
              <w:bottom w:val="single" w:color="4F81BD" w:sz="4" w:space="0"/>
              <w:right w:val="single" w:color="FFFFFF" w:sz="4" w:space="0"/>
            </w:tcBorders>
            <w:shd w:val="clear" w:color="auto" w:fill="auto"/>
          </w:tcPr>
          <w:p>
            <w:pPr>
              <w:spacing w:before="0" w:after="0" w:line="240" w:lineRule="auto"/>
              <w:jc w:val="right"/>
              <w:rPr>
                <w:rFonts w:ascii="Calibri Light" w:hAnsi="Calibri Light" w:eastAsia="Times New Roman" w:cs="Calibri Light"/>
                <w:color w:val="000000"/>
                <w:sz w:val="16"/>
                <w:szCs w:val="16"/>
                <w:lang w:val="en-US"/>
              </w:rPr>
            </w:pPr>
            <w:r>
              <w:rPr>
                <w:rFonts w:ascii="Calibri Light" w:hAnsi="Calibri Light" w:eastAsia="Times New Roman" w:cs="Calibri Light"/>
                <w:color w:val="000000"/>
                <w:sz w:val="16"/>
                <w:szCs w:val="16"/>
                <w:lang w:val="en-US"/>
              </w:rPr>
              <w:t>6,64</w:t>
            </w:r>
          </w:p>
        </w:tc>
        <w:tc>
          <w:tcPr>
            <w:tcW w:w="1764" w:type="dxa"/>
            <w:tcBorders>
              <w:top w:val="nil"/>
              <w:left w:val="nil"/>
              <w:bottom w:val="single" w:color="4F81BD" w:sz="4" w:space="0"/>
              <w:right w:val="single" w:color="FFFFFF" w:sz="4" w:space="0"/>
            </w:tcBorders>
            <w:shd w:val="clear" w:color="auto" w:fill="auto"/>
          </w:tcPr>
          <w:p>
            <w:pPr>
              <w:spacing w:before="0" w:after="0" w:line="240" w:lineRule="auto"/>
              <w:rPr>
                <w:rFonts w:ascii="Calibri Light" w:hAnsi="Calibri Light" w:eastAsia="Times New Roman" w:cs="Calibri Light"/>
                <w:color w:val="000000"/>
                <w:sz w:val="16"/>
                <w:szCs w:val="16"/>
                <w:lang w:val="en-US"/>
              </w:rPr>
            </w:pPr>
            <w:r>
              <w:rPr>
                <w:rFonts w:ascii="Calibri Light" w:hAnsi="Calibri Light" w:eastAsia="Times New Roman" w:cs="Calibri Light"/>
                <w:color w:val="000000"/>
                <w:sz w:val="16"/>
                <w:szCs w:val="16"/>
                <w:lang w:val="en-US"/>
              </w:rPr>
              <w:t> </w:t>
            </w:r>
          </w:p>
        </w:tc>
      </w:tr>
      <w:tr>
        <w:tblPrEx>
          <w:tblLayout w:type="fixed"/>
          <w:tblCellMar>
            <w:top w:w="0" w:type="dxa"/>
            <w:left w:w="108" w:type="dxa"/>
            <w:bottom w:w="0" w:type="dxa"/>
            <w:right w:w="108" w:type="dxa"/>
          </w:tblCellMar>
        </w:tblPrEx>
        <w:trPr>
          <w:trHeight w:val="255" w:hRule="atLeast"/>
        </w:trPr>
        <w:tc>
          <w:tcPr>
            <w:tcW w:w="592" w:type="dxa"/>
            <w:tcBorders>
              <w:top w:val="nil"/>
              <w:left w:val="single" w:color="FFFFFF" w:sz="4"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2.</w:t>
            </w:r>
          </w:p>
        </w:tc>
        <w:tc>
          <w:tcPr>
            <w:tcW w:w="3216"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Banca de Export-Import a României Eximbank</w:t>
            </w:r>
          </w:p>
        </w:tc>
        <w:tc>
          <w:tcPr>
            <w:tcW w:w="834"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11.796</w:t>
            </w:r>
          </w:p>
        </w:tc>
        <w:tc>
          <w:tcPr>
            <w:tcW w:w="835"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2,11</w:t>
            </w:r>
          </w:p>
        </w:tc>
        <w:tc>
          <w:tcPr>
            <w:tcW w:w="834" w:type="dxa"/>
            <w:tcBorders>
              <w:top w:val="nil"/>
              <w:left w:val="nil"/>
              <w:bottom w:val="single" w:color="4F81BD" w:sz="4" w:space="0"/>
              <w:right w:val="single" w:color="FFFFFF" w:sz="4" w:space="0"/>
            </w:tcBorders>
            <w:shd w:val="clear" w:color="auto" w:fill="auto"/>
          </w:tcPr>
          <w:p>
            <w:pPr>
              <w:spacing w:before="0" w:after="0" w:line="240" w:lineRule="auto"/>
              <w:jc w:val="right"/>
              <w:rPr>
                <w:rFonts w:ascii="Calibri Light" w:hAnsi="Calibri Light" w:eastAsia="Times New Roman" w:cs="Calibri Light"/>
                <w:color w:val="000000"/>
                <w:sz w:val="16"/>
                <w:szCs w:val="16"/>
                <w:lang w:val="en-US"/>
              </w:rPr>
            </w:pPr>
            <w:r>
              <w:rPr>
                <w:rFonts w:ascii="Calibri Light" w:hAnsi="Calibri Light" w:eastAsia="Times New Roman" w:cs="Calibri Light"/>
                <w:color w:val="000000"/>
                <w:sz w:val="16"/>
                <w:szCs w:val="16"/>
                <w:lang w:val="en-US"/>
              </w:rPr>
              <w:t>7.751</w:t>
            </w:r>
          </w:p>
        </w:tc>
        <w:tc>
          <w:tcPr>
            <w:tcW w:w="835" w:type="dxa"/>
            <w:tcBorders>
              <w:top w:val="nil"/>
              <w:left w:val="nil"/>
              <w:bottom w:val="single" w:color="4F81BD" w:sz="4" w:space="0"/>
              <w:right w:val="single" w:color="FFFFFF" w:sz="4" w:space="0"/>
            </w:tcBorders>
            <w:shd w:val="clear" w:color="auto" w:fill="auto"/>
          </w:tcPr>
          <w:p>
            <w:pPr>
              <w:spacing w:before="0" w:after="0" w:line="240" w:lineRule="auto"/>
              <w:jc w:val="right"/>
              <w:rPr>
                <w:rFonts w:ascii="Calibri Light" w:hAnsi="Calibri Light" w:eastAsia="Times New Roman" w:cs="Calibri Light"/>
                <w:color w:val="000000"/>
                <w:sz w:val="16"/>
                <w:szCs w:val="16"/>
                <w:lang w:val="en-US"/>
              </w:rPr>
            </w:pPr>
            <w:r>
              <w:rPr>
                <w:rFonts w:ascii="Calibri Light" w:hAnsi="Calibri Light" w:eastAsia="Times New Roman" w:cs="Calibri Light"/>
                <w:color w:val="000000"/>
                <w:sz w:val="16"/>
                <w:szCs w:val="16"/>
                <w:lang w:val="en-US"/>
              </w:rPr>
              <w:t>1,57</w:t>
            </w:r>
          </w:p>
        </w:tc>
        <w:tc>
          <w:tcPr>
            <w:tcW w:w="1764" w:type="dxa"/>
            <w:tcBorders>
              <w:top w:val="nil"/>
              <w:left w:val="nil"/>
              <w:bottom w:val="single" w:color="4F81BD" w:sz="4" w:space="0"/>
              <w:right w:val="single" w:color="FFFFFF" w:sz="4" w:space="0"/>
            </w:tcBorders>
            <w:shd w:val="clear" w:color="auto" w:fill="auto"/>
          </w:tcPr>
          <w:p>
            <w:pPr>
              <w:spacing w:before="0" w:after="0" w:line="240" w:lineRule="auto"/>
              <w:rPr>
                <w:rFonts w:ascii="Calibri Light" w:hAnsi="Calibri Light" w:eastAsia="Times New Roman" w:cs="Calibri Light"/>
                <w:color w:val="000000"/>
                <w:sz w:val="16"/>
                <w:szCs w:val="16"/>
                <w:lang w:val="en-US"/>
              </w:rPr>
            </w:pPr>
            <w:r>
              <w:rPr>
                <w:rFonts w:ascii="Calibri Light" w:hAnsi="Calibri Light" w:eastAsia="Times New Roman" w:cs="Calibri Light"/>
                <w:color w:val="000000"/>
                <w:sz w:val="16"/>
                <w:szCs w:val="16"/>
                <w:lang w:val="en-US"/>
              </w:rPr>
              <w:t> </w:t>
            </w:r>
          </w:p>
        </w:tc>
      </w:tr>
      <w:tr>
        <w:tblPrEx>
          <w:tblLayout w:type="fixed"/>
          <w:tblCellMar>
            <w:top w:w="0" w:type="dxa"/>
            <w:left w:w="108" w:type="dxa"/>
            <w:bottom w:w="0" w:type="dxa"/>
            <w:right w:w="108" w:type="dxa"/>
          </w:tblCellMar>
        </w:tblPrEx>
        <w:trPr>
          <w:trHeight w:val="383" w:hRule="atLeast"/>
        </w:trPr>
        <w:tc>
          <w:tcPr>
            <w:tcW w:w="592" w:type="dxa"/>
            <w:tcBorders>
              <w:top w:val="nil"/>
              <w:left w:val="single" w:color="FFFFFF" w:sz="4"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3.</w:t>
            </w:r>
          </w:p>
        </w:tc>
        <w:tc>
          <w:tcPr>
            <w:tcW w:w="3216"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Banca Românească</w:t>
            </w:r>
          </w:p>
        </w:tc>
        <w:tc>
          <w:tcPr>
            <w:tcW w:w="834"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6.467</w:t>
            </w:r>
          </w:p>
        </w:tc>
        <w:tc>
          <w:tcPr>
            <w:tcW w:w="835"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1,16</w:t>
            </w:r>
          </w:p>
        </w:tc>
        <w:tc>
          <w:tcPr>
            <w:tcW w:w="834" w:type="dxa"/>
            <w:tcBorders>
              <w:top w:val="nil"/>
              <w:left w:val="nil"/>
              <w:bottom w:val="single" w:color="4F81BD" w:sz="4" w:space="0"/>
              <w:right w:val="single" w:color="FFFFFF" w:sz="4" w:space="0"/>
            </w:tcBorders>
            <w:shd w:val="clear" w:color="auto" w:fill="auto"/>
          </w:tcPr>
          <w:p>
            <w:pPr>
              <w:spacing w:before="0" w:after="0" w:line="240" w:lineRule="auto"/>
              <w:jc w:val="right"/>
              <w:rPr>
                <w:rFonts w:ascii="Calibri Light" w:hAnsi="Calibri Light" w:eastAsia="Times New Roman" w:cs="Calibri Light"/>
                <w:color w:val="000000"/>
                <w:sz w:val="16"/>
                <w:szCs w:val="16"/>
                <w:lang w:val="en-US"/>
              </w:rPr>
            </w:pPr>
            <w:r>
              <w:rPr>
                <w:rFonts w:ascii="Calibri Light" w:hAnsi="Calibri Light" w:eastAsia="Times New Roman" w:cs="Calibri Light"/>
                <w:color w:val="000000"/>
                <w:sz w:val="16"/>
                <w:szCs w:val="16"/>
                <w:lang w:val="en-US"/>
              </w:rPr>
              <w:t> </w:t>
            </w:r>
          </w:p>
        </w:tc>
        <w:tc>
          <w:tcPr>
            <w:tcW w:w="835" w:type="dxa"/>
            <w:tcBorders>
              <w:top w:val="nil"/>
              <w:left w:val="nil"/>
              <w:bottom w:val="single" w:color="4F81BD" w:sz="4" w:space="0"/>
              <w:right w:val="single" w:color="FFFFFF" w:sz="4" w:space="0"/>
            </w:tcBorders>
            <w:shd w:val="clear" w:color="auto" w:fill="auto"/>
          </w:tcPr>
          <w:p>
            <w:pPr>
              <w:spacing w:before="0" w:after="0" w:line="240" w:lineRule="auto"/>
              <w:jc w:val="right"/>
              <w:rPr>
                <w:rFonts w:ascii="Calibri Light" w:hAnsi="Calibri Light" w:eastAsia="Times New Roman" w:cs="Calibri Light"/>
                <w:color w:val="000000"/>
                <w:sz w:val="16"/>
                <w:szCs w:val="16"/>
                <w:lang w:val="en-US"/>
              </w:rPr>
            </w:pPr>
            <w:r>
              <w:rPr>
                <w:rFonts w:ascii="Calibri Light" w:hAnsi="Calibri Light" w:eastAsia="Times New Roman" w:cs="Calibri Light"/>
                <w:color w:val="000000"/>
                <w:sz w:val="16"/>
                <w:szCs w:val="16"/>
                <w:lang w:val="en-US"/>
              </w:rPr>
              <w:t>0,00</w:t>
            </w:r>
          </w:p>
        </w:tc>
        <w:tc>
          <w:tcPr>
            <w:tcW w:w="1764" w:type="dxa"/>
            <w:tcBorders>
              <w:top w:val="nil"/>
              <w:left w:val="nil"/>
              <w:bottom w:val="single" w:color="4F81BD" w:sz="4" w:space="0"/>
              <w:right w:val="single" w:color="FFFFFF" w:sz="4" w:space="0"/>
            </w:tcBorders>
            <w:shd w:val="clear" w:color="auto" w:fill="auto"/>
          </w:tcPr>
          <w:p>
            <w:pPr>
              <w:spacing w:before="0" w:after="0" w:line="240" w:lineRule="auto"/>
              <w:jc w:val="right"/>
              <w:rPr>
                <w:rFonts w:ascii="Calibri Light" w:hAnsi="Calibri Light" w:eastAsia="Times New Roman" w:cs="Calibri Light"/>
                <w:color w:val="000000"/>
                <w:sz w:val="16"/>
                <w:szCs w:val="16"/>
                <w:lang w:val="en-US"/>
              </w:rPr>
            </w:pPr>
            <w:r>
              <w:rPr>
                <w:rFonts w:ascii="Calibri Light" w:hAnsi="Calibri Light" w:eastAsia="Times New Roman" w:cs="Calibri Light"/>
                <w:color w:val="000000"/>
                <w:sz w:val="16"/>
                <w:szCs w:val="16"/>
                <w:lang w:val="en-US"/>
              </w:rPr>
              <w:t>în anul 2019 Banca Românească avea capital privat străin</w:t>
            </w:r>
          </w:p>
        </w:tc>
      </w:tr>
      <w:tr>
        <w:tblPrEx>
          <w:tblLayout w:type="fixed"/>
          <w:tblCellMar>
            <w:top w:w="0" w:type="dxa"/>
            <w:left w:w="108" w:type="dxa"/>
            <w:bottom w:w="0" w:type="dxa"/>
            <w:right w:w="108" w:type="dxa"/>
          </w:tblCellMar>
        </w:tblPrEx>
        <w:trPr>
          <w:trHeight w:val="581" w:hRule="atLeast"/>
        </w:trPr>
        <w:tc>
          <w:tcPr>
            <w:tcW w:w="8910" w:type="dxa"/>
            <w:gridSpan w:val="7"/>
            <w:vMerge w:val="restart"/>
            <w:tcBorders>
              <w:top w:val="single" w:color="4F81BD" w:sz="4" w:space="0"/>
              <w:left w:val="nil"/>
              <w:bottom w:val="nil"/>
              <w:right w:val="nil"/>
            </w:tcBorders>
            <w:shd w:val="clear" w:color="auto" w:fill="auto"/>
          </w:tcPr>
          <w:p>
            <w:pPr>
              <w:spacing w:before="0" w:after="0" w:line="240" w:lineRule="auto"/>
              <w:jc w:val="both"/>
              <w:rPr>
                <w:rFonts w:eastAsia="Times New Roman" w:asciiTheme="majorHAnsi" w:hAnsiTheme="majorHAnsi" w:cstheme="majorHAnsi"/>
                <w:i/>
                <w:iCs/>
                <w:color w:val="000000"/>
                <w:sz w:val="16"/>
                <w:szCs w:val="16"/>
                <w:lang w:val="en-US"/>
              </w:rPr>
            </w:pPr>
            <w:r>
              <w:rPr>
                <w:rFonts w:eastAsia="Times New Roman" w:asciiTheme="majorHAnsi" w:hAnsiTheme="majorHAnsi" w:cstheme="majorHAnsi"/>
                <w:i/>
                <w:iCs/>
                <w:color w:val="000000"/>
                <w:sz w:val="16"/>
                <w:szCs w:val="16"/>
                <w:lang w:val="en-US"/>
              </w:rPr>
              <w:t xml:space="preserve">SURSA DATELOR - Raportul anual 2020 al BNR - Supravegherea prudențială a instituțiilor financiare. Raportul poate fi consultat la adresa </w:t>
            </w:r>
            <w:r>
              <w:fldChar w:fldCharType="begin"/>
            </w:r>
            <w:r>
              <w:instrText xml:space="preserve"> HYPERLINK "https://www.bnr.ro/PublicationDocuments.aspx?icid=3043" </w:instrText>
            </w:r>
            <w:r>
              <w:fldChar w:fldCharType="separate"/>
            </w:r>
            <w:r>
              <w:rPr>
                <w:rStyle w:val="34"/>
                <w:rFonts w:eastAsia="Times New Roman" w:asciiTheme="majorHAnsi" w:hAnsiTheme="majorHAnsi" w:cstheme="majorHAnsi"/>
                <w:i/>
                <w:iCs/>
                <w:sz w:val="16"/>
                <w:szCs w:val="16"/>
                <w:lang w:val="en-US"/>
              </w:rPr>
              <w:t>https://www.bnr.ro/PublicationDocuments.aspx?icid=3043</w:t>
            </w:r>
            <w:r>
              <w:rPr>
                <w:rStyle w:val="34"/>
                <w:rFonts w:eastAsia="Times New Roman" w:asciiTheme="majorHAnsi" w:hAnsiTheme="majorHAnsi" w:cstheme="majorHAnsi"/>
                <w:i/>
                <w:iCs/>
                <w:sz w:val="16"/>
                <w:szCs w:val="16"/>
                <w:lang w:val="en-US"/>
              </w:rPr>
              <w:fldChar w:fldCharType="end"/>
            </w:r>
            <w:r>
              <w:rPr>
                <w:rFonts w:eastAsia="Times New Roman" w:asciiTheme="majorHAnsi" w:hAnsiTheme="majorHAnsi" w:cstheme="majorHAnsi"/>
                <w:i/>
                <w:iCs/>
                <w:color w:val="000000"/>
                <w:sz w:val="16"/>
                <w:szCs w:val="16"/>
                <w:lang w:val="en-US"/>
              </w:rPr>
              <w:t xml:space="preserve"> </w:t>
            </w:r>
          </w:p>
        </w:tc>
      </w:tr>
      <w:tr>
        <w:tblPrEx>
          <w:tblLayout w:type="fixed"/>
          <w:tblCellMar>
            <w:top w:w="0" w:type="dxa"/>
            <w:left w:w="108" w:type="dxa"/>
            <w:bottom w:w="0" w:type="dxa"/>
            <w:right w:w="108" w:type="dxa"/>
          </w:tblCellMar>
        </w:tblPrEx>
        <w:trPr>
          <w:trHeight w:val="581" w:hRule="atLeast"/>
        </w:trPr>
        <w:tc>
          <w:tcPr>
            <w:tcW w:w="8910" w:type="dxa"/>
            <w:gridSpan w:val="7"/>
            <w:vMerge w:val="continue"/>
            <w:tcBorders>
              <w:top w:val="single" w:color="4F81BD" w:sz="4" w:space="0"/>
              <w:left w:val="nil"/>
              <w:bottom w:val="nil"/>
              <w:right w:val="nil"/>
            </w:tcBorders>
            <w:vAlign w:val="center"/>
          </w:tcPr>
          <w:p>
            <w:pPr>
              <w:spacing w:before="0" w:after="0" w:line="240" w:lineRule="auto"/>
              <w:rPr>
                <w:rFonts w:ascii="Calibri" w:hAnsi="Calibri" w:eastAsia="Times New Roman" w:cs="Calibri"/>
                <w:i/>
                <w:iCs/>
                <w:color w:val="000000"/>
                <w:sz w:val="16"/>
                <w:szCs w:val="16"/>
                <w:lang w:val="en-US"/>
              </w:rPr>
            </w:pPr>
          </w:p>
        </w:tc>
      </w:tr>
    </w:tbl>
    <w:p>
      <w:pPr>
        <w:spacing w:before="0" w:after="240"/>
        <w:ind w:left="270"/>
        <w:jc w:val="both"/>
      </w:pPr>
    </w:p>
    <w:p>
      <w:pPr>
        <w:spacing w:before="0" w:after="240"/>
        <w:ind w:left="270"/>
        <w:jc w:val="both"/>
        <w:rPr>
          <w:rFonts w:asciiTheme="majorHAnsi" w:hAnsiTheme="majorHAnsi" w:cstheme="majorHAnsi"/>
        </w:rPr>
      </w:pPr>
      <w:r>
        <w:rPr>
          <w:rFonts w:hAnsi="Arial" w:cs="Arial" w:asciiTheme="majorHAnsi"/>
          <w:color w:val="262626" w:themeColor="text1" w:themeTint="D9"/>
          <w14:textFill>
            <w14:solidFill>
              <w14:schemeClr w14:val="tx1">
                <w14:lumMod w14:val="85000"/>
                <w14:lumOff w14:val="15000"/>
              </w14:schemeClr>
            </w14:solidFill>
          </w14:textFill>
        </w:rPr>
        <w:t>Ca urmare a cresterii activitatii de creditare</w:t>
      </w:r>
      <w:r>
        <w:rPr>
          <w:rFonts w:asciiTheme="majorHAnsi" w:hAnsiTheme="majorHAnsi" w:cstheme="majorHAnsi"/>
        </w:rPr>
        <w:t xml:space="preserve">, s-a înregistrat </w:t>
      </w:r>
      <w:r>
        <w:rPr>
          <w:rFonts w:asciiTheme="majorHAnsi" w:hAnsiTheme="majorHAnsi" w:cstheme="majorHAnsi"/>
          <w:b/>
        </w:rPr>
        <w:t>o creștere a cotei de piață</w:t>
      </w:r>
      <w:r>
        <w:rPr>
          <w:rFonts w:asciiTheme="majorHAnsi" w:hAnsiTheme="majorHAnsi" w:cstheme="majorHAnsi"/>
        </w:rPr>
        <w:t xml:space="preserve">, în funcție de activul net, deținută de instituțiile de credit cu capital majoritar de stat, </w:t>
      </w:r>
      <w:r>
        <w:rPr>
          <w:rFonts w:asciiTheme="majorHAnsi" w:hAnsiTheme="majorHAnsi" w:cstheme="majorHAnsi"/>
          <w:b/>
        </w:rPr>
        <w:t>de la 8,2</w:t>
      </w:r>
      <w:r>
        <w:rPr>
          <w:rFonts w:asciiTheme="majorHAnsi" w:hAnsiTheme="majorHAnsi" w:cstheme="majorHAnsi"/>
        </w:rPr>
        <w:t xml:space="preserve">% la 31 decembrie 2019 </w:t>
      </w:r>
      <w:r>
        <w:rPr>
          <w:rFonts w:asciiTheme="majorHAnsi" w:hAnsiTheme="majorHAnsi" w:cstheme="majorHAnsi"/>
          <w:b/>
        </w:rPr>
        <w:t>la 10,6%</w:t>
      </w:r>
      <w:r>
        <w:rPr>
          <w:rFonts w:asciiTheme="majorHAnsi" w:hAnsiTheme="majorHAnsi" w:cstheme="majorHAnsi"/>
        </w:rPr>
        <w:t xml:space="preserve">  la 31 decembrie 2020. </w:t>
      </w:r>
    </w:p>
    <w:p>
      <w:pPr>
        <w:pStyle w:val="69"/>
        <w:jc w:val="both"/>
        <w:outlineLvl w:val="0"/>
        <w:rPr>
          <w:rStyle w:val="67"/>
          <w:rFonts w:asciiTheme="majorHAnsi" w:hAnsiTheme="majorHAnsi" w:cstheme="majorHAnsi"/>
          <w:b/>
          <w:bCs/>
          <w:color w:val="0F6FC6" w:themeColor="accent1"/>
          <w:sz w:val="36"/>
          <w:szCs w:val="36"/>
          <w14:textFill>
            <w14:solidFill>
              <w14:schemeClr w14:val="accent1"/>
            </w14:solidFill>
          </w14:textFill>
        </w:rPr>
      </w:pPr>
      <w:bookmarkStart w:id="15" w:name="_Toc76365826"/>
      <w:r>
        <w:rPr>
          <w:rFonts w:asciiTheme="majorHAnsi" w:hAnsiTheme="majorHAnsi" w:cstheme="majorHAnsi"/>
          <w:b/>
          <w:color w:val="0F6FC6" w:themeColor="accent1"/>
          <w:sz w:val="36"/>
          <w:szCs w:val="36"/>
          <w:lang w:val="ro-RO"/>
          <w14:textFill>
            <w14:solidFill>
              <w14:schemeClr w14:val="accent1"/>
            </w14:solidFill>
          </w14:textFill>
        </w:rPr>
        <w:t>Capitol</w:t>
      </w:r>
      <w:r>
        <w:rPr>
          <w:rFonts w:asciiTheme="majorHAnsi" w:hAnsiTheme="majorHAnsi" w:cstheme="majorHAnsi"/>
          <w:b/>
          <w:color w:val="0F6FC6" w:themeColor="accent1"/>
          <w:sz w:val="36"/>
          <w:szCs w:val="36"/>
          <w14:textFill>
            <w14:solidFill>
              <w14:schemeClr w14:val="accent1"/>
            </w14:solidFill>
          </w14:textFill>
        </w:rPr>
        <w:t xml:space="preserve"> 3 –</w:t>
      </w:r>
      <w:r>
        <w:rPr>
          <w:rStyle w:val="67"/>
          <w:rFonts w:asciiTheme="majorHAnsi" w:hAnsiTheme="majorHAnsi" w:cstheme="majorHAnsi"/>
          <w:b/>
          <w:bCs/>
          <w:color w:val="0F6FC6" w:themeColor="accent1"/>
          <w:sz w:val="36"/>
          <w:szCs w:val="36"/>
          <w14:textFill>
            <w14:solidFill>
              <w14:schemeClr w14:val="accent1"/>
            </w14:solidFill>
          </w14:textFill>
        </w:rPr>
        <w:t xml:space="preserve"> Aplicarea prevederilor privind guvernanța corporativă la societățile aflate în administrarea sau sub autoritatea Ministerului Finanțelor</w:t>
      </w:r>
      <w:bookmarkEnd w:id="15"/>
    </w:p>
    <w:p>
      <w:pPr>
        <w:pStyle w:val="69"/>
        <w:jc w:val="both"/>
        <w:outlineLvl w:val="0"/>
        <w:rPr>
          <w:rStyle w:val="67"/>
          <w:rFonts w:asciiTheme="majorHAnsi" w:hAnsiTheme="majorHAnsi" w:cstheme="majorHAnsi"/>
          <w:b/>
          <w:bCs/>
          <w:color w:val="0F6FC6" w:themeColor="accent1"/>
          <w:sz w:val="36"/>
          <w:szCs w:val="36"/>
          <w14:textFill>
            <w14:solidFill>
              <w14:schemeClr w14:val="accent1"/>
            </w14:solidFill>
          </w14:textFill>
        </w:rPr>
      </w:pPr>
    </w:p>
    <w:p>
      <w:pPr>
        <w:spacing w:before="0" w:after="240"/>
        <w:jc w:val="both"/>
        <w:rPr>
          <w:rFonts w:asciiTheme="majorHAnsi" w:hAnsiTheme="majorHAnsi"/>
        </w:rPr>
      </w:pPr>
      <w:r>
        <w:rPr>
          <w:rFonts w:asciiTheme="majorHAnsi" w:hAnsiTheme="majorHAnsi"/>
        </w:rPr>
        <w:t xml:space="preserve">Conform prevederilor din Legea nr. 111/2016 pentru aprobarea Ordonanței de Urgență a Guvernului nr. 109/2011 privind guvernanța corporativă a întreprinderilor publice, APT aveau obligația înființării structurilor de guvernanță corporativă proprii care să asigure exercitarea atribuțiilor și competențelor prevăzute de legislația privind guvernanța corporativă. </w:t>
      </w:r>
    </w:p>
    <w:p>
      <w:pPr>
        <w:spacing w:before="0" w:after="240"/>
        <w:jc w:val="both"/>
        <w:rPr>
          <w:rFonts w:asciiTheme="majorHAnsi" w:hAnsiTheme="majorHAnsi"/>
        </w:rPr>
      </w:pPr>
      <w:r>
        <w:rPr>
          <w:rFonts w:asciiTheme="majorHAnsi" w:hAnsiTheme="majorHAnsi"/>
        </w:rPr>
        <w:t xml:space="preserve">În temeiul H.G. nr. 34/2009 și O.M.F.P. nr. 2891/2020 Serviciul pentru administrarea participațiilor statului (SAPS) din cadrul Direcției Generale Management al Domeniilor Reglementate Specific a fost desemnat structura de guvernanță corporativă a Ministerului Finanțelor. </w:t>
      </w:r>
    </w:p>
    <w:p>
      <w:pPr>
        <w:spacing w:before="0" w:after="240"/>
        <w:jc w:val="both"/>
        <w:rPr>
          <w:rFonts w:asciiTheme="majorHAnsi" w:hAnsiTheme="majorHAnsi"/>
        </w:rPr>
      </w:pPr>
      <w:r>
        <w:rPr>
          <w:rFonts w:asciiTheme="majorHAnsi" w:hAnsiTheme="majorHAnsi"/>
        </w:rPr>
        <w:t>Astfel dintr-un număr de 8 societăți la care MF deține participații majoritare sau integrale un număr de</w:t>
      </w:r>
      <w:r>
        <w:rPr>
          <w:rFonts w:asciiTheme="majorHAnsi" w:hAnsiTheme="majorHAnsi"/>
          <w:lang w:val="en-US"/>
        </w:rPr>
        <w:t>:</w:t>
      </w:r>
      <w:r>
        <w:rPr>
          <w:rFonts w:asciiTheme="majorHAnsi" w:hAnsiTheme="majorHAnsi"/>
        </w:rPr>
        <w:t xml:space="preserve"> </w:t>
      </w:r>
    </w:p>
    <w:p>
      <w:pPr>
        <w:pStyle w:val="66"/>
        <w:numPr>
          <w:ilvl w:val="0"/>
          <w:numId w:val="16"/>
        </w:numPr>
        <w:spacing w:before="0" w:after="240"/>
        <w:ind w:left="270" w:hanging="270"/>
        <w:jc w:val="both"/>
        <w:rPr>
          <w:rFonts w:asciiTheme="majorHAnsi" w:hAnsiTheme="majorHAnsi"/>
          <w:lang w:val="en-US"/>
        </w:rPr>
      </w:pPr>
      <w:r>
        <w:rPr>
          <w:rFonts w:asciiTheme="majorHAnsi" w:hAnsiTheme="majorHAnsi"/>
        </w:rPr>
        <w:t>5 societăți au obligația să implementeze și să respecte prevederile O.U.G. nr. 109/2011 privind guvernanța corporativă a întreprinderilor publice</w:t>
      </w:r>
      <w:r>
        <w:rPr>
          <w:rFonts w:asciiTheme="majorHAnsi" w:hAnsiTheme="majorHAnsi"/>
          <w:lang w:val="en-US"/>
        </w:rPr>
        <w:t>;</w:t>
      </w:r>
    </w:p>
    <w:p>
      <w:pPr>
        <w:pStyle w:val="66"/>
        <w:numPr>
          <w:ilvl w:val="0"/>
          <w:numId w:val="16"/>
        </w:numPr>
        <w:spacing w:before="0" w:after="240"/>
        <w:ind w:left="270" w:hanging="270"/>
        <w:jc w:val="both"/>
        <w:rPr>
          <w:rFonts w:asciiTheme="majorHAnsi" w:hAnsiTheme="majorHAnsi"/>
          <w:bCs/>
        </w:rPr>
      </w:pPr>
      <w:r>
        <w:rPr>
          <w:rFonts w:asciiTheme="majorHAnsi" w:hAnsiTheme="majorHAnsi"/>
        </w:rPr>
        <w:t>3 societăți se încadrează în categoria instituţiilor de credit și sunt exceptate de la aplicarea prevederilor O.U.G. nr. 109/2011.</w:t>
      </w:r>
    </w:p>
    <w:p>
      <w:pPr>
        <w:pStyle w:val="66"/>
        <w:spacing w:before="0" w:after="240"/>
        <w:ind w:left="270"/>
        <w:jc w:val="both"/>
        <w:rPr>
          <w:rFonts w:asciiTheme="majorHAnsi" w:hAnsiTheme="majorHAnsi"/>
          <w:bCs/>
        </w:rPr>
      </w:pPr>
    </w:p>
    <w:p>
      <w:pPr>
        <w:pStyle w:val="66"/>
        <w:spacing w:before="0" w:after="240"/>
        <w:ind w:left="270"/>
        <w:jc w:val="both"/>
        <w:rPr>
          <w:rFonts w:asciiTheme="majorHAnsi" w:hAnsiTheme="majorHAnsi"/>
          <w:bCs/>
        </w:rPr>
      </w:pPr>
    </w:p>
    <w:p>
      <w:pPr>
        <w:pStyle w:val="66"/>
        <w:ind w:left="0"/>
        <w:jc w:val="both"/>
        <w:outlineLvl w:val="1"/>
        <w:rPr>
          <w:rFonts w:asciiTheme="majorHAnsi" w:hAnsiTheme="majorHAnsi"/>
          <w:b/>
          <w:bCs/>
          <w:color w:val="0F6FC6" w:themeColor="accent1"/>
          <w:sz w:val="28"/>
          <w:szCs w:val="32"/>
          <w14:textFill>
            <w14:solidFill>
              <w14:schemeClr w14:val="accent1"/>
            </w14:solidFill>
          </w14:textFill>
        </w:rPr>
      </w:pPr>
      <w:bookmarkStart w:id="16" w:name="_Toc76365827"/>
      <w:r>
        <w:rPr>
          <w:rFonts w:asciiTheme="majorHAnsi" w:hAnsiTheme="majorHAnsi"/>
          <w:b/>
          <w:bCs/>
          <w:color w:val="0F6FC6" w:themeColor="accent1"/>
          <w:sz w:val="28"/>
          <w:szCs w:val="32"/>
          <w14:textFill>
            <w14:solidFill>
              <w14:schemeClr w14:val="accent1"/>
            </w14:solidFill>
          </w14:textFill>
        </w:rPr>
        <w:t>3.1 – Stadiul procesului de selecție a consiliului de administrație sau supraveghere și a directorilor sau directoratului</w:t>
      </w:r>
      <w:bookmarkEnd w:id="16"/>
      <w:r>
        <w:rPr>
          <w:rFonts w:asciiTheme="majorHAnsi" w:hAnsiTheme="majorHAnsi"/>
          <w:b/>
          <w:bCs/>
          <w:color w:val="0F6FC6" w:themeColor="accent1"/>
          <w:sz w:val="28"/>
          <w:szCs w:val="32"/>
          <w14:textFill>
            <w14:solidFill>
              <w14:schemeClr w14:val="accent1"/>
            </w14:solidFill>
          </w14:textFill>
        </w:rPr>
        <w:t xml:space="preserve"> </w:t>
      </w:r>
    </w:p>
    <w:p>
      <w:pPr>
        <w:spacing w:before="0" w:after="240"/>
        <w:jc w:val="both"/>
        <w:rPr>
          <w:rFonts w:asciiTheme="majorHAnsi" w:hAnsiTheme="majorHAnsi"/>
          <w:bCs/>
          <w:lang w:val="en-US"/>
        </w:rPr>
      </w:pPr>
      <w:r>
        <w:rPr>
          <w:rFonts w:asciiTheme="majorHAnsi" w:hAnsiTheme="majorHAnsi"/>
          <w:bCs/>
        </w:rPr>
        <w:t>Stadiul procesului de selecție a consiliului de administrație/supraveghere cât și al directorilor/membrilor directoratului la societățile aflate în administrarea sau sub autoritatea MF cf. O.U.G. nr 109/2011 la 31.12.2020 se prezintă după cum urmează</w:t>
      </w:r>
      <w:r>
        <w:rPr>
          <w:rFonts w:asciiTheme="majorHAnsi" w:hAnsiTheme="majorHAnsi"/>
          <w:bCs/>
          <w:lang w:val="en-US"/>
        </w:rPr>
        <w:t>:</w:t>
      </w:r>
    </w:p>
    <w:tbl>
      <w:tblPr>
        <w:tblStyle w:val="36"/>
        <w:tblW w:w="9119" w:type="dxa"/>
        <w:tblInd w:w="93" w:type="dxa"/>
        <w:tblLayout w:type="fixed"/>
        <w:tblCellMar>
          <w:top w:w="0" w:type="dxa"/>
          <w:left w:w="108" w:type="dxa"/>
          <w:bottom w:w="0" w:type="dxa"/>
          <w:right w:w="108" w:type="dxa"/>
        </w:tblCellMar>
      </w:tblPr>
      <w:tblGrid>
        <w:gridCol w:w="479"/>
        <w:gridCol w:w="2492"/>
        <w:gridCol w:w="3273"/>
        <w:gridCol w:w="1704"/>
        <w:gridCol w:w="1171"/>
      </w:tblGrid>
      <w:tr>
        <w:tblPrEx>
          <w:tblLayout w:type="fixed"/>
          <w:tblCellMar>
            <w:top w:w="0" w:type="dxa"/>
            <w:left w:w="108" w:type="dxa"/>
            <w:bottom w:w="0" w:type="dxa"/>
            <w:right w:w="108" w:type="dxa"/>
          </w:tblCellMar>
        </w:tblPrEx>
        <w:trPr>
          <w:trHeight w:val="845" w:hRule="atLeast"/>
        </w:trPr>
        <w:tc>
          <w:tcPr>
            <w:tcW w:w="479" w:type="dxa"/>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4F81BD"/>
                <w:sz w:val="16"/>
                <w:szCs w:val="16"/>
                <w:lang w:val="en-US"/>
              </w:rPr>
            </w:pPr>
            <w:r>
              <w:rPr>
                <w:rFonts w:eastAsia="Times New Roman" w:asciiTheme="majorHAnsi" w:hAnsiTheme="majorHAnsi" w:cstheme="majorHAnsi"/>
                <w:color w:val="4F81BD"/>
                <w:sz w:val="16"/>
                <w:szCs w:val="16"/>
                <w:lang w:val="en-US"/>
              </w:rPr>
              <w:t>Nr. Crt</w:t>
            </w:r>
          </w:p>
        </w:tc>
        <w:tc>
          <w:tcPr>
            <w:tcW w:w="2492" w:type="dxa"/>
            <w:tcBorders>
              <w:top w:val="single" w:color="4F81BD" w:sz="4" w:space="0"/>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4F81BD"/>
                <w:sz w:val="16"/>
                <w:szCs w:val="16"/>
                <w:lang w:val="en-US"/>
              </w:rPr>
            </w:pPr>
            <w:r>
              <w:rPr>
                <w:rFonts w:eastAsia="Times New Roman" w:asciiTheme="majorHAnsi" w:hAnsiTheme="majorHAnsi" w:cstheme="majorHAnsi"/>
                <w:color w:val="4F81BD"/>
                <w:sz w:val="16"/>
                <w:szCs w:val="16"/>
                <w:lang w:val="en-US"/>
              </w:rPr>
              <w:t>Abreviere întreprindere</w:t>
            </w:r>
          </w:p>
        </w:tc>
        <w:tc>
          <w:tcPr>
            <w:tcW w:w="3273" w:type="dxa"/>
            <w:tcBorders>
              <w:top w:val="single" w:color="4F81BD" w:sz="4" w:space="0"/>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4F81BD"/>
                <w:sz w:val="16"/>
                <w:szCs w:val="16"/>
                <w:lang w:val="en-US"/>
              </w:rPr>
            </w:pPr>
            <w:r>
              <w:rPr>
                <w:rFonts w:eastAsia="Times New Roman" w:asciiTheme="majorHAnsi" w:hAnsiTheme="majorHAnsi" w:cstheme="majorHAnsi"/>
                <w:color w:val="4F81BD"/>
                <w:sz w:val="16"/>
                <w:szCs w:val="16"/>
                <w:lang w:val="en-US"/>
              </w:rPr>
              <w:t>Stadiul procesului de selecție al administratorilor conform prevederilor O.U.G. nr. 109/2011</w:t>
            </w:r>
          </w:p>
        </w:tc>
        <w:tc>
          <w:tcPr>
            <w:tcW w:w="1704" w:type="dxa"/>
            <w:tcBorders>
              <w:top w:val="single" w:color="4F81BD" w:sz="4" w:space="0"/>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4F81BD"/>
                <w:sz w:val="16"/>
                <w:szCs w:val="16"/>
                <w:lang w:val="en-US"/>
              </w:rPr>
            </w:pPr>
            <w:r>
              <w:rPr>
                <w:rFonts w:eastAsia="Times New Roman" w:asciiTheme="majorHAnsi" w:hAnsiTheme="majorHAnsi" w:cstheme="majorHAnsi"/>
                <w:color w:val="4F81BD"/>
                <w:sz w:val="16"/>
                <w:szCs w:val="16"/>
                <w:lang w:val="en-US"/>
              </w:rPr>
              <w:t>Stadiul procesului de selecție al directorilor</w:t>
            </w:r>
          </w:p>
        </w:tc>
        <w:tc>
          <w:tcPr>
            <w:tcW w:w="1171" w:type="dxa"/>
            <w:tcBorders>
              <w:top w:val="single" w:color="4F81BD" w:sz="4" w:space="0"/>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4F81BD"/>
                <w:sz w:val="16"/>
                <w:szCs w:val="16"/>
                <w:lang w:val="en-US"/>
              </w:rPr>
            </w:pPr>
            <w:r>
              <w:rPr>
                <w:rFonts w:eastAsia="Times New Roman" w:asciiTheme="majorHAnsi" w:hAnsiTheme="majorHAnsi" w:cstheme="majorHAnsi"/>
                <w:color w:val="4F81BD"/>
                <w:sz w:val="16"/>
                <w:szCs w:val="16"/>
                <w:lang w:val="en-US"/>
              </w:rPr>
              <w:t>Număr de administratori definitivi se desfășoară  procesul de selecție</w:t>
            </w:r>
          </w:p>
        </w:tc>
      </w:tr>
      <w:tr>
        <w:tblPrEx>
          <w:tblLayout w:type="fixed"/>
          <w:tblCellMar>
            <w:top w:w="0" w:type="dxa"/>
            <w:left w:w="108" w:type="dxa"/>
            <w:bottom w:w="0" w:type="dxa"/>
            <w:right w:w="108" w:type="dxa"/>
          </w:tblCellMar>
        </w:tblPrEx>
        <w:trPr>
          <w:trHeight w:val="288" w:hRule="atLeast"/>
        </w:trPr>
        <w:tc>
          <w:tcPr>
            <w:tcW w:w="479"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1</w:t>
            </w:r>
          </w:p>
        </w:tc>
        <w:tc>
          <w:tcPr>
            <w:tcW w:w="2492"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FRC</w:t>
            </w:r>
          </w:p>
        </w:tc>
        <w:tc>
          <w:tcPr>
            <w:tcW w:w="3273"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Proces in curs de derulare</w:t>
            </w:r>
          </w:p>
        </w:tc>
        <w:tc>
          <w:tcPr>
            <w:tcW w:w="1704"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Proces nedemarat</w:t>
            </w:r>
          </w:p>
        </w:tc>
        <w:tc>
          <w:tcPr>
            <w:tcW w:w="1171" w:type="dxa"/>
            <w:tcBorders>
              <w:top w:val="nil"/>
              <w:left w:val="nil"/>
              <w:bottom w:val="single" w:color="4F81BD" w:sz="4" w:space="0"/>
              <w:right w:val="single" w:color="FFFFFF" w:sz="4" w:space="0"/>
            </w:tcBorders>
            <w:shd w:val="clear" w:color="auto" w:fill="auto"/>
          </w:tcPr>
          <w:p>
            <w:pPr>
              <w:spacing w:before="0" w:after="0" w:line="240" w:lineRule="auto"/>
              <w:jc w:val="center"/>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7</w:t>
            </w:r>
          </w:p>
        </w:tc>
      </w:tr>
      <w:tr>
        <w:tblPrEx>
          <w:tblLayout w:type="fixed"/>
          <w:tblCellMar>
            <w:top w:w="0" w:type="dxa"/>
            <w:left w:w="108" w:type="dxa"/>
            <w:bottom w:w="0" w:type="dxa"/>
            <w:right w:w="108" w:type="dxa"/>
          </w:tblCellMar>
        </w:tblPrEx>
        <w:trPr>
          <w:trHeight w:val="288" w:hRule="atLeast"/>
        </w:trPr>
        <w:tc>
          <w:tcPr>
            <w:tcW w:w="479"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2</w:t>
            </w:r>
          </w:p>
        </w:tc>
        <w:tc>
          <w:tcPr>
            <w:tcW w:w="2492"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CNIN</w:t>
            </w:r>
          </w:p>
        </w:tc>
        <w:tc>
          <w:tcPr>
            <w:tcW w:w="3273"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Proces finalizat</w:t>
            </w:r>
          </w:p>
        </w:tc>
        <w:tc>
          <w:tcPr>
            <w:tcW w:w="1704"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Proces finalizat</w:t>
            </w:r>
          </w:p>
        </w:tc>
        <w:tc>
          <w:tcPr>
            <w:tcW w:w="1171" w:type="dxa"/>
            <w:tcBorders>
              <w:top w:val="nil"/>
              <w:left w:val="nil"/>
              <w:bottom w:val="single" w:color="4F81BD" w:sz="4" w:space="0"/>
              <w:right w:val="single" w:color="FFFFFF" w:sz="4" w:space="0"/>
            </w:tcBorders>
            <w:shd w:val="clear" w:color="auto" w:fill="auto"/>
          </w:tcPr>
          <w:p>
            <w:pPr>
              <w:spacing w:before="0" w:after="0" w:line="240" w:lineRule="auto"/>
              <w:jc w:val="center"/>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0</w:t>
            </w:r>
          </w:p>
        </w:tc>
      </w:tr>
      <w:tr>
        <w:tblPrEx>
          <w:tblLayout w:type="fixed"/>
          <w:tblCellMar>
            <w:top w:w="0" w:type="dxa"/>
            <w:left w:w="108" w:type="dxa"/>
            <w:bottom w:w="0" w:type="dxa"/>
            <w:right w:w="108" w:type="dxa"/>
          </w:tblCellMar>
        </w:tblPrEx>
        <w:trPr>
          <w:trHeight w:val="288" w:hRule="atLeast"/>
        </w:trPr>
        <w:tc>
          <w:tcPr>
            <w:tcW w:w="479"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3</w:t>
            </w:r>
          </w:p>
        </w:tc>
        <w:tc>
          <w:tcPr>
            <w:tcW w:w="2492"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FNGCIMM</w:t>
            </w:r>
          </w:p>
        </w:tc>
        <w:tc>
          <w:tcPr>
            <w:tcW w:w="3273"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Proces in curs de derulare</w:t>
            </w:r>
          </w:p>
        </w:tc>
        <w:tc>
          <w:tcPr>
            <w:tcW w:w="1704"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Proces nedemarat</w:t>
            </w:r>
          </w:p>
        </w:tc>
        <w:tc>
          <w:tcPr>
            <w:tcW w:w="1171" w:type="dxa"/>
            <w:tcBorders>
              <w:top w:val="nil"/>
              <w:left w:val="nil"/>
              <w:bottom w:val="single" w:color="4F81BD" w:sz="4" w:space="0"/>
              <w:right w:val="single" w:color="FFFFFF" w:sz="4" w:space="0"/>
            </w:tcBorders>
            <w:shd w:val="clear" w:color="auto" w:fill="auto"/>
          </w:tcPr>
          <w:p>
            <w:pPr>
              <w:spacing w:before="0" w:after="0" w:line="240" w:lineRule="auto"/>
              <w:jc w:val="center"/>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9</w:t>
            </w:r>
          </w:p>
        </w:tc>
      </w:tr>
      <w:tr>
        <w:tblPrEx>
          <w:tblLayout w:type="fixed"/>
          <w:tblCellMar>
            <w:top w:w="0" w:type="dxa"/>
            <w:left w:w="108" w:type="dxa"/>
            <w:bottom w:w="0" w:type="dxa"/>
            <w:right w:w="108" w:type="dxa"/>
          </w:tblCellMar>
        </w:tblPrEx>
        <w:trPr>
          <w:trHeight w:val="288" w:hRule="atLeast"/>
        </w:trPr>
        <w:tc>
          <w:tcPr>
            <w:tcW w:w="479"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4</w:t>
            </w:r>
          </w:p>
        </w:tc>
        <w:tc>
          <w:tcPr>
            <w:tcW w:w="2492"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FLG Focșani</w:t>
            </w:r>
          </w:p>
        </w:tc>
        <w:tc>
          <w:tcPr>
            <w:tcW w:w="3273"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Proces in curs de derulare</w:t>
            </w:r>
          </w:p>
        </w:tc>
        <w:tc>
          <w:tcPr>
            <w:tcW w:w="1704"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Proces nedemarat</w:t>
            </w:r>
          </w:p>
        </w:tc>
        <w:tc>
          <w:tcPr>
            <w:tcW w:w="1171" w:type="dxa"/>
            <w:tcBorders>
              <w:top w:val="nil"/>
              <w:left w:val="nil"/>
              <w:bottom w:val="single" w:color="4F81BD" w:sz="4" w:space="0"/>
              <w:right w:val="single" w:color="FFFFFF" w:sz="4" w:space="0"/>
            </w:tcBorders>
            <w:shd w:val="clear" w:color="auto" w:fill="auto"/>
          </w:tcPr>
          <w:p>
            <w:pPr>
              <w:spacing w:before="0" w:after="0" w:line="240" w:lineRule="auto"/>
              <w:jc w:val="center"/>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3</w:t>
            </w:r>
          </w:p>
        </w:tc>
      </w:tr>
      <w:tr>
        <w:tblPrEx>
          <w:tblLayout w:type="fixed"/>
          <w:tblCellMar>
            <w:top w:w="0" w:type="dxa"/>
            <w:left w:w="108" w:type="dxa"/>
            <w:bottom w:w="0" w:type="dxa"/>
            <w:right w:w="108" w:type="dxa"/>
          </w:tblCellMar>
        </w:tblPrEx>
        <w:trPr>
          <w:trHeight w:val="288" w:hRule="atLeast"/>
        </w:trPr>
        <w:tc>
          <w:tcPr>
            <w:tcW w:w="479"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5</w:t>
            </w:r>
          </w:p>
        </w:tc>
        <w:tc>
          <w:tcPr>
            <w:tcW w:w="2492"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EximAsig</w:t>
            </w:r>
          </w:p>
        </w:tc>
        <w:tc>
          <w:tcPr>
            <w:tcW w:w="3273"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Proces finalizat</w:t>
            </w:r>
          </w:p>
        </w:tc>
        <w:tc>
          <w:tcPr>
            <w:tcW w:w="1704"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Proces finalizat</w:t>
            </w:r>
          </w:p>
        </w:tc>
        <w:tc>
          <w:tcPr>
            <w:tcW w:w="1171" w:type="dxa"/>
            <w:tcBorders>
              <w:top w:val="nil"/>
              <w:left w:val="nil"/>
              <w:bottom w:val="single" w:color="4F81BD" w:sz="4" w:space="0"/>
              <w:right w:val="single" w:color="FFFFFF" w:sz="4" w:space="0"/>
            </w:tcBorders>
            <w:shd w:val="clear" w:color="auto" w:fill="auto"/>
          </w:tcPr>
          <w:p>
            <w:pPr>
              <w:spacing w:before="0" w:after="0" w:line="240" w:lineRule="auto"/>
              <w:jc w:val="center"/>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0</w:t>
            </w:r>
          </w:p>
        </w:tc>
      </w:tr>
    </w:tbl>
    <w:p>
      <w:pPr>
        <w:spacing w:before="0" w:after="240"/>
        <w:jc w:val="both"/>
        <w:rPr>
          <w:rFonts w:asciiTheme="majorHAnsi" w:hAnsiTheme="majorHAnsi"/>
          <w:bCs/>
          <w:lang w:val="en-US"/>
        </w:rPr>
      </w:pPr>
    </w:p>
    <w:p>
      <w:pPr>
        <w:pStyle w:val="49"/>
        <w:spacing w:line="276" w:lineRule="auto"/>
        <w:jc w:val="both"/>
        <w:rPr>
          <w:rFonts w:asciiTheme="majorHAnsi" w:hAnsiTheme="majorHAnsi"/>
        </w:rPr>
      </w:pPr>
      <w:r>
        <w:rPr>
          <w:rFonts w:asciiTheme="majorHAnsi" w:hAnsiTheme="majorHAnsi"/>
        </w:rPr>
        <w:t>Din perspectiva aplicării cadrului normativ privind selecția administratorilor și a directorilor</w:t>
      </w:r>
      <w:r>
        <w:rPr>
          <w:rStyle w:val="139"/>
          <w:rFonts w:asciiTheme="majorHAnsi" w:hAnsiTheme="majorHAnsi"/>
        </w:rPr>
        <w:footnoteReference w:id="14"/>
      </w:r>
      <w:r>
        <w:rPr>
          <w:rFonts w:asciiTheme="majorHAnsi" w:hAnsiTheme="majorHAnsi"/>
        </w:rPr>
        <w:t xml:space="preserve">, pe parcursul anului 2020, </w:t>
      </w:r>
      <w:r>
        <w:rPr>
          <w:rFonts w:cs="Times New Roman" w:asciiTheme="majorHAnsi" w:hAnsiTheme="majorHAnsi"/>
        </w:rPr>
        <w:t>din totalul de</w:t>
      </w:r>
      <w:r>
        <w:rPr>
          <w:rFonts w:cs="Times New Roman" w:asciiTheme="majorHAnsi" w:hAnsiTheme="majorHAnsi"/>
          <w:b/>
        </w:rPr>
        <w:t xml:space="preserve"> 5 societăți </w:t>
      </w:r>
      <w:r>
        <w:rPr>
          <w:rFonts w:asciiTheme="majorHAnsi" w:hAnsiTheme="majorHAnsi"/>
          <w:b/>
        </w:rPr>
        <w:t xml:space="preserve">obligate </w:t>
      </w:r>
      <w:r>
        <w:rPr>
          <w:rFonts w:asciiTheme="majorHAnsi" w:hAnsiTheme="majorHAnsi"/>
        </w:rPr>
        <w:t>la aplicarea prevederilor O.U.G. nr. 109/2011 privind guvernanța corporativă, stadiul la 31.12.2020</w:t>
      </w:r>
      <w:r>
        <w:rPr>
          <w:rStyle w:val="33"/>
          <w:rFonts w:asciiTheme="majorHAnsi" w:hAnsiTheme="majorHAnsi"/>
        </w:rPr>
        <w:footnoteReference w:id="15"/>
      </w:r>
      <w:r>
        <w:rPr>
          <w:rFonts w:asciiTheme="majorHAnsi" w:hAnsiTheme="majorHAnsi"/>
        </w:rPr>
        <w:t xml:space="preserve"> se prezintă astfel:</w:t>
      </w:r>
    </w:p>
    <w:p>
      <w:pPr>
        <w:pStyle w:val="66"/>
        <w:numPr>
          <w:ilvl w:val="0"/>
          <w:numId w:val="17"/>
        </w:numPr>
        <w:ind w:left="270" w:hanging="270"/>
        <w:jc w:val="both"/>
        <w:rPr>
          <w:rFonts w:asciiTheme="majorHAnsi" w:hAnsiTheme="majorHAnsi"/>
          <w:lang w:val="en-US"/>
        </w:rPr>
      </w:pPr>
      <w:r>
        <w:rPr>
          <w:rFonts w:asciiTheme="majorHAnsi" w:hAnsiTheme="majorHAnsi"/>
        </w:rPr>
        <w:t xml:space="preserve">CNIN și EximAsig </w:t>
      </w:r>
      <w:r>
        <w:rPr>
          <w:rFonts w:asciiTheme="majorHAnsi" w:hAnsiTheme="majorHAnsi"/>
          <w:b/>
        </w:rPr>
        <w:t>au finalizat</w:t>
      </w:r>
      <w:r>
        <w:rPr>
          <w:rFonts w:asciiTheme="majorHAnsi" w:hAnsiTheme="majorHAnsi"/>
        </w:rPr>
        <w:t xml:space="preserve"> atât procesul de selecție a membrilor consiliului de administrație/de supraveghere cât și al directorilor/membrilor directoratului</w:t>
      </w:r>
      <w:r>
        <w:rPr>
          <w:rFonts w:asciiTheme="majorHAnsi" w:hAnsiTheme="majorHAnsi"/>
          <w:lang w:val="en-US"/>
        </w:rPr>
        <w:t xml:space="preserve">. </w:t>
      </w:r>
      <w:r>
        <w:rPr>
          <w:rFonts w:asciiTheme="majorHAnsi" w:hAnsiTheme="majorHAnsi"/>
        </w:rPr>
        <w:t>În acest sens menționăm următoarele</w:t>
      </w:r>
      <w:r>
        <w:rPr>
          <w:rFonts w:asciiTheme="majorHAnsi" w:hAnsiTheme="majorHAnsi"/>
          <w:lang w:val="en-US"/>
        </w:rPr>
        <w:t xml:space="preserve">: </w:t>
      </w:r>
    </w:p>
    <w:p>
      <w:pPr>
        <w:pStyle w:val="66"/>
        <w:numPr>
          <w:ilvl w:val="0"/>
          <w:numId w:val="1"/>
        </w:numPr>
        <w:spacing w:before="0" w:after="120"/>
        <w:ind w:left="450" w:hanging="180"/>
        <w:jc w:val="both"/>
        <w:rPr>
          <w:rFonts w:asciiTheme="majorHAnsi" w:hAnsiTheme="majorHAnsi"/>
        </w:rPr>
      </w:pPr>
      <w:r>
        <w:rPr>
          <w:rFonts w:asciiTheme="majorHAnsi" w:hAnsiTheme="majorHAnsi"/>
          <w:lang w:val="en-US"/>
        </w:rPr>
        <w:t>conform Ordinului Ministrului Finanţelor Publice nr. 2631 din 24.08.2020, a fost emisă de către Adunarea Generală a Acţionarilor, Hotărârea A.G.A. nr. 06 din 26.08.2020, prin care, în conformitate cu prevederile art. 9 alin. (2) pct. b din Statutul Companiei Naţionale „Imprimeria Naţională” - S.A. (CNIN), a fost aprobată reînnoirea mandatului administratorilor CNIN cu încă un mandat de 4 ani, începând cu 10.11.2020.</w:t>
      </w:r>
    </w:p>
    <w:p>
      <w:pPr>
        <w:pStyle w:val="66"/>
        <w:numPr>
          <w:ilvl w:val="0"/>
          <w:numId w:val="1"/>
        </w:numPr>
        <w:spacing w:before="0" w:after="120"/>
        <w:ind w:left="450" w:hanging="180"/>
        <w:jc w:val="both"/>
        <w:rPr>
          <w:rFonts w:asciiTheme="majorHAnsi" w:hAnsiTheme="majorHAnsi"/>
        </w:rPr>
      </w:pPr>
      <w:r>
        <w:rPr>
          <w:rFonts w:asciiTheme="majorHAnsi" w:hAnsiTheme="majorHAnsi"/>
        </w:rPr>
        <w:t>în anul 2020, conducerea Companiei de Asigurări-Reasigurări Exim România S.A. a fost exercitată de un consiliu de administraţie format din 5 membri şi un comitet de direcţie constituit din 2 membri, desemnaţi prin mandat, pe o perioadă de 4 ani.</w:t>
      </w:r>
    </w:p>
    <w:p>
      <w:pPr>
        <w:pStyle w:val="49"/>
        <w:numPr>
          <w:ilvl w:val="0"/>
          <w:numId w:val="17"/>
        </w:numPr>
        <w:spacing w:line="276" w:lineRule="auto"/>
        <w:ind w:left="270" w:hanging="270"/>
        <w:jc w:val="both"/>
        <w:rPr>
          <w:rFonts w:asciiTheme="majorHAnsi" w:hAnsiTheme="majorHAnsi"/>
        </w:rPr>
      </w:pPr>
      <w:r>
        <w:rPr>
          <w:rFonts w:asciiTheme="majorHAnsi" w:hAnsiTheme="majorHAnsi"/>
        </w:rPr>
        <w:t xml:space="preserve">FRC, FNGCIMM și la FLG Focșani </w:t>
      </w:r>
      <w:r>
        <w:rPr>
          <w:rFonts w:asciiTheme="majorHAnsi" w:hAnsiTheme="majorHAnsi"/>
          <w:b/>
        </w:rPr>
        <w:t>au declanșat</w:t>
      </w:r>
      <w:r>
        <w:rPr>
          <w:rFonts w:asciiTheme="majorHAnsi" w:hAnsiTheme="majorHAnsi"/>
        </w:rPr>
        <w:t xml:space="preserve"> procesul de selecție al administratorilor/membrilor consiliului de administrație/supraveghere. FRC și FLG Focșani se află în stadiile incipiente ale procesului de selecție conform prevederilor O.U.G. nr. 109/2011, respectiv la elaborarea componentei iniţiale a planului de selecţie iar pentru FNGCIMM a fost stabilită matricea consiliului și scrisoarea de așteptări.</w:t>
      </w:r>
    </w:p>
    <w:p>
      <w:pPr>
        <w:pStyle w:val="49"/>
        <w:jc w:val="both"/>
        <w:rPr>
          <w:rFonts w:asciiTheme="majorHAnsi" w:hAnsiTheme="majorHAnsi"/>
        </w:rPr>
      </w:pPr>
    </w:p>
    <w:p>
      <w:pPr>
        <w:pStyle w:val="49"/>
        <w:spacing w:before="0" w:after="120" w:line="276" w:lineRule="auto"/>
        <w:jc w:val="both"/>
        <w:rPr>
          <w:rFonts w:asciiTheme="majorHAnsi" w:hAnsiTheme="majorHAnsi"/>
          <w:lang w:val="en-US"/>
        </w:rPr>
      </w:pPr>
      <w:r>
        <w:rPr>
          <w:rFonts w:asciiTheme="majorHAnsi" w:hAnsiTheme="majorHAnsi"/>
        </w:rPr>
        <w:t xml:space="preserve">Pentru FNGCIMM, FLG Focșani și FRC prevederile O.U.G. nr. 109/2011 se aplică </w:t>
      </w:r>
      <w:r>
        <w:rPr>
          <w:rFonts w:asciiTheme="majorHAnsi" w:hAnsiTheme="majorHAnsi"/>
          <w:b/>
        </w:rPr>
        <w:t>numai în ceea ce priveşte numirea şi selecţia consiliului de administrație/supraveghere şi a directorilor/directoratului</w:t>
      </w:r>
      <w:r>
        <w:rPr>
          <w:rStyle w:val="33"/>
          <w:rFonts w:asciiTheme="majorHAnsi" w:hAnsiTheme="majorHAnsi"/>
        </w:rPr>
        <w:footnoteReference w:id="16"/>
      </w:r>
      <w:r>
        <w:rPr>
          <w:rFonts w:asciiTheme="majorHAnsi" w:hAnsiTheme="majorHAnsi"/>
        </w:rPr>
        <w:t>. Referitor la aceste întreprinderi menționăm următoarele</w:t>
      </w:r>
      <w:r>
        <w:rPr>
          <w:rFonts w:asciiTheme="majorHAnsi" w:hAnsiTheme="majorHAnsi"/>
          <w:lang w:val="en-US"/>
        </w:rPr>
        <w:t>:</w:t>
      </w:r>
    </w:p>
    <w:p>
      <w:pPr>
        <w:pStyle w:val="49"/>
        <w:numPr>
          <w:ilvl w:val="0"/>
          <w:numId w:val="18"/>
        </w:numPr>
        <w:spacing w:before="0" w:after="120" w:line="276" w:lineRule="auto"/>
        <w:ind w:left="270" w:hanging="270"/>
        <w:jc w:val="both"/>
        <w:rPr>
          <w:rFonts w:asciiTheme="majorHAnsi" w:hAnsiTheme="majorHAnsi"/>
        </w:rPr>
      </w:pPr>
      <w:r>
        <w:rPr>
          <w:rFonts w:asciiTheme="majorHAnsi" w:hAnsiTheme="majorHAnsi"/>
        </w:rPr>
        <w:t>La FNGCIMM în anul 2020 s-a declanşat procedura de selecţie a candidaţilor pentru cele 9 poziţii ale Consiliului de administraţie, desfăşurată la nivelul societăţii cu ajutorul unui expert independent, conform prevederilor O.U.G nr.109/2011. În cadrul procesului nefinalizat în anul 2020, a fost elaborată Scrisoarea de aşteptări (din care derivă obiectivele şi rezultatele aşteptate) ce a fost aprobată prin Ordinului Ministrului Finanţelor Publice nr. 3129 / 09.12.2020 şi publicată pe site-ul MF. Pentru anul 2021 rămâne o prioritate continuarea demersurilor pentru a finaliza procesul de selecţie a conducerii executive şi administrative, precum şi etapele ce decurg din acesta.</w:t>
      </w:r>
    </w:p>
    <w:p>
      <w:pPr>
        <w:pStyle w:val="49"/>
        <w:numPr>
          <w:ilvl w:val="0"/>
          <w:numId w:val="18"/>
        </w:numPr>
        <w:spacing w:before="0" w:after="120" w:line="276" w:lineRule="auto"/>
        <w:ind w:left="270" w:hanging="270"/>
        <w:jc w:val="both"/>
        <w:rPr>
          <w:rFonts w:asciiTheme="majorHAnsi" w:hAnsiTheme="majorHAnsi" w:cstheme="majorHAnsi"/>
        </w:rPr>
      </w:pPr>
      <w:r>
        <w:rPr>
          <w:rFonts w:asciiTheme="majorHAnsi" w:hAnsiTheme="majorHAnsi" w:cstheme="majorHAnsi"/>
        </w:rPr>
        <w:t>La FRC pe parcursul anului 2020 s-a declanşat procedura de selecţie a candidaţilor pentru cele 7 poziţii ale Consiliului de Supraveghere. În anul 2020 contractele de mandat ale membrilor Consiliului de Supraveghere au avut caracter provizoriu potrivit art. 64^1 alin. (3) şi (5) din O.U.G. nr. 109/2011, până la finalizarea procedurii de selecţie. Directoratul FRC a asigurat conducerea activităţii curente a societăţii și a fost constituit din 3 membri provizorii, până la data de 23.04.2020 şi din 2 membri provizorii începând cu data de 4.04.2020 şi până la finele anului 2020. Membrii provizorii au fost numiţi</w:t>
      </w:r>
      <w:r>
        <w:rPr>
          <w:rStyle w:val="33"/>
          <w:rFonts w:asciiTheme="majorHAnsi" w:hAnsiTheme="majorHAnsi" w:cstheme="majorHAnsi"/>
        </w:rPr>
        <w:footnoteReference w:id="17"/>
      </w:r>
      <w:r>
        <w:rPr>
          <w:rFonts w:asciiTheme="majorHAnsi" w:hAnsiTheme="majorHAnsi" w:cstheme="majorHAnsi"/>
        </w:rPr>
        <w:t xml:space="preserve"> de către Consiliul de Supraveghere, în conformitate cu dispoziţiile art. 64^2 din O.U.G. nr. 109/2011.</w:t>
      </w:r>
    </w:p>
    <w:p>
      <w:pPr>
        <w:pStyle w:val="49"/>
        <w:spacing w:before="0" w:after="120" w:line="276" w:lineRule="auto"/>
        <w:jc w:val="both"/>
        <w:rPr>
          <w:rFonts w:asciiTheme="majorHAnsi" w:hAnsiTheme="majorHAnsi"/>
        </w:rPr>
      </w:pPr>
    </w:p>
    <w:p>
      <w:pPr>
        <w:pStyle w:val="49"/>
        <w:spacing w:before="0" w:after="120" w:line="276" w:lineRule="auto"/>
        <w:jc w:val="both"/>
        <w:rPr>
          <w:rFonts w:asciiTheme="majorHAnsi" w:hAnsiTheme="majorHAnsi"/>
        </w:rPr>
      </w:pPr>
    </w:p>
    <w:p>
      <w:pPr>
        <w:pStyle w:val="49"/>
        <w:spacing w:before="0" w:after="120" w:line="276" w:lineRule="auto"/>
        <w:jc w:val="both"/>
        <w:rPr>
          <w:rFonts w:asciiTheme="majorHAnsi" w:hAnsiTheme="majorHAnsi"/>
        </w:rPr>
      </w:pPr>
    </w:p>
    <w:p>
      <w:pPr>
        <w:pStyle w:val="49"/>
        <w:spacing w:before="0" w:after="120" w:line="276" w:lineRule="auto"/>
        <w:jc w:val="both"/>
        <w:rPr>
          <w:rFonts w:asciiTheme="majorHAnsi" w:hAnsiTheme="majorHAnsi"/>
        </w:rPr>
      </w:pPr>
    </w:p>
    <w:p>
      <w:pPr>
        <w:pStyle w:val="49"/>
        <w:spacing w:before="0" w:after="120" w:line="276" w:lineRule="auto"/>
        <w:jc w:val="both"/>
        <w:rPr>
          <w:rFonts w:asciiTheme="majorHAnsi" w:hAnsiTheme="majorHAnsi"/>
        </w:rPr>
      </w:pPr>
    </w:p>
    <w:p>
      <w:pPr>
        <w:pStyle w:val="66"/>
        <w:ind w:left="0"/>
        <w:jc w:val="both"/>
        <w:outlineLvl w:val="1"/>
        <w:rPr>
          <w:rFonts w:asciiTheme="majorHAnsi" w:hAnsiTheme="majorHAnsi"/>
          <w:b/>
          <w:bCs/>
          <w:color w:val="0F6FC6" w:themeColor="accent1"/>
          <w:sz w:val="28"/>
          <w:szCs w:val="32"/>
          <w14:textFill>
            <w14:solidFill>
              <w14:schemeClr w14:val="accent1"/>
            </w14:solidFill>
          </w14:textFill>
        </w:rPr>
      </w:pPr>
      <w:bookmarkStart w:id="17" w:name="_Toc76365828"/>
      <w:r>
        <w:rPr>
          <w:rFonts w:asciiTheme="majorHAnsi" w:hAnsiTheme="majorHAnsi"/>
          <w:b/>
          <w:bCs/>
          <w:color w:val="0F6FC6" w:themeColor="accent1"/>
          <w:sz w:val="28"/>
          <w:szCs w:val="32"/>
          <w14:textFill>
            <w14:solidFill>
              <w14:schemeClr w14:val="accent1"/>
            </w14:solidFill>
          </w14:textFill>
        </w:rPr>
        <w:t>3.2 – Obligații de transparență și de raportare</w:t>
      </w:r>
      <w:bookmarkEnd w:id="17"/>
    </w:p>
    <w:p>
      <w:pPr>
        <w:spacing w:before="0" w:after="240"/>
        <w:jc w:val="both"/>
        <w:rPr>
          <w:rFonts w:asciiTheme="majorHAnsi" w:hAnsiTheme="majorHAnsi"/>
          <w:bCs/>
        </w:rPr>
      </w:pPr>
      <w:r>
        <w:rPr>
          <w:rFonts w:asciiTheme="majorHAnsi" w:hAnsiTheme="majorHAnsi"/>
          <w:bCs/>
        </w:rPr>
        <w:t>CNIN, EximAsig, FRC și FNGCIMM și-au îndeplinit obligațiile de publicare, pe pagina proprie de internet, pentru accesul acţionarilor sau asociaţilor şi al publicului, a documentelor şi informaţiilor, conform art. 51</w:t>
      </w:r>
      <w:r>
        <w:rPr>
          <w:rStyle w:val="33"/>
          <w:rFonts w:asciiTheme="majorHAnsi" w:hAnsiTheme="majorHAnsi"/>
          <w:bCs/>
        </w:rPr>
        <w:footnoteReference w:id="18"/>
      </w:r>
      <w:r>
        <w:rPr>
          <w:rFonts w:asciiTheme="majorHAnsi" w:hAnsiTheme="majorHAnsi"/>
          <w:bCs/>
        </w:rPr>
        <w:t xml:space="preserve"> din Ordonanța de Urgență a Guvernului nr. 109/2011 privind transparența și obligațiile de raportare. </w:t>
      </w:r>
    </w:p>
    <w:p>
      <w:pPr>
        <w:spacing w:before="0" w:after="240"/>
        <w:jc w:val="both"/>
        <w:rPr>
          <w:rFonts w:asciiTheme="majorHAnsi" w:hAnsiTheme="majorHAnsi"/>
        </w:rPr>
      </w:pPr>
      <w:r>
        <w:rPr>
          <w:rFonts w:asciiTheme="majorHAnsi" w:hAnsiTheme="majorHAnsi"/>
          <w:bCs/>
        </w:rPr>
        <w:t xml:space="preserve">Singura întreprindere din portofoliul MF care </w:t>
      </w:r>
      <w:r>
        <w:rPr>
          <w:rFonts w:asciiTheme="majorHAnsi" w:hAnsiTheme="majorHAnsi"/>
        </w:rPr>
        <w:t>nu și-a îndeplinit obligațiile de raportare menționate anterior este FLG Focșani care nu dispune de pagină proprie de internet. Menționăm că FLG Focşani, în calitate de viitoare societate absorbită, este inclusă în etapa 2 din procesul de fuziune prin absorbţie a cu FNGCIMM în calitate de societate absorbantă. Procesul se află în desfășurare.</w:t>
      </w:r>
    </w:p>
    <w:p>
      <w:pPr>
        <w:spacing w:before="0" w:after="240"/>
        <w:jc w:val="both"/>
        <w:rPr>
          <w:rFonts w:asciiTheme="majorHAnsi" w:hAnsiTheme="majorHAnsi"/>
          <w:b/>
          <w:bCs/>
        </w:rPr>
      </w:pPr>
    </w:p>
    <w:p>
      <w:pPr>
        <w:pStyle w:val="66"/>
        <w:ind w:left="0"/>
        <w:jc w:val="both"/>
        <w:outlineLvl w:val="1"/>
        <w:rPr>
          <w:rFonts w:asciiTheme="majorHAnsi" w:hAnsiTheme="majorHAnsi"/>
          <w:b/>
          <w:bCs/>
          <w:color w:val="0F6FC6" w:themeColor="accent1"/>
          <w:sz w:val="28"/>
          <w:szCs w:val="32"/>
          <w14:textFill>
            <w14:solidFill>
              <w14:schemeClr w14:val="accent1"/>
            </w14:solidFill>
          </w14:textFill>
        </w:rPr>
      </w:pPr>
      <w:bookmarkStart w:id="18" w:name="_Toc76365829"/>
      <w:r>
        <w:rPr>
          <w:rFonts w:asciiTheme="majorHAnsi" w:hAnsiTheme="majorHAnsi"/>
          <w:b/>
          <w:bCs/>
          <w:color w:val="0F6FC6" w:themeColor="accent1"/>
          <w:sz w:val="28"/>
          <w:szCs w:val="32"/>
          <w14:textFill>
            <w14:solidFill>
              <w14:schemeClr w14:val="accent1"/>
            </w14:solidFill>
          </w14:textFill>
        </w:rPr>
        <w:t>3.3 – Stadiul îndeplinirii indicatorilor cheie de performanță din contractele de mandat ale administratorilor și directorilor/directoratului</w:t>
      </w:r>
      <w:bookmarkEnd w:id="18"/>
      <w:r>
        <w:rPr>
          <w:rFonts w:asciiTheme="majorHAnsi" w:hAnsiTheme="majorHAnsi"/>
          <w:b/>
          <w:bCs/>
          <w:color w:val="0F6FC6" w:themeColor="accent1"/>
          <w:sz w:val="28"/>
          <w:szCs w:val="32"/>
          <w14:textFill>
            <w14:solidFill>
              <w14:schemeClr w14:val="accent1"/>
            </w14:solidFill>
          </w14:textFill>
        </w:rPr>
        <w:t xml:space="preserve"> </w:t>
      </w:r>
    </w:p>
    <w:p>
      <w:pPr>
        <w:spacing w:before="0" w:after="240"/>
        <w:jc w:val="both"/>
        <w:rPr>
          <w:rFonts w:asciiTheme="majorHAnsi" w:hAnsiTheme="majorHAnsi"/>
          <w:bCs/>
        </w:rPr>
      </w:pPr>
      <w:r>
        <w:rPr>
          <w:rFonts w:asciiTheme="majorHAnsi" w:hAnsiTheme="majorHAnsi"/>
          <w:bCs/>
        </w:rPr>
        <w:t xml:space="preserve">În conformitate cu prevederile O.U.G. nr. 109/2011 la societățile unde a fost finalizat procesul de selecție a  administratorilor și directorilor/directoratului există obligația încheierii contractelor de mandat între aceștia, pe de o parte, și APT/consiliul de administrație, pe de altă parte. În contractele de mandat sunt stabiliți indicatorii cheie de performanță cu ajutorul cărora se măsoară cantitativ și calitativ performanțele financiare și nefinanciare ale societăților. </w:t>
      </w:r>
      <w:r>
        <w:t>Măsurarea performanței societății reprezintă un proces de îmbunătățire a activităților desfășurate și utilizării resurselor angajate în scopul îndeplinirii eficiente a obiectivelor strategice asumate de administratori și management prin Planul de administrare a societății, plan ce cuprinde componenta de administrare, componenta de management și indicatorii de performanță financiari și nefinanciari pentru calculul componentei variabile a remunerației.</w:t>
      </w:r>
    </w:p>
    <w:p>
      <w:pPr>
        <w:spacing w:before="0" w:after="240"/>
        <w:jc w:val="both"/>
        <w:rPr>
          <w:rFonts w:asciiTheme="majorHAnsi" w:hAnsiTheme="majorHAnsi"/>
          <w:bCs/>
          <w:lang w:val="en-US"/>
        </w:rPr>
      </w:pPr>
      <w:r>
        <w:rPr>
          <w:rFonts w:asciiTheme="majorHAnsi" w:hAnsiTheme="majorHAnsi"/>
          <w:bCs/>
        </w:rPr>
        <w:t>Din informațiile centralizate la nivelul Ministerului Finanțelor se constată că la data de  31.12.2020</w:t>
      </w:r>
      <w:r>
        <w:rPr>
          <w:rFonts w:asciiTheme="majorHAnsi" w:hAnsiTheme="majorHAnsi"/>
          <w:bCs/>
          <w:lang w:val="en-US"/>
        </w:rPr>
        <w:t>:</w:t>
      </w:r>
    </w:p>
    <w:p>
      <w:pPr>
        <w:pStyle w:val="66"/>
        <w:numPr>
          <w:ilvl w:val="0"/>
          <w:numId w:val="19"/>
        </w:numPr>
        <w:spacing w:before="0" w:after="240"/>
        <w:ind w:left="270" w:hanging="270"/>
        <w:jc w:val="both"/>
        <w:rPr>
          <w:rFonts w:eastAsia="Times New Roman" w:asciiTheme="majorHAnsi" w:hAnsiTheme="majorHAnsi" w:cstheme="majorHAnsi"/>
          <w:szCs w:val="16"/>
          <w:lang w:val="en-US"/>
        </w:rPr>
      </w:pPr>
      <w:r>
        <w:rPr>
          <w:rFonts w:asciiTheme="majorHAnsi" w:hAnsiTheme="majorHAnsi"/>
          <w:bCs/>
        </w:rPr>
        <w:t xml:space="preserve">CNIN și EximAsig </w:t>
      </w:r>
      <w:r>
        <w:rPr>
          <w:rFonts w:asciiTheme="majorHAnsi" w:hAnsiTheme="majorHAnsi"/>
          <w:b/>
          <w:bCs/>
        </w:rPr>
        <w:t>au finalizat</w:t>
      </w:r>
      <w:r>
        <w:rPr>
          <w:rFonts w:asciiTheme="majorHAnsi" w:hAnsiTheme="majorHAnsi"/>
          <w:bCs/>
        </w:rPr>
        <w:t xml:space="preserve"> procesul de selecție a consiliului de administrație și a directorilor și au aprobat Planul de Administrare cu indicatorii de performanță financiari și nefinanciari, conform prevederilor O.U.G. nr. 109/2011 și H.G. nr. 722/2016</w:t>
      </w:r>
      <w:r>
        <w:rPr>
          <w:rFonts w:asciiTheme="majorHAnsi" w:hAnsiTheme="majorHAnsi"/>
          <w:bCs/>
          <w:lang w:val="en-US"/>
        </w:rPr>
        <w:t>;</w:t>
      </w:r>
    </w:p>
    <w:p>
      <w:pPr>
        <w:pStyle w:val="66"/>
        <w:numPr>
          <w:ilvl w:val="0"/>
          <w:numId w:val="19"/>
        </w:numPr>
        <w:spacing w:before="0" w:after="240"/>
        <w:ind w:left="270" w:hanging="270"/>
        <w:jc w:val="both"/>
        <w:rPr>
          <w:rFonts w:eastAsia="Times New Roman" w:asciiTheme="majorHAnsi" w:hAnsiTheme="majorHAnsi" w:cstheme="majorHAnsi"/>
          <w:szCs w:val="16"/>
          <w:lang w:val="en-US"/>
        </w:rPr>
      </w:pPr>
      <w:r>
        <w:rPr>
          <w:rFonts w:eastAsia="Times New Roman" w:asciiTheme="majorHAnsi" w:hAnsiTheme="majorHAnsi" w:cstheme="majorHAnsi"/>
          <w:szCs w:val="16"/>
          <w:lang w:val="en-US"/>
        </w:rPr>
        <w:t xml:space="preserve">FNGCIMM, FLG Focșani și FRC au demarat procesul de selecție al consiliului de administrație/supraveghere </w:t>
      </w:r>
      <w:r>
        <w:rPr>
          <w:rFonts w:eastAsia="Times New Roman" w:asciiTheme="majorHAnsi" w:hAnsiTheme="majorHAnsi" w:cstheme="majorHAnsi"/>
          <w:szCs w:val="16"/>
        </w:rPr>
        <w:t xml:space="preserve">și până la finalizarea procesului de selecție </w:t>
      </w:r>
      <w:r>
        <w:rPr>
          <w:rFonts w:eastAsia="Times New Roman" w:asciiTheme="majorHAnsi" w:hAnsiTheme="majorHAnsi" w:cstheme="majorHAnsi"/>
          <w:szCs w:val="16"/>
          <w:lang w:val="en-US"/>
        </w:rPr>
        <w:t>nu au indicatori cheie de performanță stabiliți conform prevederilor O.U.G. nr. 109/2011 și H.G. nr. 722/2016.</w:t>
      </w:r>
    </w:p>
    <w:p>
      <w:pPr>
        <w:spacing w:before="0" w:after="240"/>
        <w:jc w:val="both"/>
        <w:rPr>
          <w:rFonts w:asciiTheme="majorHAnsi" w:hAnsiTheme="majorHAnsi"/>
          <w:b/>
          <w:bCs/>
          <w:color w:val="0F6FC6" w:themeColor="accent1"/>
          <w:sz w:val="24"/>
          <w:szCs w:val="24"/>
          <w14:textFill>
            <w14:solidFill>
              <w14:schemeClr w14:val="accent1"/>
            </w14:solidFill>
          </w14:textFill>
        </w:rPr>
      </w:pPr>
      <w:r>
        <w:rPr>
          <w:rFonts w:asciiTheme="majorHAnsi" w:hAnsiTheme="majorHAnsi"/>
          <w:b/>
          <w:bCs/>
          <w:color w:val="0F6FC6" w:themeColor="accent1"/>
          <w:sz w:val="24"/>
          <w:szCs w:val="24"/>
          <w14:textFill>
            <w14:solidFill>
              <w14:schemeClr w14:val="accent1"/>
            </w14:solidFill>
          </w14:textFill>
        </w:rPr>
        <w:t>Stadiul realizării la 31.12.2020 a indicatorilor cheie de performanță (ICP) stabiliți în planurile de administrare</w:t>
      </w:r>
    </w:p>
    <w:p>
      <w:pPr>
        <w:pStyle w:val="66"/>
        <w:numPr>
          <w:ilvl w:val="0"/>
          <w:numId w:val="20"/>
        </w:numPr>
        <w:spacing w:before="0" w:after="240"/>
        <w:ind w:left="270" w:hanging="270"/>
        <w:jc w:val="both"/>
        <w:rPr>
          <w:rFonts w:asciiTheme="majorHAnsi" w:hAnsiTheme="majorHAnsi" w:cstheme="majorHAnsi"/>
          <w:b/>
          <w:bCs/>
          <w:color w:val="0F6FC6" w:themeColor="accent1"/>
          <w14:textFill>
            <w14:solidFill>
              <w14:schemeClr w14:val="accent1"/>
            </w14:solidFill>
          </w14:textFill>
        </w:rPr>
      </w:pPr>
      <w:r>
        <w:rPr>
          <w:rFonts w:asciiTheme="majorHAnsi" w:hAnsiTheme="majorHAnsi" w:cstheme="majorHAnsi"/>
          <w:b/>
          <w:color w:val="0F6FC6" w:themeColor="accent1"/>
          <w14:textFill>
            <w14:solidFill>
              <w14:schemeClr w14:val="accent1"/>
            </w14:solidFill>
          </w14:textFill>
        </w:rPr>
        <w:t>Compania Naţională „Imprimeria Naţională” - S.A. – (grad îndeplinire ICP - 120%)</w:t>
      </w:r>
    </w:p>
    <w:p>
      <w:pPr>
        <w:spacing w:before="0" w:after="240"/>
        <w:ind w:left="270"/>
        <w:jc w:val="both"/>
        <w:rPr>
          <w:rFonts w:asciiTheme="majorHAnsi" w:hAnsiTheme="majorHAnsi"/>
          <w:bCs/>
        </w:rPr>
      </w:pPr>
      <w:r>
        <w:rPr>
          <w:rFonts w:asciiTheme="majorHAnsi" w:hAnsiTheme="majorHAnsi"/>
          <w:bCs/>
        </w:rPr>
        <w:t>Planul de Administrare a fost elaborat de către Consiliul de Administraţie al Companiei Naţionale „Imprimeria Naţională” - S.A. (CNIN) în conformitate cu prevederile O.U.G. nr.109/2011. Prin Decizia Consiliului de Administraţie nr. 14 din 17.11.2020, a fost aprobat Planul de Administrare pentru perioada 2020 – 2024, în temeiul O.U.G. nr. 109/2011. Indicatorii de performanţă financiari şi nefinanciari prevăzuţi în Planul de administrare au fost aprobaţi prin Hotărârea  A.G.A. nr. 11 din 08.12.2020.</w:t>
      </w:r>
    </w:p>
    <w:p>
      <w:pPr>
        <w:spacing w:before="0" w:after="240"/>
        <w:ind w:left="270"/>
        <w:jc w:val="both"/>
        <w:rPr>
          <w:rFonts w:asciiTheme="majorHAnsi" w:hAnsiTheme="majorHAnsi"/>
          <w:bCs/>
        </w:rPr>
      </w:pPr>
      <w:r>
        <w:rPr>
          <w:rFonts w:asciiTheme="majorHAnsi" w:hAnsiTheme="majorHAnsi"/>
          <w:bCs/>
        </w:rPr>
        <w:t xml:space="preserve">Planul de administrare al administratorilor companiei prevede ca obiectiv principal de îndeplinit pe perioada mandatului </w:t>
      </w:r>
      <w:r>
        <w:rPr>
          <w:rFonts w:asciiTheme="majorHAnsi" w:hAnsiTheme="majorHAnsi"/>
          <w:b/>
          <w:bCs/>
        </w:rPr>
        <w:t>„Creşterea performanţelor economice în condiţiile întăririi disciplinei financiare”</w:t>
      </w:r>
      <w:r>
        <w:rPr>
          <w:rFonts w:asciiTheme="majorHAnsi" w:hAnsiTheme="majorHAnsi"/>
          <w:bCs/>
        </w:rPr>
        <w:t>.</w:t>
      </w:r>
    </w:p>
    <w:p>
      <w:pPr>
        <w:spacing w:before="0" w:after="0"/>
        <w:ind w:left="270"/>
        <w:jc w:val="both"/>
        <w:rPr>
          <w:rFonts w:asciiTheme="majorHAnsi" w:hAnsiTheme="majorHAnsi"/>
          <w:bCs/>
        </w:rPr>
      </w:pPr>
      <w:r>
        <w:rPr>
          <w:rFonts w:asciiTheme="majorHAnsi" w:hAnsiTheme="majorHAnsi"/>
          <w:bCs/>
        </w:rPr>
        <w:t>Obiectivul principal are următoarele obiective cuantificate, al căror grad de realizare se prezintă astfel:</w:t>
      </w:r>
    </w:p>
    <w:p>
      <w:pPr>
        <w:spacing w:before="0" w:after="0"/>
        <w:ind w:left="720" w:hanging="270"/>
        <w:jc w:val="both"/>
        <w:rPr>
          <w:rFonts w:asciiTheme="majorHAnsi" w:hAnsiTheme="majorHAnsi" w:cstheme="majorHAnsi"/>
          <w:bCs/>
          <w:lang w:val="en-US"/>
        </w:rPr>
      </w:pPr>
      <w:r>
        <w:rPr>
          <w:rFonts w:asciiTheme="majorHAnsi" w:hAnsiTheme="majorHAnsi" w:cstheme="majorHAnsi"/>
          <w:bCs/>
        </w:rPr>
        <w:t>a)</w:t>
      </w:r>
      <w:r>
        <w:rPr>
          <w:rFonts w:asciiTheme="majorHAnsi" w:hAnsiTheme="majorHAnsi" w:cstheme="majorHAnsi"/>
          <w:bCs/>
        </w:rPr>
        <w:tab/>
      </w:r>
      <w:r>
        <w:rPr>
          <w:rFonts w:asciiTheme="majorHAnsi" w:hAnsiTheme="majorHAnsi" w:cstheme="majorHAnsi"/>
          <w:b/>
          <w:bCs/>
        </w:rPr>
        <w:t>creşterea veniturilor în condiţiile respectării prevederilor O.G. nr.26/2013</w:t>
      </w:r>
      <w:r>
        <w:rPr>
          <w:rFonts w:asciiTheme="majorHAnsi" w:hAnsiTheme="majorHAnsi" w:cstheme="majorHAnsi"/>
          <w:bCs/>
        </w:rPr>
        <w:t xml:space="preserve"> - Veniturile totale realizate în anul 2020, au fost în scădere cu 2,55% faţă de valorile programate în bugetul de venituri și cheltuieli pe anul 2020 (BVC). Scăderea veniturilor totale faţă de valorile estimate este determinată de efectul pandemiei COVID-19. Principalele categorii de venituri afectate au fost veniturile din vânzarea documentelor speciale de călătorie (paşapoarte electronice, temporare, titluri călătorie) care au înregistrat o scădere de 44,18 %, având o valoare de 197.350,47 mii lei în anul 2020 faţă de 353.549,79 mii lei în anul 2019. Diminuarea veniturilor totale a avut loc odată cu reducerea într-o măsură mai mare a cheltuielilor totale</w:t>
      </w:r>
      <w:r>
        <w:rPr>
          <w:rFonts w:asciiTheme="majorHAnsi" w:hAnsiTheme="majorHAnsi" w:cstheme="majorHAnsi"/>
          <w:bCs/>
          <w:lang w:val="en-US"/>
        </w:rPr>
        <w:t>;</w:t>
      </w:r>
    </w:p>
    <w:p>
      <w:pPr>
        <w:spacing w:before="0" w:after="0"/>
        <w:ind w:left="720" w:hanging="270"/>
        <w:jc w:val="both"/>
        <w:rPr>
          <w:rFonts w:asciiTheme="majorHAnsi" w:hAnsiTheme="majorHAnsi" w:cstheme="majorHAnsi"/>
          <w:bCs/>
          <w:lang w:val="en-US"/>
        </w:rPr>
      </w:pPr>
      <w:r>
        <w:rPr>
          <w:rFonts w:asciiTheme="majorHAnsi" w:hAnsiTheme="majorHAnsi" w:cstheme="majorHAnsi"/>
          <w:bCs/>
        </w:rPr>
        <w:t>b)</w:t>
      </w:r>
      <w:r>
        <w:rPr>
          <w:rFonts w:asciiTheme="majorHAnsi" w:hAnsiTheme="majorHAnsi" w:cstheme="majorHAnsi"/>
          <w:bCs/>
        </w:rPr>
        <w:tab/>
      </w:r>
      <w:r>
        <w:rPr>
          <w:rFonts w:asciiTheme="majorHAnsi" w:hAnsiTheme="majorHAnsi" w:cstheme="majorHAnsi"/>
          <w:b/>
          <w:bCs/>
        </w:rPr>
        <w:t>reducerea cheltuielilor -</w:t>
      </w:r>
      <w:r>
        <w:rPr>
          <w:rFonts w:asciiTheme="majorHAnsi" w:hAnsiTheme="majorHAnsi" w:cstheme="majorHAnsi"/>
          <w:bCs/>
        </w:rPr>
        <w:t xml:space="preserve"> Cheltuielile totale sunt cu 10,70% mai mici decât valorile programate în  BVC</w:t>
      </w:r>
      <w:r>
        <w:rPr>
          <w:rFonts w:asciiTheme="majorHAnsi" w:hAnsiTheme="majorHAnsi" w:cstheme="majorHAnsi"/>
          <w:bCs/>
          <w:lang w:val="en-US"/>
        </w:rPr>
        <w:t>;</w:t>
      </w:r>
    </w:p>
    <w:p>
      <w:pPr>
        <w:spacing w:before="0" w:after="0"/>
        <w:ind w:left="720" w:hanging="270"/>
        <w:jc w:val="both"/>
        <w:rPr>
          <w:rFonts w:asciiTheme="majorHAnsi" w:hAnsiTheme="majorHAnsi" w:cstheme="majorHAnsi"/>
          <w:bCs/>
          <w:lang w:val="en-US"/>
        </w:rPr>
      </w:pPr>
      <w:r>
        <w:rPr>
          <w:rFonts w:asciiTheme="majorHAnsi" w:hAnsiTheme="majorHAnsi" w:cstheme="majorHAnsi"/>
          <w:bCs/>
        </w:rPr>
        <w:t>c)</w:t>
      </w:r>
      <w:r>
        <w:rPr>
          <w:rFonts w:asciiTheme="majorHAnsi" w:hAnsiTheme="majorHAnsi" w:cstheme="majorHAnsi"/>
          <w:bCs/>
        </w:rPr>
        <w:tab/>
      </w:r>
      <w:r>
        <w:rPr>
          <w:rFonts w:asciiTheme="majorHAnsi" w:hAnsiTheme="majorHAnsi" w:cstheme="majorHAnsi"/>
          <w:b/>
          <w:bCs/>
        </w:rPr>
        <w:t>creşterea profitului</w:t>
      </w:r>
      <w:r>
        <w:rPr>
          <w:rFonts w:asciiTheme="majorHAnsi" w:hAnsiTheme="majorHAnsi" w:cstheme="majorHAnsi"/>
          <w:bCs/>
        </w:rPr>
        <w:t xml:space="preserve"> -</w:t>
      </w:r>
      <w:r>
        <w:rPr>
          <w:rFonts w:asciiTheme="majorHAnsi" w:hAnsiTheme="majorHAnsi" w:cstheme="majorHAnsi"/>
        </w:rPr>
        <w:t xml:space="preserve"> P</w:t>
      </w:r>
      <w:r>
        <w:rPr>
          <w:rFonts w:asciiTheme="majorHAnsi" w:hAnsiTheme="majorHAnsi" w:cstheme="majorHAnsi"/>
          <w:bCs/>
        </w:rPr>
        <w:t>rofitul brut realizat pe anul 2020, a înregistrat o creştere cu 3,70% faţă de valorile programate în BVC, respectiv cu suma de 8.108,97 mii lei. Profitul net înregistrează o creştere cu 3,60% faţă de valorile programate în BVC</w:t>
      </w:r>
      <w:r>
        <w:rPr>
          <w:rFonts w:asciiTheme="majorHAnsi" w:hAnsiTheme="majorHAnsi" w:cstheme="majorHAnsi"/>
          <w:bCs/>
          <w:lang w:val="en-US"/>
        </w:rPr>
        <w:t>;</w:t>
      </w:r>
    </w:p>
    <w:p>
      <w:pPr>
        <w:spacing w:before="0" w:after="0"/>
        <w:ind w:left="720" w:hanging="270"/>
        <w:jc w:val="both"/>
        <w:rPr>
          <w:rFonts w:asciiTheme="majorHAnsi" w:hAnsiTheme="majorHAnsi" w:cstheme="majorHAnsi"/>
          <w:bCs/>
          <w:lang w:val="en-US"/>
        </w:rPr>
      </w:pPr>
      <w:r>
        <w:rPr>
          <w:rFonts w:asciiTheme="majorHAnsi" w:hAnsiTheme="majorHAnsi" w:cstheme="majorHAnsi"/>
          <w:bCs/>
        </w:rPr>
        <w:t>d)</w:t>
      </w:r>
      <w:r>
        <w:rPr>
          <w:rFonts w:asciiTheme="majorHAnsi" w:hAnsiTheme="majorHAnsi" w:cstheme="majorHAnsi"/>
          <w:bCs/>
        </w:rPr>
        <w:tab/>
      </w:r>
      <w:r>
        <w:rPr>
          <w:rFonts w:asciiTheme="majorHAnsi" w:hAnsiTheme="majorHAnsi" w:cstheme="majorHAnsi"/>
          <w:b/>
          <w:bCs/>
        </w:rPr>
        <w:t>creşterea productivităţii muncii -</w:t>
      </w:r>
      <w:r>
        <w:rPr>
          <w:rFonts w:asciiTheme="majorHAnsi" w:hAnsiTheme="majorHAnsi" w:cstheme="majorHAnsi"/>
        </w:rPr>
        <w:t xml:space="preserve"> </w:t>
      </w:r>
      <w:r>
        <w:rPr>
          <w:rFonts w:asciiTheme="majorHAnsi" w:hAnsiTheme="majorHAnsi" w:cstheme="majorHAnsi"/>
          <w:bCs/>
        </w:rPr>
        <w:t>Productivitatea muncii a scăzut cu 3,08% faţă de valorile programate prin BVC întrucât veniturile din exploatare au scăzut cu 3,08% pe fondul pandemiei COVID-19 fiind  influenţată de factorii care intră în calculul acesteia respectiv, raportul dintre veniturile din exploatare şi numărul de salariaţi</w:t>
      </w:r>
      <w:r>
        <w:rPr>
          <w:rFonts w:asciiTheme="majorHAnsi" w:hAnsiTheme="majorHAnsi" w:cstheme="majorHAnsi"/>
          <w:bCs/>
          <w:lang w:val="en-US"/>
        </w:rPr>
        <w:t>;</w:t>
      </w:r>
    </w:p>
    <w:p>
      <w:pPr>
        <w:spacing w:before="0" w:after="0"/>
        <w:ind w:left="720" w:hanging="270"/>
        <w:jc w:val="both"/>
        <w:rPr>
          <w:rFonts w:asciiTheme="majorHAnsi" w:hAnsiTheme="majorHAnsi" w:cstheme="majorHAnsi"/>
          <w:bCs/>
          <w:lang w:val="en-US"/>
        </w:rPr>
      </w:pPr>
      <w:r>
        <w:rPr>
          <w:rFonts w:asciiTheme="majorHAnsi" w:hAnsiTheme="majorHAnsi" w:cstheme="majorHAnsi"/>
          <w:bCs/>
        </w:rPr>
        <w:t>e)</w:t>
      </w:r>
      <w:r>
        <w:rPr>
          <w:rFonts w:asciiTheme="majorHAnsi" w:hAnsiTheme="majorHAnsi" w:cstheme="majorHAnsi"/>
          <w:bCs/>
        </w:rPr>
        <w:tab/>
      </w:r>
      <w:r>
        <w:rPr>
          <w:rFonts w:asciiTheme="majorHAnsi" w:hAnsiTheme="majorHAnsi" w:cstheme="majorHAnsi"/>
          <w:b/>
          <w:bCs/>
        </w:rPr>
        <w:t>reducerea duratei de încasare a creanţelor</w:t>
      </w:r>
      <w:r>
        <w:rPr>
          <w:rFonts w:asciiTheme="majorHAnsi" w:hAnsiTheme="majorHAnsi" w:cstheme="majorHAnsi"/>
        </w:rPr>
        <w:t xml:space="preserve"> - </w:t>
      </w:r>
      <w:r>
        <w:rPr>
          <w:rFonts w:asciiTheme="majorHAnsi" w:hAnsiTheme="majorHAnsi" w:cstheme="majorHAnsi"/>
          <w:bCs/>
        </w:rPr>
        <w:t>Conform indicatorilor calculaţi şi prevăzuţi în Planul de administrare, durata de încasare a creanţelor analizată pe baza indicatorului „Viteza de rotaţie clienţi” este de 19,06 zile care, prin raportare la valoarea de referinţă prevăzută, respectiv 45 zile, reprezintă un nivel optim pentru derularea activităţii companiei</w:t>
      </w:r>
      <w:r>
        <w:rPr>
          <w:rFonts w:asciiTheme="majorHAnsi" w:hAnsiTheme="majorHAnsi" w:cstheme="majorHAnsi"/>
          <w:bCs/>
          <w:lang w:val="en-US"/>
        </w:rPr>
        <w:t>;</w:t>
      </w:r>
    </w:p>
    <w:p>
      <w:pPr>
        <w:spacing w:before="0" w:after="0"/>
        <w:ind w:left="720" w:hanging="270"/>
        <w:jc w:val="both"/>
        <w:rPr>
          <w:rFonts w:asciiTheme="majorHAnsi" w:hAnsiTheme="majorHAnsi" w:cstheme="majorHAnsi"/>
          <w:bCs/>
        </w:rPr>
      </w:pPr>
      <w:r>
        <w:rPr>
          <w:rFonts w:asciiTheme="majorHAnsi" w:hAnsiTheme="majorHAnsi" w:cstheme="majorHAnsi"/>
          <w:bCs/>
        </w:rPr>
        <w:t>f)</w:t>
      </w:r>
      <w:r>
        <w:rPr>
          <w:rFonts w:asciiTheme="majorHAnsi" w:hAnsiTheme="majorHAnsi" w:cstheme="majorHAnsi"/>
          <w:bCs/>
        </w:rPr>
        <w:tab/>
      </w:r>
      <w:r>
        <w:rPr>
          <w:rFonts w:asciiTheme="majorHAnsi" w:hAnsiTheme="majorHAnsi" w:cstheme="majorHAnsi"/>
          <w:b/>
          <w:bCs/>
        </w:rPr>
        <w:t>lipsa arieratelor -</w:t>
      </w:r>
      <w:r>
        <w:rPr>
          <w:rFonts w:asciiTheme="majorHAnsi" w:hAnsiTheme="majorHAnsi" w:cstheme="majorHAnsi"/>
        </w:rPr>
        <w:t xml:space="preserve"> c</w:t>
      </w:r>
      <w:r>
        <w:rPr>
          <w:rFonts w:asciiTheme="majorHAnsi" w:hAnsiTheme="majorHAnsi" w:cstheme="majorHAnsi"/>
          <w:bCs/>
        </w:rPr>
        <w:t>ompania nu înregistrează plăți restante (arierate) la 31.12.2021</w:t>
      </w:r>
      <w:r>
        <w:rPr>
          <w:rFonts w:asciiTheme="majorHAnsi" w:hAnsiTheme="majorHAnsi" w:cstheme="majorHAnsi"/>
          <w:bCs/>
          <w:lang w:val="en-US"/>
        </w:rPr>
        <w:t>;</w:t>
      </w:r>
      <w:r>
        <w:rPr>
          <w:rFonts w:asciiTheme="majorHAnsi" w:hAnsiTheme="majorHAnsi" w:cstheme="majorHAnsi"/>
          <w:bCs/>
        </w:rPr>
        <w:t xml:space="preserve"> </w:t>
      </w:r>
    </w:p>
    <w:p>
      <w:pPr>
        <w:spacing w:before="0" w:after="0"/>
        <w:ind w:left="720" w:hanging="270"/>
        <w:jc w:val="both"/>
        <w:rPr>
          <w:rFonts w:asciiTheme="majorHAnsi" w:hAnsiTheme="majorHAnsi" w:cstheme="majorHAnsi"/>
          <w:bCs/>
          <w:lang w:val="en-US"/>
        </w:rPr>
      </w:pPr>
      <w:r>
        <w:rPr>
          <w:rFonts w:asciiTheme="majorHAnsi" w:hAnsiTheme="majorHAnsi" w:cstheme="majorHAnsi"/>
          <w:bCs/>
        </w:rPr>
        <w:t>g)</w:t>
      </w:r>
      <w:r>
        <w:rPr>
          <w:rFonts w:asciiTheme="majorHAnsi" w:hAnsiTheme="majorHAnsi" w:cstheme="majorHAnsi"/>
          <w:bCs/>
        </w:rPr>
        <w:tab/>
      </w:r>
      <w:r>
        <w:rPr>
          <w:rFonts w:asciiTheme="majorHAnsi" w:hAnsiTheme="majorHAnsi" w:cstheme="majorHAnsi"/>
          <w:b/>
          <w:bCs/>
        </w:rPr>
        <w:t>reducerea duratei de plată a obligaţiilor faţă de terţi –</w:t>
      </w:r>
      <w:r>
        <w:rPr>
          <w:rFonts w:asciiTheme="majorHAnsi" w:hAnsiTheme="majorHAnsi" w:cstheme="majorHAnsi"/>
        </w:rPr>
        <w:t xml:space="preserve"> </w:t>
      </w:r>
      <w:r>
        <w:rPr>
          <w:rFonts w:asciiTheme="majorHAnsi" w:hAnsiTheme="majorHAnsi" w:cstheme="majorHAnsi"/>
          <w:bCs/>
        </w:rPr>
        <w:t>Conform indicatorilor calculaţi şi prevăzuţi în Planul de administrare, se constată că nu există obligaţii scadente şi neachitate. Din punct de vedere al solvabilităţii, respectiv ca volum total al activelor raportat la datoriile totale, a rezultat menţinerea raportului optim faţă de valoarea de referinţă din Planul de administrare aprobat</w:t>
      </w:r>
      <w:r>
        <w:rPr>
          <w:rFonts w:asciiTheme="majorHAnsi" w:hAnsiTheme="majorHAnsi" w:cstheme="majorHAnsi"/>
          <w:bCs/>
          <w:lang w:val="en-US"/>
        </w:rPr>
        <w:t>;</w:t>
      </w:r>
    </w:p>
    <w:p>
      <w:pPr>
        <w:spacing w:before="0" w:after="0"/>
        <w:ind w:left="720" w:hanging="270"/>
        <w:jc w:val="both"/>
        <w:rPr>
          <w:rFonts w:asciiTheme="majorHAnsi" w:hAnsiTheme="majorHAnsi" w:cstheme="majorHAnsi"/>
          <w:bCs/>
          <w:lang w:val="en-US"/>
        </w:rPr>
      </w:pPr>
      <w:r>
        <w:rPr>
          <w:rFonts w:asciiTheme="majorHAnsi" w:hAnsiTheme="majorHAnsi" w:cstheme="majorHAnsi"/>
          <w:bCs/>
        </w:rPr>
        <w:t>h)</w:t>
      </w:r>
      <w:r>
        <w:rPr>
          <w:rFonts w:asciiTheme="majorHAnsi" w:hAnsiTheme="majorHAnsi" w:cstheme="majorHAnsi"/>
          <w:bCs/>
        </w:rPr>
        <w:tab/>
      </w:r>
      <w:r>
        <w:rPr>
          <w:rFonts w:asciiTheme="majorHAnsi" w:hAnsiTheme="majorHAnsi" w:cstheme="majorHAnsi"/>
          <w:b/>
          <w:bCs/>
        </w:rPr>
        <w:t xml:space="preserve">volumul investiţiilor şi realizarea acestora conform graficului de execuţie </w:t>
      </w:r>
      <w:r>
        <w:rPr>
          <w:rFonts w:asciiTheme="majorHAnsi" w:hAnsiTheme="majorHAnsi" w:cstheme="majorHAnsi"/>
          <w:bCs/>
        </w:rPr>
        <w:t>–</w:t>
      </w:r>
      <w:r>
        <w:rPr>
          <w:rFonts w:asciiTheme="majorHAnsi" w:hAnsiTheme="majorHAnsi" w:cstheme="majorHAnsi"/>
          <w:b/>
          <w:bCs/>
        </w:rPr>
        <w:t xml:space="preserve"> </w:t>
      </w:r>
      <w:r>
        <w:rPr>
          <w:rFonts w:asciiTheme="majorHAnsi" w:hAnsiTheme="majorHAnsi" w:cstheme="majorHAnsi"/>
          <w:bCs/>
        </w:rPr>
        <w:t>Gradul de realizare a investiţiilor propuse în planul de administrare este de 28,18%, fiind inferior gradului de 80,00% din plan, ca urmare a efectelor pandemiei COVID - 19</w:t>
      </w:r>
      <w:r>
        <w:rPr>
          <w:rFonts w:asciiTheme="majorHAnsi" w:hAnsiTheme="majorHAnsi" w:cstheme="majorHAnsi"/>
          <w:bCs/>
          <w:lang w:val="en-US"/>
        </w:rPr>
        <w:t>;</w:t>
      </w:r>
    </w:p>
    <w:p>
      <w:pPr>
        <w:spacing w:before="0" w:after="0"/>
        <w:ind w:left="720" w:hanging="270"/>
        <w:jc w:val="both"/>
        <w:rPr>
          <w:rFonts w:asciiTheme="majorHAnsi" w:hAnsiTheme="majorHAnsi" w:cstheme="majorHAnsi"/>
          <w:bCs/>
        </w:rPr>
      </w:pPr>
      <w:r>
        <w:rPr>
          <w:rFonts w:asciiTheme="majorHAnsi" w:hAnsiTheme="majorHAnsi" w:cstheme="majorHAnsi"/>
          <w:bCs/>
        </w:rPr>
        <w:t>i)</w:t>
      </w:r>
      <w:r>
        <w:rPr>
          <w:rFonts w:asciiTheme="majorHAnsi" w:hAnsiTheme="majorHAnsi" w:cstheme="majorHAnsi"/>
          <w:b/>
          <w:bCs/>
        </w:rPr>
        <w:tab/>
      </w:r>
      <w:r>
        <w:rPr>
          <w:rFonts w:asciiTheme="majorHAnsi" w:hAnsiTheme="majorHAnsi" w:cstheme="majorHAnsi"/>
          <w:b/>
          <w:bCs/>
        </w:rPr>
        <w:t>cash-flow susţinere activitate -</w:t>
      </w:r>
      <w:r>
        <w:rPr>
          <w:rFonts w:asciiTheme="majorHAnsi" w:hAnsiTheme="majorHAnsi" w:cstheme="majorHAnsi"/>
        </w:rPr>
        <w:t xml:space="preserve"> </w:t>
      </w:r>
      <w:r>
        <w:rPr>
          <w:rFonts w:asciiTheme="majorHAnsi" w:hAnsiTheme="majorHAnsi" w:cstheme="majorHAnsi"/>
          <w:bCs/>
        </w:rPr>
        <w:t>Indicatorul relevă capacitatea companiei de a susţine cu fluxuri de numerar activităţile derulate (operaţionale). Valoarea din Planul de administrare a indicatorului este de 0,5 calculat ca raport între Active circulante din care se scad stocurile şi Datorii pe termen scurt. Valoarea calculată pe baza datelor realizate la 31.12.2020 este de 4,27 ceea ce relevă capacitatea companiei de a achita datoriile curente pe seama activelor circulante.</w:t>
      </w:r>
    </w:p>
    <w:p>
      <w:pPr>
        <w:spacing w:before="0" w:after="0"/>
        <w:ind w:left="1170" w:hanging="270"/>
        <w:jc w:val="both"/>
        <w:rPr>
          <w:rFonts w:asciiTheme="majorHAnsi" w:hAnsiTheme="majorHAnsi" w:cstheme="majorHAnsi"/>
          <w:bCs/>
        </w:rPr>
      </w:pPr>
    </w:p>
    <w:p>
      <w:pPr>
        <w:spacing w:before="0" w:after="240"/>
        <w:ind w:left="270"/>
        <w:jc w:val="both"/>
        <w:rPr>
          <w:rFonts w:asciiTheme="majorHAnsi" w:hAnsiTheme="majorHAnsi" w:cstheme="majorHAnsi"/>
          <w:bCs/>
        </w:rPr>
      </w:pPr>
      <w:r>
        <w:rPr>
          <w:rFonts w:asciiTheme="majorHAnsi" w:hAnsiTheme="majorHAnsi" w:cstheme="majorHAnsi"/>
          <w:bCs/>
        </w:rPr>
        <w:t xml:space="preserve">Pentru exercițiul financiar 01.01. – 31.12.2020 Adunarea Generală a Acționarilor a aprobat </w:t>
      </w:r>
      <w:r>
        <w:rPr>
          <w:rFonts w:asciiTheme="majorHAnsi" w:hAnsiTheme="majorHAnsi" w:cstheme="majorHAnsi"/>
          <w:b/>
          <w:bCs/>
        </w:rPr>
        <w:t>repartizarea</w:t>
      </w:r>
      <w:r>
        <w:rPr>
          <w:rFonts w:asciiTheme="majorHAnsi" w:hAnsiTheme="majorHAnsi" w:cstheme="majorHAnsi"/>
          <w:bCs/>
        </w:rPr>
        <w:t xml:space="preserve"> unei cote de minim 90% din profitul net al exerciţiului financiar 2020, respectiv suma de 175.211,74 mii lei cu destinaţia dividende la bugetul de stat.</w:t>
      </w:r>
    </w:p>
    <w:p>
      <w:pPr>
        <w:spacing w:before="0" w:after="240"/>
        <w:ind w:left="270"/>
        <w:jc w:val="both"/>
        <w:rPr>
          <w:rFonts w:asciiTheme="majorHAnsi" w:hAnsiTheme="majorHAnsi" w:cstheme="majorHAnsi"/>
          <w:b/>
          <w:bCs/>
        </w:rPr>
      </w:pPr>
      <w:r>
        <w:rPr>
          <w:rFonts w:asciiTheme="majorHAnsi" w:hAnsiTheme="majorHAnsi" w:cstheme="majorHAnsi"/>
          <w:bCs/>
        </w:rPr>
        <w:t xml:space="preserve">Gradul de îndeplinire global a indicatorilor şi criteriilor de performanţă ale administratorilor din Planul de administrare 2016-2020 </w:t>
      </w:r>
      <w:r>
        <w:rPr>
          <w:rFonts w:asciiTheme="majorHAnsi" w:hAnsiTheme="majorHAnsi" w:cstheme="majorHAnsi"/>
          <w:b/>
          <w:bCs/>
        </w:rPr>
        <w:t>a fost de peste 120% în anul 2020.</w:t>
      </w:r>
    </w:p>
    <w:p>
      <w:pPr>
        <w:spacing w:before="0" w:after="240"/>
        <w:ind w:left="270"/>
        <w:jc w:val="both"/>
        <w:rPr>
          <w:rFonts w:asciiTheme="majorHAnsi" w:hAnsiTheme="majorHAnsi" w:cstheme="majorHAnsi"/>
          <w:b/>
          <w:bCs/>
        </w:rPr>
      </w:pPr>
    </w:p>
    <w:p>
      <w:pPr>
        <w:spacing w:before="0" w:after="240"/>
        <w:ind w:left="270"/>
        <w:jc w:val="both"/>
        <w:rPr>
          <w:rFonts w:asciiTheme="majorHAnsi" w:hAnsiTheme="majorHAnsi" w:cstheme="majorHAnsi"/>
          <w:b/>
          <w:bCs/>
        </w:rPr>
      </w:pPr>
    </w:p>
    <w:p>
      <w:pPr>
        <w:pStyle w:val="66"/>
        <w:numPr>
          <w:ilvl w:val="0"/>
          <w:numId w:val="20"/>
        </w:numPr>
        <w:spacing w:before="0" w:after="240"/>
        <w:ind w:left="630"/>
        <w:jc w:val="both"/>
        <w:rPr>
          <w:rFonts w:asciiTheme="majorHAnsi" w:hAnsiTheme="majorHAnsi"/>
          <w:b/>
          <w:bCs/>
          <w:color w:val="0F6FC6" w:themeColor="accent1"/>
          <w14:textFill>
            <w14:solidFill>
              <w14:schemeClr w14:val="accent1"/>
            </w14:solidFill>
          </w14:textFill>
        </w:rPr>
      </w:pPr>
      <w:r>
        <w:rPr>
          <w:rFonts w:asciiTheme="majorHAnsi" w:hAnsiTheme="majorHAnsi"/>
          <w:b/>
          <w:bCs/>
          <w:color w:val="0F6FC6" w:themeColor="accent1"/>
          <w14:textFill>
            <w14:solidFill>
              <w14:schemeClr w14:val="accent1"/>
            </w14:solidFill>
          </w14:textFill>
        </w:rPr>
        <w:t xml:space="preserve">Compania de asigurări-reasigurări Exim România S.A. - (CARE ROMÂNIA) </w:t>
      </w:r>
    </w:p>
    <w:p>
      <w:pPr>
        <w:spacing w:before="0" w:after="240"/>
        <w:ind w:left="270"/>
        <w:jc w:val="both"/>
        <w:rPr>
          <w:rFonts w:asciiTheme="majorHAnsi" w:hAnsiTheme="majorHAnsi"/>
          <w:bCs/>
        </w:rPr>
      </w:pPr>
      <w:r>
        <w:rPr>
          <w:rFonts w:asciiTheme="majorHAnsi" w:hAnsiTheme="majorHAnsi"/>
          <w:bCs/>
        </w:rPr>
        <w:t xml:space="preserve">Obiectivul fundamental al CARE România SA, derivat din misiunea sa strategică, îl reprezintă </w:t>
      </w:r>
      <w:r>
        <w:rPr>
          <w:rFonts w:asciiTheme="majorHAnsi" w:hAnsiTheme="majorHAnsi"/>
          <w:b/>
          <w:bCs/>
        </w:rPr>
        <w:t>creșterea gradului de implicare în economie prin creșterea cotei de piață, respectiv realizarea unor rate de creștere anuale peste dezvoltarea generală a sectorului asigurărilor non-life și nonauto</w:t>
      </w:r>
      <w:r>
        <w:rPr>
          <w:rFonts w:asciiTheme="majorHAnsi" w:hAnsiTheme="majorHAnsi"/>
          <w:bCs/>
        </w:rPr>
        <w:t xml:space="preserve">, în condiții de eficiență economică, de conservare și majorare a valorii investiției acționarilor. </w:t>
      </w:r>
    </w:p>
    <w:p>
      <w:pPr>
        <w:spacing w:before="0" w:after="240"/>
        <w:ind w:left="270"/>
        <w:jc w:val="both"/>
        <w:rPr>
          <w:rFonts w:asciiTheme="majorHAnsi" w:hAnsiTheme="majorHAnsi"/>
          <w:bCs/>
        </w:rPr>
      </w:pPr>
      <w:r>
        <w:rPr>
          <w:rFonts w:asciiTheme="majorHAnsi" w:hAnsiTheme="majorHAnsi"/>
          <w:bCs/>
        </w:rPr>
        <w:t xml:space="preserve">Cuantificarea gradului de realizare a obiectivului fundamental al companiei se realizeză prin monitorizarea următorilor indicatori: </w:t>
      </w:r>
    </w:p>
    <w:p>
      <w:pPr>
        <w:spacing w:before="0" w:after="0"/>
        <w:ind w:left="270"/>
        <w:jc w:val="both"/>
        <w:rPr>
          <w:rFonts w:asciiTheme="majorHAnsi" w:hAnsiTheme="majorHAnsi"/>
          <w:b/>
          <w:bCs/>
        </w:rPr>
      </w:pPr>
      <w:r>
        <w:rPr>
          <w:rFonts w:asciiTheme="majorHAnsi" w:hAnsiTheme="majorHAnsi"/>
          <w:b/>
          <w:bCs/>
        </w:rPr>
        <w:t xml:space="preserve">I. Pentru membrii neexecutivi </w:t>
      </w:r>
    </w:p>
    <w:p>
      <w:pPr>
        <w:spacing w:before="0" w:after="0"/>
        <w:ind w:left="270"/>
        <w:jc w:val="both"/>
        <w:rPr>
          <w:rFonts w:asciiTheme="majorHAnsi" w:hAnsiTheme="majorHAnsi"/>
          <w:bCs/>
        </w:rPr>
      </w:pPr>
      <w:r>
        <w:rPr>
          <w:rFonts w:asciiTheme="majorHAnsi" w:hAnsiTheme="majorHAnsi"/>
          <w:b/>
          <w:bCs/>
        </w:rPr>
        <w:t>A. Indicatori Financiari:</w:t>
      </w:r>
      <w:r>
        <w:rPr>
          <w:rFonts w:asciiTheme="majorHAnsi" w:hAnsiTheme="majorHAnsi"/>
          <w:bCs/>
        </w:rPr>
        <w:t xml:space="preserve"> 1) Necesarul de capital</w:t>
      </w:r>
      <w:r>
        <w:rPr>
          <w:rFonts w:asciiTheme="majorHAnsi" w:hAnsiTheme="majorHAnsi"/>
          <w:bCs/>
          <w:lang w:val="en-US"/>
        </w:rPr>
        <w:t>;</w:t>
      </w:r>
      <w:r>
        <w:rPr>
          <w:rFonts w:asciiTheme="majorHAnsi" w:hAnsiTheme="majorHAnsi"/>
          <w:bCs/>
        </w:rPr>
        <w:t xml:space="preserve"> 2) Grad de realizare al profitului net; 3) Gradul de solvabilitate și gradul minim de solvabilitate;  </w:t>
      </w:r>
    </w:p>
    <w:p>
      <w:pPr>
        <w:spacing w:before="0" w:after="0"/>
        <w:ind w:left="270"/>
        <w:jc w:val="both"/>
        <w:rPr>
          <w:rFonts w:asciiTheme="majorHAnsi" w:hAnsiTheme="majorHAnsi"/>
          <w:bCs/>
          <w:lang w:val="en-US"/>
        </w:rPr>
      </w:pPr>
      <w:r>
        <w:rPr>
          <w:rFonts w:asciiTheme="majorHAnsi" w:hAnsiTheme="majorHAnsi"/>
          <w:b/>
          <w:bCs/>
        </w:rPr>
        <w:t>B. Indicatori Operaționali</w:t>
      </w:r>
      <w:r>
        <w:rPr>
          <w:rFonts w:asciiTheme="majorHAnsi" w:hAnsiTheme="majorHAnsi"/>
          <w:b/>
          <w:bCs/>
          <w:lang w:val="en-US"/>
        </w:rPr>
        <w:t>:</w:t>
      </w:r>
      <w:r>
        <w:rPr>
          <w:rFonts w:asciiTheme="majorHAnsi" w:hAnsiTheme="majorHAnsi"/>
          <w:bCs/>
          <w:lang w:val="en-US"/>
        </w:rPr>
        <w:t xml:space="preserve"> 1) I</w:t>
      </w:r>
      <w:r>
        <w:rPr>
          <w:rFonts w:asciiTheme="majorHAnsi" w:hAnsiTheme="majorHAnsi"/>
          <w:bCs/>
        </w:rPr>
        <w:t>ndicatorul de neachitare a obligațiilor bugetare; 2) Gestionarea creanțelor și recuperarea acestora; 3) Gradul de realizare al planului de investiții; 4) Rata daunei netă de reasigurare; 5) Rata costurilor administrative</w:t>
      </w:r>
      <w:r>
        <w:rPr>
          <w:rFonts w:asciiTheme="majorHAnsi" w:hAnsiTheme="majorHAnsi"/>
          <w:bCs/>
          <w:lang w:val="en-US"/>
        </w:rPr>
        <w:t>;</w:t>
      </w:r>
    </w:p>
    <w:p>
      <w:pPr>
        <w:spacing w:before="0" w:after="0"/>
        <w:ind w:left="270"/>
        <w:jc w:val="both"/>
        <w:rPr>
          <w:rFonts w:asciiTheme="majorHAnsi" w:hAnsiTheme="majorHAnsi"/>
          <w:bCs/>
        </w:rPr>
      </w:pPr>
      <w:r>
        <w:rPr>
          <w:rFonts w:asciiTheme="majorHAnsi" w:hAnsiTheme="majorHAnsi"/>
          <w:b/>
          <w:bCs/>
        </w:rPr>
        <w:t>C. Indicatori de Guvernanță</w:t>
      </w:r>
      <w:r>
        <w:rPr>
          <w:rFonts w:asciiTheme="majorHAnsi" w:hAnsiTheme="majorHAnsi"/>
          <w:b/>
          <w:bCs/>
          <w:lang w:val="en-US"/>
        </w:rPr>
        <w:t>:</w:t>
      </w:r>
      <w:r>
        <w:rPr>
          <w:rFonts w:asciiTheme="majorHAnsi" w:hAnsiTheme="majorHAnsi"/>
          <w:b/>
          <w:bCs/>
        </w:rPr>
        <w:t xml:space="preserve"> </w:t>
      </w:r>
      <w:r>
        <w:rPr>
          <w:rFonts w:asciiTheme="majorHAnsi" w:hAnsiTheme="majorHAnsi"/>
          <w:bCs/>
        </w:rPr>
        <w:t>1) Respectarea termenelor și a formatelor de raportare către terți instituții publice</w:t>
      </w:r>
      <w:r>
        <w:rPr>
          <w:rFonts w:asciiTheme="majorHAnsi" w:hAnsiTheme="majorHAnsi"/>
          <w:bCs/>
          <w:lang w:val="en-US"/>
        </w:rPr>
        <w:t>;</w:t>
      </w:r>
      <w:r>
        <w:rPr>
          <w:rFonts w:asciiTheme="majorHAnsi" w:hAnsiTheme="majorHAnsi"/>
          <w:bCs/>
        </w:rPr>
        <w:t xml:space="preserve"> 2) Raportarea trimestrială către acționari și Consiliul de Administrație, la timp, a indicatorilor de performanță; 3) Strategia companiei este dezvoltată și aprobată la timp</w:t>
      </w:r>
      <w:r>
        <w:rPr>
          <w:rFonts w:asciiTheme="majorHAnsi" w:hAnsiTheme="majorHAnsi"/>
          <w:bCs/>
          <w:lang w:val="en-US"/>
        </w:rPr>
        <w:t>;</w:t>
      </w:r>
      <w:r>
        <w:rPr>
          <w:rFonts w:asciiTheme="majorHAnsi" w:hAnsiTheme="majorHAnsi"/>
          <w:bCs/>
        </w:rPr>
        <w:t xml:space="preserve"> 4) Stabilirea politicilor de management al riscului și monitorizarea riscului; 5) Stabilirea și respectarea politicilor de transparență și comunicare; 6) Gradul de implicare în administrarea companiei; </w:t>
      </w:r>
    </w:p>
    <w:p>
      <w:pPr>
        <w:spacing w:before="0" w:after="0"/>
        <w:ind w:left="270"/>
        <w:jc w:val="both"/>
        <w:rPr>
          <w:rFonts w:asciiTheme="majorHAnsi" w:hAnsiTheme="majorHAnsi"/>
          <w:bCs/>
        </w:rPr>
      </w:pPr>
      <w:r>
        <w:rPr>
          <w:rFonts w:asciiTheme="majorHAnsi" w:hAnsiTheme="majorHAnsi"/>
          <w:b/>
          <w:bCs/>
        </w:rPr>
        <w:t>D. Indicatori de evaluare a gradului de orientare către client</w:t>
      </w:r>
      <w:r>
        <w:rPr>
          <w:rFonts w:asciiTheme="majorHAnsi" w:hAnsiTheme="majorHAnsi"/>
          <w:b/>
          <w:bCs/>
          <w:lang w:val="en-US"/>
        </w:rPr>
        <w:t>:</w:t>
      </w:r>
      <w:r>
        <w:rPr>
          <w:rFonts w:asciiTheme="majorHAnsi" w:hAnsiTheme="majorHAnsi"/>
          <w:bCs/>
        </w:rPr>
        <w:t xml:space="preserve"> 1) Revizuirea anuală a cel puțin 25% din produsele companiei</w:t>
      </w:r>
      <w:r>
        <w:rPr>
          <w:rFonts w:asciiTheme="majorHAnsi" w:hAnsiTheme="majorHAnsi"/>
          <w:bCs/>
          <w:lang w:val="en-US"/>
        </w:rPr>
        <w:t xml:space="preserve">; </w:t>
      </w:r>
      <w:r>
        <w:rPr>
          <w:rFonts w:asciiTheme="majorHAnsi" w:hAnsiTheme="majorHAnsi"/>
          <w:bCs/>
        </w:rPr>
        <w:t>2) Lansarea anuală a cel puțin unui nou produs de asigurare; 3) Implementarea online, anual, a cel puțin unui produs de asigurare</w:t>
      </w:r>
      <w:r>
        <w:rPr>
          <w:rFonts w:asciiTheme="majorHAnsi" w:hAnsiTheme="majorHAnsi"/>
          <w:bCs/>
          <w:lang w:val="en-US"/>
        </w:rPr>
        <w:t>;</w:t>
      </w:r>
      <w:r>
        <w:rPr>
          <w:rFonts w:asciiTheme="majorHAnsi" w:hAnsiTheme="majorHAnsi"/>
          <w:bCs/>
        </w:rPr>
        <w:t xml:space="preserve"> 4) Calitatea și siguranța produselor și serviciilor oferite; 5) Creșterea gradului de implicare în mediul de afaceri;</w:t>
      </w:r>
    </w:p>
    <w:p>
      <w:pPr>
        <w:spacing w:before="0" w:after="0"/>
        <w:ind w:left="270"/>
        <w:jc w:val="both"/>
        <w:rPr>
          <w:rFonts w:asciiTheme="majorHAnsi" w:hAnsiTheme="majorHAnsi"/>
          <w:bCs/>
        </w:rPr>
      </w:pPr>
    </w:p>
    <w:p>
      <w:pPr>
        <w:spacing w:before="0" w:after="0"/>
        <w:ind w:left="270"/>
        <w:jc w:val="both"/>
        <w:rPr>
          <w:rFonts w:asciiTheme="majorHAnsi" w:hAnsiTheme="majorHAnsi"/>
          <w:b/>
          <w:bCs/>
        </w:rPr>
      </w:pPr>
      <w:r>
        <w:rPr>
          <w:rFonts w:asciiTheme="majorHAnsi" w:hAnsiTheme="majorHAnsi"/>
          <w:b/>
          <w:bCs/>
        </w:rPr>
        <w:t xml:space="preserve">II. Pentru membrii executivi: </w:t>
      </w:r>
    </w:p>
    <w:p>
      <w:pPr>
        <w:spacing w:before="0" w:after="0"/>
        <w:ind w:left="270"/>
        <w:jc w:val="both"/>
        <w:rPr>
          <w:rFonts w:asciiTheme="majorHAnsi" w:hAnsiTheme="majorHAnsi"/>
          <w:bCs/>
        </w:rPr>
      </w:pPr>
      <w:r>
        <w:rPr>
          <w:rFonts w:asciiTheme="majorHAnsi" w:hAnsiTheme="majorHAnsi"/>
          <w:b/>
          <w:bCs/>
        </w:rPr>
        <w:t>E. Indicatori Financiari</w:t>
      </w:r>
      <w:r>
        <w:rPr>
          <w:rFonts w:asciiTheme="majorHAnsi" w:hAnsiTheme="majorHAnsi"/>
          <w:b/>
          <w:bCs/>
          <w:lang w:val="en-US"/>
        </w:rPr>
        <w:t>:</w:t>
      </w:r>
      <w:r>
        <w:rPr>
          <w:rFonts w:asciiTheme="majorHAnsi" w:hAnsiTheme="majorHAnsi"/>
          <w:bCs/>
        </w:rPr>
        <w:t xml:space="preserve"> a) Necesarul de capital</w:t>
      </w:r>
      <w:r>
        <w:rPr>
          <w:rFonts w:asciiTheme="majorHAnsi" w:hAnsiTheme="majorHAnsi"/>
          <w:bCs/>
          <w:lang w:val="en-US"/>
        </w:rPr>
        <w:t>;</w:t>
      </w:r>
      <w:r>
        <w:rPr>
          <w:rFonts w:asciiTheme="majorHAnsi" w:hAnsiTheme="majorHAnsi"/>
          <w:bCs/>
        </w:rPr>
        <w:t xml:space="preserve">  b) Grad de realizare al profitului net; c) Grad de realizarea al Primelor Brute Subscrise; d) Coeficientul de lichiditate; e) Gradul de solvabilitate și gradul minim de solvabilitate;</w:t>
      </w:r>
    </w:p>
    <w:p>
      <w:pPr>
        <w:spacing w:before="0" w:after="0"/>
        <w:ind w:left="270"/>
        <w:jc w:val="both"/>
        <w:rPr>
          <w:rFonts w:asciiTheme="majorHAnsi" w:hAnsiTheme="majorHAnsi"/>
          <w:bCs/>
        </w:rPr>
      </w:pPr>
      <w:r>
        <w:rPr>
          <w:rFonts w:asciiTheme="majorHAnsi" w:hAnsiTheme="majorHAnsi"/>
          <w:b/>
          <w:bCs/>
        </w:rPr>
        <w:t>F. Indicatori Operaționali</w:t>
      </w:r>
      <w:r>
        <w:rPr>
          <w:rFonts w:asciiTheme="majorHAnsi" w:hAnsiTheme="majorHAnsi"/>
          <w:b/>
          <w:bCs/>
          <w:lang w:val="en-US"/>
        </w:rPr>
        <w:t>:</w:t>
      </w:r>
      <w:r>
        <w:rPr>
          <w:rFonts w:asciiTheme="majorHAnsi" w:hAnsiTheme="majorHAnsi"/>
          <w:bCs/>
          <w:lang w:val="en-US"/>
        </w:rPr>
        <w:t xml:space="preserve"> </w:t>
      </w:r>
      <w:r>
        <w:rPr>
          <w:rFonts w:asciiTheme="majorHAnsi" w:hAnsiTheme="majorHAnsi"/>
          <w:bCs/>
        </w:rPr>
        <w:t>a) Indicatorul de neachitare a obligațiilor bugetare</w:t>
      </w:r>
      <w:r>
        <w:rPr>
          <w:rFonts w:asciiTheme="majorHAnsi" w:hAnsiTheme="majorHAnsi"/>
          <w:bCs/>
          <w:lang w:val="en-US"/>
        </w:rPr>
        <w:t>;</w:t>
      </w:r>
      <w:r>
        <w:rPr>
          <w:rFonts w:asciiTheme="majorHAnsi" w:hAnsiTheme="majorHAnsi"/>
          <w:bCs/>
        </w:rPr>
        <w:t xml:space="preserve"> b) Gestionarea creanțelor și recuperarea acestora; c) Gradul de realizare al planului de investiții; d) Rata costurilor cu personalul; </w:t>
      </w:r>
    </w:p>
    <w:p>
      <w:pPr>
        <w:spacing w:before="0" w:after="0"/>
        <w:ind w:left="270"/>
        <w:jc w:val="both"/>
        <w:rPr>
          <w:rFonts w:asciiTheme="majorHAnsi" w:hAnsiTheme="majorHAnsi"/>
          <w:bCs/>
        </w:rPr>
      </w:pPr>
      <w:r>
        <w:rPr>
          <w:rFonts w:asciiTheme="majorHAnsi" w:hAnsiTheme="majorHAnsi"/>
          <w:b/>
          <w:bCs/>
        </w:rPr>
        <w:t>G. Indicatori de Guvernanță</w:t>
      </w:r>
      <w:r>
        <w:rPr>
          <w:rFonts w:asciiTheme="majorHAnsi" w:hAnsiTheme="majorHAnsi"/>
          <w:b/>
          <w:bCs/>
          <w:lang w:val="en-US"/>
        </w:rPr>
        <w:t>:</w:t>
      </w:r>
      <w:r>
        <w:rPr>
          <w:rFonts w:asciiTheme="majorHAnsi" w:hAnsiTheme="majorHAnsi"/>
          <w:bCs/>
        </w:rPr>
        <w:t xml:space="preserve"> a) Respectarea termenelor și a formatelor de raportare către terți instituții publice</w:t>
      </w:r>
      <w:r>
        <w:rPr>
          <w:rFonts w:asciiTheme="majorHAnsi" w:hAnsiTheme="majorHAnsi"/>
          <w:bCs/>
          <w:lang w:val="en-US"/>
        </w:rPr>
        <w:t>;</w:t>
      </w:r>
      <w:r>
        <w:rPr>
          <w:rFonts w:asciiTheme="majorHAnsi" w:hAnsiTheme="majorHAnsi"/>
          <w:bCs/>
        </w:rPr>
        <w:t xml:space="preserve"> b) Raportarea trimestrială către acționari și Consiliul de Administrație, la timp, a indicatorilor de performanță; c) Strategia companiei este dezvoltata si aprobata la timp; d) Stabilirea politicilor de management al risc și monitorizarea riscului; </w:t>
      </w:r>
    </w:p>
    <w:p>
      <w:pPr>
        <w:spacing w:before="0" w:after="0"/>
        <w:ind w:left="270"/>
        <w:jc w:val="both"/>
        <w:rPr>
          <w:rFonts w:asciiTheme="majorHAnsi" w:hAnsiTheme="majorHAnsi"/>
          <w:bCs/>
        </w:rPr>
      </w:pPr>
      <w:r>
        <w:rPr>
          <w:rFonts w:asciiTheme="majorHAnsi" w:hAnsiTheme="majorHAnsi"/>
          <w:b/>
          <w:bCs/>
        </w:rPr>
        <w:t>H. Indicatori de evaluare a gradului de orientare către client</w:t>
      </w:r>
      <w:r>
        <w:rPr>
          <w:rFonts w:asciiTheme="majorHAnsi" w:hAnsiTheme="majorHAnsi"/>
          <w:b/>
          <w:bCs/>
          <w:lang w:val="en-US"/>
        </w:rPr>
        <w:t>:</w:t>
      </w:r>
      <w:r>
        <w:rPr>
          <w:rFonts w:asciiTheme="majorHAnsi" w:hAnsiTheme="majorHAnsi"/>
          <w:bCs/>
        </w:rPr>
        <w:t xml:space="preserve"> a) Revizuirea anuală a cel puțin 25% din produsele companiei</w:t>
      </w:r>
      <w:r>
        <w:rPr>
          <w:rFonts w:asciiTheme="majorHAnsi" w:hAnsiTheme="majorHAnsi"/>
          <w:bCs/>
          <w:lang w:val="en-US"/>
        </w:rPr>
        <w:t>;</w:t>
      </w:r>
      <w:r>
        <w:rPr>
          <w:rFonts w:asciiTheme="majorHAnsi" w:hAnsiTheme="majorHAnsi"/>
          <w:bCs/>
        </w:rPr>
        <w:t xml:space="preserve"> b) Lansarea anuală a cel puțin unui nou produs de asigurare; c) Implementarea online, anual, a cel puțin unui produs de asigurare; d) Calitatea și siguranța produselor și serviciilor oferite; e) Creșterea gradului de implicare în mediul de afaceri. </w:t>
      </w:r>
    </w:p>
    <w:p>
      <w:pPr>
        <w:spacing w:before="0" w:after="0"/>
        <w:ind w:left="270"/>
        <w:jc w:val="both"/>
        <w:rPr>
          <w:rFonts w:asciiTheme="majorHAnsi" w:hAnsiTheme="majorHAnsi"/>
          <w:bCs/>
        </w:rPr>
      </w:pPr>
    </w:p>
    <w:p>
      <w:pPr>
        <w:spacing w:before="0" w:after="0"/>
        <w:ind w:left="270"/>
        <w:jc w:val="both"/>
        <w:rPr>
          <w:rFonts w:asciiTheme="majorHAnsi" w:hAnsiTheme="majorHAnsi"/>
          <w:bCs/>
        </w:rPr>
      </w:pPr>
      <w:r>
        <w:rPr>
          <w:rFonts w:asciiTheme="majorHAnsi" w:hAnsiTheme="majorHAnsi"/>
          <w:bCs/>
        </w:rPr>
        <w:t>Cuantificarea gradului de realizare a indicatorilor se calculează ca sumă a tuturor ponderilor indicatorilor precizați mai sus, dintre care, o parte dintre aceștia sunt înmulțiți cu coeficientul de ajustare corespunzător intervalului în care se situează conform rezultatelor obținute de companie la încheierea exercițiului financiar analizat. Rezultatul obținut se înmulțește cu numărul aprobat de Adunarea Generală a Acționarilor rezultând astfel, numărul de remunerații brute pe care administratorul le va obține ca și remunerație suplimentară.</w:t>
      </w:r>
    </w:p>
    <w:p>
      <w:pPr>
        <w:spacing w:before="0" w:after="240"/>
        <w:jc w:val="both"/>
        <w:rPr>
          <w:rFonts w:asciiTheme="majorHAnsi" w:hAnsiTheme="majorHAnsi"/>
          <w:bCs/>
          <w:sz w:val="24"/>
        </w:rPr>
      </w:pPr>
    </w:p>
    <w:p>
      <w:pPr>
        <w:spacing w:before="0" w:after="240"/>
        <w:jc w:val="both"/>
        <w:rPr>
          <w:rFonts w:asciiTheme="majorHAnsi" w:hAnsiTheme="majorHAnsi"/>
          <w:bCs/>
          <w:sz w:val="24"/>
        </w:rPr>
      </w:pPr>
    </w:p>
    <w:p>
      <w:pPr>
        <w:spacing w:before="0" w:after="240"/>
        <w:jc w:val="both"/>
        <w:rPr>
          <w:rFonts w:asciiTheme="majorHAnsi" w:hAnsiTheme="majorHAnsi"/>
          <w:bCs/>
          <w:sz w:val="24"/>
        </w:rPr>
      </w:pPr>
    </w:p>
    <w:p>
      <w:pPr>
        <w:pStyle w:val="69"/>
        <w:jc w:val="both"/>
        <w:outlineLvl w:val="0"/>
        <w:rPr>
          <w:rStyle w:val="67"/>
          <w:rFonts w:asciiTheme="majorHAnsi" w:hAnsiTheme="majorHAnsi" w:cstheme="majorHAnsi"/>
          <w:b/>
          <w:bCs/>
          <w:color w:val="0F6FC6" w:themeColor="accent1"/>
          <w:sz w:val="36"/>
          <w:szCs w:val="36"/>
          <w14:textFill>
            <w14:solidFill>
              <w14:schemeClr w14:val="accent1"/>
            </w14:solidFill>
          </w14:textFill>
        </w:rPr>
      </w:pPr>
      <w:bookmarkStart w:id="19" w:name="_Toc76365830"/>
      <w:r>
        <w:rPr>
          <w:rFonts w:asciiTheme="majorHAnsi" w:hAnsiTheme="majorHAnsi" w:cstheme="majorHAnsi"/>
          <w:b/>
          <w:color w:val="0F6FC6" w:themeColor="accent1"/>
          <w:sz w:val="36"/>
          <w:szCs w:val="36"/>
          <w14:textFill>
            <w14:solidFill>
              <w14:schemeClr w14:val="accent1"/>
            </w14:solidFill>
          </w14:textFill>
        </w:rPr>
        <w:t>Capitolul 4 –</w:t>
      </w:r>
      <w:r>
        <w:rPr>
          <w:rStyle w:val="67"/>
          <w:rFonts w:asciiTheme="majorHAnsi" w:hAnsiTheme="majorHAnsi" w:cstheme="majorHAnsi"/>
          <w:b/>
          <w:bCs/>
          <w:color w:val="0F6FC6" w:themeColor="accent1"/>
          <w:sz w:val="36"/>
          <w:szCs w:val="36"/>
          <w14:textFill>
            <w14:solidFill>
              <w14:schemeClr w14:val="accent1"/>
            </w14:solidFill>
          </w14:textFill>
        </w:rPr>
        <w:t xml:space="preserve"> Evoluția principalilor indicatori economico-financiari  realizați de societățile aflate în administrarea sau sub autoritatea Ministerului Finanțelor</w:t>
      </w:r>
      <w:bookmarkEnd w:id="19"/>
    </w:p>
    <w:p>
      <w:pPr>
        <w:spacing w:before="0" w:after="0"/>
        <w:contextualSpacing/>
        <w:jc w:val="both"/>
        <w:rPr>
          <w:rFonts w:cs="Times New Roman" w:asciiTheme="majorHAnsi" w:hAnsiTheme="majorHAnsi"/>
          <w:bCs/>
          <w:color w:val="262626" w:themeColor="text1" w:themeTint="D9"/>
          <w14:textFill>
            <w14:solidFill>
              <w14:schemeClr w14:val="tx1">
                <w14:lumMod w14:val="85000"/>
                <w14:lumOff w14:val="15000"/>
              </w14:schemeClr>
            </w14:solidFill>
          </w14:textFill>
        </w:rPr>
      </w:pPr>
      <w:r>
        <w:rPr>
          <w:rFonts w:cs="Times New Roman" w:asciiTheme="majorHAnsi" w:hAnsiTheme="majorHAnsi"/>
          <w:bCs/>
          <w:color w:val="262626" w:themeColor="text1" w:themeTint="D9"/>
          <w14:textFill>
            <w14:solidFill>
              <w14:schemeClr w14:val="tx1">
                <w14:lumMod w14:val="85000"/>
                <w14:lumOff w14:val="15000"/>
              </w14:schemeClr>
            </w14:solidFill>
          </w14:textFill>
        </w:rPr>
        <w:t xml:space="preserve">Întrucât specificul activității desfășurate de către cele 8 societăți aflate în administrarea sau sub autoritatea MF diferă iar acestea raportează prin situațiile financiare anuale o structură diferită a indicatorilor economico-financiari realizați, datele sunt prezentate nominal. </w:t>
      </w:r>
    </w:p>
    <w:p>
      <w:pPr>
        <w:spacing w:before="0" w:after="0"/>
        <w:jc w:val="both"/>
        <w:rPr>
          <w:rFonts w:cs="Times New Roman" w:asciiTheme="majorHAnsi" w:hAnsiTheme="majorHAnsi"/>
          <w:bCs/>
          <w:color w:val="262626" w:themeColor="text1" w:themeTint="D9"/>
          <w14:textFill>
            <w14:solidFill>
              <w14:schemeClr w14:val="tx1">
                <w14:lumMod w14:val="85000"/>
                <w14:lumOff w14:val="15000"/>
              </w14:schemeClr>
            </w14:solidFill>
          </w14:textFill>
        </w:rPr>
      </w:pPr>
      <w:r>
        <w:rPr>
          <w:rFonts w:cs="Times New Roman" w:asciiTheme="majorHAnsi" w:hAnsiTheme="majorHAnsi"/>
          <w:bCs/>
          <w:color w:val="262626" w:themeColor="text1" w:themeTint="D9"/>
          <w14:textFill>
            <w14:solidFill>
              <w14:schemeClr w14:val="tx1">
                <w14:lumMod w14:val="85000"/>
                <w14:lumOff w14:val="15000"/>
              </w14:schemeClr>
            </w14:solidFill>
          </w14:textFill>
        </w:rPr>
        <w:t>În continuare prezentăm evoluția principalilor indicatori economico financiari</w:t>
      </w:r>
      <w:r>
        <w:rPr>
          <w:rStyle w:val="33"/>
          <w:rFonts w:cs="Times New Roman" w:asciiTheme="majorHAnsi" w:hAnsiTheme="majorHAnsi"/>
          <w:bCs/>
          <w:color w:val="262626" w:themeColor="text1" w:themeTint="D9"/>
          <w14:textFill>
            <w14:solidFill>
              <w14:schemeClr w14:val="tx1">
                <w14:lumMod w14:val="85000"/>
                <w14:lumOff w14:val="15000"/>
              </w14:schemeClr>
            </w14:solidFill>
          </w14:textFill>
        </w:rPr>
        <w:footnoteReference w:id="19"/>
      </w:r>
      <w:r>
        <w:rPr>
          <w:rFonts w:cs="Times New Roman" w:asciiTheme="majorHAnsi" w:hAnsiTheme="majorHAnsi"/>
          <w:bCs/>
          <w:color w:val="262626" w:themeColor="text1" w:themeTint="D9"/>
          <w14:textFill>
            <w14:solidFill>
              <w14:schemeClr w14:val="tx1">
                <w14:lumMod w14:val="85000"/>
                <w14:lumOff w14:val="15000"/>
              </w14:schemeClr>
            </w14:solidFill>
          </w14:textFill>
        </w:rPr>
        <w:t xml:space="preserve"> realizați în perioada 2019-2020 de către societățile aflate în adminstrarea sau sub autoritatea MF </w:t>
      </w:r>
      <w:r>
        <w:rPr>
          <w:rFonts w:cs="Times New Roman" w:asciiTheme="majorHAnsi" w:hAnsiTheme="majorHAnsi"/>
          <w:b/>
          <w:bCs/>
          <w:color w:val="262626" w:themeColor="text1" w:themeTint="D9"/>
          <w14:textFill>
            <w14:solidFill>
              <w14:schemeClr w14:val="tx1">
                <w14:lumMod w14:val="85000"/>
                <w14:lumOff w14:val="15000"/>
              </w14:schemeClr>
            </w14:solidFill>
          </w14:textFill>
        </w:rPr>
        <w:t>nominal.</w:t>
      </w:r>
      <w:r>
        <w:rPr>
          <w:rFonts w:cs="Times New Roman" w:asciiTheme="majorHAnsi" w:hAnsiTheme="majorHAnsi"/>
          <w:bCs/>
          <w:color w:val="262626" w:themeColor="text1" w:themeTint="D9"/>
          <w14:textFill>
            <w14:solidFill>
              <w14:schemeClr w14:val="tx1">
                <w14:lumMod w14:val="85000"/>
                <w14:lumOff w14:val="15000"/>
              </w14:schemeClr>
            </w14:solidFill>
          </w14:textFill>
        </w:rPr>
        <w:t xml:space="preserve"> </w:t>
      </w:r>
    </w:p>
    <w:tbl>
      <w:tblPr>
        <w:tblStyle w:val="36"/>
        <w:tblW w:w="9020" w:type="dxa"/>
        <w:tblInd w:w="154" w:type="dxa"/>
        <w:tblLayout w:type="fixed"/>
        <w:tblCellMar>
          <w:top w:w="0" w:type="dxa"/>
          <w:left w:w="108" w:type="dxa"/>
          <w:bottom w:w="0" w:type="dxa"/>
          <w:right w:w="108" w:type="dxa"/>
        </w:tblCellMar>
      </w:tblPr>
      <w:tblGrid>
        <w:gridCol w:w="1628"/>
        <w:gridCol w:w="756"/>
        <w:gridCol w:w="720"/>
        <w:gridCol w:w="1183"/>
        <w:gridCol w:w="1353"/>
        <w:gridCol w:w="1129"/>
        <w:gridCol w:w="1182"/>
        <w:gridCol w:w="1069"/>
      </w:tblGrid>
      <w:tr>
        <w:tblPrEx>
          <w:tblLayout w:type="fixed"/>
          <w:tblCellMar>
            <w:top w:w="0" w:type="dxa"/>
            <w:left w:w="108" w:type="dxa"/>
            <w:bottom w:w="0" w:type="dxa"/>
            <w:right w:w="108" w:type="dxa"/>
          </w:tblCellMar>
        </w:tblPrEx>
        <w:trPr>
          <w:trHeight w:val="254" w:hRule="atLeast"/>
        </w:trPr>
        <w:tc>
          <w:tcPr>
            <w:tcW w:w="1628" w:type="dxa"/>
            <w:vMerge w:val="restart"/>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rPr>
                <w:rFonts w:ascii="Calibri Light" w:hAnsi="Calibri Light" w:eastAsia="Times New Roman" w:cs="Calibri Light"/>
                <w:bCs/>
                <w:color w:val="4F81BD"/>
                <w:sz w:val="16"/>
                <w:szCs w:val="16"/>
                <w:lang w:val="en-US"/>
              </w:rPr>
            </w:pPr>
            <w:r>
              <w:rPr>
                <w:rFonts w:ascii="Calibri Light" w:hAnsi="Calibri Light" w:eastAsia="Times New Roman" w:cs="Calibri Light"/>
                <w:bCs/>
                <w:color w:val="4F81BD"/>
                <w:sz w:val="16"/>
                <w:szCs w:val="16"/>
                <w:lang w:val="en-US"/>
              </w:rPr>
              <w:t>Indicatori</w:t>
            </w:r>
          </w:p>
        </w:tc>
        <w:tc>
          <w:tcPr>
            <w:tcW w:w="756" w:type="dxa"/>
            <w:vMerge w:val="restart"/>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rPr>
                <w:rFonts w:ascii="Calibri Light" w:hAnsi="Calibri Light" w:eastAsia="Times New Roman" w:cs="Calibri Light"/>
                <w:bCs/>
                <w:color w:val="4F81BD"/>
                <w:sz w:val="16"/>
                <w:szCs w:val="16"/>
                <w:lang w:val="en-US"/>
              </w:rPr>
            </w:pPr>
            <w:r>
              <w:rPr>
                <w:rFonts w:ascii="Calibri Light" w:hAnsi="Calibri Light" w:eastAsia="Times New Roman" w:cs="Calibri Light"/>
                <w:bCs/>
                <w:color w:val="4F81BD"/>
                <w:sz w:val="16"/>
                <w:szCs w:val="16"/>
                <w:lang w:val="en-US"/>
              </w:rPr>
              <w:t>U.M.</w:t>
            </w:r>
          </w:p>
        </w:tc>
        <w:tc>
          <w:tcPr>
            <w:tcW w:w="720" w:type="dxa"/>
            <w:vMerge w:val="restart"/>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jc w:val="right"/>
              <w:rPr>
                <w:rFonts w:ascii="Calibri Light" w:hAnsi="Calibri Light" w:eastAsia="Times New Roman" w:cs="Calibri Light"/>
                <w:bCs/>
                <w:color w:val="4F81BD"/>
                <w:sz w:val="16"/>
                <w:szCs w:val="16"/>
                <w:lang w:val="en-US"/>
              </w:rPr>
            </w:pPr>
            <w:r>
              <w:rPr>
                <w:rFonts w:ascii="Calibri Light" w:hAnsi="Calibri Light" w:eastAsia="Times New Roman" w:cs="Calibri Light"/>
                <w:bCs/>
                <w:color w:val="4F81BD"/>
                <w:sz w:val="16"/>
                <w:szCs w:val="16"/>
                <w:lang w:val="en-US"/>
              </w:rPr>
              <w:t> An</w:t>
            </w:r>
          </w:p>
        </w:tc>
        <w:tc>
          <w:tcPr>
            <w:tcW w:w="5916" w:type="dxa"/>
            <w:gridSpan w:val="5"/>
            <w:tcBorders>
              <w:top w:val="single" w:color="4F81BD" w:sz="4" w:space="0"/>
              <w:left w:val="nil"/>
              <w:bottom w:val="single" w:color="4F81BD" w:sz="4" w:space="0"/>
              <w:right w:val="single" w:color="FFFFFF" w:sz="4" w:space="0"/>
            </w:tcBorders>
            <w:shd w:val="clear" w:color="auto" w:fill="auto"/>
          </w:tcPr>
          <w:p>
            <w:pPr>
              <w:spacing w:before="0" w:after="0" w:line="240" w:lineRule="auto"/>
              <w:rPr>
                <w:rFonts w:ascii="Calibri Light" w:hAnsi="Calibri Light" w:eastAsia="Times New Roman" w:cs="Calibri Light"/>
                <w:bCs/>
                <w:color w:val="4F81BD"/>
                <w:sz w:val="16"/>
                <w:szCs w:val="16"/>
                <w:lang w:val="en-US"/>
              </w:rPr>
            </w:pPr>
            <w:r>
              <w:rPr>
                <w:rFonts w:ascii="Calibri Light" w:hAnsi="Calibri Light" w:eastAsia="Times New Roman" w:cs="Calibri Light"/>
                <w:bCs/>
                <w:color w:val="4F81BD"/>
                <w:sz w:val="16"/>
                <w:szCs w:val="16"/>
                <w:lang w:val="en-US"/>
              </w:rPr>
              <w:t>Întreprinderi publice în subordinea MF</w:t>
            </w:r>
          </w:p>
        </w:tc>
      </w:tr>
      <w:tr>
        <w:tblPrEx>
          <w:tblLayout w:type="fixed"/>
          <w:tblCellMar>
            <w:top w:w="0" w:type="dxa"/>
            <w:left w:w="108" w:type="dxa"/>
            <w:bottom w:w="0" w:type="dxa"/>
            <w:right w:w="108" w:type="dxa"/>
          </w:tblCellMar>
        </w:tblPrEx>
        <w:trPr>
          <w:trHeight w:val="254" w:hRule="atLeast"/>
        </w:trPr>
        <w:tc>
          <w:tcPr>
            <w:tcW w:w="1628" w:type="dxa"/>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ascii="Calibri Light" w:hAnsi="Calibri Light" w:eastAsia="Times New Roman" w:cs="Calibri Light"/>
                <w:bCs/>
                <w:color w:val="4F81BD"/>
                <w:sz w:val="16"/>
                <w:szCs w:val="16"/>
                <w:lang w:val="en-US"/>
              </w:rPr>
            </w:pPr>
          </w:p>
        </w:tc>
        <w:tc>
          <w:tcPr>
            <w:tcW w:w="756" w:type="dxa"/>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ascii="Calibri Light" w:hAnsi="Calibri Light" w:eastAsia="Times New Roman" w:cs="Calibri Light"/>
                <w:bCs/>
                <w:color w:val="4F81BD"/>
                <w:sz w:val="16"/>
                <w:szCs w:val="16"/>
                <w:lang w:val="en-US"/>
              </w:rPr>
            </w:pPr>
          </w:p>
        </w:tc>
        <w:tc>
          <w:tcPr>
            <w:tcW w:w="720" w:type="dxa"/>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ascii="Calibri Light" w:hAnsi="Calibri Light" w:eastAsia="Times New Roman" w:cs="Calibri Light"/>
                <w:bCs/>
                <w:color w:val="4F81BD"/>
                <w:sz w:val="16"/>
                <w:szCs w:val="16"/>
                <w:lang w:val="en-US"/>
              </w:rPr>
            </w:pPr>
          </w:p>
        </w:tc>
        <w:tc>
          <w:tcPr>
            <w:tcW w:w="1183" w:type="dxa"/>
            <w:tcBorders>
              <w:top w:val="nil"/>
              <w:left w:val="nil"/>
              <w:bottom w:val="single" w:color="4F81BD" w:sz="4" w:space="0"/>
              <w:right w:val="single" w:color="FFFFFF" w:sz="4" w:space="0"/>
            </w:tcBorders>
            <w:shd w:val="clear" w:color="auto" w:fill="auto"/>
          </w:tcPr>
          <w:p>
            <w:pPr>
              <w:spacing w:before="0" w:after="0" w:line="240" w:lineRule="auto"/>
              <w:jc w:val="right"/>
              <w:rPr>
                <w:rFonts w:ascii="Calibri Light" w:hAnsi="Calibri Light" w:eastAsia="Times New Roman" w:cs="Calibri Light"/>
                <w:bCs/>
                <w:color w:val="4F81BD"/>
                <w:sz w:val="16"/>
                <w:szCs w:val="16"/>
                <w:lang w:val="en-US"/>
              </w:rPr>
            </w:pPr>
            <w:r>
              <w:rPr>
                <w:rFonts w:ascii="Calibri Light" w:hAnsi="Calibri Light" w:eastAsia="Times New Roman" w:cs="Calibri Light"/>
                <w:bCs/>
                <w:color w:val="4F81BD"/>
                <w:sz w:val="16"/>
                <w:szCs w:val="16"/>
                <w:lang w:val="en-US"/>
              </w:rPr>
              <w:t>CNIN</w:t>
            </w:r>
          </w:p>
        </w:tc>
        <w:tc>
          <w:tcPr>
            <w:tcW w:w="1353" w:type="dxa"/>
            <w:tcBorders>
              <w:top w:val="nil"/>
              <w:left w:val="nil"/>
              <w:bottom w:val="single" w:color="4F81BD" w:sz="4" w:space="0"/>
              <w:right w:val="single" w:color="FFFFFF" w:sz="4" w:space="0"/>
            </w:tcBorders>
            <w:shd w:val="clear" w:color="auto" w:fill="auto"/>
          </w:tcPr>
          <w:p>
            <w:pPr>
              <w:spacing w:before="0" w:after="0" w:line="240" w:lineRule="auto"/>
              <w:jc w:val="right"/>
              <w:rPr>
                <w:rFonts w:ascii="Calibri Light" w:hAnsi="Calibri Light" w:eastAsia="Times New Roman" w:cs="Calibri Light"/>
                <w:bCs/>
                <w:color w:val="4F81BD"/>
                <w:sz w:val="16"/>
                <w:szCs w:val="16"/>
                <w:lang w:val="en-US"/>
              </w:rPr>
            </w:pPr>
            <w:r>
              <w:rPr>
                <w:rFonts w:ascii="Calibri Light" w:hAnsi="Calibri Light" w:eastAsia="Times New Roman" w:cs="Calibri Light"/>
                <w:bCs/>
                <w:color w:val="4F81BD"/>
                <w:sz w:val="16"/>
                <w:szCs w:val="16"/>
                <w:lang w:val="en-US"/>
              </w:rPr>
              <w:t>FNGCIMM</w:t>
            </w:r>
          </w:p>
        </w:tc>
        <w:tc>
          <w:tcPr>
            <w:tcW w:w="1129" w:type="dxa"/>
            <w:tcBorders>
              <w:top w:val="nil"/>
              <w:left w:val="nil"/>
              <w:bottom w:val="single" w:color="4F81BD" w:sz="4" w:space="0"/>
              <w:right w:val="single" w:color="FFFFFF" w:sz="4" w:space="0"/>
            </w:tcBorders>
            <w:shd w:val="clear" w:color="auto" w:fill="auto"/>
          </w:tcPr>
          <w:p>
            <w:pPr>
              <w:spacing w:before="0" w:after="0" w:line="240" w:lineRule="auto"/>
              <w:jc w:val="right"/>
              <w:rPr>
                <w:rFonts w:ascii="Calibri Light" w:hAnsi="Calibri Light" w:eastAsia="Times New Roman" w:cs="Calibri Light"/>
                <w:bCs/>
                <w:color w:val="4F81BD"/>
                <w:sz w:val="16"/>
                <w:szCs w:val="16"/>
                <w:lang w:val="en-US"/>
              </w:rPr>
            </w:pPr>
            <w:r>
              <w:rPr>
                <w:rFonts w:ascii="Calibri Light" w:hAnsi="Calibri Light" w:eastAsia="Times New Roman" w:cs="Calibri Light"/>
                <w:bCs/>
                <w:color w:val="4F81BD"/>
                <w:sz w:val="16"/>
                <w:szCs w:val="16"/>
                <w:lang w:val="en-US"/>
              </w:rPr>
              <w:t>FLG Focșani</w:t>
            </w:r>
          </w:p>
        </w:tc>
        <w:tc>
          <w:tcPr>
            <w:tcW w:w="1182" w:type="dxa"/>
            <w:tcBorders>
              <w:top w:val="nil"/>
              <w:left w:val="nil"/>
              <w:bottom w:val="single" w:color="4F81BD" w:sz="4" w:space="0"/>
              <w:right w:val="single" w:color="FFFFFF" w:sz="4" w:space="0"/>
            </w:tcBorders>
            <w:shd w:val="clear" w:color="auto" w:fill="auto"/>
          </w:tcPr>
          <w:p>
            <w:pPr>
              <w:spacing w:before="0" w:after="0" w:line="240" w:lineRule="auto"/>
              <w:jc w:val="right"/>
              <w:rPr>
                <w:rFonts w:ascii="Calibri Light" w:hAnsi="Calibri Light" w:eastAsia="Times New Roman" w:cs="Calibri Light"/>
                <w:bCs/>
                <w:color w:val="4F81BD"/>
                <w:sz w:val="16"/>
                <w:szCs w:val="16"/>
                <w:lang w:val="en-US"/>
              </w:rPr>
            </w:pPr>
            <w:r>
              <w:rPr>
                <w:rFonts w:ascii="Calibri Light" w:hAnsi="Calibri Light" w:eastAsia="Times New Roman" w:cs="Calibri Light"/>
                <w:bCs/>
                <w:color w:val="4F81BD"/>
                <w:sz w:val="16"/>
                <w:szCs w:val="16"/>
                <w:lang w:val="en-US"/>
              </w:rPr>
              <w:t>FRC</w:t>
            </w:r>
          </w:p>
        </w:tc>
        <w:tc>
          <w:tcPr>
            <w:tcW w:w="1069" w:type="dxa"/>
            <w:tcBorders>
              <w:top w:val="nil"/>
              <w:left w:val="nil"/>
              <w:bottom w:val="single" w:color="4F81BD" w:sz="4" w:space="0"/>
              <w:right w:val="single" w:color="FFFFFF" w:sz="4" w:space="0"/>
            </w:tcBorders>
            <w:shd w:val="clear" w:color="auto" w:fill="auto"/>
          </w:tcPr>
          <w:p>
            <w:pPr>
              <w:spacing w:before="0" w:after="0" w:line="240" w:lineRule="auto"/>
              <w:jc w:val="right"/>
              <w:rPr>
                <w:rFonts w:ascii="Calibri Light" w:hAnsi="Calibri Light" w:eastAsia="Times New Roman" w:cs="Calibri Light"/>
                <w:bCs/>
                <w:color w:val="4F81BD"/>
                <w:sz w:val="16"/>
                <w:szCs w:val="16"/>
                <w:lang w:val="en-US"/>
              </w:rPr>
            </w:pPr>
            <w:r>
              <w:rPr>
                <w:rFonts w:ascii="Calibri Light" w:hAnsi="Calibri Light" w:eastAsia="Times New Roman" w:cs="Calibri Light"/>
                <w:bCs/>
                <w:color w:val="4F81BD"/>
                <w:sz w:val="16"/>
                <w:szCs w:val="16"/>
                <w:lang w:val="en-US"/>
              </w:rPr>
              <w:t>Eximasig</w:t>
            </w:r>
          </w:p>
        </w:tc>
      </w:tr>
      <w:tr>
        <w:tblPrEx>
          <w:tblLayout w:type="fixed"/>
          <w:tblCellMar>
            <w:top w:w="0" w:type="dxa"/>
            <w:left w:w="108" w:type="dxa"/>
            <w:bottom w:w="0" w:type="dxa"/>
            <w:right w:w="108" w:type="dxa"/>
          </w:tblCellMar>
        </w:tblPrEx>
        <w:trPr>
          <w:trHeight w:val="254" w:hRule="atLeast"/>
        </w:trPr>
        <w:tc>
          <w:tcPr>
            <w:tcW w:w="1628"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4F81BD"/>
                <w:sz w:val="16"/>
                <w:szCs w:val="16"/>
                <w:lang w:val="en-US"/>
              </w:rPr>
            </w:pPr>
            <w:r>
              <w:rPr>
                <w:rFonts w:eastAsia="Times New Roman" w:asciiTheme="majorHAnsi" w:hAnsiTheme="majorHAnsi" w:cstheme="majorHAnsi"/>
                <w:color w:val="4F81BD"/>
                <w:sz w:val="16"/>
                <w:szCs w:val="16"/>
                <w:lang w:val="en-US"/>
              </w:rPr>
              <w:t>Nr. efectiv salariați</w:t>
            </w:r>
          </w:p>
        </w:tc>
        <w:tc>
          <w:tcPr>
            <w:tcW w:w="756"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i/>
                <w:iCs/>
                <w:color w:val="4F81BD"/>
                <w:sz w:val="16"/>
                <w:szCs w:val="16"/>
                <w:lang w:val="en-US"/>
              </w:rPr>
            </w:pPr>
            <w:r>
              <w:rPr>
                <w:rFonts w:eastAsia="Times New Roman" w:asciiTheme="majorHAnsi" w:hAnsiTheme="majorHAnsi" w:cstheme="majorHAnsi"/>
                <w:i/>
                <w:iCs/>
                <w:color w:val="4F81BD"/>
                <w:sz w:val="16"/>
                <w:szCs w:val="16"/>
                <w:lang w:val="en-US"/>
              </w:rPr>
              <w:t>nr pers</w:t>
            </w:r>
          </w:p>
        </w:tc>
        <w:tc>
          <w:tcPr>
            <w:tcW w:w="720"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2019</w:t>
            </w:r>
          </w:p>
        </w:tc>
        <w:tc>
          <w:tcPr>
            <w:tcW w:w="118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474</w:t>
            </w:r>
          </w:p>
        </w:tc>
        <w:tc>
          <w:tcPr>
            <w:tcW w:w="135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187</w:t>
            </w:r>
          </w:p>
        </w:tc>
        <w:tc>
          <w:tcPr>
            <w:tcW w:w="112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6</w:t>
            </w:r>
          </w:p>
        </w:tc>
        <w:tc>
          <w:tcPr>
            <w:tcW w:w="118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39</w:t>
            </w:r>
          </w:p>
        </w:tc>
        <w:tc>
          <w:tcPr>
            <w:tcW w:w="106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45</w:t>
            </w:r>
          </w:p>
        </w:tc>
      </w:tr>
      <w:tr>
        <w:tblPrEx>
          <w:tblLayout w:type="fixed"/>
          <w:tblCellMar>
            <w:top w:w="0" w:type="dxa"/>
            <w:left w:w="108" w:type="dxa"/>
            <w:bottom w:w="0" w:type="dxa"/>
            <w:right w:w="108" w:type="dxa"/>
          </w:tblCellMar>
        </w:tblPrEx>
        <w:trPr>
          <w:trHeight w:val="254" w:hRule="atLeast"/>
        </w:trPr>
        <w:tc>
          <w:tcPr>
            <w:tcW w:w="1628" w:type="dxa"/>
            <w:vMerge w:val="continue"/>
            <w:tcBorders>
              <w:top w:val="nil"/>
              <w:left w:val="single" w:color="FFFFFF" w:sz="4" w:space="0"/>
              <w:bottom w:val="single" w:color="4F81BD" w:sz="4" w:space="0"/>
              <w:right w:val="single" w:color="FFFFFF" w:sz="4" w:space="0"/>
            </w:tcBorders>
          </w:tcPr>
          <w:p>
            <w:pPr>
              <w:spacing w:before="0" w:after="0" w:line="240" w:lineRule="auto"/>
              <w:rPr>
                <w:rFonts w:eastAsia="Times New Roman" w:asciiTheme="majorHAnsi" w:hAnsiTheme="majorHAnsi" w:cstheme="majorHAnsi"/>
                <w:color w:val="4F81BD"/>
                <w:sz w:val="16"/>
                <w:szCs w:val="16"/>
                <w:lang w:val="en-US"/>
              </w:rPr>
            </w:pPr>
          </w:p>
        </w:tc>
        <w:tc>
          <w:tcPr>
            <w:tcW w:w="756" w:type="dxa"/>
            <w:vMerge w:val="continue"/>
            <w:tcBorders>
              <w:top w:val="nil"/>
              <w:left w:val="single" w:color="FFFFFF" w:sz="4" w:space="0"/>
              <w:bottom w:val="single" w:color="4F81BD" w:sz="4" w:space="0"/>
              <w:right w:val="single" w:color="FFFFFF" w:sz="4" w:space="0"/>
            </w:tcBorders>
          </w:tcPr>
          <w:p>
            <w:pPr>
              <w:spacing w:before="0" w:after="0" w:line="240" w:lineRule="auto"/>
              <w:rPr>
                <w:rFonts w:eastAsia="Times New Roman" w:asciiTheme="majorHAnsi" w:hAnsiTheme="majorHAnsi" w:cstheme="majorHAnsi"/>
                <w:i/>
                <w:iCs/>
                <w:color w:val="4F81BD"/>
                <w:sz w:val="16"/>
                <w:szCs w:val="16"/>
                <w:lang w:val="en-US"/>
              </w:rPr>
            </w:pPr>
          </w:p>
        </w:tc>
        <w:tc>
          <w:tcPr>
            <w:tcW w:w="720"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2020</w:t>
            </w:r>
          </w:p>
        </w:tc>
        <w:tc>
          <w:tcPr>
            <w:tcW w:w="118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470</w:t>
            </w:r>
          </w:p>
        </w:tc>
        <w:tc>
          <w:tcPr>
            <w:tcW w:w="135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232</w:t>
            </w:r>
          </w:p>
        </w:tc>
        <w:tc>
          <w:tcPr>
            <w:tcW w:w="112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6</w:t>
            </w:r>
          </w:p>
        </w:tc>
        <w:tc>
          <w:tcPr>
            <w:tcW w:w="118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40</w:t>
            </w:r>
          </w:p>
        </w:tc>
        <w:tc>
          <w:tcPr>
            <w:tcW w:w="106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46</w:t>
            </w:r>
          </w:p>
        </w:tc>
      </w:tr>
      <w:tr>
        <w:tblPrEx>
          <w:tblLayout w:type="fixed"/>
          <w:tblCellMar>
            <w:top w:w="0" w:type="dxa"/>
            <w:left w:w="108" w:type="dxa"/>
            <w:bottom w:w="0" w:type="dxa"/>
            <w:right w:w="108" w:type="dxa"/>
          </w:tblCellMar>
        </w:tblPrEx>
        <w:trPr>
          <w:trHeight w:val="254" w:hRule="atLeast"/>
        </w:trPr>
        <w:tc>
          <w:tcPr>
            <w:tcW w:w="1628"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4F81BD"/>
                <w:sz w:val="16"/>
                <w:szCs w:val="16"/>
                <w:lang w:val="en-US"/>
              </w:rPr>
            </w:pPr>
            <w:r>
              <w:rPr>
                <w:rFonts w:eastAsia="Times New Roman" w:asciiTheme="majorHAnsi" w:hAnsiTheme="majorHAnsi" w:cstheme="majorHAnsi"/>
                <w:color w:val="4F81BD"/>
                <w:sz w:val="16"/>
                <w:szCs w:val="16"/>
                <w:lang w:val="en-US"/>
              </w:rPr>
              <w:t>Venituri totale</w:t>
            </w:r>
          </w:p>
        </w:tc>
        <w:tc>
          <w:tcPr>
            <w:tcW w:w="756"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i/>
                <w:iCs/>
                <w:color w:val="4F81BD"/>
                <w:sz w:val="16"/>
                <w:szCs w:val="16"/>
                <w:lang w:val="en-US"/>
              </w:rPr>
            </w:pPr>
            <w:r>
              <w:rPr>
                <w:rFonts w:eastAsia="Times New Roman" w:asciiTheme="majorHAnsi" w:hAnsiTheme="majorHAnsi" w:cstheme="majorHAnsi"/>
                <w:i/>
                <w:iCs/>
                <w:color w:val="4F81BD"/>
                <w:sz w:val="16"/>
                <w:szCs w:val="16"/>
                <w:lang w:val="en-US"/>
              </w:rPr>
              <w:t>lei</w:t>
            </w:r>
          </w:p>
        </w:tc>
        <w:tc>
          <w:tcPr>
            <w:tcW w:w="720"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2019</w:t>
            </w:r>
          </w:p>
        </w:tc>
        <w:tc>
          <w:tcPr>
            <w:tcW w:w="118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534.776.241</w:t>
            </w:r>
          </w:p>
        </w:tc>
        <w:tc>
          <w:tcPr>
            <w:tcW w:w="135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313.144.216</w:t>
            </w:r>
          </w:p>
        </w:tc>
        <w:tc>
          <w:tcPr>
            <w:tcW w:w="112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1.332.986</w:t>
            </w:r>
          </w:p>
        </w:tc>
        <w:tc>
          <w:tcPr>
            <w:tcW w:w="118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18.113.528</w:t>
            </w:r>
          </w:p>
        </w:tc>
        <w:tc>
          <w:tcPr>
            <w:tcW w:w="106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38.805.963</w:t>
            </w:r>
          </w:p>
        </w:tc>
      </w:tr>
      <w:tr>
        <w:tblPrEx>
          <w:tblLayout w:type="fixed"/>
          <w:tblCellMar>
            <w:top w:w="0" w:type="dxa"/>
            <w:left w:w="108" w:type="dxa"/>
            <w:bottom w:w="0" w:type="dxa"/>
            <w:right w:w="108" w:type="dxa"/>
          </w:tblCellMar>
        </w:tblPrEx>
        <w:trPr>
          <w:trHeight w:val="254" w:hRule="atLeast"/>
        </w:trPr>
        <w:tc>
          <w:tcPr>
            <w:tcW w:w="1628" w:type="dxa"/>
            <w:vMerge w:val="continue"/>
            <w:tcBorders>
              <w:top w:val="nil"/>
              <w:left w:val="single" w:color="FFFFFF" w:sz="4" w:space="0"/>
              <w:bottom w:val="single" w:color="4F81BD" w:sz="4" w:space="0"/>
              <w:right w:val="single" w:color="FFFFFF" w:sz="4" w:space="0"/>
            </w:tcBorders>
          </w:tcPr>
          <w:p>
            <w:pPr>
              <w:spacing w:before="0" w:after="0" w:line="240" w:lineRule="auto"/>
              <w:rPr>
                <w:rFonts w:eastAsia="Times New Roman" w:asciiTheme="majorHAnsi" w:hAnsiTheme="majorHAnsi" w:cstheme="majorHAnsi"/>
                <w:color w:val="4F81BD"/>
                <w:sz w:val="16"/>
                <w:szCs w:val="16"/>
                <w:lang w:val="en-US"/>
              </w:rPr>
            </w:pPr>
          </w:p>
        </w:tc>
        <w:tc>
          <w:tcPr>
            <w:tcW w:w="756" w:type="dxa"/>
            <w:vMerge w:val="continue"/>
            <w:tcBorders>
              <w:top w:val="nil"/>
              <w:left w:val="single" w:color="FFFFFF" w:sz="4" w:space="0"/>
              <w:bottom w:val="single" w:color="4F81BD" w:sz="4" w:space="0"/>
              <w:right w:val="single" w:color="FFFFFF" w:sz="4" w:space="0"/>
            </w:tcBorders>
          </w:tcPr>
          <w:p>
            <w:pPr>
              <w:spacing w:before="0" w:after="0" w:line="240" w:lineRule="auto"/>
              <w:rPr>
                <w:rFonts w:eastAsia="Times New Roman" w:asciiTheme="majorHAnsi" w:hAnsiTheme="majorHAnsi" w:cstheme="majorHAnsi"/>
                <w:i/>
                <w:iCs/>
                <w:color w:val="4F81BD"/>
                <w:sz w:val="16"/>
                <w:szCs w:val="16"/>
                <w:lang w:val="en-US"/>
              </w:rPr>
            </w:pPr>
          </w:p>
        </w:tc>
        <w:tc>
          <w:tcPr>
            <w:tcW w:w="720"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2020</w:t>
            </w:r>
          </w:p>
        </w:tc>
        <w:tc>
          <w:tcPr>
            <w:tcW w:w="118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377.710.464</w:t>
            </w:r>
          </w:p>
        </w:tc>
        <w:tc>
          <w:tcPr>
            <w:tcW w:w="135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251.845.466</w:t>
            </w:r>
          </w:p>
        </w:tc>
        <w:tc>
          <w:tcPr>
            <w:tcW w:w="112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1.812.955</w:t>
            </w:r>
          </w:p>
        </w:tc>
        <w:tc>
          <w:tcPr>
            <w:tcW w:w="118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18.910.792</w:t>
            </w:r>
          </w:p>
        </w:tc>
        <w:tc>
          <w:tcPr>
            <w:tcW w:w="106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66.076.992</w:t>
            </w:r>
          </w:p>
        </w:tc>
      </w:tr>
      <w:tr>
        <w:tblPrEx>
          <w:tblLayout w:type="fixed"/>
          <w:tblCellMar>
            <w:top w:w="0" w:type="dxa"/>
            <w:left w:w="108" w:type="dxa"/>
            <w:bottom w:w="0" w:type="dxa"/>
            <w:right w:w="108" w:type="dxa"/>
          </w:tblCellMar>
        </w:tblPrEx>
        <w:trPr>
          <w:trHeight w:val="254" w:hRule="atLeast"/>
        </w:trPr>
        <w:tc>
          <w:tcPr>
            <w:tcW w:w="1628"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4F81BD"/>
                <w:sz w:val="16"/>
                <w:szCs w:val="16"/>
                <w:lang w:val="en-US"/>
              </w:rPr>
            </w:pPr>
            <w:r>
              <w:rPr>
                <w:rFonts w:eastAsia="Times New Roman" w:asciiTheme="majorHAnsi" w:hAnsiTheme="majorHAnsi" w:cstheme="majorHAnsi"/>
                <w:color w:val="4F81BD"/>
                <w:sz w:val="16"/>
                <w:szCs w:val="16"/>
                <w:lang w:val="en-US"/>
              </w:rPr>
              <w:t xml:space="preserve">Cheltuieli totale </w:t>
            </w:r>
          </w:p>
        </w:tc>
        <w:tc>
          <w:tcPr>
            <w:tcW w:w="756"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i/>
                <w:iCs/>
                <w:color w:val="4F81BD"/>
                <w:sz w:val="16"/>
                <w:szCs w:val="16"/>
                <w:lang w:val="en-US"/>
              </w:rPr>
            </w:pPr>
            <w:r>
              <w:rPr>
                <w:rFonts w:eastAsia="Times New Roman" w:asciiTheme="majorHAnsi" w:hAnsiTheme="majorHAnsi" w:cstheme="majorHAnsi"/>
                <w:i/>
                <w:iCs/>
                <w:color w:val="4F81BD"/>
                <w:sz w:val="16"/>
                <w:szCs w:val="16"/>
                <w:lang w:val="en-US"/>
              </w:rPr>
              <w:t>lei</w:t>
            </w:r>
          </w:p>
        </w:tc>
        <w:tc>
          <w:tcPr>
            <w:tcW w:w="720"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2019</w:t>
            </w:r>
          </w:p>
        </w:tc>
        <w:tc>
          <w:tcPr>
            <w:tcW w:w="118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175.763.042</w:t>
            </w:r>
          </w:p>
        </w:tc>
        <w:tc>
          <w:tcPr>
            <w:tcW w:w="135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229.045.830</w:t>
            </w:r>
          </w:p>
        </w:tc>
        <w:tc>
          <w:tcPr>
            <w:tcW w:w="112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1.275.314</w:t>
            </w:r>
          </w:p>
        </w:tc>
        <w:tc>
          <w:tcPr>
            <w:tcW w:w="118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13.124.037</w:t>
            </w:r>
          </w:p>
        </w:tc>
        <w:tc>
          <w:tcPr>
            <w:tcW w:w="106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38.592.601</w:t>
            </w:r>
          </w:p>
        </w:tc>
      </w:tr>
      <w:tr>
        <w:tblPrEx>
          <w:tblLayout w:type="fixed"/>
          <w:tblCellMar>
            <w:top w:w="0" w:type="dxa"/>
            <w:left w:w="108" w:type="dxa"/>
            <w:bottom w:w="0" w:type="dxa"/>
            <w:right w:w="108" w:type="dxa"/>
          </w:tblCellMar>
        </w:tblPrEx>
        <w:trPr>
          <w:trHeight w:val="254" w:hRule="atLeast"/>
        </w:trPr>
        <w:tc>
          <w:tcPr>
            <w:tcW w:w="1628" w:type="dxa"/>
            <w:vMerge w:val="continue"/>
            <w:tcBorders>
              <w:top w:val="nil"/>
              <w:left w:val="single" w:color="FFFFFF" w:sz="4" w:space="0"/>
              <w:bottom w:val="single" w:color="4F81BD" w:sz="4" w:space="0"/>
              <w:right w:val="single" w:color="FFFFFF" w:sz="4" w:space="0"/>
            </w:tcBorders>
          </w:tcPr>
          <w:p>
            <w:pPr>
              <w:spacing w:before="0" w:after="0" w:line="240" w:lineRule="auto"/>
              <w:rPr>
                <w:rFonts w:eastAsia="Times New Roman" w:asciiTheme="majorHAnsi" w:hAnsiTheme="majorHAnsi" w:cstheme="majorHAnsi"/>
                <w:color w:val="4F81BD"/>
                <w:sz w:val="16"/>
                <w:szCs w:val="16"/>
                <w:lang w:val="en-US"/>
              </w:rPr>
            </w:pPr>
          </w:p>
        </w:tc>
        <w:tc>
          <w:tcPr>
            <w:tcW w:w="756" w:type="dxa"/>
            <w:vMerge w:val="continue"/>
            <w:tcBorders>
              <w:top w:val="nil"/>
              <w:left w:val="single" w:color="FFFFFF" w:sz="4" w:space="0"/>
              <w:bottom w:val="single" w:color="4F81BD" w:sz="4" w:space="0"/>
              <w:right w:val="single" w:color="FFFFFF" w:sz="4" w:space="0"/>
            </w:tcBorders>
          </w:tcPr>
          <w:p>
            <w:pPr>
              <w:spacing w:before="0" w:after="0" w:line="240" w:lineRule="auto"/>
              <w:rPr>
                <w:rFonts w:eastAsia="Times New Roman" w:asciiTheme="majorHAnsi" w:hAnsiTheme="majorHAnsi" w:cstheme="majorHAnsi"/>
                <w:i/>
                <w:iCs/>
                <w:color w:val="4F81BD"/>
                <w:sz w:val="16"/>
                <w:szCs w:val="16"/>
                <w:lang w:val="en-US"/>
              </w:rPr>
            </w:pPr>
          </w:p>
        </w:tc>
        <w:tc>
          <w:tcPr>
            <w:tcW w:w="720"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2020</w:t>
            </w:r>
          </w:p>
        </w:tc>
        <w:tc>
          <w:tcPr>
            <w:tcW w:w="118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150.115.030</w:t>
            </w:r>
          </w:p>
        </w:tc>
        <w:tc>
          <w:tcPr>
            <w:tcW w:w="135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144.117.310</w:t>
            </w:r>
          </w:p>
        </w:tc>
        <w:tc>
          <w:tcPr>
            <w:tcW w:w="112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1.684.398</w:t>
            </w:r>
          </w:p>
        </w:tc>
        <w:tc>
          <w:tcPr>
            <w:tcW w:w="118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15.478.042</w:t>
            </w:r>
          </w:p>
        </w:tc>
        <w:tc>
          <w:tcPr>
            <w:tcW w:w="106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65.593.650</w:t>
            </w:r>
          </w:p>
        </w:tc>
      </w:tr>
      <w:tr>
        <w:tblPrEx>
          <w:tblLayout w:type="fixed"/>
          <w:tblCellMar>
            <w:top w:w="0" w:type="dxa"/>
            <w:left w:w="108" w:type="dxa"/>
            <w:bottom w:w="0" w:type="dxa"/>
            <w:right w:w="108" w:type="dxa"/>
          </w:tblCellMar>
        </w:tblPrEx>
        <w:trPr>
          <w:trHeight w:val="254" w:hRule="atLeast"/>
        </w:trPr>
        <w:tc>
          <w:tcPr>
            <w:tcW w:w="1628"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4F81BD"/>
                <w:sz w:val="16"/>
                <w:szCs w:val="16"/>
                <w:lang w:val="en-US"/>
              </w:rPr>
            </w:pPr>
            <w:r>
              <w:rPr>
                <w:rFonts w:eastAsia="Times New Roman" w:asciiTheme="majorHAnsi" w:hAnsiTheme="majorHAnsi" w:cstheme="majorHAnsi"/>
                <w:color w:val="4F81BD"/>
                <w:sz w:val="16"/>
                <w:szCs w:val="16"/>
                <w:lang w:val="en-US"/>
              </w:rPr>
              <w:t>Rezultat brut</w:t>
            </w:r>
          </w:p>
        </w:tc>
        <w:tc>
          <w:tcPr>
            <w:tcW w:w="756"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i/>
                <w:iCs/>
                <w:color w:val="4F81BD"/>
                <w:sz w:val="16"/>
                <w:szCs w:val="16"/>
                <w:lang w:val="en-US"/>
              </w:rPr>
            </w:pPr>
            <w:r>
              <w:rPr>
                <w:rFonts w:eastAsia="Times New Roman" w:asciiTheme="majorHAnsi" w:hAnsiTheme="majorHAnsi" w:cstheme="majorHAnsi"/>
                <w:i/>
                <w:iCs/>
                <w:color w:val="4F81BD"/>
                <w:sz w:val="16"/>
                <w:szCs w:val="16"/>
                <w:lang w:val="en-US"/>
              </w:rPr>
              <w:t>lei</w:t>
            </w:r>
          </w:p>
        </w:tc>
        <w:tc>
          <w:tcPr>
            <w:tcW w:w="720"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2019</w:t>
            </w:r>
          </w:p>
        </w:tc>
        <w:tc>
          <w:tcPr>
            <w:tcW w:w="118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359.013.199</w:t>
            </w:r>
          </w:p>
        </w:tc>
        <w:tc>
          <w:tcPr>
            <w:tcW w:w="135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84.098.386</w:t>
            </w:r>
          </w:p>
        </w:tc>
        <w:tc>
          <w:tcPr>
            <w:tcW w:w="112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57.672</w:t>
            </w:r>
          </w:p>
        </w:tc>
        <w:tc>
          <w:tcPr>
            <w:tcW w:w="118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4.989.491</w:t>
            </w:r>
          </w:p>
        </w:tc>
        <w:tc>
          <w:tcPr>
            <w:tcW w:w="106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213.362</w:t>
            </w:r>
          </w:p>
        </w:tc>
      </w:tr>
      <w:tr>
        <w:tblPrEx>
          <w:tblLayout w:type="fixed"/>
          <w:tblCellMar>
            <w:top w:w="0" w:type="dxa"/>
            <w:left w:w="108" w:type="dxa"/>
            <w:bottom w:w="0" w:type="dxa"/>
            <w:right w:w="108" w:type="dxa"/>
          </w:tblCellMar>
        </w:tblPrEx>
        <w:trPr>
          <w:trHeight w:val="254" w:hRule="atLeast"/>
        </w:trPr>
        <w:tc>
          <w:tcPr>
            <w:tcW w:w="1628" w:type="dxa"/>
            <w:vMerge w:val="continue"/>
            <w:tcBorders>
              <w:top w:val="nil"/>
              <w:left w:val="single" w:color="FFFFFF" w:sz="4" w:space="0"/>
              <w:bottom w:val="single" w:color="4F81BD" w:sz="4" w:space="0"/>
              <w:right w:val="single" w:color="FFFFFF" w:sz="4" w:space="0"/>
            </w:tcBorders>
          </w:tcPr>
          <w:p>
            <w:pPr>
              <w:spacing w:before="0" w:after="0" w:line="240" w:lineRule="auto"/>
              <w:rPr>
                <w:rFonts w:eastAsia="Times New Roman" w:asciiTheme="majorHAnsi" w:hAnsiTheme="majorHAnsi" w:cstheme="majorHAnsi"/>
                <w:color w:val="4F81BD"/>
                <w:sz w:val="16"/>
                <w:szCs w:val="16"/>
                <w:lang w:val="en-US"/>
              </w:rPr>
            </w:pPr>
          </w:p>
        </w:tc>
        <w:tc>
          <w:tcPr>
            <w:tcW w:w="756" w:type="dxa"/>
            <w:vMerge w:val="continue"/>
            <w:tcBorders>
              <w:top w:val="nil"/>
              <w:left w:val="single" w:color="FFFFFF" w:sz="4" w:space="0"/>
              <w:bottom w:val="single" w:color="4F81BD" w:sz="4" w:space="0"/>
              <w:right w:val="single" w:color="FFFFFF" w:sz="4" w:space="0"/>
            </w:tcBorders>
          </w:tcPr>
          <w:p>
            <w:pPr>
              <w:spacing w:before="0" w:after="0" w:line="240" w:lineRule="auto"/>
              <w:rPr>
                <w:rFonts w:eastAsia="Times New Roman" w:asciiTheme="majorHAnsi" w:hAnsiTheme="majorHAnsi" w:cstheme="majorHAnsi"/>
                <w:i/>
                <w:iCs/>
                <w:color w:val="4F81BD"/>
                <w:sz w:val="16"/>
                <w:szCs w:val="16"/>
                <w:lang w:val="en-US"/>
              </w:rPr>
            </w:pPr>
          </w:p>
        </w:tc>
        <w:tc>
          <w:tcPr>
            <w:tcW w:w="720"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2020</w:t>
            </w:r>
          </w:p>
        </w:tc>
        <w:tc>
          <w:tcPr>
            <w:tcW w:w="118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227.595.434</w:t>
            </w:r>
          </w:p>
        </w:tc>
        <w:tc>
          <w:tcPr>
            <w:tcW w:w="135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107.728.156</w:t>
            </w:r>
          </w:p>
        </w:tc>
        <w:tc>
          <w:tcPr>
            <w:tcW w:w="112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128.557</w:t>
            </w:r>
          </w:p>
        </w:tc>
        <w:tc>
          <w:tcPr>
            <w:tcW w:w="118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3.432.750</w:t>
            </w:r>
          </w:p>
        </w:tc>
        <w:tc>
          <w:tcPr>
            <w:tcW w:w="106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483.342</w:t>
            </w:r>
          </w:p>
        </w:tc>
      </w:tr>
      <w:tr>
        <w:tblPrEx>
          <w:tblLayout w:type="fixed"/>
          <w:tblCellMar>
            <w:top w:w="0" w:type="dxa"/>
            <w:left w:w="108" w:type="dxa"/>
            <w:bottom w:w="0" w:type="dxa"/>
            <w:right w:w="108" w:type="dxa"/>
          </w:tblCellMar>
        </w:tblPrEx>
        <w:trPr>
          <w:trHeight w:val="254" w:hRule="atLeast"/>
        </w:trPr>
        <w:tc>
          <w:tcPr>
            <w:tcW w:w="1628"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4F81BD"/>
                <w:sz w:val="16"/>
                <w:szCs w:val="16"/>
                <w:lang w:val="en-US"/>
              </w:rPr>
            </w:pPr>
            <w:r>
              <w:rPr>
                <w:rFonts w:eastAsia="Times New Roman" w:asciiTheme="majorHAnsi" w:hAnsiTheme="majorHAnsi" w:cstheme="majorHAnsi"/>
                <w:color w:val="4F81BD"/>
                <w:sz w:val="16"/>
                <w:szCs w:val="16"/>
                <w:lang w:val="en-US"/>
              </w:rPr>
              <w:t xml:space="preserve">Profit net </w:t>
            </w:r>
          </w:p>
        </w:tc>
        <w:tc>
          <w:tcPr>
            <w:tcW w:w="756"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i/>
                <w:iCs/>
                <w:color w:val="4F81BD"/>
                <w:sz w:val="16"/>
                <w:szCs w:val="16"/>
                <w:lang w:val="en-US"/>
              </w:rPr>
            </w:pPr>
            <w:r>
              <w:rPr>
                <w:rFonts w:eastAsia="Times New Roman" w:asciiTheme="majorHAnsi" w:hAnsiTheme="majorHAnsi" w:cstheme="majorHAnsi"/>
                <w:i/>
                <w:iCs/>
                <w:color w:val="4F81BD"/>
                <w:sz w:val="16"/>
                <w:szCs w:val="16"/>
                <w:lang w:val="en-US"/>
              </w:rPr>
              <w:t>lei</w:t>
            </w:r>
          </w:p>
        </w:tc>
        <w:tc>
          <w:tcPr>
            <w:tcW w:w="720"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2019</w:t>
            </w:r>
          </w:p>
        </w:tc>
        <w:tc>
          <w:tcPr>
            <w:tcW w:w="118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302.851.178</w:t>
            </w:r>
          </w:p>
        </w:tc>
        <w:tc>
          <w:tcPr>
            <w:tcW w:w="135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80.548.449</w:t>
            </w:r>
          </w:p>
        </w:tc>
        <w:tc>
          <w:tcPr>
            <w:tcW w:w="112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57.672</w:t>
            </w:r>
          </w:p>
        </w:tc>
        <w:tc>
          <w:tcPr>
            <w:tcW w:w="118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3.790.282</w:t>
            </w:r>
          </w:p>
        </w:tc>
        <w:tc>
          <w:tcPr>
            <w:tcW w:w="106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213.362</w:t>
            </w:r>
          </w:p>
        </w:tc>
      </w:tr>
      <w:tr>
        <w:tblPrEx>
          <w:tblLayout w:type="fixed"/>
          <w:tblCellMar>
            <w:top w:w="0" w:type="dxa"/>
            <w:left w:w="108" w:type="dxa"/>
            <w:bottom w:w="0" w:type="dxa"/>
            <w:right w:w="108" w:type="dxa"/>
          </w:tblCellMar>
        </w:tblPrEx>
        <w:trPr>
          <w:trHeight w:val="254" w:hRule="atLeast"/>
        </w:trPr>
        <w:tc>
          <w:tcPr>
            <w:tcW w:w="1628" w:type="dxa"/>
            <w:vMerge w:val="continue"/>
            <w:tcBorders>
              <w:top w:val="nil"/>
              <w:left w:val="single" w:color="FFFFFF" w:sz="4" w:space="0"/>
              <w:bottom w:val="single" w:color="4F81BD" w:sz="4" w:space="0"/>
              <w:right w:val="single" w:color="FFFFFF" w:sz="4" w:space="0"/>
            </w:tcBorders>
          </w:tcPr>
          <w:p>
            <w:pPr>
              <w:spacing w:before="0" w:after="0" w:line="240" w:lineRule="auto"/>
              <w:rPr>
                <w:rFonts w:eastAsia="Times New Roman" w:asciiTheme="majorHAnsi" w:hAnsiTheme="majorHAnsi" w:cstheme="majorHAnsi"/>
                <w:color w:val="4F81BD"/>
                <w:sz w:val="16"/>
                <w:szCs w:val="16"/>
                <w:lang w:val="en-US"/>
              </w:rPr>
            </w:pPr>
          </w:p>
        </w:tc>
        <w:tc>
          <w:tcPr>
            <w:tcW w:w="756" w:type="dxa"/>
            <w:vMerge w:val="continue"/>
            <w:tcBorders>
              <w:top w:val="nil"/>
              <w:left w:val="single" w:color="FFFFFF" w:sz="4" w:space="0"/>
              <w:bottom w:val="single" w:color="4F81BD" w:sz="4" w:space="0"/>
              <w:right w:val="single" w:color="FFFFFF" w:sz="4" w:space="0"/>
            </w:tcBorders>
          </w:tcPr>
          <w:p>
            <w:pPr>
              <w:spacing w:before="0" w:after="0" w:line="240" w:lineRule="auto"/>
              <w:rPr>
                <w:rFonts w:eastAsia="Times New Roman" w:asciiTheme="majorHAnsi" w:hAnsiTheme="majorHAnsi" w:cstheme="majorHAnsi"/>
                <w:i/>
                <w:iCs/>
                <w:color w:val="4F81BD"/>
                <w:sz w:val="16"/>
                <w:szCs w:val="16"/>
                <w:lang w:val="en-US"/>
              </w:rPr>
            </w:pPr>
          </w:p>
        </w:tc>
        <w:tc>
          <w:tcPr>
            <w:tcW w:w="720"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2020</w:t>
            </w:r>
          </w:p>
        </w:tc>
        <w:tc>
          <w:tcPr>
            <w:tcW w:w="118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192.585.715</w:t>
            </w:r>
          </w:p>
        </w:tc>
        <w:tc>
          <w:tcPr>
            <w:tcW w:w="1353"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96.505.435</w:t>
            </w:r>
          </w:p>
        </w:tc>
        <w:tc>
          <w:tcPr>
            <w:tcW w:w="112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128.557</w:t>
            </w:r>
          </w:p>
        </w:tc>
        <w:tc>
          <w:tcPr>
            <w:tcW w:w="118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2.233.862</w:t>
            </w:r>
          </w:p>
        </w:tc>
        <w:tc>
          <w:tcPr>
            <w:tcW w:w="106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483.342</w:t>
            </w:r>
          </w:p>
        </w:tc>
      </w:tr>
    </w:tbl>
    <w:p>
      <w:pPr>
        <w:spacing w:before="0" w:after="120"/>
        <w:jc w:val="both"/>
        <w:rPr>
          <w:rFonts w:asciiTheme="majorHAnsi" w:hAnsiTheme="majorHAnsi"/>
        </w:rPr>
      </w:pPr>
    </w:p>
    <w:p>
      <w:pPr>
        <w:spacing w:before="0" w:after="240"/>
        <w:jc w:val="both"/>
        <w:rPr>
          <w:rFonts w:asciiTheme="majorHAnsi" w:hAnsiTheme="majorHAnsi"/>
          <w:bCs/>
        </w:rPr>
      </w:pPr>
      <w:r>
        <w:rPr>
          <w:rFonts w:asciiTheme="majorHAnsi" w:hAnsiTheme="majorHAnsi"/>
        </w:rPr>
        <w:t xml:space="preserve">Analizând evoluția indicatorilor prezentați mai sus se poate constata că aceștia reflectă creșterile și diminuările indicatorilor economico-financiari pe baza cărora au fost calculați. Per ansamblu aceștia se situează într-un teritoriu pozitiv. </w:t>
      </w:r>
    </w:p>
    <w:p>
      <w:pPr>
        <w:spacing w:before="0" w:after="240"/>
        <w:jc w:val="both"/>
        <w:rPr>
          <w:rFonts w:asciiTheme="majorHAnsi" w:hAnsiTheme="majorHAnsi"/>
          <w:bCs/>
        </w:rPr>
      </w:pPr>
      <w:r>
        <w:rPr>
          <w:rFonts w:asciiTheme="majorHAnsi" w:hAnsiTheme="majorHAnsi"/>
          <w:bCs/>
        </w:rPr>
        <w:t xml:space="preserve">În anul 2020 activul net bilanțier al instituțiilor de credit a crescut cu suma de 18,9 mld. Lei. Astfel, s-a consemnat </w:t>
      </w:r>
      <w:r>
        <w:rPr>
          <w:rFonts w:asciiTheme="majorHAnsi" w:hAnsiTheme="majorHAnsi"/>
          <w:b/>
          <w:bCs/>
        </w:rPr>
        <w:t>o creștere a cotei de piață, în funcție de activul net bilanțier, deținută de instituțiile de credit cu capital majoritar de stat</w:t>
      </w:r>
      <w:r>
        <w:rPr>
          <w:rFonts w:asciiTheme="majorHAnsi" w:hAnsiTheme="majorHAnsi"/>
          <w:bCs/>
        </w:rPr>
        <w:t xml:space="preserve">, de </w:t>
      </w:r>
      <w:r>
        <w:rPr>
          <w:rFonts w:asciiTheme="majorHAnsi" w:hAnsiTheme="majorHAnsi"/>
          <w:b/>
          <w:bCs/>
        </w:rPr>
        <w:t>la 8,2%</w:t>
      </w:r>
      <w:r>
        <w:rPr>
          <w:rFonts w:asciiTheme="majorHAnsi" w:hAnsiTheme="majorHAnsi"/>
          <w:bCs/>
        </w:rPr>
        <w:t xml:space="preserve"> la 31 decembrie 2019 </w:t>
      </w:r>
      <w:r>
        <w:rPr>
          <w:rFonts w:asciiTheme="majorHAnsi" w:hAnsiTheme="majorHAnsi"/>
          <w:b/>
          <w:bCs/>
        </w:rPr>
        <w:t>la 10,6%</w:t>
      </w:r>
      <w:r>
        <w:rPr>
          <w:rFonts w:asciiTheme="majorHAnsi" w:hAnsiTheme="majorHAnsi"/>
          <w:bCs/>
        </w:rPr>
        <w:t xml:space="preserve"> la 31 decembrie 2020.</w:t>
      </w:r>
    </w:p>
    <w:p>
      <w:pPr>
        <w:spacing w:before="0" w:after="240"/>
        <w:jc w:val="both"/>
        <w:rPr>
          <w:rFonts w:asciiTheme="majorHAnsi" w:hAnsiTheme="majorHAnsi"/>
          <w:bCs/>
        </w:rPr>
      </w:pPr>
      <w:r>
        <w:rPr>
          <w:rFonts w:asciiTheme="majorHAnsi" w:hAnsiTheme="majorHAnsi"/>
          <w:bCs/>
        </w:rPr>
        <w:t xml:space="preserve">În contextul pandemiei, instituțiile de credit din portofoliul Ministerului Finanțelor înregistrează un profit brut cumulat în sumă totală de 364.137 mii lei pentru anul 2020, deși acesta s-a diminuat față de anul 2019 cu suma de 43.772.122 lei. Per ansamblu </w:t>
      </w:r>
      <w:r>
        <w:rPr>
          <w:rFonts w:asciiTheme="majorHAnsi" w:hAnsiTheme="majorHAnsi"/>
          <w:b/>
          <w:bCs/>
        </w:rPr>
        <w:t>prin măsurile luate la nivelul acestor instituții acestea au susținut măsurile Guvernului României</w:t>
      </w:r>
      <w:r>
        <w:rPr>
          <w:rFonts w:asciiTheme="majorHAnsi" w:hAnsiTheme="majorHAnsi"/>
          <w:bCs/>
        </w:rPr>
        <w:t>, care au avut drept scop sprijinirea mediului de afaceri, a IMM-urilor şi a populaţiei.</w:t>
      </w:r>
    </w:p>
    <w:p>
      <w:pPr>
        <w:spacing w:before="0" w:after="240"/>
        <w:jc w:val="both"/>
        <w:rPr>
          <w:rFonts w:asciiTheme="majorHAnsi" w:hAnsiTheme="majorHAnsi"/>
          <w:bCs/>
        </w:rPr>
      </w:pPr>
      <w:r>
        <w:rPr>
          <w:rFonts w:asciiTheme="majorHAnsi" w:hAnsiTheme="majorHAnsi"/>
          <w:bCs/>
        </w:rPr>
        <w:t>În acest sens amintim că Guvernul și Banca Națională a României au reacționat promt în sensul adoptării unor măsuri de temperare și stabilizare a economiei aflate în dificultate temporară, măsuri care indiscutabil au avut un rol important în evitarea unei căderi economice mai abrupte după cum arată și cifrele comparative ale reculului economic dintre România și unele state din Europa, inclusiv cu unele țări din Europa Centrala și de Est. Măsurile guvernamentale au inclus Programul IMM Invest care a fost primit cu un interes deosebit de întreprinzătorii autohtoni, programul oferindu-le acestora posibilitatea accesării de finanțări sub forma creditului pentru capitalul de lucru și pentru investiții, volumul garanțiilor oferite de stat fiind de 20 miliarde lei. Numărul finanțărilor oferite în 2020 a fost de peste 25 mii, volumul acestora</w:t>
      </w:r>
      <w:r>
        <w:t xml:space="preserve"> </w:t>
      </w:r>
      <w:r>
        <w:rPr>
          <w:rFonts w:asciiTheme="majorHAnsi" w:hAnsiTheme="majorHAnsi"/>
          <w:bCs/>
        </w:rPr>
        <w:t xml:space="preserve">ridicându-se la peste 15 miliarde lei. Alte măsuri luate de guvern au inclus plata șomajului tehnic (75% din salariul brut) pentru companiile afectate direct și indirect de pandemie, introducerea amnistiei fiscale pentru dobânzi și penalități datorate de cei care vor achita principalul restanțelor până la 15 decembrie. Nu în ultimul rând, guvernul împreună cu Banca Națională a României și băncile comerciale </w:t>
      </w:r>
      <w:r>
        <w:rPr>
          <w:rFonts w:asciiTheme="majorHAnsi" w:hAnsiTheme="majorHAnsi"/>
          <w:b/>
          <w:bCs/>
        </w:rPr>
        <w:t>au operaționalizat suspendarea rambursării ratelor, dobânzilor și comisioanelor</w:t>
      </w:r>
      <w:r>
        <w:rPr>
          <w:rFonts w:asciiTheme="majorHAnsi" w:hAnsiTheme="majorHAnsi"/>
          <w:bCs/>
        </w:rPr>
        <w:t xml:space="preserve"> în anul 2020 pentru persoanele fizice și juridice ale căror venituri au fost afectate de pandemie și care au solicitat acest lucru, măsură care a fost prelungită la începutul anului 2021.</w:t>
      </w:r>
    </w:p>
    <w:p>
      <w:pPr>
        <w:spacing w:before="0" w:after="240"/>
        <w:jc w:val="both"/>
        <w:rPr>
          <w:rFonts w:asciiTheme="majorHAnsi" w:hAnsiTheme="majorHAnsi"/>
          <w:bCs/>
        </w:rPr>
      </w:pPr>
      <w:r>
        <w:rPr>
          <w:rFonts w:asciiTheme="majorHAnsi" w:hAnsiTheme="majorHAnsi"/>
          <w:bCs/>
        </w:rPr>
        <w:t xml:space="preserve">În continuare este prezentată evoluția principalilor indicatori economico-financiari realizați </w:t>
      </w:r>
      <w:r>
        <w:rPr>
          <w:rFonts w:asciiTheme="majorHAnsi" w:hAnsiTheme="majorHAnsi"/>
          <w:b/>
          <w:bCs/>
        </w:rPr>
        <w:t>nominal</w:t>
      </w:r>
      <w:r>
        <w:rPr>
          <w:rFonts w:asciiTheme="majorHAnsi" w:hAnsiTheme="majorHAnsi"/>
          <w:bCs/>
        </w:rPr>
        <w:t xml:space="preserve"> de CEC, EximBank și BR în perioada 2019-2020</w:t>
      </w:r>
    </w:p>
    <w:tbl>
      <w:tblPr>
        <w:tblStyle w:val="36"/>
        <w:tblW w:w="9133" w:type="dxa"/>
        <w:tblInd w:w="93" w:type="dxa"/>
        <w:tblLayout w:type="fixed"/>
        <w:tblCellMar>
          <w:top w:w="0" w:type="dxa"/>
          <w:left w:w="108" w:type="dxa"/>
          <w:bottom w:w="0" w:type="dxa"/>
          <w:right w:w="108" w:type="dxa"/>
        </w:tblCellMar>
      </w:tblPr>
      <w:tblGrid>
        <w:gridCol w:w="3612"/>
        <w:gridCol w:w="774"/>
        <w:gridCol w:w="541"/>
        <w:gridCol w:w="1472"/>
        <w:gridCol w:w="1438"/>
        <w:gridCol w:w="1296"/>
      </w:tblGrid>
      <w:tr>
        <w:tblPrEx>
          <w:tblLayout w:type="fixed"/>
          <w:tblCellMar>
            <w:top w:w="0" w:type="dxa"/>
            <w:left w:w="108" w:type="dxa"/>
            <w:bottom w:w="0" w:type="dxa"/>
            <w:right w:w="108" w:type="dxa"/>
          </w:tblCellMar>
        </w:tblPrEx>
        <w:trPr>
          <w:trHeight w:val="255" w:hRule="atLeast"/>
        </w:trPr>
        <w:tc>
          <w:tcPr>
            <w:tcW w:w="3612" w:type="dxa"/>
            <w:vMerge w:val="restart"/>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bCs/>
                <w:color w:val="4F81BD"/>
                <w:sz w:val="16"/>
                <w:szCs w:val="16"/>
                <w:lang w:val="en-US"/>
              </w:rPr>
            </w:pPr>
            <w:r>
              <w:rPr>
                <w:rFonts w:eastAsia="Times New Roman" w:asciiTheme="majorHAnsi" w:hAnsiTheme="majorHAnsi" w:cstheme="majorHAnsi"/>
                <w:bCs/>
                <w:color w:val="4F81BD"/>
                <w:sz w:val="16"/>
                <w:szCs w:val="16"/>
                <w:lang w:val="en-US"/>
              </w:rPr>
              <w:t>Indicatori</w:t>
            </w:r>
          </w:p>
        </w:tc>
        <w:tc>
          <w:tcPr>
            <w:tcW w:w="774" w:type="dxa"/>
            <w:vMerge w:val="restart"/>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bCs/>
                <w:color w:val="4F81BD"/>
                <w:sz w:val="16"/>
                <w:szCs w:val="16"/>
                <w:lang w:val="en-US"/>
              </w:rPr>
            </w:pPr>
            <w:r>
              <w:rPr>
                <w:rFonts w:eastAsia="Times New Roman" w:asciiTheme="majorHAnsi" w:hAnsiTheme="majorHAnsi" w:cstheme="majorHAnsi"/>
                <w:bCs/>
                <w:color w:val="4F81BD"/>
                <w:sz w:val="16"/>
                <w:szCs w:val="16"/>
                <w:lang w:val="en-US"/>
              </w:rPr>
              <w:t>U.M.</w:t>
            </w:r>
          </w:p>
        </w:tc>
        <w:tc>
          <w:tcPr>
            <w:tcW w:w="541" w:type="dxa"/>
            <w:vMerge w:val="restart"/>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Cs/>
                <w:color w:val="4F81BD"/>
                <w:sz w:val="16"/>
                <w:szCs w:val="16"/>
                <w:lang w:val="en-US"/>
              </w:rPr>
            </w:pPr>
            <w:r>
              <w:rPr>
                <w:rFonts w:eastAsia="Times New Roman" w:asciiTheme="majorHAnsi" w:hAnsiTheme="majorHAnsi" w:cstheme="majorHAnsi"/>
                <w:bCs/>
                <w:color w:val="4F81BD"/>
                <w:sz w:val="16"/>
                <w:szCs w:val="16"/>
                <w:lang w:val="en-US"/>
              </w:rPr>
              <w:t>An</w:t>
            </w:r>
          </w:p>
        </w:tc>
        <w:tc>
          <w:tcPr>
            <w:tcW w:w="4206" w:type="dxa"/>
            <w:gridSpan w:val="3"/>
            <w:tcBorders>
              <w:top w:val="single" w:color="4F81BD" w:sz="4" w:space="0"/>
              <w:left w:val="nil"/>
              <w:bottom w:val="single" w:color="4F81BD" w:sz="4" w:space="0"/>
              <w:right w:val="nil"/>
            </w:tcBorders>
            <w:shd w:val="clear" w:color="auto" w:fill="auto"/>
          </w:tcPr>
          <w:p>
            <w:pPr>
              <w:spacing w:before="0" w:after="0" w:line="240" w:lineRule="auto"/>
              <w:rPr>
                <w:rFonts w:eastAsia="Times New Roman" w:asciiTheme="majorHAnsi" w:hAnsiTheme="majorHAnsi" w:cstheme="majorHAnsi"/>
                <w:bCs/>
                <w:color w:val="4F81BD"/>
                <w:sz w:val="16"/>
                <w:szCs w:val="16"/>
                <w:lang w:val="en-US"/>
              </w:rPr>
            </w:pPr>
            <w:r>
              <w:rPr>
                <w:rFonts w:eastAsia="Times New Roman" w:asciiTheme="majorHAnsi" w:hAnsiTheme="majorHAnsi" w:cstheme="majorHAnsi"/>
                <w:bCs/>
                <w:color w:val="4F81BD"/>
                <w:sz w:val="16"/>
                <w:szCs w:val="16"/>
                <w:lang w:val="en-US"/>
              </w:rPr>
              <w:t>Instituții de credit aflate în subordinea MF</w:t>
            </w:r>
          </w:p>
        </w:tc>
      </w:tr>
      <w:tr>
        <w:tblPrEx>
          <w:tblLayout w:type="fixed"/>
          <w:tblCellMar>
            <w:top w:w="0" w:type="dxa"/>
            <w:left w:w="108" w:type="dxa"/>
            <w:bottom w:w="0" w:type="dxa"/>
            <w:right w:w="108" w:type="dxa"/>
          </w:tblCellMar>
        </w:tblPrEx>
        <w:trPr>
          <w:trHeight w:val="255" w:hRule="atLeast"/>
        </w:trPr>
        <w:tc>
          <w:tcPr>
            <w:tcW w:w="3612" w:type="dxa"/>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eastAsia="Times New Roman" w:asciiTheme="majorHAnsi" w:hAnsiTheme="majorHAnsi" w:cstheme="majorHAnsi"/>
                <w:bCs/>
                <w:color w:val="4F81BD"/>
                <w:sz w:val="16"/>
                <w:szCs w:val="16"/>
                <w:lang w:val="en-US"/>
              </w:rPr>
            </w:pPr>
          </w:p>
        </w:tc>
        <w:tc>
          <w:tcPr>
            <w:tcW w:w="774" w:type="dxa"/>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eastAsia="Times New Roman" w:asciiTheme="majorHAnsi" w:hAnsiTheme="majorHAnsi" w:cstheme="majorHAnsi"/>
                <w:bCs/>
                <w:color w:val="4F81BD"/>
                <w:sz w:val="16"/>
                <w:szCs w:val="16"/>
                <w:lang w:val="en-US"/>
              </w:rPr>
            </w:pPr>
          </w:p>
        </w:tc>
        <w:tc>
          <w:tcPr>
            <w:tcW w:w="541" w:type="dxa"/>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eastAsia="Times New Roman" w:asciiTheme="majorHAnsi" w:hAnsiTheme="majorHAnsi" w:cstheme="majorHAnsi"/>
                <w:bCs/>
                <w:color w:val="4F81BD"/>
                <w:sz w:val="16"/>
                <w:szCs w:val="16"/>
                <w:lang w:val="en-US"/>
              </w:rPr>
            </w:pPr>
          </w:p>
        </w:tc>
        <w:tc>
          <w:tcPr>
            <w:tcW w:w="147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Cs/>
                <w:color w:val="4F81BD"/>
                <w:sz w:val="16"/>
                <w:szCs w:val="16"/>
                <w:lang w:val="en-US"/>
              </w:rPr>
            </w:pPr>
            <w:r>
              <w:rPr>
                <w:rFonts w:eastAsia="Times New Roman" w:asciiTheme="majorHAnsi" w:hAnsiTheme="majorHAnsi" w:cstheme="majorHAnsi"/>
                <w:bCs/>
                <w:color w:val="4F81BD"/>
                <w:sz w:val="16"/>
                <w:szCs w:val="16"/>
                <w:lang w:val="en-US"/>
              </w:rPr>
              <w:t>CEC</w:t>
            </w:r>
          </w:p>
        </w:tc>
        <w:tc>
          <w:tcPr>
            <w:tcW w:w="1438"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Cs/>
                <w:color w:val="4F81BD"/>
                <w:sz w:val="16"/>
                <w:szCs w:val="16"/>
                <w:lang w:val="en-US"/>
              </w:rPr>
            </w:pPr>
            <w:r>
              <w:rPr>
                <w:rFonts w:eastAsia="Times New Roman" w:asciiTheme="majorHAnsi" w:hAnsiTheme="majorHAnsi" w:cstheme="majorHAnsi"/>
                <w:bCs/>
                <w:color w:val="4F81BD"/>
                <w:sz w:val="16"/>
                <w:szCs w:val="16"/>
                <w:lang w:val="en-US"/>
              </w:rPr>
              <w:t>EximBank</w:t>
            </w:r>
          </w:p>
        </w:tc>
        <w:tc>
          <w:tcPr>
            <w:tcW w:w="1296"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Cs/>
                <w:color w:val="4F81BD"/>
                <w:sz w:val="16"/>
                <w:szCs w:val="16"/>
                <w:lang w:val="en-US"/>
              </w:rPr>
            </w:pPr>
            <w:r>
              <w:rPr>
                <w:rFonts w:eastAsia="Times New Roman" w:asciiTheme="majorHAnsi" w:hAnsiTheme="majorHAnsi" w:cstheme="majorHAnsi"/>
                <w:bCs/>
                <w:color w:val="4F81BD"/>
                <w:sz w:val="16"/>
                <w:szCs w:val="16"/>
                <w:lang w:val="en-US"/>
              </w:rPr>
              <w:t>BR</w:t>
            </w:r>
            <w:r>
              <w:rPr>
                <w:rStyle w:val="33"/>
                <w:rFonts w:eastAsia="Times New Roman" w:asciiTheme="majorHAnsi" w:hAnsiTheme="majorHAnsi" w:cstheme="majorHAnsi"/>
                <w:bCs/>
                <w:color w:val="4F81BD"/>
                <w:sz w:val="16"/>
                <w:szCs w:val="16"/>
                <w:lang w:val="en-US"/>
              </w:rPr>
              <w:footnoteReference w:id="20"/>
            </w:r>
          </w:p>
        </w:tc>
      </w:tr>
      <w:tr>
        <w:tblPrEx>
          <w:tblLayout w:type="fixed"/>
          <w:tblCellMar>
            <w:top w:w="0" w:type="dxa"/>
            <w:left w:w="108" w:type="dxa"/>
            <w:bottom w:w="0" w:type="dxa"/>
            <w:right w:w="108" w:type="dxa"/>
          </w:tblCellMar>
        </w:tblPrEx>
        <w:trPr>
          <w:trHeight w:val="255" w:hRule="atLeast"/>
        </w:trPr>
        <w:tc>
          <w:tcPr>
            <w:tcW w:w="3612"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4F81BD"/>
                <w:sz w:val="16"/>
                <w:szCs w:val="16"/>
                <w:lang w:val="en-US"/>
              </w:rPr>
            </w:pPr>
            <w:r>
              <w:rPr>
                <w:rFonts w:eastAsia="Times New Roman" w:asciiTheme="majorHAnsi" w:hAnsiTheme="majorHAnsi" w:cstheme="majorHAnsi"/>
                <w:color w:val="4F81BD"/>
                <w:sz w:val="16"/>
                <w:szCs w:val="16"/>
                <w:lang w:val="en-US"/>
              </w:rPr>
              <w:t>Nr. efectiv salariați</w:t>
            </w:r>
          </w:p>
        </w:tc>
        <w:tc>
          <w:tcPr>
            <w:tcW w:w="774"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i/>
                <w:iCs/>
                <w:color w:val="4F81BD"/>
                <w:sz w:val="16"/>
                <w:szCs w:val="16"/>
                <w:lang w:val="en-US"/>
              </w:rPr>
            </w:pPr>
            <w:r>
              <w:rPr>
                <w:rFonts w:eastAsia="Times New Roman" w:asciiTheme="majorHAnsi" w:hAnsiTheme="majorHAnsi" w:cstheme="majorHAnsi"/>
                <w:i/>
                <w:iCs/>
                <w:color w:val="4F81BD"/>
                <w:sz w:val="16"/>
                <w:szCs w:val="16"/>
                <w:lang w:val="en-US"/>
              </w:rPr>
              <w:t>nr pers</w:t>
            </w:r>
          </w:p>
        </w:tc>
        <w:tc>
          <w:tcPr>
            <w:tcW w:w="541"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2019</w:t>
            </w:r>
          </w:p>
        </w:tc>
        <w:tc>
          <w:tcPr>
            <w:tcW w:w="147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6.006</w:t>
            </w:r>
          </w:p>
        </w:tc>
        <w:tc>
          <w:tcPr>
            <w:tcW w:w="1438"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381</w:t>
            </w:r>
          </w:p>
        </w:tc>
        <w:tc>
          <w:tcPr>
            <w:tcW w:w="1296"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N/A</w:t>
            </w:r>
          </w:p>
        </w:tc>
      </w:tr>
      <w:tr>
        <w:tblPrEx>
          <w:tblLayout w:type="fixed"/>
          <w:tblCellMar>
            <w:top w:w="0" w:type="dxa"/>
            <w:left w:w="108" w:type="dxa"/>
            <w:bottom w:w="0" w:type="dxa"/>
            <w:right w:w="108" w:type="dxa"/>
          </w:tblCellMar>
        </w:tblPrEx>
        <w:trPr>
          <w:trHeight w:val="255" w:hRule="atLeast"/>
        </w:trPr>
        <w:tc>
          <w:tcPr>
            <w:tcW w:w="3612" w:type="dxa"/>
            <w:vMerge w:val="continue"/>
            <w:tcBorders>
              <w:top w:val="nil"/>
              <w:left w:val="single" w:color="FFFFFF" w:sz="4" w:space="0"/>
              <w:bottom w:val="single" w:color="4F81BD" w:sz="4" w:space="0"/>
              <w:right w:val="single" w:color="FFFFFF" w:sz="4" w:space="0"/>
            </w:tcBorders>
          </w:tcPr>
          <w:p>
            <w:pPr>
              <w:spacing w:before="0" w:after="0" w:line="240" w:lineRule="auto"/>
              <w:rPr>
                <w:rFonts w:eastAsia="Times New Roman" w:asciiTheme="majorHAnsi" w:hAnsiTheme="majorHAnsi" w:cstheme="majorHAnsi"/>
                <w:color w:val="4F81BD"/>
                <w:sz w:val="16"/>
                <w:szCs w:val="16"/>
                <w:lang w:val="en-US"/>
              </w:rPr>
            </w:pPr>
          </w:p>
        </w:tc>
        <w:tc>
          <w:tcPr>
            <w:tcW w:w="774" w:type="dxa"/>
            <w:vMerge w:val="continue"/>
            <w:tcBorders>
              <w:top w:val="nil"/>
              <w:left w:val="single" w:color="FFFFFF" w:sz="4" w:space="0"/>
              <w:bottom w:val="single" w:color="4F81BD" w:sz="4" w:space="0"/>
              <w:right w:val="single" w:color="FFFFFF" w:sz="4" w:space="0"/>
            </w:tcBorders>
          </w:tcPr>
          <w:p>
            <w:pPr>
              <w:spacing w:before="0" w:after="0" w:line="240" w:lineRule="auto"/>
              <w:jc w:val="right"/>
              <w:rPr>
                <w:rFonts w:eastAsia="Times New Roman" w:asciiTheme="majorHAnsi" w:hAnsiTheme="majorHAnsi" w:cstheme="majorHAnsi"/>
                <w:i/>
                <w:iCs/>
                <w:color w:val="4F81BD"/>
                <w:sz w:val="16"/>
                <w:szCs w:val="16"/>
                <w:lang w:val="en-US"/>
              </w:rPr>
            </w:pPr>
          </w:p>
        </w:tc>
        <w:tc>
          <w:tcPr>
            <w:tcW w:w="541"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2020</w:t>
            </w:r>
          </w:p>
        </w:tc>
        <w:tc>
          <w:tcPr>
            <w:tcW w:w="147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5.616</w:t>
            </w:r>
          </w:p>
        </w:tc>
        <w:tc>
          <w:tcPr>
            <w:tcW w:w="1438"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406</w:t>
            </w:r>
          </w:p>
        </w:tc>
        <w:tc>
          <w:tcPr>
            <w:tcW w:w="1296"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1.039</w:t>
            </w:r>
          </w:p>
        </w:tc>
      </w:tr>
      <w:tr>
        <w:tblPrEx>
          <w:tblLayout w:type="fixed"/>
          <w:tblCellMar>
            <w:top w:w="0" w:type="dxa"/>
            <w:left w:w="108" w:type="dxa"/>
            <w:bottom w:w="0" w:type="dxa"/>
            <w:right w:w="108" w:type="dxa"/>
          </w:tblCellMar>
        </w:tblPrEx>
        <w:trPr>
          <w:trHeight w:val="255" w:hRule="atLeast"/>
        </w:trPr>
        <w:tc>
          <w:tcPr>
            <w:tcW w:w="3612"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4F81BD"/>
                <w:sz w:val="16"/>
                <w:szCs w:val="16"/>
              </w:rPr>
            </w:pPr>
            <w:r>
              <w:rPr>
                <w:rFonts w:eastAsia="Times New Roman" w:asciiTheme="majorHAnsi" w:hAnsiTheme="majorHAnsi" w:cstheme="majorHAnsi"/>
                <w:color w:val="4F81BD"/>
                <w:sz w:val="16"/>
                <w:szCs w:val="16"/>
                <w:lang w:val="en-US"/>
              </w:rPr>
              <w:t>Profit</w:t>
            </w:r>
            <w:r>
              <w:rPr>
                <w:rFonts w:eastAsia="Times New Roman" w:asciiTheme="majorHAnsi" w:hAnsiTheme="majorHAnsi" w:cstheme="majorHAnsi"/>
                <w:color w:val="4F81BD"/>
                <w:sz w:val="16"/>
                <w:szCs w:val="16"/>
              </w:rPr>
              <w:t xml:space="preserve"> </w:t>
            </w:r>
          </w:p>
        </w:tc>
        <w:tc>
          <w:tcPr>
            <w:tcW w:w="774"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i/>
                <w:iCs/>
                <w:color w:val="4F81BD"/>
                <w:sz w:val="16"/>
                <w:szCs w:val="16"/>
                <w:lang w:val="en-US"/>
              </w:rPr>
            </w:pPr>
            <w:r>
              <w:rPr>
                <w:rFonts w:eastAsia="Times New Roman" w:asciiTheme="majorHAnsi" w:hAnsiTheme="majorHAnsi" w:cstheme="majorHAnsi"/>
                <w:i/>
                <w:iCs/>
                <w:color w:val="4F81BD"/>
                <w:sz w:val="16"/>
                <w:szCs w:val="16"/>
                <w:lang w:val="en-US"/>
              </w:rPr>
              <w:t>lei</w:t>
            </w:r>
          </w:p>
        </w:tc>
        <w:tc>
          <w:tcPr>
            <w:tcW w:w="541"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2019</w:t>
            </w:r>
          </w:p>
        </w:tc>
        <w:tc>
          <w:tcPr>
            <w:tcW w:w="147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379.584.559</w:t>
            </w:r>
          </w:p>
        </w:tc>
        <w:tc>
          <w:tcPr>
            <w:tcW w:w="1438"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28.324.552</w:t>
            </w:r>
          </w:p>
        </w:tc>
        <w:tc>
          <w:tcPr>
            <w:tcW w:w="1296"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N/A</w:t>
            </w:r>
          </w:p>
        </w:tc>
      </w:tr>
      <w:tr>
        <w:tblPrEx>
          <w:tblLayout w:type="fixed"/>
          <w:tblCellMar>
            <w:top w:w="0" w:type="dxa"/>
            <w:left w:w="108" w:type="dxa"/>
            <w:bottom w:w="0" w:type="dxa"/>
            <w:right w:w="108" w:type="dxa"/>
          </w:tblCellMar>
        </w:tblPrEx>
        <w:trPr>
          <w:trHeight w:val="255" w:hRule="atLeast"/>
        </w:trPr>
        <w:tc>
          <w:tcPr>
            <w:tcW w:w="3612" w:type="dxa"/>
            <w:vMerge w:val="continue"/>
            <w:tcBorders>
              <w:top w:val="nil"/>
              <w:left w:val="single" w:color="FFFFFF" w:sz="4" w:space="0"/>
              <w:bottom w:val="single" w:color="4F81BD" w:sz="4" w:space="0"/>
              <w:right w:val="single" w:color="FFFFFF" w:sz="4" w:space="0"/>
            </w:tcBorders>
          </w:tcPr>
          <w:p>
            <w:pPr>
              <w:spacing w:before="0" w:after="0" w:line="240" w:lineRule="auto"/>
              <w:rPr>
                <w:rFonts w:eastAsia="Times New Roman" w:asciiTheme="majorHAnsi" w:hAnsiTheme="majorHAnsi" w:cstheme="majorHAnsi"/>
                <w:color w:val="4F81BD"/>
                <w:sz w:val="16"/>
                <w:szCs w:val="16"/>
                <w:lang w:val="en-US"/>
              </w:rPr>
            </w:pPr>
          </w:p>
        </w:tc>
        <w:tc>
          <w:tcPr>
            <w:tcW w:w="774" w:type="dxa"/>
            <w:vMerge w:val="continue"/>
            <w:tcBorders>
              <w:top w:val="nil"/>
              <w:left w:val="single" w:color="FFFFFF" w:sz="4" w:space="0"/>
              <w:bottom w:val="single" w:color="4F81BD" w:sz="4" w:space="0"/>
              <w:right w:val="single" w:color="FFFFFF" w:sz="4" w:space="0"/>
            </w:tcBorders>
          </w:tcPr>
          <w:p>
            <w:pPr>
              <w:spacing w:before="0" w:after="0" w:line="240" w:lineRule="auto"/>
              <w:jc w:val="right"/>
              <w:rPr>
                <w:rFonts w:eastAsia="Times New Roman" w:asciiTheme="majorHAnsi" w:hAnsiTheme="majorHAnsi" w:cstheme="majorHAnsi"/>
                <w:i/>
                <w:iCs/>
                <w:color w:val="4F81BD"/>
                <w:sz w:val="16"/>
                <w:szCs w:val="16"/>
                <w:lang w:val="en-US"/>
              </w:rPr>
            </w:pPr>
          </w:p>
        </w:tc>
        <w:tc>
          <w:tcPr>
            <w:tcW w:w="541"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2020</w:t>
            </w:r>
          </w:p>
        </w:tc>
        <w:tc>
          <w:tcPr>
            <w:tcW w:w="147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337.699.523</w:t>
            </w:r>
          </w:p>
        </w:tc>
        <w:tc>
          <w:tcPr>
            <w:tcW w:w="1438"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16.025.896</w:t>
            </w:r>
          </w:p>
        </w:tc>
        <w:tc>
          <w:tcPr>
            <w:tcW w:w="1296"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10.411.570</w:t>
            </w:r>
          </w:p>
        </w:tc>
      </w:tr>
      <w:tr>
        <w:tblPrEx>
          <w:tblLayout w:type="fixed"/>
          <w:tblCellMar>
            <w:top w:w="0" w:type="dxa"/>
            <w:left w:w="108" w:type="dxa"/>
            <w:bottom w:w="0" w:type="dxa"/>
            <w:right w:w="108" w:type="dxa"/>
          </w:tblCellMar>
        </w:tblPrEx>
        <w:trPr>
          <w:trHeight w:val="255" w:hRule="atLeast"/>
        </w:trPr>
        <w:tc>
          <w:tcPr>
            <w:tcW w:w="3612"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4F81BD"/>
                <w:sz w:val="16"/>
                <w:szCs w:val="16"/>
                <w:lang w:val="en-US"/>
              </w:rPr>
            </w:pPr>
            <w:r>
              <w:rPr>
                <w:rFonts w:eastAsia="Times New Roman" w:asciiTheme="majorHAnsi" w:hAnsiTheme="majorHAnsi" w:cstheme="majorHAnsi"/>
                <w:color w:val="4F81BD"/>
                <w:sz w:val="16"/>
                <w:szCs w:val="16"/>
                <w:lang w:val="en-US"/>
              </w:rPr>
              <w:t>Imobilizări corporale</w:t>
            </w:r>
          </w:p>
        </w:tc>
        <w:tc>
          <w:tcPr>
            <w:tcW w:w="774"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i/>
                <w:iCs/>
                <w:color w:val="4F81BD"/>
                <w:sz w:val="16"/>
                <w:szCs w:val="16"/>
                <w:lang w:val="en-US"/>
              </w:rPr>
            </w:pPr>
            <w:r>
              <w:rPr>
                <w:rFonts w:eastAsia="Times New Roman" w:asciiTheme="majorHAnsi" w:hAnsiTheme="majorHAnsi" w:cstheme="majorHAnsi"/>
                <w:i/>
                <w:iCs/>
                <w:color w:val="4F81BD"/>
                <w:sz w:val="16"/>
                <w:szCs w:val="16"/>
                <w:lang w:val="en-US"/>
              </w:rPr>
              <w:t>lei</w:t>
            </w:r>
          </w:p>
        </w:tc>
        <w:tc>
          <w:tcPr>
            <w:tcW w:w="541"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2019</w:t>
            </w:r>
          </w:p>
        </w:tc>
        <w:tc>
          <w:tcPr>
            <w:tcW w:w="147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716.627.180</w:t>
            </w:r>
          </w:p>
        </w:tc>
        <w:tc>
          <w:tcPr>
            <w:tcW w:w="1438"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90.015.628</w:t>
            </w:r>
          </w:p>
        </w:tc>
        <w:tc>
          <w:tcPr>
            <w:tcW w:w="1296"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N/A</w:t>
            </w:r>
          </w:p>
        </w:tc>
      </w:tr>
      <w:tr>
        <w:tblPrEx>
          <w:tblLayout w:type="fixed"/>
          <w:tblCellMar>
            <w:top w:w="0" w:type="dxa"/>
            <w:left w:w="108" w:type="dxa"/>
            <w:bottom w:w="0" w:type="dxa"/>
            <w:right w:w="108" w:type="dxa"/>
          </w:tblCellMar>
        </w:tblPrEx>
        <w:trPr>
          <w:trHeight w:val="255" w:hRule="atLeast"/>
        </w:trPr>
        <w:tc>
          <w:tcPr>
            <w:tcW w:w="3612" w:type="dxa"/>
            <w:vMerge w:val="continue"/>
            <w:tcBorders>
              <w:top w:val="nil"/>
              <w:left w:val="single" w:color="FFFFFF" w:sz="4" w:space="0"/>
              <w:bottom w:val="single" w:color="4F81BD" w:sz="4" w:space="0"/>
              <w:right w:val="single" w:color="FFFFFF" w:sz="4" w:space="0"/>
            </w:tcBorders>
          </w:tcPr>
          <w:p>
            <w:pPr>
              <w:spacing w:before="0" w:after="0" w:line="240" w:lineRule="auto"/>
              <w:rPr>
                <w:rFonts w:eastAsia="Times New Roman" w:asciiTheme="majorHAnsi" w:hAnsiTheme="majorHAnsi" w:cstheme="majorHAnsi"/>
                <w:color w:val="4F81BD"/>
                <w:sz w:val="16"/>
                <w:szCs w:val="16"/>
                <w:lang w:val="en-US"/>
              </w:rPr>
            </w:pPr>
          </w:p>
        </w:tc>
        <w:tc>
          <w:tcPr>
            <w:tcW w:w="774" w:type="dxa"/>
            <w:vMerge w:val="continue"/>
            <w:tcBorders>
              <w:top w:val="nil"/>
              <w:left w:val="single" w:color="FFFFFF" w:sz="4" w:space="0"/>
              <w:bottom w:val="single" w:color="4F81BD" w:sz="4" w:space="0"/>
              <w:right w:val="single" w:color="FFFFFF" w:sz="4" w:space="0"/>
            </w:tcBorders>
          </w:tcPr>
          <w:p>
            <w:pPr>
              <w:spacing w:before="0" w:after="0" w:line="240" w:lineRule="auto"/>
              <w:jc w:val="right"/>
              <w:rPr>
                <w:rFonts w:eastAsia="Times New Roman" w:asciiTheme="majorHAnsi" w:hAnsiTheme="majorHAnsi" w:cstheme="majorHAnsi"/>
                <w:i/>
                <w:iCs/>
                <w:color w:val="4F81BD"/>
                <w:sz w:val="16"/>
                <w:szCs w:val="16"/>
                <w:lang w:val="en-US"/>
              </w:rPr>
            </w:pPr>
          </w:p>
        </w:tc>
        <w:tc>
          <w:tcPr>
            <w:tcW w:w="541"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2020</w:t>
            </w:r>
          </w:p>
        </w:tc>
        <w:tc>
          <w:tcPr>
            <w:tcW w:w="147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745.482.184</w:t>
            </w:r>
          </w:p>
        </w:tc>
        <w:tc>
          <w:tcPr>
            <w:tcW w:w="1438"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81.154.591</w:t>
            </w:r>
          </w:p>
        </w:tc>
        <w:tc>
          <w:tcPr>
            <w:tcW w:w="1296"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73.765.585</w:t>
            </w:r>
          </w:p>
        </w:tc>
      </w:tr>
      <w:tr>
        <w:tblPrEx>
          <w:tblLayout w:type="fixed"/>
          <w:tblCellMar>
            <w:top w:w="0" w:type="dxa"/>
            <w:left w:w="108" w:type="dxa"/>
            <w:bottom w:w="0" w:type="dxa"/>
            <w:right w:w="108" w:type="dxa"/>
          </w:tblCellMar>
        </w:tblPrEx>
        <w:trPr>
          <w:trHeight w:val="255" w:hRule="atLeast"/>
        </w:trPr>
        <w:tc>
          <w:tcPr>
            <w:tcW w:w="3612"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4F81BD"/>
                <w:sz w:val="16"/>
                <w:szCs w:val="16"/>
                <w:lang w:val="en-US"/>
              </w:rPr>
            </w:pPr>
            <w:r>
              <w:rPr>
                <w:rFonts w:eastAsia="Times New Roman" w:asciiTheme="majorHAnsi" w:hAnsiTheme="majorHAnsi" w:cstheme="majorHAnsi"/>
                <w:color w:val="4F81BD"/>
                <w:sz w:val="16"/>
                <w:szCs w:val="16"/>
                <w:lang w:val="en-US"/>
              </w:rPr>
              <w:t>Imobilizări necorporale</w:t>
            </w:r>
          </w:p>
        </w:tc>
        <w:tc>
          <w:tcPr>
            <w:tcW w:w="774"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i/>
                <w:iCs/>
                <w:color w:val="4F81BD"/>
                <w:sz w:val="16"/>
                <w:szCs w:val="16"/>
                <w:lang w:val="en-US"/>
              </w:rPr>
            </w:pPr>
            <w:r>
              <w:rPr>
                <w:rFonts w:eastAsia="Times New Roman" w:asciiTheme="majorHAnsi" w:hAnsiTheme="majorHAnsi" w:cstheme="majorHAnsi"/>
                <w:i/>
                <w:iCs/>
                <w:color w:val="4F81BD"/>
                <w:sz w:val="16"/>
                <w:szCs w:val="16"/>
                <w:lang w:val="en-US"/>
              </w:rPr>
              <w:t>lei</w:t>
            </w:r>
          </w:p>
        </w:tc>
        <w:tc>
          <w:tcPr>
            <w:tcW w:w="541"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2019</w:t>
            </w:r>
          </w:p>
        </w:tc>
        <w:tc>
          <w:tcPr>
            <w:tcW w:w="147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20.324.766</w:t>
            </w:r>
          </w:p>
        </w:tc>
        <w:tc>
          <w:tcPr>
            <w:tcW w:w="1438"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4.813.283</w:t>
            </w:r>
          </w:p>
        </w:tc>
        <w:tc>
          <w:tcPr>
            <w:tcW w:w="1296"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N/A</w:t>
            </w:r>
          </w:p>
        </w:tc>
      </w:tr>
      <w:tr>
        <w:tblPrEx>
          <w:tblLayout w:type="fixed"/>
          <w:tblCellMar>
            <w:top w:w="0" w:type="dxa"/>
            <w:left w:w="108" w:type="dxa"/>
            <w:bottom w:w="0" w:type="dxa"/>
            <w:right w:w="108" w:type="dxa"/>
          </w:tblCellMar>
        </w:tblPrEx>
        <w:trPr>
          <w:trHeight w:val="255" w:hRule="atLeast"/>
        </w:trPr>
        <w:tc>
          <w:tcPr>
            <w:tcW w:w="3612" w:type="dxa"/>
            <w:vMerge w:val="continue"/>
            <w:tcBorders>
              <w:top w:val="nil"/>
              <w:left w:val="single" w:color="FFFFFF" w:sz="4" w:space="0"/>
              <w:bottom w:val="single" w:color="4F81BD" w:sz="4" w:space="0"/>
              <w:right w:val="single" w:color="FFFFFF" w:sz="4" w:space="0"/>
            </w:tcBorders>
          </w:tcPr>
          <w:p>
            <w:pPr>
              <w:spacing w:before="0" w:after="0" w:line="240" w:lineRule="auto"/>
              <w:rPr>
                <w:rFonts w:eastAsia="Times New Roman" w:asciiTheme="majorHAnsi" w:hAnsiTheme="majorHAnsi" w:cstheme="majorHAnsi"/>
                <w:color w:val="4F81BD"/>
                <w:sz w:val="16"/>
                <w:szCs w:val="16"/>
                <w:lang w:val="en-US"/>
              </w:rPr>
            </w:pPr>
          </w:p>
        </w:tc>
        <w:tc>
          <w:tcPr>
            <w:tcW w:w="774" w:type="dxa"/>
            <w:vMerge w:val="continue"/>
            <w:tcBorders>
              <w:top w:val="nil"/>
              <w:left w:val="single" w:color="FFFFFF" w:sz="4" w:space="0"/>
              <w:bottom w:val="single" w:color="4F81BD" w:sz="4" w:space="0"/>
              <w:right w:val="single" w:color="FFFFFF" w:sz="4" w:space="0"/>
            </w:tcBorders>
          </w:tcPr>
          <w:p>
            <w:pPr>
              <w:spacing w:before="0" w:after="0" w:line="240" w:lineRule="auto"/>
              <w:jc w:val="right"/>
              <w:rPr>
                <w:rFonts w:eastAsia="Times New Roman" w:asciiTheme="majorHAnsi" w:hAnsiTheme="majorHAnsi" w:cstheme="majorHAnsi"/>
                <w:i/>
                <w:iCs/>
                <w:color w:val="4F81BD"/>
                <w:sz w:val="16"/>
                <w:szCs w:val="16"/>
                <w:lang w:val="en-US"/>
              </w:rPr>
            </w:pPr>
          </w:p>
        </w:tc>
        <w:tc>
          <w:tcPr>
            <w:tcW w:w="541"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2020</w:t>
            </w:r>
          </w:p>
        </w:tc>
        <w:tc>
          <w:tcPr>
            <w:tcW w:w="147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27.968.950</w:t>
            </w:r>
          </w:p>
        </w:tc>
        <w:tc>
          <w:tcPr>
            <w:tcW w:w="1438"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2.772.510</w:t>
            </w:r>
          </w:p>
        </w:tc>
        <w:tc>
          <w:tcPr>
            <w:tcW w:w="1296"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23.336.493</w:t>
            </w:r>
          </w:p>
        </w:tc>
      </w:tr>
      <w:tr>
        <w:tblPrEx>
          <w:tblLayout w:type="fixed"/>
          <w:tblCellMar>
            <w:top w:w="0" w:type="dxa"/>
            <w:left w:w="108" w:type="dxa"/>
            <w:bottom w:w="0" w:type="dxa"/>
            <w:right w:w="108" w:type="dxa"/>
          </w:tblCellMar>
        </w:tblPrEx>
        <w:trPr>
          <w:trHeight w:val="255" w:hRule="atLeast"/>
        </w:trPr>
        <w:tc>
          <w:tcPr>
            <w:tcW w:w="3612"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4F81BD"/>
                <w:sz w:val="16"/>
                <w:szCs w:val="16"/>
                <w:lang w:val="en-US"/>
              </w:rPr>
            </w:pPr>
            <w:r>
              <w:rPr>
                <w:rFonts w:eastAsia="Times New Roman" w:asciiTheme="majorHAnsi" w:hAnsiTheme="majorHAnsi" w:cstheme="majorHAnsi"/>
                <w:color w:val="4F81BD"/>
                <w:sz w:val="16"/>
                <w:szCs w:val="16"/>
                <w:lang w:val="en-US"/>
              </w:rPr>
              <w:t>Total active</w:t>
            </w:r>
          </w:p>
        </w:tc>
        <w:tc>
          <w:tcPr>
            <w:tcW w:w="774"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i/>
                <w:iCs/>
                <w:color w:val="4F81BD"/>
                <w:sz w:val="16"/>
                <w:szCs w:val="16"/>
                <w:lang w:val="en-US"/>
              </w:rPr>
            </w:pPr>
            <w:r>
              <w:rPr>
                <w:rFonts w:eastAsia="Times New Roman" w:asciiTheme="majorHAnsi" w:hAnsiTheme="majorHAnsi" w:cstheme="majorHAnsi"/>
                <w:i/>
                <w:iCs/>
                <w:color w:val="4F81BD"/>
                <w:sz w:val="16"/>
                <w:szCs w:val="16"/>
                <w:lang w:val="en-US"/>
              </w:rPr>
              <w:t>lei</w:t>
            </w:r>
          </w:p>
        </w:tc>
        <w:tc>
          <w:tcPr>
            <w:tcW w:w="541"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2019</w:t>
            </w:r>
          </w:p>
        </w:tc>
        <w:tc>
          <w:tcPr>
            <w:tcW w:w="147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32.887.672.800</w:t>
            </w:r>
          </w:p>
        </w:tc>
        <w:tc>
          <w:tcPr>
            <w:tcW w:w="1438"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7.746.192.380</w:t>
            </w:r>
          </w:p>
        </w:tc>
        <w:tc>
          <w:tcPr>
            <w:tcW w:w="1296"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N/A</w:t>
            </w:r>
          </w:p>
        </w:tc>
      </w:tr>
      <w:tr>
        <w:tblPrEx>
          <w:tblLayout w:type="fixed"/>
          <w:tblCellMar>
            <w:top w:w="0" w:type="dxa"/>
            <w:left w:w="108" w:type="dxa"/>
            <w:bottom w:w="0" w:type="dxa"/>
            <w:right w:w="108" w:type="dxa"/>
          </w:tblCellMar>
        </w:tblPrEx>
        <w:trPr>
          <w:trHeight w:val="255" w:hRule="atLeast"/>
        </w:trPr>
        <w:tc>
          <w:tcPr>
            <w:tcW w:w="3612" w:type="dxa"/>
            <w:vMerge w:val="continue"/>
            <w:tcBorders>
              <w:top w:val="nil"/>
              <w:left w:val="single" w:color="FFFFFF" w:sz="4" w:space="0"/>
              <w:bottom w:val="single" w:color="4F81BD" w:sz="4" w:space="0"/>
              <w:right w:val="single" w:color="FFFFFF" w:sz="4" w:space="0"/>
            </w:tcBorders>
          </w:tcPr>
          <w:p>
            <w:pPr>
              <w:spacing w:before="0" w:after="0" w:line="240" w:lineRule="auto"/>
              <w:rPr>
                <w:rFonts w:eastAsia="Times New Roman" w:asciiTheme="majorHAnsi" w:hAnsiTheme="majorHAnsi" w:cstheme="majorHAnsi"/>
                <w:color w:val="4F81BD"/>
                <w:sz w:val="16"/>
                <w:szCs w:val="16"/>
                <w:lang w:val="en-US"/>
              </w:rPr>
            </w:pPr>
          </w:p>
        </w:tc>
        <w:tc>
          <w:tcPr>
            <w:tcW w:w="774" w:type="dxa"/>
            <w:vMerge w:val="continue"/>
            <w:tcBorders>
              <w:top w:val="nil"/>
              <w:left w:val="single" w:color="FFFFFF" w:sz="4" w:space="0"/>
              <w:bottom w:val="single" w:color="4F81BD" w:sz="4" w:space="0"/>
              <w:right w:val="single" w:color="FFFFFF" w:sz="4" w:space="0"/>
            </w:tcBorders>
          </w:tcPr>
          <w:p>
            <w:pPr>
              <w:spacing w:before="0" w:after="0" w:line="240" w:lineRule="auto"/>
              <w:jc w:val="right"/>
              <w:rPr>
                <w:rFonts w:eastAsia="Times New Roman" w:asciiTheme="majorHAnsi" w:hAnsiTheme="majorHAnsi" w:cstheme="majorHAnsi"/>
                <w:i/>
                <w:iCs/>
                <w:color w:val="4F81BD"/>
                <w:sz w:val="16"/>
                <w:szCs w:val="16"/>
                <w:lang w:val="en-US"/>
              </w:rPr>
            </w:pPr>
          </w:p>
        </w:tc>
        <w:tc>
          <w:tcPr>
            <w:tcW w:w="541"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2020</w:t>
            </w:r>
          </w:p>
        </w:tc>
        <w:tc>
          <w:tcPr>
            <w:tcW w:w="1472"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41.297.603.146</w:t>
            </w:r>
          </w:p>
        </w:tc>
        <w:tc>
          <w:tcPr>
            <w:tcW w:w="1438"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11.795.425.436</w:t>
            </w:r>
          </w:p>
        </w:tc>
        <w:tc>
          <w:tcPr>
            <w:tcW w:w="1296"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6.466.914.280</w:t>
            </w:r>
          </w:p>
        </w:tc>
      </w:tr>
    </w:tbl>
    <w:p>
      <w:pPr>
        <w:spacing w:before="0" w:after="240"/>
        <w:jc w:val="both"/>
        <w:rPr>
          <w:rFonts w:asciiTheme="majorHAnsi" w:hAnsiTheme="majorHAnsi" w:cstheme="majorHAnsi"/>
          <w:bCs/>
        </w:rPr>
      </w:pPr>
      <w:r>
        <w:rPr>
          <w:rFonts w:eastAsia="Times New Roman" w:asciiTheme="majorHAnsi" w:hAnsiTheme="majorHAnsi" w:cstheme="majorHAnsi"/>
          <w:lang w:val="en-US"/>
        </w:rPr>
        <w:t>Indicatorii de rentabilitate a activelor și a capitalului pentru instituțiile de credit din portofoliul Ministerului Finanțelor în perioada 20</w:t>
      </w:r>
      <w:r>
        <w:rPr>
          <w:rFonts w:eastAsia="Times New Roman" w:asciiTheme="majorHAnsi" w:hAnsiTheme="majorHAnsi" w:cstheme="majorHAnsi"/>
        </w:rPr>
        <w:t>19</w:t>
      </w:r>
      <w:r>
        <w:rPr>
          <w:rFonts w:eastAsia="Times New Roman" w:asciiTheme="majorHAnsi" w:hAnsiTheme="majorHAnsi" w:cstheme="majorHAnsi"/>
          <w:lang w:val="en-US"/>
        </w:rPr>
        <w:t>-20</w:t>
      </w:r>
      <w:r>
        <w:rPr>
          <w:rFonts w:eastAsia="Times New Roman" w:asciiTheme="majorHAnsi" w:hAnsiTheme="majorHAnsi" w:cstheme="majorHAnsi"/>
        </w:rPr>
        <w:t>20</w:t>
      </w:r>
    </w:p>
    <w:tbl>
      <w:tblPr>
        <w:tblStyle w:val="36"/>
        <w:tblW w:w="8940" w:type="dxa"/>
        <w:tblInd w:w="93" w:type="dxa"/>
        <w:tblLayout w:type="fixed"/>
        <w:tblCellMar>
          <w:top w:w="0" w:type="dxa"/>
          <w:left w:w="108" w:type="dxa"/>
          <w:bottom w:w="0" w:type="dxa"/>
          <w:right w:w="108" w:type="dxa"/>
        </w:tblCellMar>
      </w:tblPr>
      <w:tblGrid>
        <w:gridCol w:w="1800"/>
        <w:gridCol w:w="2380"/>
        <w:gridCol w:w="1760"/>
        <w:gridCol w:w="847"/>
        <w:gridCol w:w="1319"/>
        <w:gridCol w:w="834"/>
      </w:tblGrid>
      <w:tr>
        <w:tblPrEx>
          <w:tblLayout w:type="fixed"/>
          <w:tblCellMar>
            <w:top w:w="0" w:type="dxa"/>
            <w:left w:w="108" w:type="dxa"/>
            <w:bottom w:w="0" w:type="dxa"/>
            <w:right w:w="108" w:type="dxa"/>
          </w:tblCellMar>
        </w:tblPrEx>
        <w:trPr>
          <w:trHeight w:val="300" w:hRule="atLeast"/>
        </w:trPr>
        <w:tc>
          <w:tcPr>
            <w:tcW w:w="1800" w:type="dxa"/>
            <w:vMerge w:val="restart"/>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4F81BD"/>
                <w:sz w:val="16"/>
                <w:szCs w:val="16"/>
                <w:lang w:val="en-US"/>
              </w:rPr>
            </w:pPr>
            <w:r>
              <w:rPr>
                <w:rFonts w:eastAsia="Times New Roman" w:asciiTheme="majorHAnsi" w:hAnsiTheme="majorHAnsi" w:cstheme="majorHAnsi"/>
                <w:color w:val="4F81BD"/>
                <w:sz w:val="16"/>
                <w:szCs w:val="16"/>
                <w:lang w:val="en-US"/>
              </w:rPr>
              <w:t>Indicatori</w:t>
            </w:r>
          </w:p>
        </w:tc>
        <w:tc>
          <w:tcPr>
            <w:tcW w:w="2380" w:type="dxa"/>
            <w:vMerge w:val="restart"/>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4F81BD"/>
                <w:sz w:val="16"/>
                <w:szCs w:val="16"/>
                <w:lang w:val="en-US"/>
              </w:rPr>
            </w:pPr>
            <w:r>
              <w:rPr>
                <w:rFonts w:eastAsia="Times New Roman" w:asciiTheme="majorHAnsi" w:hAnsiTheme="majorHAnsi" w:cstheme="majorHAnsi"/>
                <w:color w:val="4F81BD"/>
                <w:sz w:val="16"/>
                <w:szCs w:val="16"/>
                <w:lang w:val="en-US"/>
              </w:rPr>
              <w:t>Mod de calcul indicator</w:t>
            </w:r>
          </w:p>
        </w:tc>
        <w:tc>
          <w:tcPr>
            <w:tcW w:w="1760" w:type="dxa"/>
            <w:vMerge w:val="restart"/>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jc w:val="center"/>
              <w:rPr>
                <w:rFonts w:eastAsia="Times New Roman" w:asciiTheme="majorHAnsi" w:hAnsiTheme="majorHAnsi" w:cstheme="majorHAnsi"/>
                <w:color w:val="4F81BD"/>
                <w:sz w:val="16"/>
                <w:szCs w:val="16"/>
                <w:lang w:val="en-US"/>
              </w:rPr>
            </w:pPr>
            <w:r>
              <w:rPr>
                <w:rFonts w:eastAsia="Times New Roman" w:asciiTheme="majorHAnsi" w:hAnsiTheme="majorHAnsi" w:cstheme="majorHAnsi"/>
                <w:color w:val="4F81BD"/>
                <w:sz w:val="16"/>
                <w:szCs w:val="16"/>
                <w:lang w:val="en-US"/>
              </w:rPr>
              <w:t>An</w:t>
            </w:r>
          </w:p>
        </w:tc>
        <w:tc>
          <w:tcPr>
            <w:tcW w:w="3000" w:type="dxa"/>
            <w:gridSpan w:val="3"/>
            <w:tcBorders>
              <w:top w:val="single" w:color="4F81BD" w:sz="4" w:space="0"/>
              <w:left w:val="nil"/>
              <w:bottom w:val="single" w:color="4F81BD" w:sz="4" w:space="0"/>
              <w:right w:val="nil"/>
            </w:tcBorders>
            <w:shd w:val="clear" w:color="auto" w:fill="auto"/>
          </w:tcPr>
          <w:p>
            <w:pPr>
              <w:spacing w:before="0" w:after="0" w:line="240" w:lineRule="auto"/>
              <w:jc w:val="center"/>
              <w:rPr>
                <w:rFonts w:eastAsia="Times New Roman" w:asciiTheme="majorHAnsi" w:hAnsiTheme="majorHAnsi" w:cstheme="majorHAnsi"/>
                <w:color w:val="4F81BD"/>
                <w:sz w:val="16"/>
                <w:szCs w:val="16"/>
                <w:lang w:val="en-US"/>
              </w:rPr>
            </w:pPr>
            <w:r>
              <w:rPr>
                <w:rFonts w:eastAsia="Times New Roman" w:asciiTheme="majorHAnsi" w:hAnsiTheme="majorHAnsi" w:cstheme="majorHAnsi"/>
                <w:color w:val="4F81BD"/>
                <w:sz w:val="16"/>
                <w:szCs w:val="16"/>
                <w:lang w:val="en-US"/>
              </w:rPr>
              <w:t>Instituții de credit aflate în subordinea MF</w:t>
            </w:r>
          </w:p>
        </w:tc>
      </w:tr>
      <w:tr>
        <w:tblPrEx>
          <w:tblLayout w:type="fixed"/>
          <w:tblCellMar>
            <w:top w:w="0" w:type="dxa"/>
            <w:left w:w="108" w:type="dxa"/>
            <w:bottom w:w="0" w:type="dxa"/>
            <w:right w:w="108" w:type="dxa"/>
          </w:tblCellMar>
        </w:tblPrEx>
        <w:trPr>
          <w:trHeight w:val="300" w:hRule="atLeast"/>
        </w:trPr>
        <w:tc>
          <w:tcPr>
            <w:tcW w:w="1800" w:type="dxa"/>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eastAsia="Times New Roman" w:asciiTheme="majorHAnsi" w:hAnsiTheme="majorHAnsi" w:cstheme="majorHAnsi"/>
                <w:color w:val="4F81BD"/>
                <w:sz w:val="16"/>
                <w:szCs w:val="16"/>
                <w:lang w:val="en-US"/>
              </w:rPr>
            </w:pPr>
          </w:p>
        </w:tc>
        <w:tc>
          <w:tcPr>
            <w:tcW w:w="2380" w:type="dxa"/>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eastAsia="Times New Roman" w:asciiTheme="majorHAnsi" w:hAnsiTheme="majorHAnsi" w:cstheme="majorHAnsi"/>
                <w:color w:val="4F81BD"/>
                <w:sz w:val="16"/>
                <w:szCs w:val="16"/>
                <w:lang w:val="en-US"/>
              </w:rPr>
            </w:pPr>
          </w:p>
        </w:tc>
        <w:tc>
          <w:tcPr>
            <w:tcW w:w="1760" w:type="dxa"/>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eastAsia="Times New Roman" w:asciiTheme="majorHAnsi" w:hAnsiTheme="majorHAnsi" w:cstheme="majorHAnsi"/>
                <w:color w:val="4F81BD"/>
                <w:sz w:val="16"/>
                <w:szCs w:val="16"/>
                <w:lang w:val="en-US"/>
              </w:rPr>
            </w:pPr>
          </w:p>
        </w:tc>
        <w:tc>
          <w:tcPr>
            <w:tcW w:w="84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4F81BD"/>
                <w:sz w:val="16"/>
                <w:szCs w:val="16"/>
                <w:lang w:val="en-US"/>
              </w:rPr>
            </w:pPr>
            <w:r>
              <w:rPr>
                <w:rFonts w:eastAsia="Times New Roman" w:asciiTheme="majorHAnsi" w:hAnsiTheme="majorHAnsi" w:cstheme="majorHAnsi"/>
                <w:color w:val="4F81BD"/>
                <w:sz w:val="16"/>
                <w:szCs w:val="16"/>
                <w:lang w:val="en-US"/>
              </w:rPr>
              <w:t>CEC</w:t>
            </w:r>
          </w:p>
        </w:tc>
        <w:tc>
          <w:tcPr>
            <w:tcW w:w="131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4F81BD"/>
                <w:sz w:val="16"/>
                <w:szCs w:val="16"/>
                <w:lang w:val="en-US"/>
              </w:rPr>
            </w:pPr>
            <w:r>
              <w:rPr>
                <w:rFonts w:eastAsia="Times New Roman" w:asciiTheme="majorHAnsi" w:hAnsiTheme="majorHAnsi" w:cstheme="majorHAnsi"/>
                <w:color w:val="4F81BD"/>
                <w:sz w:val="16"/>
                <w:szCs w:val="16"/>
                <w:lang w:val="en-US"/>
              </w:rPr>
              <w:t>EximBank</w:t>
            </w:r>
          </w:p>
        </w:tc>
        <w:tc>
          <w:tcPr>
            <w:tcW w:w="834"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4F81BD"/>
                <w:sz w:val="16"/>
                <w:szCs w:val="16"/>
                <w:lang w:val="en-US"/>
              </w:rPr>
            </w:pPr>
            <w:r>
              <w:rPr>
                <w:rFonts w:eastAsia="Times New Roman" w:asciiTheme="majorHAnsi" w:hAnsiTheme="majorHAnsi" w:cstheme="majorHAnsi"/>
                <w:color w:val="4F81BD"/>
                <w:sz w:val="16"/>
                <w:szCs w:val="16"/>
                <w:lang w:val="en-US"/>
              </w:rPr>
              <w:t>BR</w:t>
            </w:r>
          </w:p>
        </w:tc>
      </w:tr>
      <w:tr>
        <w:tblPrEx>
          <w:tblLayout w:type="fixed"/>
          <w:tblCellMar>
            <w:top w:w="0" w:type="dxa"/>
            <w:left w:w="108" w:type="dxa"/>
            <w:bottom w:w="0" w:type="dxa"/>
            <w:right w:w="108" w:type="dxa"/>
          </w:tblCellMar>
        </w:tblPrEx>
        <w:trPr>
          <w:trHeight w:val="300" w:hRule="atLeast"/>
        </w:trPr>
        <w:tc>
          <w:tcPr>
            <w:tcW w:w="1800" w:type="dxa"/>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eastAsia="Times New Roman" w:asciiTheme="majorHAnsi" w:hAnsiTheme="majorHAnsi" w:cstheme="majorHAnsi"/>
                <w:color w:val="4F81BD"/>
                <w:sz w:val="16"/>
                <w:szCs w:val="16"/>
                <w:lang w:val="en-US"/>
              </w:rPr>
            </w:pPr>
          </w:p>
        </w:tc>
        <w:tc>
          <w:tcPr>
            <w:tcW w:w="2380" w:type="dxa"/>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eastAsia="Times New Roman" w:asciiTheme="majorHAnsi" w:hAnsiTheme="majorHAnsi" w:cstheme="majorHAnsi"/>
                <w:color w:val="4F81BD"/>
                <w:sz w:val="16"/>
                <w:szCs w:val="16"/>
                <w:lang w:val="en-US"/>
              </w:rPr>
            </w:pPr>
          </w:p>
        </w:tc>
        <w:tc>
          <w:tcPr>
            <w:tcW w:w="1760" w:type="dxa"/>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eastAsia="Times New Roman" w:asciiTheme="majorHAnsi" w:hAnsiTheme="majorHAnsi" w:cstheme="majorHAnsi"/>
                <w:color w:val="4F81BD"/>
                <w:sz w:val="16"/>
                <w:szCs w:val="16"/>
                <w:lang w:val="en-US"/>
              </w:rPr>
            </w:pPr>
          </w:p>
        </w:tc>
        <w:tc>
          <w:tcPr>
            <w:tcW w:w="84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4F81BD"/>
                <w:sz w:val="16"/>
                <w:szCs w:val="16"/>
                <w:lang w:val="en-US"/>
              </w:rPr>
            </w:pPr>
            <w:r>
              <w:rPr>
                <w:rFonts w:eastAsia="Times New Roman" w:asciiTheme="majorHAnsi" w:hAnsiTheme="majorHAnsi" w:cstheme="majorHAnsi"/>
                <w:color w:val="4F81BD"/>
                <w:sz w:val="16"/>
                <w:szCs w:val="16"/>
                <w:lang w:val="en-US"/>
              </w:rPr>
              <w:t>%</w:t>
            </w:r>
          </w:p>
        </w:tc>
        <w:tc>
          <w:tcPr>
            <w:tcW w:w="131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4F81BD"/>
                <w:sz w:val="16"/>
                <w:szCs w:val="16"/>
                <w:lang w:val="en-US"/>
              </w:rPr>
            </w:pPr>
            <w:r>
              <w:rPr>
                <w:rFonts w:eastAsia="Times New Roman" w:asciiTheme="majorHAnsi" w:hAnsiTheme="majorHAnsi" w:cstheme="majorHAnsi"/>
                <w:color w:val="4F81BD"/>
                <w:sz w:val="16"/>
                <w:szCs w:val="16"/>
                <w:lang w:val="en-US"/>
              </w:rPr>
              <w:t>%</w:t>
            </w:r>
          </w:p>
        </w:tc>
        <w:tc>
          <w:tcPr>
            <w:tcW w:w="834"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4F81BD"/>
                <w:sz w:val="16"/>
                <w:szCs w:val="16"/>
                <w:lang w:val="en-US"/>
              </w:rPr>
            </w:pPr>
            <w:r>
              <w:rPr>
                <w:rFonts w:eastAsia="Times New Roman" w:asciiTheme="majorHAnsi" w:hAnsiTheme="majorHAnsi" w:cstheme="majorHAnsi"/>
                <w:color w:val="4F81BD"/>
                <w:sz w:val="16"/>
                <w:szCs w:val="16"/>
                <w:lang w:val="en-US"/>
              </w:rPr>
              <w:t>%</w:t>
            </w:r>
          </w:p>
        </w:tc>
      </w:tr>
      <w:tr>
        <w:tblPrEx>
          <w:tblLayout w:type="fixed"/>
          <w:tblCellMar>
            <w:top w:w="0" w:type="dxa"/>
            <w:left w:w="108" w:type="dxa"/>
            <w:bottom w:w="0" w:type="dxa"/>
            <w:right w:w="108" w:type="dxa"/>
          </w:tblCellMar>
        </w:tblPrEx>
        <w:trPr>
          <w:trHeight w:val="300" w:hRule="atLeast"/>
        </w:trPr>
        <w:tc>
          <w:tcPr>
            <w:tcW w:w="1800" w:type="dxa"/>
            <w:vMerge w:val="restart"/>
            <w:tcBorders>
              <w:top w:val="nil"/>
              <w:left w:val="single" w:color="FFFFFF" w:sz="4" w:space="0"/>
              <w:bottom w:val="single" w:color="4F81BD" w:sz="4" w:space="0"/>
              <w:right w:val="single" w:color="FFFFFF" w:sz="4" w:space="0"/>
            </w:tcBorders>
            <w:shd w:val="clear" w:color="000000" w:fill="FFFFFF"/>
          </w:tcPr>
          <w:p>
            <w:pPr>
              <w:spacing w:before="0" w:after="0" w:line="240" w:lineRule="auto"/>
              <w:rPr>
                <w:rFonts w:eastAsia="Times New Roman" w:asciiTheme="majorHAnsi" w:hAnsiTheme="majorHAnsi" w:cstheme="majorHAnsi"/>
                <w:color w:val="4F81BD"/>
                <w:sz w:val="16"/>
                <w:szCs w:val="16"/>
                <w:lang w:val="en-US"/>
              </w:rPr>
            </w:pPr>
            <w:r>
              <w:rPr>
                <w:rFonts w:eastAsia="Times New Roman" w:asciiTheme="majorHAnsi" w:hAnsiTheme="majorHAnsi" w:cstheme="majorHAnsi"/>
                <w:color w:val="4F81BD"/>
                <w:sz w:val="16"/>
                <w:szCs w:val="16"/>
                <w:lang w:val="en-US"/>
              </w:rPr>
              <w:t xml:space="preserve">Rata rentabilităţii capitalului </w:t>
            </w:r>
          </w:p>
        </w:tc>
        <w:tc>
          <w:tcPr>
            <w:tcW w:w="2380"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Profit net / Capitaluri proprii</w:t>
            </w:r>
          </w:p>
        </w:tc>
        <w:tc>
          <w:tcPr>
            <w:tcW w:w="1760"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2019</w:t>
            </w:r>
          </w:p>
        </w:tc>
        <w:tc>
          <w:tcPr>
            <w:tcW w:w="84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9,59%</w:t>
            </w:r>
          </w:p>
        </w:tc>
        <w:tc>
          <w:tcPr>
            <w:tcW w:w="131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2,44%</w:t>
            </w:r>
          </w:p>
        </w:tc>
        <w:tc>
          <w:tcPr>
            <w:tcW w:w="834"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N/A</w:t>
            </w:r>
          </w:p>
        </w:tc>
      </w:tr>
      <w:tr>
        <w:tblPrEx>
          <w:tblLayout w:type="fixed"/>
          <w:tblCellMar>
            <w:top w:w="0" w:type="dxa"/>
            <w:left w:w="108" w:type="dxa"/>
            <w:bottom w:w="0" w:type="dxa"/>
            <w:right w:w="108" w:type="dxa"/>
          </w:tblCellMar>
        </w:tblPrEx>
        <w:trPr>
          <w:trHeight w:val="300" w:hRule="atLeast"/>
        </w:trPr>
        <w:tc>
          <w:tcPr>
            <w:tcW w:w="1800" w:type="dxa"/>
            <w:vMerge w:val="continue"/>
            <w:tcBorders>
              <w:top w:val="nil"/>
              <w:left w:val="single" w:color="FFFFFF" w:sz="4" w:space="0"/>
              <w:bottom w:val="single" w:color="4F81BD" w:sz="4" w:space="0"/>
              <w:right w:val="single" w:color="FFFFFF" w:sz="4" w:space="0"/>
            </w:tcBorders>
            <w:vAlign w:val="center"/>
          </w:tcPr>
          <w:p>
            <w:pPr>
              <w:spacing w:before="0" w:after="0" w:line="240" w:lineRule="auto"/>
              <w:rPr>
                <w:rFonts w:eastAsia="Times New Roman" w:asciiTheme="majorHAnsi" w:hAnsiTheme="majorHAnsi" w:cstheme="majorHAnsi"/>
                <w:color w:val="4F81BD"/>
                <w:sz w:val="16"/>
                <w:szCs w:val="16"/>
                <w:lang w:val="en-US"/>
              </w:rPr>
            </w:pPr>
          </w:p>
        </w:tc>
        <w:tc>
          <w:tcPr>
            <w:tcW w:w="2380" w:type="dxa"/>
            <w:vMerge w:val="continue"/>
            <w:tcBorders>
              <w:top w:val="nil"/>
              <w:left w:val="single" w:color="FFFFFF" w:sz="4" w:space="0"/>
              <w:bottom w:val="single" w:color="4F81BD" w:sz="4" w:space="0"/>
              <w:right w:val="single" w:color="FFFFFF" w:sz="4" w:space="0"/>
            </w:tcBorders>
            <w:vAlign w:val="center"/>
          </w:tcPr>
          <w:p>
            <w:pPr>
              <w:spacing w:before="0" w:after="0" w:line="240" w:lineRule="auto"/>
              <w:rPr>
                <w:rFonts w:eastAsia="Times New Roman" w:asciiTheme="majorHAnsi" w:hAnsiTheme="majorHAnsi" w:cstheme="majorHAnsi"/>
                <w:sz w:val="16"/>
                <w:szCs w:val="16"/>
                <w:lang w:val="en-US"/>
              </w:rPr>
            </w:pPr>
          </w:p>
        </w:tc>
        <w:tc>
          <w:tcPr>
            <w:tcW w:w="1760"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
                <w:bCs/>
                <w:sz w:val="16"/>
                <w:szCs w:val="16"/>
                <w:lang w:val="en-US"/>
              </w:rPr>
            </w:pPr>
            <w:r>
              <w:rPr>
                <w:rFonts w:eastAsia="Times New Roman" w:asciiTheme="majorHAnsi" w:hAnsiTheme="majorHAnsi" w:cstheme="majorHAnsi"/>
                <w:b/>
                <w:bCs/>
                <w:sz w:val="16"/>
                <w:szCs w:val="16"/>
                <w:lang w:val="en-US"/>
              </w:rPr>
              <w:t>2020</w:t>
            </w:r>
          </w:p>
        </w:tc>
        <w:tc>
          <w:tcPr>
            <w:tcW w:w="84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
                <w:bCs/>
                <w:sz w:val="16"/>
                <w:szCs w:val="16"/>
                <w:lang w:val="en-US"/>
              </w:rPr>
            </w:pPr>
            <w:r>
              <w:rPr>
                <w:rFonts w:eastAsia="Times New Roman" w:asciiTheme="majorHAnsi" w:hAnsiTheme="majorHAnsi" w:cstheme="majorHAnsi"/>
                <w:b/>
                <w:bCs/>
                <w:sz w:val="16"/>
                <w:szCs w:val="16"/>
                <w:lang w:val="en-US"/>
              </w:rPr>
              <w:t>7,53%</w:t>
            </w:r>
          </w:p>
        </w:tc>
        <w:tc>
          <w:tcPr>
            <w:tcW w:w="131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
                <w:bCs/>
                <w:sz w:val="16"/>
                <w:szCs w:val="16"/>
                <w:lang w:val="en-US"/>
              </w:rPr>
            </w:pPr>
            <w:r>
              <w:rPr>
                <w:rFonts w:eastAsia="Times New Roman" w:asciiTheme="majorHAnsi" w:hAnsiTheme="majorHAnsi" w:cstheme="majorHAnsi"/>
                <w:b/>
                <w:bCs/>
                <w:sz w:val="16"/>
                <w:szCs w:val="16"/>
                <w:lang w:val="en-US"/>
              </w:rPr>
              <w:t>1,32%</w:t>
            </w:r>
          </w:p>
        </w:tc>
        <w:tc>
          <w:tcPr>
            <w:tcW w:w="834"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
                <w:bCs/>
                <w:sz w:val="16"/>
                <w:szCs w:val="16"/>
                <w:lang w:val="en-US"/>
              </w:rPr>
            </w:pPr>
            <w:r>
              <w:rPr>
                <w:rFonts w:eastAsia="Times New Roman" w:asciiTheme="majorHAnsi" w:hAnsiTheme="majorHAnsi" w:cstheme="majorHAnsi"/>
                <w:b/>
                <w:bCs/>
                <w:sz w:val="16"/>
                <w:szCs w:val="16"/>
                <w:lang w:val="en-US"/>
              </w:rPr>
              <w:t>1,62%</w:t>
            </w:r>
          </w:p>
        </w:tc>
      </w:tr>
      <w:tr>
        <w:tblPrEx>
          <w:tblLayout w:type="fixed"/>
          <w:tblCellMar>
            <w:top w:w="0" w:type="dxa"/>
            <w:left w:w="108" w:type="dxa"/>
            <w:bottom w:w="0" w:type="dxa"/>
            <w:right w:w="108" w:type="dxa"/>
          </w:tblCellMar>
        </w:tblPrEx>
        <w:trPr>
          <w:trHeight w:val="300" w:hRule="atLeast"/>
        </w:trPr>
        <w:tc>
          <w:tcPr>
            <w:tcW w:w="1800" w:type="dxa"/>
            <w:vMerge w:val="restart"/>
            <w:tcBorders>
              <w:top w:val="nil"/>
              <w:left w:val="single" w:color="FFFFFF" w:sz="4" w:space="0"/>
              <w:bottom w:val="single" w:color="4F81BD" w:sz="4" w:space="0"/>
              <w:right w:val="single" w:color="FFFFFF" w:sz="4" w:space="0"/>
            </w:tcBorders>
            <w:shd w:val="clear" w:color="000000" w:fill="FFFFFF"/>
          </w:tcPr>
          <w:p>
            <w:pPr>
              <w:spacing w:before="0" w:after="0" w:line="240" w:lineRule="auto"/>
              <w:rPr>
                <w:rFonts w:eastAsia="Times New Roman" w:asciiTheme="majorHAnsi" w:hAnsiTheme="majorHAnsi" w:cstheme="majorHAnsi"/>
                <w:color w:val="4F81BD"/>
                <w:sz w:val="16"/>
                <w:szCs w:val="16"/>
                <w:lang w:val="en-US"/>
              </w:rPr>
            </w:pPr>
            <w:r>
              <w:rPr>
                <w:rFonts w:eastAsia="Times New Roman" w:asciiTheme="majorHAnsi" w:hAnsiTheme="majorHAnsi" w:cstheme="majorHAnsi"/>
                <w:color w:val="4F81BD"/>
                <w:sz w:val="16"/>
                <w:szCs w:val="16"/>
                <w:lang w:val="en-US"/>
              </w:rPr>
              <w:t>Rentabilitatea activelor</w:t>
            </w:r>
          </w:p>
        </w:tc>
        <w:tc>
          <w:tcPr>
            <w:tcW w:w="2380"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Profit net / Active totale</w:t>
            </w:r>
          </w:p>
        </w:tc>
        <w:tc>
          <w:tcPr>
            <w:tcW w:w="1760"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2019</w:t>
            </w:r>
          </w:p>
        </w:tc>
        <w:tc>
          <w:tcPr>
            <w:tcW w:w="84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1,15%</w:t>
            </w:r>
          </w:p>
        </w:tc>
        <w:tc>
          <w:tcPr>
            <w:tcW w:w="131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0,37%</w:t>
            </w:r>
          </w:p>
        </w:tc>
        <w:tc>
          <w:tcPr>
            <w:tcW w:w="834"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sz w:val="16"/>
                <w:szCs w:val="16"/>
                <w:lang w:val="en-US"/>
              </w:rPr>
            </w:pPr>
            <w:r>
              <w:rPr>
                <w:rFonts w:eastAsia="Times New Roman" w:asciiTheme="majorHAnsi" w:hAnsiTheme="majorHAnsi" w:cstheme="majorHAnsi"/>
                <w:sz w:val="16"/>
                <w:szCs w:val="16"/>
                <w:lang w:val="en-US"/>
              </w:rPr>
              <w:t>N/A</w:t>
            </w:r>
          </w:p>
        </w:tc>
      </w:tr>
      <w:tr>
        <w:tblPrEx>
          <w:tblLayout w:type="fixed"/>
          <w:tblCellMar>
            <w:top w:w="0" w:type="dxa"/>
            <w:left w:w="108" w:type="dxa"/>
            <w:bottom w:w="0" w:type="dxa"/>
            <w:right w:w="108" w:type="dxa"/>
          </w:tblCellMar>
        </w:tblPrEx>
        <w:trPr>
          <w:trHeight w:val="300" w:hRule="atLeast"/>
        </w:trPr>
        <w:tc>
          <w:tcPr>
            <w:tcW w:w="1800" w:type="dxa"/>
            <w:vMerge w:val="continue"/>
            <w:tcBorders>
              <w:top w:val="nil"/>
              <w:left w:val="single" w:color="FFFFFF" w:sz="4" w:space="0"/>
              <w:bottom w:val="single" w:color="4F81BD" w:sz="4" w:space="0"/>
              <w:right w:val="single" w:color="FFFFFF" w:sz="4" w:space="0"/>
            </w:tcBorders>
            <w:vAlign w:val="center"/>
          </w:tcPr>
          <w:p>
            <w:pPr>
              <w:spacing w:before="0" w:after="0" w:line="240" w:lineRule="auto"/>
              <w:rPr>
                <w:rFonts w:eastAsia="Times New Roman" w:asciiTheme="majorHAnsi" w:hAnsiTheme="majorHAnsi" w:cstheme="majorHAnsi"/>
                <w:color w:val="4F81BD"/>
                <w:sz w:val="16"/>
                <w:szCs w:val="16"/>
                <w:lang w:val="en-US"/>
              </w:rPr>
            </w:pPr>
          </w:p>
        </w:tc>
        <w:tc>
          <w:tcPr>
            <w:tcW w:w="2380" w:type="dxa"/>
            <w:vMerge w:val="continue"/>
            <w:tcBorders>
              <w:top w:val="nil"/>
              <w:left w:val="single" w:color="FFFFFF" w:sz="4" w:space="0"/>
              <w:bottom w:val="single" w:color="4F81BD" w:sz="4" w:space="0"/>
              <w:right w:val="single" w:color="FFFFFF" w:sz="4" w:space="0"/>
            </w:tcBorders>
            <w:vAlign w:val="center"/>
          </w:tcPr>
          <w:p>
            <w:pPr>
              <w:spacing w:before="0" w:after="0" w:line="240" w:lineRule="auto"/>
              <w:rPr>
                <w:rFonts w:eastAsia="Times New Roman" w:asciiTheme="majorHAnsi" w:hAnsiTheme="majorHAnsi" w:cstheme="majorHAnsi"/>
                <w:sz w:val="16"/>
                <w:szCs w:val="16"/>
                <w:lang w:val="en-US"/>
              </w:rPr>
            </w:pPr>
          </w:p>
        </w:tc>
        <w:tc>
          <w:tcPr>
            <w:tcW w:w="1760"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
                <w:bCs/>
                <w:sz w:val="16"/>
                <w:szCs w:val="16"/>
                <w:lang w:val="en-US"/>
              </w:rPr>
            </w:pPr>
            <w:r>
              <w:rPr>
                <w:rFonts w:eastAsia="Times New Roman" w:asciiTheme="majorHAnsi" w:hAnsiTheme="majorHAnsi" w:cstheme="majorHAnsi"/>
                <w:b/>
                <w:bCs/>
                <w:sz w:val="16"/>
                <w:szCs w:val="16"/>
                <w:lang w:val="en-US"/>
              </w:rPr>
              <w:t>2020</w:t>
            </w:r>
          </w:p>
        </w:tc>
        <w:tc>
          <w:tcPr>
            <w:tcW w:w="84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
                <w:bCs/>
                <w:sz w:val="16"/>
                <w:szCs w:val="16"/>
                <w:lang w:val="en-US"/>
              </w:rPr>
            </w:pPr>
            <w:r>
              <w:rPr>
                <w:rFonts w:eastAsia="Times New Roman" w:asciiTheme="majorHAnsi" w:hAnsiTheme="majorHAnsi" w:cstheme="majorHAnsi"/>
                <w:b/>
                <w:bCs/>
                <w:sz w:val="16"/>
                <w:szCs w:val="16"/>
                <w:lang w:val="en-US"/>
              </w:rPr>
              <w:t>0,82%</w:t>
            </w:r>
          </w:p>
        </w:tc>
        <w:tc>
          <w:tcPr>
            <w:tcW w:w="131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
                <w:bCs/>
                <w:sz w:val="16"/>
                <w:szCs w:val="16"/>
                <w:lang w:val="en-US"/>
              </w:rPr>
            </w:pPr>
            <w:r>
              <w:rPr>
                <w:rFonts w:eastAsia="Times New Roman" w:asciiTheme="majorHAnsi" w:hAnsiTheme="majorHAnsi" w:cstheme="majorHAnsi"/>
                <w:b/>
                <w:bCs/>
                <w:sz w:val="16"/>
                <w:szCs w:val="16"/>
                <w:lang w:val="en-US"/>
              </w:rPr>
              <w:t>0,14%</w:t>
            </w:r>
          </w:p>
        </w:tc>
        <w:tc>
          <w:tcPr>
            <w:tcW w:w="834"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
                <w:bCs/>
                <w:sz w:val="16"/>
                <w:szCs w:val="16"/>
                <w:lang w:val="en-US"/>
              </w:rPr>
            </w:pPr>
            <w:r>
              <w:rPr>
                <w:rFonts w:eastAsia="Times New Roman" w:asciiTheme="majorHAnsi" w:hAnsiTheme="majorHAnsi" w:cstheme="majorHAnsi"/>
                <w:b/>
                <w:bCs/>
                <w:sz w:val="16"/>
                <w:szCs w:val="16"/>
                <w:lang w:val="en-US"/>
              </w:rPr>
              <w:t>0,16%</w:t>
            </w:r>
          </w:p>
        </w:tc>
      </w:tr>
    </w:tbl>
    <w:p>
      <w:pPr>
        <w:pStyle w:val="66"/>
        <w:ind w:left="0" w:right="-286"/>
        <w:jc w:val="both"/>
        <w:rPr>
          <w:rFonts w:asciiTheme="majorHAnsi" w:hAnsiTheme="majorHAnsi"/>
          <w:b/>
          <w:bCs/>
          <w:color w:val="0F6FC6" w:themeColor="accent1"/>
          <w:sz w:val="32"/>
          <w:szCs w:val="32"/>
          <w14:textFill>
            <w14:solidFill>
              <w14:schemeClr w14:val="accent1"/>
            </w14:solidFill>
          </w14:textFill>
        </w:rPr>
      </w:pPr>
    </w:p>
    <w:p>
      <w:pPr>
        <w:pStyle w:val="66"/>
        <w:ind w:left="0" w:right="-286"/>
        <w:jc w:val="both"/>
        <w:outlineLvl w:val="0"/>
        <w:rPr>
          <w:rStyle w:val="67"/>
          <w:rFonts w:asciiTheme="majorHAnsi" w:hAnsiTheme="majorHAnsi"/>
          <w:b/>
          <w:bCs/>
          <w:color w:val="0F6FC6" w:themeColor="accent1"/>
          <w:sz w:val="32"/>
          <w:szCs w:val="32"/>
          <w14:textFill>
            <w14:solidFill>
              <w14:schemeClr w14:val="accent1"/>
            </w14:solidFill>
          </w14:textFill>
        </w:rPr>
      </w:pPr>
      <w:bookmarkStart w:id="20" w:name="_Toc76365831"/>
      <w:r>
        <w:rPr>
          <w:rFonts w:asciiTheme="majorHAnsi" w:hAnsiTheme="majorHAnsi"/>
          <w:b/>
          <w:bCs/>
          <w:color w:val="0F6FC6" w:themeColor="accent1"/>
          <w:sz w:val="32"/>
          <w:szCs w:val="32"/>
          <w14:textFill>
            <w14:solidFill>
              <w14:schemeClr w14:val="accent1"/>
            </w14:solidFill>
          </w14:textFill>
        </w:rPr>
        <w:t>Capitolul 5 –</w:t>
      </w:r>
      <w:r>
        <w:rPr>
          <w:rStyle w:val="67"/>
          <w:rFonts w:asciiTheme="majorHAnsi" w:hAnsiTheme="majorHAnsi"/>
          <w:b/>
          <w:bCs/>
          <w:color w:val="0F6FC6" w:themeColor="accent1"/>
          <w:sz w:val="32"/>
          <w:szCs w:val="32"/>
          <w14:textFill>
            <w14:solidFill>
              <w14:schemeClr w14:val="accent1"/>
            </w14:solidFill>
          </w14:textFill>
        </w:rPr>
        <w:t xml:space="preserve"> Concluzii și propuneri</w:t>
      </w:r>
      <w:bookmarkEnd w:id="20"/>
      <w:r>
        <w:rPr>
          <w:rStyle w:val="67"/>
          <w:rFonts w:asciiTheme="majorHAnsi" w:hAnsiTheme="majorHAnsi"/>
          <w:b/>
          <w:bCs/>
          <w:color w:val="0F6FC6" w:themeColor="accent1"/>
          <w:sz w:val="32"/>
          <w:szCs w:val="32"/>
          <w14:textFill>
            <w14:solidFill>
              <w14:schemeClr w14:val="accent1"/>
            </w14:solidFill>
          </w14:textFill>
        </w:rPr>
        <w:t xml:space="preserve"> </w:t>
      </w:r>
    </w:p>
    <w:p>
      <w:pPr>
        <w:spacing w:before="0" w:after="240"/>
        <w:jc w:val="both"/>
        <w:rPr>
          <w:rFonts w:asciiTheme="majorHAnsi" w:hAnsiTheme="majorHAnsi" w:cstheme="majorHAnsi"/>
          <w:bCs/>
        </w:rPr>
      </w:pPr>
      <w:r>
        <w:rPr>
          <w:rFonts w:asciiTheme="majorHAnsi" w:hAnsiTheme="majorHAnsi" w:cstheme="majorHAnsi"/>
          <w:bCs/>
        </w:rPr>
        <w:t xml:space="preserve">Conform celor prezentate în Raport, se pot </w:t>
      </w:r>
      <w:r>
        <w:rPr>
          <w:rFonts w:asciiTheme="majorHAnsi" w:hAnsiTheme="majorHAnsi" w:cstheme="majorHAnsi"/>
          <w:b/>
          <w:bCs/>
        </w:rPr>
        <w:t>concluziona</w:t>
      </w:r>
      <w:r>
        <w:rPr>
          <w:rFonts w:asciiTheme="majorHAnsi" w:hAnsiTheme="majorHAnsi" w:cstheme="majorHAnsi"/>
          <w:bCs/>
        </w:rPr>
        <w:t xml:space="preserve"> următoarele aspecte privind evoluția societăților aflate în adminstrarea  sau sub autoritatea Ministerului Finanțelor în anul 2020:</w:t>
      </w:r>
    </w:p>
    <w:p>
      <w:pPr>
        <w:pStyle w:val="66"/>
        <w:numPr>
          <w:ilvl w:val="0"/>
          <w:numId w:val="21"/>
        </w:numPr>
        <w:spacing w:before="0" w:after="240"/>
        <w:ind w:left="270" w:hanging="270"/>
        <w:jc w:val="both"/>
        <w:rPr>
          <w:rFonts w:asciiTheme="majorHAnsi" w:hAnsiTheme="majorHAnsi" w:cstheme="majorHAnsi"/>
          <w:bCs/>
        </w:rPr>
      </w:pPr>
      <w:r>
        <w:rPr>
          <w:rFonts w:asciiTheme="majorHAnsi" w:hAnsiTheme="majorHAnsi" w:cstheme="majorHAnsi"/>
          <w:bCs/>
        </w:rPr>
        <w:t xml:space="preserve">A fost </w:t>
      </w:r>
      <w:r>
        <w:rPr>
          <w:rFonts w:asciiTheme="majorHAnsi" w:hAnsiTheme="majorHAnsi" w:cstheme="majorHAnsi"/>
          <w:b/>
          <w:bCs/>
        </w:rPr>
        <w:t xml:space="preserve">finalizat procesul de absorbție prin fuziune de către Fondul Național de Garantare a Creditelor pentru Întreprinderi Mici și Mijlocii S.A. - IFN </w:t>
      </w:r>
      <w:r>
        <w:rPr>
          <w:rFonts w:asciiTheme="majorHAnsi" w:hAnsiTheme="majorHAnsi" w:cstheme="majorHAnsi"/>
          <w:bCs/>
        </w:rPr>
        <w:t>a 2 din filialele acestuia care ulterior au fost radiate de la Oficiul Național al Registrului Comerțului. Menționăm că acest proces a fost demarat din rațiuni de eficiență economică.</w:t>
      </w:r>
    </w:p>
    <w:p>
      <w:pPr>
        <w:pStyle w:val="66"/>
        <w:numPr>
          <w:ilvl w:val="0"/>
          <w:numId w:val="21"/>
        </w:numPr>
        <w:spacing w:before="0" w:after="240"/>
        <w:ind w:left="270" w:hanging="270"/>
        <w:jc w:val="both"/>
        <w:rPr>
          <w:rFonts w:asciiTheme="majorHAnsi" w:hAnsiTheme="majorHAnsi" w:cstheme="majorHAnsi"/>
          <w:bCs/>
          <w:lang w:val="en-US"/>
        </w:rPr>
      </w:pPr>
      <w:r>
        <w:rPr>
          <w:rFonts w:asciiTheme="majorHAnsi" w:hAnsiTheme="majorHAnsi" w:cstheme="majorHAnsi"/>
          <w:b/>
          <w:bCs/>
        </w:rPr>
        <w:t>Banca de Import – Export a României Eximbank S.A.</w:t>
      </w:r>
      <w:r>
        <w:rPr>
          <w:rFonts w:asciiTheme="majorHAnsi" w:hAnsiTheme="majorHAnsi" w:cstheme="majorHAnsi"/>
          <w:bCs/>
        </w:rPr>
        <w:t xml:space="preserve"> a finalizat în data de 23 ianuarie 2020 </w:t>
      </w:r>
      <w:r>
        <w:rPr>
          <w:rFonts w:asciiTheme="majorHAnsi" w:hAnsiTheme="majorHAnsi" w:cstheme="majorHAnsi"/>
          <w:b/>
          <w:bCs/>
        </w:rPr>
        <w:t>achiziţia unei participaţii de 99,28% din capitalul social al Băncii Româneşti S.A.</w:t>
      </w:r>
      <w:r>
        <w:rPr>
          <w:rFonts w:asciiTheme="majorHAnsi" w:hAnsiTheme="majorHAnsi" w:cstheme="majorHAnsi"/>
          <w:bCs/>
        </w:rPr>
        <w:t xml:space="preserve"> de la National Bank of Greece S.A. („NBG”). </w:t>
      </w:r>
    </w:p>
    <w:p>
      <w:pPr>
        <w:pStyle w:val="66"/>
        <w:numPr>
          <w:ilvl w:val="0"/>
          <w:numId w:val="21"/>
        </w:numPr>
        <w:spacing w:before="0" w:after="240"/>
        <w:ind w:left="270" w:hanging="270"/>
        <w:jc w:val="both"/>
        <w:rPr>
          <w:rFonts w:asciiTheme="majorHAnsi" w:hAnsiTheme="majorHAnsi" w:cstheme="majorHAnsi"/>
          <w:bCs/>
          <w:lang w:val="en-US"/>
        </w:rPr>
      </w:pPr>
      <w:r>
        <w:rPr>
          <w:rFonts w:asciiTheme="majorHAnsi" w:hAnsiTheme="majorHAnsi" w:cstheme="majorHAnsi"/>
          <w:bCs/>
        </w:rPr>
        <w:t>Din cele cinci întreprinderi publice care au obligația să implementeze și să respecte prevederile legale privind guvernanța corporativă a întreprinderilor publice</w:t>
      </w:r>
      <w:r>
        <w:rPr>
          <w:rStyle w:val="33"/>
          <w:rFonts w:asciiTheme="majorHAnsi" w:hAnsiTheme="majorHAnsi" w:cstheme="majorHAnsi"/>
          <w:bCs/>
        </w:rPr>
        <w:footnoteReference w:id="21"/>
      </w:r>
      <w:r>
        <w:rPr>
          <w:rFonts w:asciiTheme="majorHAnsi" w:hAnsiTheme="majorHAnsi" w:cstheme="majorHAnsi"/>
          <w:bCs/>
        </w:rPr>
        <w:t xml:space="preserve"> în privința selecției administratorilor și a directorilor</w:t>
      </w:r>
      <w:r>
        <w:rPr>
          <w:rStyle w:val="33"/>
          <w:rFonts w:asciiTheme="majorHAnsi" w:hAnsiTheme="majorHAnsi" w:cstheme="majorHAnsi"/>
          <w:bCs/>
        </w:rPr>
        <w:footnoteReference w:id="22"/>
      </w:r>
      <w:r>
        <w:rPr>
          <w:rFonts w:asciiTheme="majorHAnsi" w:hAnsiTheme="majorHAnsi" w:cstheme="majorHAnsi"/>
          <w:bCs/>
        </w:rPr>
        <w:t xml:space="preserve"> </w:t>
      </w:r>
      <w:r>
        <w:rPr>
          <w:rFonts w:asciiTheme="majorHAnsi" w:hAnsiTheme="majorHAnsi" w:cstheme="majorHAnsi"/>
          <w:b/>
          <w:bCs/>
        </w:rPr>
        <w:t>Compania Națională „Imprimeria Națională" S.A</w:t>
      </w:r>
      <w:r>
        <w:rPr>
          <w:rFonts w:asciiTheme="majorHAnsi" w:hAnsiTheme="majorHAnsi" w:cstheme="majorHAnsi"/>
          <w:bCs/>
        </w:rPr>
        <w:t xml:space="preserve">. și </w:t>
      </w:r>
      <w:r>
        <w:rPr>
          <w:rFonts w:asciiTheme="majorHAnsi" w:hAnsiTheme="majorHAnsi" w:cstheme="majorHAnsi"/>
          <w:b/>
          <w:bCs/>
        </w:rPr>
        <w:t xml:space="preserve">Compania de Asigurări-Reasigurări Exim România </w:t>
      </w:r>
      <w:r>
        <w:rPr>
          <w:rFonts w:asciiTheme="majorHAnsi" w:hAnsiTheme="majorHAnsi" w:cstheme="majorHAnsi"/>
          <w:bCs/>
        </w:rPr>
        <w:t xml:space="preserve">(Care-România) S.A. </w:t>
      </w:r>
      <w:r>
        <w:rPr>
          <w:rFonts w:asciiTheme="majorHAnsi" w:hAnsiTheme="majorHAnsi" w:cstheme="majorHAnsi"/>
          <w:b/>
          <w:bCs/>
        </w:rPr>
        <w:t>au finalizat atât procesul de selecție a administratorilor cât și al directorilor</w:t>
      </w:r>
      <w:r>
        <w:rPr>
          <w:rFonts w:asciiTheme="majorHAnsi" w:hAnsiTheme="majorHAnsi" w:cstheme="majorHAnsi"/>
          <w:bCs/>
        </w:rPr>
        <w:t xml:space="preserve"> aceștia fiind numiți pe 4 ani. Pentru celelalte trei întreprinderi procesul de selecție al administratorilor se află în stadii incipiente acestea având numiți administratori provizorii conform prevederilor legale aflate în vigoare.</w:t>
      </w:r>
    </w:p>
    <w:p>
      <w:pPr>
        <w:pStyle w:val="66"/>
        <w:numPr>
          <w:ilvl w:val="0"/>
          <w:numId w:val="21"/>
        </w:numPr>
        <w:spacing w:before="0" w:after="240"/>
        <w:ind w:left="270" w:hanging="270"/>
        <w:jc w:val="both"/>
        <w:rPr>
          <w:rFonts w:asciiTheme="majorHAnsi" w:hAnsiTheme="majorHAnsi" w:cstheme="majorHAnsi"/>
          <w:bCs/>
          <w:lang w:val="en-US"/>
        </w:rPr>
      </w:pPr>
      <w:r>
        <w:rPr>
          <w:rFonts w:asciiTheme="majorHAnsi" w:hAnsiTheme="majorHAnsi" w:cstheme="majorHAnsi"/>
          <w:b/>
          <w:bCs/>
          <w:lang w:val="en-US"/>
        </w:rPr>
        <w:t>Patru companii și-au îndeplinit obligațiile de publicare</w:t>
      </w:r>
      <w:r>
        <w:rPr>
          <w:rFonts w:asciiTheme="majorHAnsi" w:hAnsiTheme="majorHAnsi" w:cstheme="majorHAnsi"/>
          <w:bCs/>
          <w:lang w:val="en-US"/>
        </w:rPr>
        <w:t xml:space="preserve">, pe pagina proprie de internet, pentru accesul acţionarilor sau asociaţilor şi al publicului, </w:t>
      </w:r>
      <w:r>
        <w:rPr>
          <w:rFonts w:asciiTheme="majorHAnsi" w:hAnsiTheme="majorHAnsi" w:cstheme="majorHAnsi"/>
          <w:b/>
          <w:bCs/>
          <w:lang w:val="en-US"/>
        </w:rPr>
        <w:t>a documentelor şi informaţiilor</w:t>
      </w:r>
      <w:r>
        <w:rPr>
          <w:rFonts w:asciiTheme="majorHAnsi" w:hAnsiTheme="majorHAnsi" w:cstheme="majorHAnsi"/>
          <w:bCs/>
          <w:lang w:val="en-US"/>
        </w:rPr>
        <w:t xml:space="preserve">, conform art. 51 din Ordonanța de Urgență a Guvernului nr. 109/2011 </w:t>
      </w:r>
      <w:r>
        <w:rPr>
          <w:rFonts w:asciiTheme="majorHAnsi" w:hAnsiTheme="majorHAnsi" w:cstheme="majorHAnsi"/>
          <w:b/>
          <w:bCs/>
          <w:lang w:val="en-US"/>
        </w:rPr>
        <w:t>privind transparența și obligațiile de raportare</w:t>
      </w:r>
      <w:r>
        <w:rPr>
          <w:rFonts w:asciiTheme="majorHAnsi" w:hAnsiTheme="majorHAnsi" w:cstheme="majorHAnsi"/>
          <w:bCs/>
          <w:lang w:val="en-US"/>
        </w:rPr>
        <w:t xml:space="preserve">. Singura întreprindere din portofoliul Ministerului Finanțelor care nu și-a îndeplinit obligațiile de raportare menționate anterior este Fondul Local de Garantare Focșani IFN S.A.– filiala FNGCIMM care nu dispune de pagină proprie de internet. </w:t>
      </w:r>
    </w:p>
    <w:p>
      <w:pPr>
        <w:pStyle w:val="66"/>
        <w:numPr>
          <w:ilvl w:val="0"/>
          <w:numId w:val="21"/>
        </w:numPr>
        <w:spacing w:before="0" w:after="240"/>
        <w:ind w:left="270" w:hanging="270"/>
        <w:jc w:val="both"/>
        <w:rPr>
          <w:rFonts w:asciiTheme="majorHAnsi" w:hAnsiTheme="majorHAnsi" w:cstheme="majorHAnsi"/>
          <w:bCs/>
          <w:lang w:val="en-US"/>
        </w:rPr>
      </w:pPr>
      <w:r>
        <w:rPr>
          <w:rFonts w:asciiTheme="majorHAnsi" w:hAnsiTheme="majorHAnsi" w:cstheme="majorHAnsi"/>
          <w:b/>
          <w:bCs/>
          <w:lang w:val="en-US"/>
        </w:rPr>
        <w:t>Fondul Local de Garantare Focșani IFN S.A.– filiala FNGCIMM</w:t>
      </w:r>
      <w:r>
        <w:rPr>
          <w:rFonts w:asciiTheme="majorHAnsi" w:hAnsiTheme="majorHAnsi" w:cstheme="majorHAnsi"/>
          <w:bCs/>
          <w:lang w:val="en-US"/>
        </w:rPr>
        <w:t>, în calitate de societate absorbită, este inclus în etapa 2 a procesului de fuziune prin absorbţie cu Fondul Național de Garantare a Creditelor pentru Întreprinderi Mici și Mijlocii S.A. – IFN, în calitate de societate absorbantă. Procesul se află în desfășurare.</w:t>
      </w:r>
    </w:p>
    <w:p>
      <w:pPr>
        <w:pStyle w:val="66"/>
        <w:numPr>
          <w:ilvl w:val="0"/>
          <w:numId w:val="21"/>
        </w:numPr>
        <w:spacing w:before="0" w:after="240"/>
        <w:ind w:left="270" w:hanging="270"/>
        <w:jc w:val="both"/>
        <w:rPr>
          <w:rFonts w:asciiTheme="majorHAnsi" w:hAnsiTheme="majorHAnsi" w:cstheme="majorHAnsi"/>
          <w:bCs/>
          <w:lang w:val="en-US"/>
        </w:rPr>
      </w:pPr>
      <w:r>
        <w:rPr>
          <w:rFonts w:asciiTheme="majorHAnsi" w:hAnsiTheme="majorHAnsi" w:cstheme="majorHAnsi"/>
          <w:bCs/>
          <w:lang w:val="en-US"/>
        </w:rPr>
        <w:t>Aspecte ale evolu</w:t>
      </w:r>
      <w:r>
        <w:rPr>
          <w:rFonts w:asciiTheme="majorHAnsi" w:hAnsiTheme="majorHAnsi" w:cstheme="majorHAnsi"/>
          <w:bCs/>
        </w:rPr>
        <w:t>ț</w:t>
      </w:r>
      <w:r>
        <w:rPr>
          <w:rFonts w:asciiTheme="majorHAnsi" w:hAnsiTheme="majorHAnsi" w:cstheme="majorHAnsi"/>
          <w:bCs/>
          <w:lang w:val="en-US"/>
        </w:rPr>
        <w:t>iei indicatorilor economico-financiari realizați în perioada 2019-2020 de cele opt întreprinderi publice din portofoliul Ministerului Finanțelor:</w:t>
      </w:r>
    </w:p>
    <w:p>
      <w:pPr>
        <w:pStyle w:val="66"/>
        <w:numPr>
          <w:ilvl w:val="0"/>
          <w:numId w:val="22"/>
        </w:numPr>
        <w:spacing w:before="0" w:after="240"/>
        <w:ind w:left="540" w:hanging="180"/>
        <w:jc w:val="both"/>
        <w:rPr>
          <w:rFonts w:asciiTheme="majorHAnsi" w:hAnsiTheme="majorHAnsi" w:cstheme="majorHAnsi"/>
          <w:bCs/>
          <w:lang w:val="en-US"/>
        </w:rPr>
      </w:pPr>
      <w:r>
        <w:rPr>
          <w:rFonts w:asciiTheme="majorHAnsi" w:hAnsiTheme="majorHAnsi" w:cstheme="majorHAnsi"/>
          <w:bCs/>
          <w:lang w:val="en-US"/>
        </w:rPr>
        <w:t>Toate întreprinderile înregistrează profit net, din care trei înregistrează o creștere a profitului comparativ cu perioada similară din anul precedent;</w:t>
      </w:r>
    </w:p>
    <w:p>
      <w:pPr>
        <w:pStyle w:val="66"/>
        <w:numPr>
          <w:ilvl w:val="0"/>
          <w:numId w:val="22"/>
        </w:numPr>
        <w:spacing w:before="0" w:after="240"/>
        <w:ind w:left="540" w:hanging="180"/>
        <w:jc w:val="both"/>
        <w:rPr>
          <w:rFonts w:asciiTheme="majorHAnsi" w:hAnsiTheme="majorHAnsi" w:cstheme="majorHAnsi"/>
          <w:bCs/>
          <w:lang w:val="en-US"/>
        </w:rPr>
      </w:pPr>
      <w:r>
        <w:rPr>
          <w:rFonts w:asciiTheme="majorHAnsi" w:hAnsiTheme="majorHAnsi" w:cstheme="majorHAnsi"/>
          <w:bCs/>
          <w:lang w:val="en-US"/>
        </w:rPr>
        <w:t>Nicio întreprindere nu înregistrează plăți restante;</w:t>
      </w:r>
    </w:p>
    <w:p>
      <w:pPr>
        <w:pStyle w:val="66"/>
        <w:numPr>
          <w:ilvl w:val="0"/>
          <w:numId w:val="22"/>
        </w:numPr>
        <w:spacing w:before="0" w:after="240"/>
        <w:ind w:left="540" w:hanging="180"/>
        <w:jc w:val="both"/>
        <w:rPr>
          <w:rFonts w:asciiTheme="majorHAnsi" w:hAnsiTheme="majorHAnsi" w:cstheme="majorHAnsi"/>
          <w:bCs/>
          <w:lang w:val="en-US"/>
        </w:rPr>
      </w:pPr>
      <w:r>
        <w:rPr>
          <w:rFonts w:asciiTheme="majorHAnsi" w:hAnsiTheme="majorHAnsi" w:cstheme="majorHAnsi"/>
          <w:bCs/>
          <w:lang w:val="en-US"/>
        </w:rPr>
        <w:t>Activele totale au crescut de la o perioadă la alta;</w:t>
      </w:r>
    </w:p>
    <w:p>
      <w:pPr>
        <w:pStyle w:val="66"/>
        <w:numPr>
          <w:ilvl w:val="0"/>
          <w:numId w:val="22"/>
        </w:numPr>
        <w:spacing w:before="0" w:after="240"/>
        <w:ind w:left="540" w:hanging="180"/>
        <w:jc w:val="both"/>
        <w:rPr>
          <w:rFonts w:asciiTheme="majorHAnsi" w:hAnsiTheme="majorHAnsi" w:cstheme="majorHAnsi"/>
          <w:bCs/>
          <w:lang w:val="en-US"/>
        </w:rPr>
      </w:pPr>
      <w:r>
        <w:rPr>
          <w:rFonts w:asciiTheme="majorHAnsi" w:hAnsiTheme="majorHAnsi" w:cstheme="majorHAnsi"/>
          <w:bCs/>
          <w:lang w:val="en-US"/>
        </w:rPr>
        <w:t>Compania Națională „Imprimeria Națională" S.A. a repartizat către bugetul de stat divindende în sumă totală de 175.211,74 mii lei, acestea fiind distribuite din profitul anului 2020;</w:t>
      </w:r>
    </w:p>
    <w:p>
      <w:pPr>
        <w:pStyle w:val="66"/>
        <w:numPr>
          <w:ilvl w:val="0"/>
          <w:numId w:val="22"/>
        </w:numPr>
        <w:spacing w:before="0" w:after="0"/>
        <w:ind w:left="540" w:hanging="180"/>
        <w:jc w:val="both"/>
        <w:rPr>
          <w:rFonts w:hAnsi="Arial" w:cs="Arial" w:asciiTheme="majorHAnsi"/>
          <w:color w:val="262626" w:themeColor="text1" w:themeTint="D9"/>
          <w14:textFill>
            <w14:solidFill>
              <w14:schemeClr w14:val="tx1">
                <w14:lumMod w14:val="85000"/>
                <w14:lumOff w14:val="15000"/>
              </w14:schemeClr>
            </w14:solidFill>
          </w14:textFill>
        </w:rPr>
      </w:pPr>
      <w:r>
        <w:rPr>
          <w:rFonts w:asciiTheme="majorHAnsi" w:hAnsiTheme="majorHAnsi" w:cstheme="majorHAnsi"/>
          <w:bCs/>
          <w:lang w:val="en-US"/>
        </w:rPr>
        <w:t xml:space="preserve">În contextul pandemiei, întreprinderile publice din portofoliul Ministerului Finanțelor înregistrează un profit net cumulat pentru anul 2020 în sumă totală de 656.074 mii lei din care: instituțiile de credit au realizat un profit net cumulat de 364.137 mii lei iar celelalte întreprinderi un profit net cumulat de 291.937 mii lei. </w:t>
      </w:r>
    </w:p>
    <w:p>
      <w:pPr>
        <w:pStyle w:val="66"/>
        <w:spacing w:before="0" w:after="0"/>
        <w:ind w:left="0"/>
        <w:jc w:val="both"/>
        <w:rPr>
          <w:rFonts w:hint="default" w:hAnsi="Times New Roman" w:cs="Times New Roman" w:asciiTheme="majorAscii"/>
          <w:color w:val="262626" w:themeColor="text1" w:themeTint="D9"/>
          <w14:textFill>
            <w14:solidFill>
              <w14:schemeClr w14:val="tx1">
                <w14:lumMod w14:val="85000"/>
                <w14:lumOff w14:val="15000"/>
              </w14:schemeClr>
            </w14:solidFill>
          </w14:textFill>
        </w:rPr>
      </w:pPr>
      <w:r>
        <w:rPr>
          <w:rFonts w:hint="default" w:hAnsi="Times New Roman" w:cs="Times New Roman" w:asciiTheme="majorAscii"/>
          <w:color w:val="262626" w:themeColor="text1" w:themeTint="D9"/>
          <w14:textFill>
            <w14:solidFill>
              <w14:schemeClr w14:val="tx1">
                <w14:lumMod w14:val="85000"/>
                <w14:lumOff w14:val="15000"/>
              </w14:schemeClr>
            </w14:solidFill>
          </w14:textFill>
        </w:rPr>
        <w:t>Guvernan</w:t>
      </w:r>
      <w:r>
        <w:rPr>
          <w:rFonts w:hint="default" w:hAnsi="Times New Roman" w:cs="Times New Roman" w:asciiTheme="majorAscii"/>
          <w:color w:val="262626" w:themeColor="text1" w:themeTint="D9"/>
          <w:lang w:val="ro-RO"/>
          <w14:textFill>
            <w14:solidFill>
              <w14:schemeClr w14:val="tx1">
                <w14:lumMod w14:val="85000"/>
                <w14:lumOff w14:val="15000"/>
              </w14:schemeClr>
            </w14:solidFill>
          </w14:textFill>
        </w:rPr>
        <w:t>ț</w:t>
      </w:r>
      <w:r>
        <w:rPr>
          <w:rFonts w:hint="default" w:hAnsi="Times New Roman" w:cs="Times New Roman" w:asciiTheme="majorAscii"/>
          <w:color w:val="262626" w:themeColor="text1" w:themeTint="D9"/>
          <w14:textFill>
            <w14:solidFill>
              <w14:schemeClr w14:val="tx1">
                <w14:lumMod w14:val="85000"/>
                <w14:lumOff w14:val="15000"/>
              </w14:schemeClr>
            </w14:solidFill>
          </w14:textFill>
        </w:rPr>
        <w:t>a corporativ</w:t>
      </w:r>
      <w:r>
        <w:rPr>
          <w:rFonts w:hint="default" w:hAnsi="Times New Roman" w:cs="Times New Roman" w:asciiTheme="majorAscii"/>
          <w:color w:val="262626" w:themeColor="text1" w:themeTint="D9"/>
          <w:lang w:val="ro-RO"/>
          <w14:textFill>
            <w14:solidFill>
              <w14:schemeClr w14:val="tx1">
                <w14:lumMod w14:val="85000"/>
                <w14:lumOff w14:val="15000"/>
              </w14:schemeClr>
            </w14:solidFill>
          </w14:textFill>
        </w:rPr>
        <w:t>ă</w:t>
      </w:r>
      <w:r>
        <w:rPr>
          <w:rFonts w:hint="default" w:hAnsi="Times New Roman" w:cs="Times New Roman" w:asciiTheme="majorAscii"/>
          <w:color w:val="262626" w:themeColor="text1" w:themeTint="D9"/>
          <w14:textFill>
            <w14:solidFill>
              <w14:schemeClr w14:val="tx1">
                <w14:lumMod w14:val="85000"/>
                <w14:lumOff w14:val="15000"/>
              </w14:schemeClr>
            </w14:solidFill>
          </w14:textFill>
        </w:rPr>
        <w:t xml:space="preserve"> este un proces continuu în care integritatea, responsabilitatea </w:t>
      </w:r>
      <w:r>
        <w:rPr>
          <w:rFonts w:hint="default" w:hAnsi="Times New Roman" w:cs="Times New Roman" w:asciiTheme="majorAscii"/>
          <w:color w:val="262626" w:themeColor="text1" w:themeTint="D9"/>
          <w:lang w:val="ro-RO"/>
          <w14:textFill>
            <w14:solidFill>
              <w14:schemeClr w14:val="tx1">
                <w14:lumMod w14:val="85000"/>
                <w14:lumOff w14:val="15000"/>
              </w14:schemeClr>
            </w14:solidFill>
          </w14:textFill>
        </w:rPr>
        <w:t>ș</w:t>
      </w:r>
      <w:r>
        <w:rPr>
          <w:rFonts w:hint="default" w:hAnsi="Times New Roman" w:cs="Times New Roman" w:asciiTheme="majorAscii"/>
          <w:color w:val="262626" w:themeColor="text1" w:themeTint="D9"/>
          <w14:textFill>
            <w14:solidFill>
              <w14:schemeClr w14:val="tx1">
                <w14:lumMod w14:val="85000"/>
                <w14:lumOff w14:val="15000"/>
              </w14:schemeClr>
            </w14:solidFill>
          </w14:textFill>
        </w:rPr>
        <w:t>i transparen</w:t>
      </w:r>
      <w:r>
        <w:rPr>
          <w:rFonts w:hint="default" w:hAnsi="Times New Roman" w:cs="Times New Roman" w:asciiTheme="majorAscii"/>
          <w:color w:val="262626" w:themeColor="text1" w:themeTint="D9"/>
          <w:lang w:val="ro-RO"/>
          <w14:textFill>
            <w14:solidFill>
              <w14:schemeClr w14:val="tx1">
                <w14:lumMod w14:val="85000"/>
                <w14:lumOff w14:val="15000"/>
              </w14:schemeClr>
            </w14:solidFill>
          </w14:textFill>
        </w:rPr>
        <w:t>ța</w:t>
      </w:r>
      <w:r>
        <w:rPr>
          <w:rFonts w:hint="default" w:hAnsi="Times New Roman" w:cs="Times New Roman" w:asciiTheme="majorAscii"/>
          <w:color w:val="262626" w:themeColor="text1" w:themeTint="D9"/>
          <w14:textFill>
            <w14:solidFill>
              <w14:schemeClr w14:val="tx1">
                <w14:lumMod w14:val="85000"/>
                <w14:lumOff w14:val="15000"/>
              </w14:schemeClr>
            </w14:solidFill>
          </w14:textFill>
        </w:rPr>
        <w:t xml:space="preserve"> sunt elementele fundamentale în luarea unor decizii corecte care s</w:t>
      </w:r>
      <w:r>
        <w:rPr>
          <w:rFonts w:hint="default" w:hAnsi="Times New Roman" w:cs="Times New Roman" w:asciiTheme="majorAscii"/>
          <w:color w:val="262626" w:themeColor="text1" w:themeTint="D9"/>
          <w:lang w:val="ro-RO"/>
          <w14:textFill>
            <w14:solidFill>
              <w14:schemeClr w14:val="tx1">
                <w14:lumMod w14:val="85000"/>
                <w14:lumOff w14:val="15000"/>
              </w14:schemeClr>
            </w14:solidFill>
          </w14:textFill>
        </w:rPr>
        <w:t>ă</w:t>
      </w:r>
      <w:r>
        <w:rPr>
          <w:rFonts w:hint="default" w:hAnsi="Times New Roman" w:cs="Times New Roman" w:asciiTheme="majorAscii"/>
          <w:color w:val="262626" w:themeColor="text1" w:themeTint="D9"/>
          <w14:textFill>
            <w14:solidFill>
              <w14:schemeClr w14:val="tx1">
                <w14:lumMod w14:val="85000"/>
                <w14:lumOff w14:val="15000"/>
              </w14:schemeClr>
            </w14:solidFill>
          </w14:textFill>
        </w:rPr>
        <w:t xml:space="preserve"> contribuie la cre</w:t>
      </w:r>
      <w:r>
        <w:rPr>
          <w:rFonts w:hint="default" w:hAnsi="Times New Roman" w:cs="Times New Roman" w:asciiTheme="majorAscii"/>
          <w:color w:val="262626" w:themeColor="text1" w:themeTint="D9"/>
          <w:lang w:val="ro-RO"/>
          <w14:textFill>
            <w14:solidFill>
              <w14:schemeClr w14:val="tx1">
                <w14:lumMod w14:val="85000"/>
                <w14:lumOff w14:val="15000"/>
              </w14:schemeClr>
            </w14:solidFill>
          </w14:textFill>
        </w:rPr>
        <w:t>ș</w:t>
      </w:r>
      <w:r>
        <w:rPr>
          <w:rFonts w:hint="default" w:hAnsi="Times New Roman" w:cs="Times New Roman" w:asciiTheme="majorAscii"/>
          <w:color w:val="262626" w:themeColor="text1" w:themeTint="D9"/>
          <w14:textFill>
            <w14:solidFill>
              <w14:schemeClr w14:val="tx1">
                <w14:lumMod w14:val="85000"/>
                <w14:lumOff w14:val="15000"/>
              </w14:schemeClr>
            </w14:solidFill>
          </w14:textFill>
        </w:rPr>
        <w:t xml:space="preserve">terea </w:t>
      </w:r>
      <w:r>
        <w:rPr>
          <w:rFonts w:hint="default" w:hAnsi="Times New Roman" w:cs="Times New Roman" w:asciiTheme="majorAscii"/>
          <w:color w:val="262626" w:themeColor="text1" w:themeTint="D9"/>
          <w:lang w:val="ro-RO"/>
          <w14:textFill>
            <w14:solidFill>
              <w14:schemeClr w14:val="tx1">
                <w14:lumMod w14:val="85000"/>
                <w14:lumOff w14:val="15000"/>
              </w14:schemeClr>
            </w14:solidFill>
          </w14:textFill>
        </w:rPr>
        <w:t>î</w:t>
      </w:r>
      <w:r>
        <w:rPr>
          <w:rFonts w:hint="default" w:hAnsi="Times New Roman" w:cs="Times New Roman" w:asciiTheme="majorAscii"/>
          <w:color w:val="262626" w:themeColor="text1" w:themeTint="D9"/>
          <w14:textFill>
            <w14:solidFill>
              <w14:schemeClr w14:val="tx1">
                <w14:lumMod w14:val="85000"/>
                <w14:lumOff w14:val="15000"/>
              </w14:schemeClr>
            </w14:solidFill>
          </w14:textFill>
        </w:rPr>
        <w:t xml:space="preserve">ncrederii </w:t>
      </w:r>
      <w:r>
        <w:rPr>
          <w:rFonts w:hint="default" w:hAnsi="Times New Roman" w:cs="Times New Roman" w:asciiTheme="majorAscii"/>
          <w:color w:val="262626" w:themeColor="text1" w:themeTint="D9"/>
          <w:lang w:val="ro-RO"/>
          <w14:textFill>
            <w14:solidFill>
              <w14:schemeClr w14:val="tx1">
                <w14:lumMod w14:val="85000"/>
                <w14:lumOff w14:val="15000"/>
              </w14:schemeClr>
            </w14:solidFill>
          </w14:textFill>
        </w:rPr>
        <w:t>î</w:t>
      </w:r>
      <w:r>
        <w:rPr>
          <w:rFonts w:hint="default" w:hAnsi="Times New Roman" w:cs="Times New Roman" w:asciiTheme="majorAscii"/>
          <w:color w:val="262626" w:themeColor="text1" w:themeTint="D9"/>
          <w14:textFill>
            <w14:solidFill>
              <w14:schemeClr w14:val="tx1">
                <w14:lumMod w14:val="85000"/>
                <w14:lumOff w14:val="15000"/>
              </w14:schemeClr>
            </w14:solidFill>
          </w14:textFill>
        </w:rPr>
        <w:t>n societ</w:t>
      </w:r>
      <w:r>
        <w:rPr>
          <w:rFonts w:hint="default" w:hAnsi="Times New Roman" w:cs="Times New Roman" w:asciiTheme="majorAscii"/>
          <w:color w:val="262626" w:themeColor="text1" w:themeTint="D9"/>
          <w:lang w:val="ro-RO"/>
          <w14:textFill>
            <w14:solidFill>
              <w14:schemeClr w14:val="tx1">
                <w14:lumMod w14:val="85000"/>
                <w14:lumOff w14:val="15000"/>
              </w14:schemeClr>
            </w14:solidFill>
          </w14:textFill>
        </w:rPr>
        <w:t>ăț</w:t>
      </w:r>
      <w:r>
        <w:rPr>
          <w:rFonts w:hint="default" w:hAnsi="Times New Roman" w:cs="Times New Roman" w:asciiTheme="majorAscii"/>
          <w:color w:val="262626" w:themeColor="text1" w:themeTint="D9"/>
          <w14:textFill>
            <w14:solidFill>
              <w14:schemeClr w14:val="tx1">
                <w14:lumMod w14:val="85000"/>
                <w14:lumOff w14:val="15000"/>
              </w14:schemeClr>
            </w14:solidFill>
          </w14:textFill>
        </w:rPr>
        <w:t>i. Guvernanţa corporativ</w:t>
      </w:r>
      <w:r>
        <w:rPr>
          <w:rFonts w:hint="default" w:hAnsi="Times New Roman" w:cs="Times New Roman" w:asciiTheme="majorAscii"/>
          <w:color w:val="262626" w:themeColor="text1" w:themeTint="D9"/>
          <w:lang w:val="ro-RO"/>
          <w14:textFill>
            <w14:solidFill>
              <w14:schemeClr w14:val="tx1">
                <w14:lumMod w14:val="85000"/>
                <w14:lumOff w14:val="15000"/>
              </w14:schemeClr>
            </w14:solidFill>
          </w14:textFill>
        </w:rPr>
        <w:t>ă</w:t>
      </w:r>
      <w:r>
        <w:rPr>
          <w:rFonts w:hint="default" w:hAnsi="Times New Roman" w:cs="Times New Roman" w:asciiTheme="majorAscii"/>
          <w:color w:val="262626" w:themeColor="text1" w:themeTint="D9"/>
          <w14:textFill>
            <w14:solidFill>
              <w14:schemeClr w14:val="tx1">
                <w14:lumMod w14:val="85000"/>
                <w14:lumOff w14:val="15000"/>
              </w14:schemeClr>
            </w14:solidFill>
          </w14:textFill>
        </w:rPr>
        <w:t xml:space="preserve"> reprezintă setul de reguli și procese de luare a deciziilor privind activitatea</w:t>
      </w:r>
      <w:r>
        <w:rPr>
          <w:rFonts w:hint="default" w:hAnsi="Times New Roman" w:cs="Times New Roman" w:asciiTheme="majorAscii"/>
          <w:color w:val="262626" w:themeColor="text1" w:themeTint="D9"/>
          <w:lang w:val="ro-RO"/>
          <w14:textFill>
            <w14:solidFill>
              <w14:schemeClr w14:val="tx1">
                <w14:lumMod w14:val="85000"/>
                <w14:lumOff w14:val="15000"/>
              </w14:schemeClr>
            </w14:solidFill>
          </w14:textFill>
        </w:rPr>
        <w:t xml:space="preserve"> societăților</w:t>
      </w:r>
      <w:r>
        <w:rPr>
          <w:rFonts w:hint="default" w:hAnsi="Times New Roman" w:cs="Times New Roman" w:asciiTheme="majorAscii"/>
          <w:color w:val="262626" w:themeColor="text1" w:themeTint="D9"/>
          <w14:textFill>
            <w14:solidFill>
              <w14:schemeClr w14:val="tx1">
                <w14:lumMod w14:val="85000"/>
                <w14:lumOff w14:val="15000"/>
              </w14:schemeClr>
            </w14:solidFill>
          </w14:textFill>
        </w:rPr>
        <w:t>, având drept scop oferirea unei direcţii strategice şi asigurarea c</w:t>
      </w:r>
      <w:r>
        <w:rPr>
          <w:rFonts w:hint="default" w:hAnsi="Times New Roman" w:cs="Times New Roman" w:asciiTheme="majorAscii"/>
          <w:color w:val="262626" w:themeColor="text1" w:themeTint="D9"/>
          <w:lang w:val="ro-RO"/>
          <w14:textFill>
            <w14:solidFill>
              <w14:schemeClr w14:val="tx1">
                <w14:lumMod w14:val="85000"/>
                <w14:lumOff w14:val="15000"/>
              </w14:schemeClr>
            </w14:solidFill>
          </w14:textFill>
        </w:rPr>
        <w:t>ă</w:t>
      </w:r>
      <w:r>
        <w:rPr>
          <w:rFonts w:hint="default" w:hAnsi="Times New Roman" w:cs="Times New Roman" w:asciiTheme="majorAscii"/>
          <w:color w:val="262626" w:themeColor="text1" w:themeTint="D9"/>
          <w14:textFill>
            <w14:solidFill>
              <w14:schemeClr w14:val="tx1">
                <w14:lumMod w14:val="85000"/>
                <w14:lumOff w14:val="15000"/>
              </w14:schemeClr>
            </w14:solidFill>
          </w14:textFill>
        </w:rPr>
        <w:t xml:space="preserve"> obiectivele propuse vor fi atinse, respectiv asigurarea că riscurile sunt gestionate corespunzător şi că resursele</w:t>
      </w:r>
      <w:r>
        <w:rPr>
          <w:rFonts w:hint="default" w:hAnsi="Times New Roman" w:cs="Times New Roman" w:asciiTheme="majorAscii"/>
          <w:color w:val="262626" w:themeColor="text1" w:themeTint="D9"/>
          <w:lang w:val="ro-RO"/>
          <w14:textFill>
            <w14:solidFill>
              <w14:schemeClr w14:val="tx1">
                <w14:lumMod w14:val="85000"/>
                <w14:lumOff w14:val="15000"/>
              </w14:schemeClr>
            </w14:solidFill>
          </w14:textFill>
        </w:rPr>
        <w:t xml:space="preserve"> societăților</w:t>
      </w:r>
      <w:r>
        <w:rPr>
          <w:rFonts w:hint="default" w:hAnsi="Times New Roman" w:cs="Times New Roman" w:asciiTheme="majorAscii"/>
          <w:color w:val="262626" w:themeColor="text1" w:themeTint="D9"/>
          <w14:textFill>
            <w14:solidFill>
              <w14:schemeClr w14:val="tx1">
                <w14:lumMod w14:val="85000"/>
                <w14:lumOff w14:val="15000"/>
              </w14:schemeClr>
            </w14:solidFill>
          </w14:textFill>
        </w:rPr>
        <w:t xml:space="preserve"> sunt utilizate responsabil.</w:t>
      </w:r>
    </w:p>
    <w:p>
      <w:pPr>
        <w:spacing w:before="0" w:after="0"/>
        <w:jc w:val="both"/>
        <w:rPr>
          <w:rFonts w:asciiTheme="majorHAnsi" w:hAnsiTheme="majorHAnsi" w:cstheme="majorHAnsi"/>
        </w:rPr>
      </w:pPr>
    </w:p>
    <w:p>
      <w:pPr>
        <w:spacing w:before="0" w:after="0"/>
        <w:jc w:val="both"/>
        <w:rPr>
          <w:rFonts w:asciiTheme="majorHAnsi" w:hAnsiTheme="majorHAnsi" w:cstheme="majorHAnsi"/>
          <w:lang w:val="en-US"/>
        </w:rPr>
      </w:pPr>
      <w:r>
        <w:rPr>
          <w:rFonts w:asciiTheme="majorHAnsi" w:hAnsiTheme="majorHAnsi" w:cstheme="majorHAnsi"/>
        </w:rPr>
        <w:t xml:space="preserve">Pentru anul următor Ministerul Finanțelor, în calitate de structură de guvernanță pentru </w:t>
      </w:r>
      <w:r>
        <w:rPr>
          <w:rFonts w:asciiTheme="majorHAnsi" w:hAnsiTheme="majorHAnsi" w:cstheme="majorHAnsi"/>
          <w:lang w:val="ro-RO"/>
        </w:rPr>
        <w:t>societățile</w:t>
      </w:r>
      <w:r>
        <w:rPr>
          <w:rFonts w:asciiTheme="majorHAnsi" w:hAnsiTheme="majorHAnsi" w:cstheme="majorHAnsi"/>
        </w:rPr>
        <w:t xml:space="preserve"> din portofoliu, își </w:t>
      </w:r>
      <w:r>
        <w:rPr>
          <w:rFonts w:asciiTheme="majorHAnsi" w:hAnsiTheme="majorHAnsi" w:cstheme="majorHAnsi"/>
          <w:b/>
        </w:rPr>
        <w:t>propune</w:t>
      </w:r>
      <w:r>
        <w:rPr>
          <w:rFonts w:asciiTheme="majorHAnsi" w:hAnsiTheme="majorHAnsi" w:cstheme="majorHAnsi"/>
        </w:rPr>
        <w:t xml:space="preserve"> să</w:t>
      </w:r>
      <w:r>
        <w:rPr>
          <w:rFonts w:asciiTheme="majorHAnsi" w:hAnsiTheme="majorHAnsi" w:cstheme="majorHAnsi"/>
          <w:lang w:val="en-US"/>
        </w:rPr>
        <w:t>:</w:t>
      </w:r>
    </w:p>
    <w:p>
      <w:pPr>
        <w:pStyle w:val="66"/>
        <w:numPr>
          <w:ilvl w:val="0"/>
          <w:numId w:val="23"/>
        </w:numPr>
        <w:spacing w:before="0" w:after="0"/>
        <w:ind w:left="360"/>
        <w:jc w:val="both"/>
        <w:rPr>
          <w:rFonts w:asciiTheme="majorHAnsi" w:hAnsiTheme="majorHAnsi" w:cstheme="majorHAnsi"/>
        </w:rPr>
      </w:pPr>
      <w:r>
        <w:rPr>
          <w:rFonts w:asciiTheme="majorHAnsi" w:hAnsiTheme="majorHAnsi" w:cstheme="majorHAnsi"/>
        </w:rPr>
        <w:t xml:space="preserve">continue procesul de selecție al administratorilor profesioniști, conform prevederilor O.U.G. nr. 109/2011, pentru </w:t>
      </w:r>
      <w:r>
        <w:rPr>
          <w:rFonts w:asciiTheme="majorHAnsi" w:hAnsiTheme="majorHAnsi" w:cstheme="majorHAnsi"/>
          <w:lang w:val="ro-RO"/>
        </w:rPr>
        <w:t xml:space="preserve"> societățile</w:t>
      </w:r>
      <w:r>
        <w:rPr>
          <w:rFonts w:asciiTheme="majorHAnsi" w:hAnsiTheme="majorHAnsi" w:cstheme="majorHAnsi"/>
        </w:rPr>
        <w:t xml:space="preserve"> la care acesta a fost deja demarat</w:t>
      </w:r>
      <w:r>
        <w:rPr>
          <w:rFonts w:asciiTheme="majorHAnsi" w:hAnsiTheme="majorHAnsi" w:cstheme="majorHAnsi"/>
          <w:lang w:val="en-US"/>
        </w:rPr>
        <w:t>;</w:t>
      </w:r>
      <w:r>
        <w:rPr>
          <w:rFonts w:asciiTheme="majorHAnsi" w:hAnsiTheme="majorHAnsi" w:cstheme="majorHAnsi"/>
        </w:rPr>
        <w:t xml:space="preserve"> </w:t>
      </w:r>
    </w:p>
    <w:p>
      <w:pPr>
        <w:pStyle w:val="66"/>
        <w:numPr>
          <w:ilvl w:val="0"/>
          <w:numId w:val="23"/>
        </w:numPr>
        <w:spacing w:before="0" w:after="0"/>
        <w:ind w:left="360"/>
        <w:jc w:val="both"/>
        <w:rPr>
          <w:rFonts w:asciiTheme="majorHAnsi" w:hAnsiTheme="majorHAnsi" w:cstheme="majorHAnsi"/>
        </w:rPr>
      </w:pPr>
      <w:r>
        <w:rPr>
          <w:rFonts w:asciiTheme="majorHAnsi" w:hAnsiTheme="majorHAnsi" w:cstheme="majorHAnsi"/>
        </w:rPr>
        <w:t>continue etapa 2 procesul de fuziune prin absorbție al Fondului Local de Garantare Focșani IFN S.A.– filiala FNGCIMM;</w:t>
      </w:r>
    </w:p>
    <w:p>
      <w:pPr>
        <w:pStyle w:val="66"/>
        <w:numPr>
          <w:ilvl w:val="0"/>
          <w:numId w:val="23"/>
        </w:numPr>
        <w:spacing w:before="0" w:after="0"/>
        <w:ind w:left="360"/>
        <w:jc w:val="both"/>
        <w:rPr>
          <w:rFonts w:asciiTheme="majorHAnsi" w:hAnsiTheme="majorHAnsi" w:cstheme="majorHAnsi"/>
        </w:rPr>
      </w:pPr>
      <w:r>
        <w:rPr>
          <w:rFonts w:asciiTheme="majorHAnsi" w:hAnsiTheme="majorHAnsi" w:cstheme="majorHAnsi"/>
        </w:rPr>
        <w:t xml:space="preserve">monitorizeze </w:t>
      </w:r>
      <w:r>
        <w:rPr>
          <w:rFonts w:asciiTheme="majorHAnsi" w:hAnsiTheme="majorHAnsi" w:cstheme="majorHAnsi"/>
          <w:lang w:val="ro-RO"/>
        </w:rPr>
        <w:t xml:space="preserve"> performanțele </w:t>
      </w:r>
      <w:r>
        <w:rPr>
          <w:rFonts w:asciiTheme="majorHAnsi" w:hAnsiTheme="majorHAnsi" w:cstheme="majorHAnsi"/>
        </w:rPr>
        <w:t>financiar</w:t>
      </w:r>
      <w:r>
        <w:rPr>
          <w:rFonts w:asciiTheme="majorHAnsi" w:hAnsiTheme="majorHAnsi" w:cstheme="majorHAnsi"/>
          <w:lang w:val="ro-RO"/>
        </w:rPr>
        <w:t>e</w:t>
      </w:r>
      <w:r>
        <w:rPr>
          <w:rFonts w:asciiTheme="majorHAnsi" w:hAnsiTheme="majorHAnsi" w:cstheme="majorHAnsi"/>
        </w:rPr>
        <w:t xml:space="preserve"> a</w:t>
      </w:r>
      <w:r>
        <w:rPr>
          <w:rFonts w:asciiTheme="majorHAnsi" w:hAnsiTheme="majorHAnsi" w:cstheme="majorHAnsi"/>
          <w:lang w:val="ro-RO"/>
        </w:rPr>
        <w:t>le</w:t>
      </w:r>
      <w:r>
        <w:rPr>
          <w:rFonts w:asciiTheme="majorHAnsi" w:hAnsiTheme="majorHAnsi" w:cstheme="majorHAnsi"/>
        </w:rPr>
        <w:t xml:space="preserve"> societăților din portofoliu</w:t>
      </w:r>
      <w:r>
        <w:rPr>
          <w:rFonts w:asciiTheme="majorHAnsi" w:hAnsiTheme="majorHAnsi" w:cstheme="majorHAnsi"/>
          <w:lang w:val="ro-RO"/>
        </w:rPr>
        <w:t>,</w:t>
      </w:r>
    </w:p>
    <w:p>
      <w:pPr>
        <w:pStyle w:val="66"/>
        <w:numPr>
          <w:ilvl w:val="0"/>
          <w:numId w:val="23"/>
        </w:numPr>
        <w:spacing w:before="0" w:after="0"/>
        <w:ind w:left="360"/>
        <w:jc w:val="both"/>
        <w:rPr>
          <w:rFonts w:asciiTheme="majorHAnsi" w:hAnsiTheme="majorHAnsi" w:cstheme="majorHAnsi"/>
        </w:rPr>
      </w:pPr>
      <w:r>
        <w:rPr>
          <w:rFonts w:asciiTheme="majorHAnsi" w:hAnsiTheme="majorHAnsi" w:cstheme="majorHAnsi"/>
        </w:rPr>
        <w:t xml:space="preserve">urmărească respectarea și implementarea celor mai bune practici privind guvernanța corporativă la nivelul acestora, conform legislației aflate în vigoare. </w:t>
      </w:r>
    </w:p>
    <w:p>
      <w:pPr>
        <w:spacing w:before="0" w:after="0"/>
        <w:jc w:val="both"/>
      </w:pPr>
    </w:p>
    <w:p>
      <w:pPr>
        <w:spacing w:before="0" w:after="0"/>
        <w:jc w:val="both"/>
      </w:pPr>
    </w:p>
    <w:p>
      <w:pPr>
        <w:spacing w:before="0" w:after="0"/>
        <w:jc w:val="both"/>
      </w:pPr>
    </w:p>
    <w:p>
      <w:pPr>
        <w:spacing w:before="0" w:after="0"/>
        <w:jc w:val="both"/>
      </w:pPr>
    </w:p>
    <w:p>
      <w:pPr>
        <w:spacing w:before="0" w:after="0"/>
        <w:jc w:val="both"/>
      </w:pPr>
    </w:p>
    <w:p>
      <w:pPr>
        <w:spacing w:before="0" w:after="0"/>
        <w:jc w:val="both"/>
      </w:pPr>
    </w:p>
    <w:p>
      <w:pPr>
        <w:spacing w:before="0" w:after="0"/>
        <w:jc w:val="both"/>
      </w:pPr>
    </w:p>
    <w:p>
      <w:pPr>
        <w:spacing w:before="0" w:after="0"/>
        <w:jc w:val="both"/>
      </w:pPr>
    </w:p>
    <w:p>
      <w:pPr>
        <w:spacing w:before="0" w:after="0"/>
        <w:jc w:val="both"/>
      </w:pPr>
    </w:p>
    <w:p/>
    <w:p/>
    <w:p/>
    <w:p/>
    <w:p/>
    <w:p/>
    <w:p/>
    <w:p/>
    <w:p/>
    <w:p/>
    <w:p/>
    <w:p/>
    <w:p/>
    <w:p/>
    <w:p/>
    <w:p/>
    <w:p/>
    <w:p/>
    <w:p/>
    <w:p/>
    <w:p>
      <w:r>
        <w:rPr>
          <w:rFonts w:ascii="Calibri Light" w:hAnsi="Calibri Light" w:eastAsia="Times New Roman"/>
          <w:sz w:val="28"/>
          <w:szCs w:val="28"/>
          <w:lang w:val="en-US"/>
        </w:rPr>
        <w:drawing>
          <wp:anchor distT="0" distB="0" distL="114300" distR="114300" simplePos="0" relativeHeight="251669504" behindDoc="1" locked="0" layoutInCell="1" allowOverlap="1">
            <wp:simplePos x="0" y="0"/>
            <wp:positionH relativeFrom="page">
              <wp:align>left</wp:align>
            </wp:positionH>
            <wp:positionV relativeFrom="page">
              <wp:align>top</wp:align>
            </wp:positionV>
            <wp:extent cx="7553960" cy="10980420"/>
            <wp:effectExtent l="0" t="0" r="9525" b="0"/>
            <wp:wrapNone/>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Picture 459"/>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0800000">
                      <a:off x="0" y="0"/>
                      <a:ext cx="7553739" cy="10980420"/>
                    </a:xfrm>
                    <a:prstGeom prst="rect">
                      <a:avLst/>
                    </a:prstGeom>
                  </pic:spPr>
                </pic:pic>
              </a:graphicData>
            </a:graphic>
          </wp:anchor>
        </w:drawing>
      </w:r>
    </w:p>
    <w:sectPr>
      <w:type w:val="continuous"/>
      <w:pgSz w:w="11906" w:h="16838"/>
      <w:pgMar w:top="1134" w:right="1418" w:bottom="851" w:left="1418" w:header="454"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Trebuchet MS">
    <w:panose1 w:val="020B0603020202020204"/>
    <w:charset w:val="00"/>
    <w:family w:val="swiss"/>
    <w:pitch w:val="default"/>
    <w:sig w:usb0="000006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5"/>
        <w:jc w:val="both"/>
        <w:rPr>
          <w:rFonts w:asciiTheme="majorHAnsi" w:hAnsiTheme="majorHAnsi" w:cstheme="majorHAnsi"/>
          <w:sz w:val="16"/>
          <w:szCs w:val="16"/>
        </w:rPr>
      </w:pPr>
      <w:r>
        <w:rPr>
          <w:rStyle w:val="33"/>
          <w:rFonts w:asciiTheme="majorHAnsi" w:hAnsiTheme="majorHAnsi" w:cstheme="majorHAnsi"/>
          <w:color w:val="595959" w:themeColor="text1" w:themeTint="A6"/>
          <w:sz w:val="16"/>
          <w:szCs w:val="16"/>
          <w14:textFill>
            <w14:solidFill>
              <w14:schemeClr w14:val="tx1">
                <w14:lumMod w14:val="65000"/>
                <w14:lumOff w14:val="35000"/>
              </w14:schemeClr>
            </w14:solidFill>
          </w14:textFill>
        </w:rPr>
        <w:footnoteRef/>
      </w:r>
      <w:r>
        <w:rPr>
          <w:rFonts w:asciiTheme="majorHAnsi" w:hAnsiTheme="majorHAnsi" w:cstheme="majorHAnsi"/>
          <w:color w:val="595959" w:themeColor="text1" w:themeTint="A6"/>
          <w:sz w:val="16"/>
          <w:szCs w:val="16"/>
          <w14:textFill>
            <w14:solidFill>
              <w14:schemeClr w14:val="tx1">
                <w14:lumMod w14:val="65000"/>
                <w14:lumOff w14:val="35000"/>
              </w14:schemeClr>
            </w14:solidFill>
          </w14:textFill>
        </w:rPr>
        <w:t xml:space="preserve"> </w:t>
      </w:r>
      <w:r>
        <w:rPr>
          <w:rFonts w:asciiTheme="majorHAnsi" w:hAnsiTheme="majorHAnsi" w:cstheme="majorHAnsi"/>
          <w:color w:val="262626" w:themeColor="text1" w:themeTint="D9"/>
          <w:sz w:val="16"/>
          <w:szCs w:val="16"/>
          <w14:textFill>
            <w14:solidFill>
              <w14:schemeClr w14:val="tx1">
                <w14:lumMod w14:val="85000"/>
                <w14:lumOff w14:val="15000"/>
              </w14:schemeClr>
            </w14:solidFill>
          </w14:textFill>
        </w:rPr>
        <w:t>Ordinului Ministerului Finanțelor Publice nr. 470/2018 - privind principalele aspecte legate de întocmirea și depunerea situațiilor financiare anuale și a raportărilor contabile anuale ale operatorilor economici la unitățile teritoriale ale Ministerului Finanțelor Publice, precum și pentru modificarea și completarea unor reglementări contabile</w:t>
      </w:r>
      <w:r>
        <w:rPr>
          <w:rFonts w:asciiTheme="majorHAnsi" w:hAnsiTheme="majorHAnsi" w:cstheme="majorHAnsi"/>
          <w:color w:val="262626" w:themeColor="text1" w:themeTint="D9"/>
          <w:sz w:val="16"/>
          <w:szCs w:val="16"/>
          <w:lang w:val="en-US"/>
          <w14:textFill>
            <w14:solidFill>
              <w14:schemeClr w14:val="tx1">
                <w14:lumMod w14:val="85000"/>
                <w14:lumOff w14:val="15000"/>
              </w14:schemeClr>
            </w14:solidFill>
          </w14:textFill>
        </w:rPr>
        <w:t>;</w:t>
      </w:r>
    </w:p>
  </w:footnote>
  <w:footnote w:id="1">
    <w:p>
      <w:pPr>
        <w:pStyle w:val="15"/>
        <w:jc w:val="both"/>
        <w:rPr>
          <w:lang w:val="en-US"/>
        </w:rPr>
      </w:pPr>
      <w:r>
        <w:rPr>
          <w:rStyle w:val="33"/>
          <w:rFonts w:asciiTheme="majorHAnsi" w:hAnsiTheme="majorHAnsi" w:cstheme="majorHAnsi"/>
          <w:sz w:val="16"/>
          <w:szCs w:val="16"/>
        </w:rPr>
        <w:footnoteRef/>
      </w:r>
      <w:r>
        <w:rPr>
          <w:rFonts w:asciiTheme="majorHAnsi" w:hAnsiTheme="majorHAnsi" w:cstheme="majorHAnsi"/>
          <w:sz w:val="16"/>
          <w:szCs w:val="16"/>
        </w:rPr>
        <w:t xml:space="preserve"> Hotărârea de Guvern nr. 722/2016 -  pentru aprobarea Normelor metodologice de aplicare a unor prevederi din Ordonanţa de urgenţă a Guvernului nr. 109/2011 privind guvernanţa corporativă a întreprinderilor publice aprobată cu modificări și completări prin Legea nr. 111/2016</w:t>
      </w:r>
      <w:r>
        <w:rPr>
          <w:rFonts w:asciiTheme="majorHAnsi" w:hAnsiTheme="majorHAnsi" w:cstheme="majorHAnsi"/>
          <w:sz w:val="16"/>
          <w:szCs w:val="16"/>
          <w:lang w:val="en-US"/>
        </w:rPr>
        <w:t>;</w:t>
      </w:r>
    </w:p>
  </w:footnote>
  <w:footnote w:id="2">
    <w:p>
      <w:pPr>
        <w:pStyle w:val="15"/>
        <w:jc w:val="both"/>
        <w:rPr>
          <w:rFonts w:asciiTheme="majorHAnsi" w:hAnsiTheme="majorHAnsi" w:cstheme="majorHAnsi"/>
          <w:sz w:val="16"/>
          <w:szCs w:val="16"/>
          <w:lang w:val="en-US"/>
        </w:rPr>
      </w:pPr>
      <w:r>
        <w:rPr>
          <w:rStyle w:val="33"/>
          <w:rFonts w:asciiTheme="majorHAnsi" w:hAnsiTheme="majorHAnsi" w:cstheme="majorHAnsi"/>
          <w:sz w:val="16"/>
          <w:szCs w:val="16"/>
        </w:rPr>
        <w:footnoteRef/>
      </w:r>
      <w:r>
        <w:rPr>
          <w:rFonts w:asciiTheme="majorHAnsi" w:hAnsiTheme="majorHAnsi" w:cstheme="majorHAnsi"/>
          <w:sz w:val="16"/>
          <w:szCs w:val="16"/>
        </w:rPr>
        <w:t xml:space="preserve"> Ordonanța Guvernului nr. 26/2013  privind întărirea disciplinei financiare la nivelul unor operatori economici la care statul sau unitățile administrativ-teritoriale sunt acționari unici ori majoritari sau dețin direct ori indirect o participație majoritară, cu modificările și completările ulterioare</w:t>
      </w:r>
      <w:r>
        <w:rPr>
          <w:rFonts w:asciiTheme="majorHAnsi" w:hAnsiTheme="majorHAnsi" w:cstheme="majorHAnsi"/>
          <w:sz w:val="16"/>
          <w:szCs w:val="16"/>
          <w:lang w:val="en-US"/>
        </w:rPr>
        <w:t>;</w:t>
      </w:r>
    </w:p>
  </w:footnote>
  <w:footnote w:id="3">
    <w:p>
      <w:pPr>
        <w:pStyle w:val="15"/>
        <w:jc w:val="both"/>
        <w:rPr>
          <w:lang w:val="en-US"/>
        </w:rPr>
      </w:pPr>
      <w:r>
        <w:rPr>
          <w:rStyle w:val="33"/>
          <w:rFonts w:asciiTheme="majorHAnsi" w:hAnsiTheme="majorHAnsi" w:cstheme="majorHAnsi"/>
          <w:sz w:val="16"/>
          <w:szCs w:val="16"/>
        </w:rPr>
        <w:footnoteRef/>
      </w:r>
      <w:r>
        <w:rPr>
          <w:rFonts w:asciiTheme="majorHAnsi" w:hAnsiTheme="majorHAnsi" w:cstheme="majorHAnsi"/>
          <w:sz w:val="16"/>
          <w:szCs w:val="16"/>
        </w:rPr>
        <w:t xml:space="preserve"> Banca Românească a fost preluată de EximBank S.A. în ianuarie 2020 prin achiziționarea pachetului majoritar de acțiuni, reprezentând 99,279% din totalul acțiunilor</w:t>
      </w:r>
      <w:r>
        <w:rPr>
          <w:rFonts w:asciiTheme="majorHAnsi" w:hAnsiTheme="majorHAnsi" w:cstheme="majorHAnsi"/>
          <w:sz w:val="16"/>
          <w:szCs w:val="16"/>
          <w:lang w:val="en-US"/>
        </w:rPr>
        <w:t>;</w:t>
      </w:r>
    </w:p>
  </w:footnote>
  <w:footnote w:id="4">
    <w:p>
      <w:pPr>
        <w:pStyle w:val="15"/>
        <w:jc w:val="both"/>
        <w:rPr>
          <w:rFonts w:asciiTheme="majorHAnsi" w:hAnsiTheme="majorHAnsi" w:cstheme="majorHAnsi"/>
        </w:rPr>
      </w:pPr>
      <w:r>
        <w:rPr>
          <w:rStyle w:val="33"/>
          <w:rFonts w:asciiTheme="majorHAnsi" w:hAnsiTheme="majorHAnsi" w:cstheme="majorHAnsi"/>
          <w:sz w:val="16"/>
        </w:rPr>
        <w:footnoteRef/>
      </w:r>
      <w:r>
        <w:rPr>
          <w:rFonts w:asciiTheme="majorHAnsi" w:hAnsiTheme="majorHAnsi" w:cstheme="majorHAnsi"/>
          <w:sz w:val="16"/>
        </w:rPr>
        <w:t xml:space="preserve"> Filială a societății EximBank S.A. care deține la această societate o participație de 98,5702%;</w:t>
      </w:r>
    </w:p>
  </w:footnote>
  <w:footnote w:id="5">
    <w:p>
      <w:pPr>
        <w:pStyle w:val="15"/>
        <w:jc w:val="both"/>
        <w:rPr>
          <w:rFonts w:asciiTheme="majorHAnsi" w:hAnsiTheme="majorHAnsi" w:cstheme="majorHAnsi"/>
          <w:sz w:val="16"/>
          <w:szCs w:val="16"/>
        </w:rPr>
      </w:pPr>
      <w:r>
        <w:rPr>
          <w:rStyle w:val="33"/>
          <w:rFonts w:asciiTheme="majorHAnsi" w:hAnsiTheme="majorHAnsi" w:cstheme="majorHAnsi"/>
          <w:sz w:val="16"/>
          <w:szCs w:val="16"/>
        </w:rPr>
        <w:footnoteRef/>
      </w:r>
      <w:r>
        <w:rPr>
          <w:rFonts w:asciiTheme="majorHAnsi" w:hAnsiTheme="majorHAnsi" w:cstheme="majorHAnsi"/>
          <w:sz w:val="16"/>
          <w:szCs w:val="16"/>
        </w:rPr>
        <w:t xml:space="preserve"> </w:t>
      </w:r>
      <w:r>
        <w:fldChar w:fldCharType="begin"/>
      </w:r>
      <w:r>
        <w:instrText xml:space="preserve"> HYPERLINK "https://www.fondulproprietatea.ro/ro/despre-fond/structura-actionariatului" </w:instrText>
      </w:r>
      <w:r>
        <w:fldChar w:fldCharType="separate"/>
      </w:r>
      <w:r>
        <w:rPr>
          <w:rStyle w:val="34"/>
          <w:rFonts w:asciiTheme="majorHAnsi" w:hAnsiTheme="majorHAnsi" w:cstheme="majorHAnsi"/>
          <w:sz w:val="16"/>
          <w:szCs w:val="16"/>
        </w:rPr>
        <w:t>https://www.fondulproprietatea.ro/ro/despre-fond/structura-actionariatului</w:t>
      </w:r>
      <w:r>
        <w:rPr>
          <w:rStyle w:val="34"/>
          <w:rFonts w:asciiTheme="majorHAnsi" w:hAnsiTheme="majorHAnsi" w:cstheme="majorHAnsi"/>
          <w:sz w:val="16"/>
          <w:szCs w:val="16"/>
        </w:rPr>
        <w:fldChar w:fldCharType="end"/>
      </w:r>
      <w:r>
        <w:rPr>
          <w:rFonts w:asciiTheme="majorHAnsi" w:hAnsiTheme="majorHAnsi" w:cstheme="majorHAnsi"/>
          <w:sz w:val="16"/>
          <w:szCs w:val="16"/>
        </w:rPr>
        <w:t xml:space="preserve"> </w:t>
      </w:r>
    </w:p>
  </w:footnote>
  <w:footnote w:id="6">
    <w:p>
      <w:pPr>
        <w:pStyle w:val="15"/>
        <w:jc w:val="both"/>
        <w:rPr>
          <w:rFonts w:asciiTheme="majorHAnsi" w:hAnsiTheme="majorHAnsi" w:cstheme="majorHAnsi"/>
          <w:sz w:val="16"/>
          <w:szCs w:val="16"/>
          <w:lang w:val="en-US"/>
        </w:rPr>
      </w:pPr>
      <w:r>
        <w:rPr>
          <w:rStyle w:val="33"/>
          <w:rFonts w:asciiTheme="majorHAnsi" w:hAnsiTheme="majorHAnsi" w:cstheme="majorHAnsi"/>
          <w:sz w:val="16"/>
          <w:szCs w:val="16"/>
        </w:rPr>
        <w:footnoteRef/>
      </w:r>
      <w:r>
        <w:rPr>
          <w:rFonts w:asciiTheme="majorHAnsi" w:hAnsiTheme="majorHAnsi" w:cstheme="majorHAnsi"/>
          <w:sz w:val="16"/>
          <w:szCs w:val="16"/>
        </w:rPr>
        <w:t xml:space="preserve"> Statul Român prin Exim Bank  deţine  calitatea de actionar majoritar la BROM – Banca românească</w:t>
      </w:r>
      <w:r>
        <w:rPr>
          <w:rFonts w:asciiTheme="majorHAnsi" w:hAnsiTheme="majorHAnsi" w:cstheme="majorHAnsi"/>
          <w:sz w:val="16"/>
          <w:szCs w:val="16"/>
          <w:lang w:val="en-US"/>
        </w:rPr>
        <w:t>;</w:t>
      </w:r>
    </w:p>
  </w:footnote>
  <w:footnote w:id="7">
    <w:p>
      <w:pPr>
        <w:pStyle w:val="15"/>
        <w:jc w:val="both"/>
        <w:rPr>
          <w:rFonts w:asciiTheme="majorHAnsi" w:hAnsiTheme="majorHAnsi" w:cstheme="majorHAnsi"/>
          <w:sz w:val="16"/>
          <w:szCs w:val="16"/>
        </w:rPr>
      </w:pPr>
      <w:r>
        <w:rPr>
          <w:rStyle w:val="33"/>
          <w:rFonts w:asciiTheme="majorHAnsi" w:hAnsiTheme="majorHAnsi" w:cstheme="majorHAnsi"/>
          <w:sz w:val="16"/>
          <w:szCs w:val="16"/>
        </w:rPr>
        <w:footnoteRef/>
      </w:r>
      <w:r>
        <w:rPr>
          <w:rFonts w:asciiTheme="majorHAnsi" w:hAnsiTheme="majorHAnsi" w:cstheme="majorHAnsi"/>
          <w:sz w:val="16"/>
          <w:szCs w:val="16"/>
        </w:rPr>
        <w:t xml:space="preserve"> Statul Român prin FNGCIMM deține o pondere de 72,72% cu un aport de 14.082.200 lei;</w:t>
      </w:r>
    </w:p>
  </w:footnote>
  <w:footnote w:id="8">
    <w:p>
      <w:pPr>
        <w:pStyle w:val="15"/>
        <w:jc w:val="both"/>
        <w:rPr>
          <w:rFonts w:asciiTheme="majorHAnsi" w:hAnsiTheme="majorHAnsi" w:cstheme="majorHAnsi"/>
          <w:sz w:val="16"/>
          <w:szCs w:val="16"/>
        </w:rPr>
      </w:pPr>
      <w:r>
        <w:rPr>
          <w:rStyle w:val="33"/>
          <w:rFonts w:asciiTheme="majorHAnsi" w:hAnsiTheme="majorHAnsi" w:cstheme="majorHAnsi"/>
          <w:sz w:val="16"/>
          <w:szCs w:val="16"/>
        </w:rPr>
        <w:footnoteRef/>
      </w:r>
      <w:r>
        <w:rPr>
          <w:rFonts w:asciiTheme="majorHAnsi" w:hAnsiTheme="majorHAnsi" w:cstheme="majorHAnsi"/>
          <w:sz w:val="16"/>
          <w:szCs w:val="16"/>
        </w:rPr>
        <w:t xml:space="preserve"> Statul Român prin Exim Bank  deţine  calitatea de actionar majoritar la CARE – Exim Care;</w:t>
      </w:r>
    </w:p>
  </w:footnote>
  <w:footnote w:id="9">
    <w:p>
      <w:pPr>
        <w:pStyle w:val="15"/>
        <w:jc w:val="both"/>
        <w:rPr>
          <w:rFonts w:asciiTheme="majorHAnsi" w:hAnsiTheme="majorHAnsi" w:cstheme="majorHAnsi"/>
          <w:sz w:val="16"/>
          <w:szCs w:val="16"/>
        </w:rPr>
      </w:pPr>
      <w:r>
        <w:rPr>
          <w:rStyle w:val="33"/>
          <w:rFonts w:asciiTheme="majorHAnsi" w:hAnsiTheme="majorHAnsi" w:cstheme="majorHAnsi"/>
          <w:sz w:val="16"/>
          <w:szCs w:val="16"/>
        </w:rPr>
        <w:footnoteRef/>
      </w:r>
      <w:r>
        <w:rPr>
          <w:rFonts w:asciiTheme="majorHAnsi" w:hAnsiTheme="majorHAnsi" w:cstheme="majorHAnsi"/>
          <w:sz w:val="16"/>
          <w:szCs w:val="16"/>
        </w:rPr>
        <w:t xml:space="preserve"> Participații indirecte prin</w:t>
      </w:r>
      <w:r>
        <w:rPr>
          <w:rFonts w:asciiTheme="majorHAnsi" w:hAnsiTheme="majorHAnsi" w:cstheme="majorHAnsi"/>
          <w:bCs/>
          <w:sz w:val="16"/>
          <w:szCs w:val="16"/>
          <w:lang w:val="en-US"/>
        </w:rPr>
        <w:t xml:space="preserve"> întreprinderile la care Ministerul Finanțelor deține participații directe;</w:t>
      </w:r>
    </w:p>
  </w:footnote>
  <w:footnote w:id="10">
    <w:p>
      <w:pPr>
        <w:pStyle w:val="15"/>
        <w:jc w:val="both"/>
        <w:rPr>
          <w:rFonts w:asciiTheme="majorHAnsi" w:hAnsiTheme="majorHAnsi" w:cstheme="majorHAnsi"/>
          <w:sz w:val="16"/>
          <w:szCs w:val="16"/>
          <w:lang w:val="en-US"/>
        </w:rPr>
      </w:pPr>
      <w:r>
        <w:rPr>
          <w:rStyle w:val="33"/>
          <w:rFonts w:asciiTheme="majorHAnsi" w:hAnsiTheme="majorHAnsi" w:cstheme="majorHAnsi"/>
          <w:sz w:val="16"/>
          <w:szCs w:val="16"/>
        </w:rPr>
        <w:footnoteRef/>
      </w:r>
      <w:r>
        <w:rPr>
          <w:rFonts w:asciiTheme="majorHAnsi" w:hAnsiTheme="majorHAnsi" w:cstheme="majorHAnsi"/>
          <w:sz w:val="16"/>
          <w:szCs w:val="16"/>
        </w:rPr>
        <w:t xml:space="preserve"> Grupul FNGCIMM  cuprinde societatea-mamă, Fondul Naţional de Garantare pentru Întreprinderi Mici şi Mijlocii S.A. –IFN (FNGCIMM) şi filialele acesteia, cu sediul în România (Fondul Local de Garantare Craiova SA IFN, Fondul Local de Garantare Focşani SA IFN, Fondul Local de Garantare Sfântu Gheorghe SA IFN)</w:t>
      </w:r>
      <w:r>
        <w:rPr>
          <w:rFonts w:asciiTheme="majorHAnsi" w:hAnsiTheme="majorHAnsi" w:cstheme="majorHAnsi"/>
          <w:sz w:val="16"/>
          <w:szCs w:val="16"/>
          <w:lang w:val="en-US"/>
        </w:rPr>
        <w:t>;</w:t>
      </w:r>
    </w:p>
  </w:footnote>
  <w:footnote w:id="11">
    <w:p>
      <w:pPr>
        <w:pStyle w:val="15"/>
        <w:jc w:val="both"/>
        <w:rPr>
          <w:rFonts w:ascii="Calibri Light" w:hAnsi="Calibri Light" w:cs="Calibri Light"/>
          <w:sz w:val="16"/>
          <w:szCs w:val="16"/>
        </w:rPr>
      </w:pPr>
      <w:r>
        <w:rPr>
          <w:rStyle w:val="33"/>
          <w:rFonts w:asciiTheme="majorHAnsi" w:hAnsiTheme="majorHAnsi" w:cstheme="majorHAnsi"/>
          <w:sz w:val="16"/>
          <w:szCs w:val="16"/>
        </w:rPr>
        <w:footnoteRef/>
      </w:r>
      <w:r>
        <w:rPr>
          <w:rFonts w:asciiTheme="majorHAnsi" w:hAnsiTheme="majorHAnsi" w:cstheme="majorHAnsi"/>
          <w:sz w:val="16"/>
          <w:szCs w:val="16"/>
        </w:rPr>
        <w:t xml:space="preserve"> Dosarul nr. 32865/3/2020 - Tribunalul Bucureşti având ca obiect fuziunea prin absorbţie dintre FNGCIMM S.A. IFN – societate absorbantă şi Fondul Local de Garantare Craiova, respectiv Fondul Local de Garantare Sf Gheorghe – societăţi absorbite, cu data de 31.12.2020;</w:t>
      </w:r>
    </w:p>
  </w:footnote>
  <w:footnote w:id="12">
    <w:p>
      <w:pPr>
        <w:pStyle w:val="15"/>
        <w:jc w:val="both"/>
        <w:rPr>
          <w:rFonts w:asciiTheme="majorHAnsi" w:hAnsiTheme="majorHAnsi" w:cstheme="majorHAnsi"/>
          <w:lang w:val="en-US"/>
        </w:rPr>
      </w:pPr>
      <w:r>
        <w:rPr>
          <w:rStyle w:val="33"/>
          <w:rFonts w:asciiTheme="majorHAnsi" w:hAnsiTheme="majorHAnsi" w:cstheme="majorHAnsi"/>
          <w:sz w:val="16"/>
        </w:rPr>
        <w:footnoteRef/>
      </w:r>
      <w:r>
        <w:rPr>
          <w:rFonts w:asciiTheme="majorHAnsi" w:hAnsiTheme="majorHAnsi" w:cstheme="majorHAnsi"/>
          <w:sz w:val="16"/>
        </w:rPr>
        <w:t xml:space="preserve"> Absorbţia Fondului local de garantare Craiova - Filiala F.N.G.C.I.M.M. – I.F.N. și a Fondului local de garantare Sfântu Gheorghe - Filiala F.N.G.C.I.M.M. – I.F.N. ca societăți absorbite, cu Fondul Național de Garantare a Creditelor pentru Întreprinderi Mici și Mijlocii – I.F.N.- societate absorbantă</w:t>
      </w:r>
      <w:r>
        <w:rPr>
          <w:rFonts w:asciiTheme="majorHAnsi" w:hAnsiTheme="majorHAnsi" w:cstheme="majorHAnsi"/>
          <w:sz w:val="16"/>
          <w:lang w:val="en-US"/>
        </w:rPr>
        <w:t>;</w:t>
      </w:r>
    </w:p>
  </w:footnote>
  <w:footnote w:id="13">
    <w:p>
      <w:pPr>
        <w:pStyle w:val="15"/>
        <w:jc w:val="both"/>
        <w:rPr>
          <w:rFonts w:asciiTheme="majorHAnsi" w:hAnsiTheme="majorHAnsi" w:cstheme="majorHAnsi"/>
        </w:rPr>
      </w:pPr>
      <w:r>
        <w:rPr>
          <w:rStyle w:val="33"/>
          <w:rFonts w:asciiTheme="majorHAnsi" w:hAnsiTheme="majorHAnsi" w:cstheme="majorHAnsi"/>
          <w:sz w:val="16"/>
        </w:rPr>
        <w:footnoteRef/>
      </w:r>
      <w:r>
        <w:rPr>
          <w:rFonts w:asciiTheme="majorHAnsi" w:hAnsiTheme="majorHAnsi" w:cstheme="majorHAnsi"/>
          <w:sz w:val="16"/>
        </w:rPr>
        <w:t xml:space="preserve"> Grupul EximBank („Grupul”) cuprinde societatea-mamă (Banca de Export-Import a României-EXIMBANK S.A.) şi filialele acesteia cu sediul în România. Grupul îşi desfăşoară activitatea în următoarele domenii de activitate: bancar, care este desfăşurat de către EximBank şi filiala Banca Românească, respectiv  asigurări – reasigurări prin filiala Compania de Asigurări şi Reasigurări EximAsig;</w:t>
      </w:r>
    </w:p>
  </w:footnote>
  <w:footnote w:id="14">
    <w:p>
      <w:pPr>
        <w:pStyle w:val="15"/>
        <w:jc w:val="both"/>
        <w:rPr>
          <w:rFonts w:asciiTheme="majorHAnsi" w:hAnsiTheme="majorHAnsi" w:cstheme="majorHAnsi"/>
          <w:sz w:val="16"/>
          <w:szCs w:val="16"/>
          <w:lang w:val="en-US"/>
        </w:rPr>
      </w:pPr>
      <w:r>
        <w:rPr>
          <w:rStyle w:val="138"/>
          <w:rFonts w:asciiTheme="majorHAnsi" w:hAnsiTheme="majorHAnsi" w:cstheme="majorHAnsi"/>
          <w:color w:val="262626" w:themeColor="text1" w:themeTint="D9"/>
          <w:sz w:val="16"/>
          <w:szCs w:val="16"/>
          <w14:textFill>
            <w14:solidFill>
              <w14:schemeClr w14:val="tx1">
                <w14:lumMod w14:val="85000"/>
                <w14:lumOff w14:val="15000"/>
              </w14:schemeClr>
            </w14:solidFill>
          </w14:textFill>
        </w:rPr>
        <w:footnoteRef/>
      </w:r>
      <w:r>
        <w:rPr>
          <w:rFonts w:asciiTheme="majorHAnsi" w:hAnsiTheme="majorHAnsi" w:cstheme="majorHAnsi"/>
          <w:color w:val="262626" w:themeColor="text1" w:themeTint="D9"/>
          <w:sz w:val="16"/>
          <w:szCs w:val="16"/>
          <w14:textFill>
            <w14:solidFill>
              <w14:schemeClr w14:val="tx1">
                <w14:lumMod w14:val="85000"/>
                <w14:lumOff w14:val="15000"/>
              </w14:schemeClr>
            </w14:solidFill>
          </w14:textFill>
        </w:rPr>
        <w:t xml:space="preserve"> Prin denumirea de administrator/directori ne referim inclusiv la membrii Consiliului de administrație / Consiliului de supraveghere  și respectiv directori / directorat</w:t>
      </w:r>
      <w:r>
        <w:rPr>
          <w:rFonts w:asciiTheme="majorHAnsi" w:hAnsiTheme="majorHAnsi" w:cstheme="majorHAnsi"/>
          <w:color w:val="262626" w:themeColor="text1" w:themeTint="D9"/>
          <w:sz w:val="16"/>
          <w:szCs w:val="16"/>
          <w:lang w:val="en-US"/>
          <w14:textFill>
            <w14:solidFill>
              <w14:schemeClr w14:val="tx1">
                <w14:lumMod w14:val="85000"/>
                <w14:lumOff w14:val="15000"/>
              </w14:schemeClr>
            </w14:solidFill>
          </w14:textFill>
        </w:rPr>
        <w:t>;</w:t>
      </w:r>
    </w:p>
  </w:footnote>
  <w:footnote w:id="15">
    <w:p>
      <w:pPr>
        <w:pStyle w:val="15"/>
        <w:jc w:val="both"/>
        <w:rPr>
          <w:rFonts w:asciiTheme="majorHAnsi" w:hAnsiTheme="majorHAnsi" w:cstheme="majorHAnsi"/>
        </w:rPr>
      </w:pPr>
      <w:r>
        <w:rPr>
          <w:rStyle w:val="33"/>
          <w:rFonts w:asciiTheme="majorHAnsi" w:hAnsiTheme="majorHAnsi" w:cstheme="majorHAnsi"/>
          <w:color w:val="262626" w:themeColor="text1" w:themeTint="D9"/>
          <w:sz w:val="16"/>
          <w14:textFill>
            <w14:solidFill>
              <w14:schemeClr w14:val="tx1">
                <w14:lumMod w14:val="85000"/>
                <w14:lumOff w14:val="15000"/>
              </w14:schemeClr>
            </w14:solidFill>
          </w14:textFill>
        </w:rPr>
        <w:footnoteRef/>
      </w:r>
      <w:r>
        <w:rPr>
          <w:rFonts w:asciiTheme="majorHAnsi" w:hAnsiTheme="majorHAnsi" w:cstheme="majorHAnsi"/>
          <w:color w:val="262626" w:themeColor="text1" w:themeTint="D9"/>
          <w:sz w:val="16"/>
          <w14:textFill>
            <w14:solidFill>
              <w14:schemeClr w14:val="tx1">
                <w14:lumMod w14:val="85000"/>
                <w14:lumOff w14:val="15000"/>
              </w14:schemeClr>
            </w14:solidFill>
          </w14:textFill>
        </w:rPr>
        <w:t xml:space="preserve"> Conform declarației S1100 – Monitorizarea aplicării prevederilor OUG nr. 109/2011 de către întreprinderile publice, care sunt administrate și gestionate la nivelul MF;</w:t>
      </w:r>
    </w:p>
  </w:footnote>
  <w:footnote w:id="16">
    <w:p>
      <w:pPr>
        <w:pStyle w:val="15"/>
        <w:jc w:val="both"/>
        <w:rPr>
          <w:rFonts w:asciiTheme="majorHAnsi" w:hAnsiTheme="majorHAnsi" w:cstheme="majorHAnsi"/>
          <w:lang w:val="en-US"/>
        </w:rPr>
      </w:pPr>
      <w:r>
        <w:rPr>
          <w:rStyle w:val="33"/>
          <w:rFonts w:asciiTheme="majorHAnsi" w:hAnsiTheme="majorHAnsi" w:cstheme="majorHAnsi"/>
          <w:sz w:val="16"/>
        </w:rPr>
        <w:footnoteRef/>
      </w:r>
      <w:r>
        <w:rPr>
          <w:rFonts w:asciiTheme="majorHAnsi" w:hAnsiTheme="majorHAnsi" w:cstheme="majorHAnsi"/>
          <w:sz w:val="16"/>
        </w:rPr>
        <w:t xml:space="preserve"> Excepția de la aplicarea prevederilor O.U.G. nr. 109/2011 este prevăzută la art. 17 din O.G. nr. 29/2013 privind reglementarea unor măsuri bugetare potrivit căruia: „Fondul Naţional de Garantare a Creditelor pentru Întreprinderi Mici şi Mijlocii S.A. - I.F.N. şi Fondul Român de Contragarantare aplică prevederile Ordonanţei de urgenţă a Guvernului nr. 109/2011 privind guvernanţa corporativă a întreprinderilor publice, cu modificările şi completările ulterioare, numai cu privire la selecţia şi numirea membrilor în consiliul de administraţie şi supraveghere şi a directorilor/membrilor directoratului”;</w:t>
      </w:r>
    </w:p>
  </w:footnote>
  <w:footnote w:id="17">
    <w:p>
      <w:pPr>
        <w:pStyle w:val="15"/>
        <w:jc w:val="both"/>
        <w:rPr>
          <w:rFonts w:asciiTheme="majorHAnsi" w:hAnsiTheme="majorHAnsi" w:cstheme="majorHAnsi"/>
          <w:lang w:val="en-US"/>
        </w:rPr>
      </w:pPr>
      <w:r>
        <w:rPr>
          <w:rStyle w:val="33"/>
          <w:rFonts w:asciiTheme="majorHAnsi" w:hAnsiTheme="majorHAnsi" w:cstheme="majorHAnsi"/>
          <w:sz w:val="16"/>
        </w:rPr>
        <w:footnoteRef/>
      </w:r>
      <w:r>
        <w:rPr>
          <w:rFonts w:asciiTheme="majorHAnsi" w:hAnsiTheme="majorHAnsi" w:cstheme="majorHAnsi"/>
          <w:sz w:val="16"/>
        </w:rPr>
        <w:t xml:space="preserve"> în conformitate cu dispoziţiile art. 64^2 din O.U.G. nr. 109/2011</w:t>
      </w:r>
      <w:r>
        <w:rPr>
          <w:rFonts w:asciiTheme="majorHAnsi" w:hAnsiTheme="majorHAnsi" w:cstheme="majorHAnsi"/>
          <w:sz w:val="16"/>
          <w:lang w:val="en-US"/>
        </w:rPr>
        <w:t>;</w:t>
      </w:r>
    </w:p>
  </w:footnote>
  <w:footnote w:id="18">
    <w:p>
      <w:pPr>
        <w:pStyle w:val="15"/>
        <w:jc w:val="both"/>
        <w:rPr>
          <w:rFonts w:asciiTheme="majorHAnsi" w:hAnsiTheme="majorHAnsi" w:cstheme="majorHAnsi"/>
          <w:sz w:val="16"/>
        </w:rPr>
      </w:pPr>
      <w:r>
        <w:rPr>
          <w:rStyle w:val="33"/>
          <w:rFonts w:asciiTheme="majorHAnsi" w:hAnsiTheme="majorHAnsi" w:cstheme="majorHAnsi"/>
          <w:sz w:val="16"/>
        </w:rPr>
        <w:footnoteRef/>
      </w:r>
      <w:r>
        <w:rPr>
          <w:rFonts w:asciiTheme="majorHAnsi" w:hAnsiTheme="majorHAnsi" w:cstheme="majorHAnsi"/>
          <w:sz w:val="16"/>
        </w:rPr>
        <w:t xml:space="preserve"> Art. 51 din OUG nr. 109/2011 - </w:t>
      </w:r>
    </w:p>
    <w:p>
      <w:pPr>
        <w:pStyle w:val="15"/>
        <w:jc w:val="both"/>
        <w:rPr>
          <w:rFonts w:asciiTheme="majorHAnsi" w:hAnsiTheme="majorHAnsi" w:cstheme="majorHAnsi"/>
          <w:sz w:val="16"/>
        </w:rPr>
      </w:pPr>
      <w:r>
        <w:rPr>
          <w:rFonts w:asciiTheme="majorHAnsi" w:hAnsiTheme="majorHAnsi" w:cstheme="majorHAnsi"/>
          <w:sz w:val="16"/>
        </w:rPr>
        <w:t>(1) Întreprinderea publică, prin  grija preşedintelui consiliului de administraţie sau al consiliului de supraveghere, trebuie să publice pe pagina proprie de internet, pentru accesul acţionarilor sau asociaţilor şi al publicului, următoarele documente şi informaţii:</w:t>
      </w:r>
    </w:p>
    <w:p>
      <w:pPr>
        <w:pStyle w:val="15"/>
        <w:jc w:val="both"/>
        <w:rPr>
          <w:rFonts w:asciiTheme="majorHAnsi" w:hAnsiTheme="majorHAnsi" w:cstheme="majorHAnsi"/>
          <w:sz w:val="16"/>
        </w:rPr>
      </w:pPr>
      <w:r>
        <w:rPr>
          <w:rFonts w:asciiTheme="majorHAnsi" w:hAnsiTheme="majorHAnsi" w:cstheme="majorHAnsi"/>
          <w:sz w:val="16"/>
        </w:rPr>
        <w:t xml:space="preserve">    a) hotărârile adunărilor generale ale acţionarilor, în termen de 48 de ore de la data adunării;</w:t>
      </w:r>
    </w:p>
    <w:p>
      <w:pPr>
        <w:pStyle w:val="15"/>
        <w:jc w:val="both"/>
        <w:rPr>
          <w:rFonts w:asciiTheme="majorHAnsi" w:hAnsiTheme="majorHAnsi" w:cstheme="majorHAnsi"/>
          <w:sz w:val="16"/>
        </w:rPr>
      </w:pPr>
      <w:r>
        <w:rPr>
          <w:rFonts w:asciiTheme="majorHAnsi" w:hAnsiTheme="majorHAnsi" w:cstheme="majorHAnsi"/>
          <w:sz w:val="16"/>
        </w:rPr>
        <w:t xml:space="preserve">    b) situaţiile financiare anuale, în termen de 48 de ore de la aprobare;</w:t>
      </w:r>
    </w:p>
    <w:p>
      <w:pPr>
        <w:pStyle w:val="15"/>
        <w:jc w:val="both"/>
        <w:rPr>
          <w:rFonts w:asciiTheme="majorHAnsi" w:hAnsiTheme="majorHAnsi" w:cstheme="majorHAnsi"/>
          <w:sz w:val="16"/>
        </w:rPr>
      </w:pPr>
      <w:r>
        <w:rPr>
          <w:rFonts w:asciiTheme="majorHAnsi" w:hAnsiTheme="majorHAnsi" w:cstheme="majorHAnsi"/>
          <w:sz w:val="16"/>
        </w:rPr>
        <w:t xml:space="preserve">    c) raportările contabile semestriale, în termen de 45 de zile de la încheierea semestrului;</w:t>
      </w:r>
    </w:p>
    <w:p>
      <w:pPr>
        <w:pStyle w:val="15"/>
        <w:jc w:val="both"/>
        <w:rPr>
          <w:rFonts w:asciiTheme="majorHAnsi" w:hAnsiTheme="majorHAnsi" w:cstheme="majorHAnsi"/>
          <w:sz w:val="16"/>
        </w:rPr>
      </w:pPr>
      <w:r>
        <w:rPr>
          <w:rFonts w:asciiTheme="majorHAnsi" w:hAnsiTheme="majorHAnsi" w:cstheme="majorHAnsi"/>
          <w:sz w:val="16"/>
        </w:rPr>
        <w:t xml:space="preserve">    d) raportul de audit anual;</w:t>
      </w:r>
    </w:p>
    <w:p>
      <w:pPr>
        <w:pStyle w:val="15"/>
        <w:jc w:val="both"/>
        <w:rPr>
          <w:rFonts w:asciiTheme="majorHAnsi" w:hAnsiTheme="majorHAnsi" w:cstheme="majorHAnsi"/>
          <w:sz w:val="16"/>
        </w:rPr>
      </w:pPr>
      <w:r>
        <w:rPr>
          <w:rFonts w:asciiTheme="majorHAnsi" w:hAnsiTheme="majorHAnsi" w:cstheme="majorHAnsi"/>
          <w:sz w:val="16"/>
        </w:rPr>
        <w:t xml:space="preserve">    e) lista administratorilor şi a directorilor, CV-urile membrilor consiliului de administraţie şi ale directorilor sau, după caz, ale membrilor consiliului de supraveghere şi membrilor directoratului, precum şi nivelul remuneraţiei acestora;</w:t>
      </w:r>
    </w:p>
    <w:p>
      <w:pPr>
        <w:pStyle w:val="15"/>
        <w:jc w:val="both"/>
        <w:rPr>
          <w:rFonts w:asciiTheme="majorHAnsi" w:hAnsiTheme="majorHAnsi" w:cstheme="majorHAnsi"/>
          <w:sz w:val="16"/>
        </w:rPr>
      </w:pPr>
      <w:r>
        <w:rPr>
          <w:rFonts w:asciiTheme="majorHAnsi" w:hAnsiTheme="majorHAnsi" w:cstheme="majorHAnsi"/>
          <w:sz w:val="16"/>
        </w:rPr>
        <w:t xml:space="preserve">    f) rapoartele consiliului de administraţie sau, după caz, ale consiliului de supraveghere;</w:t>
      </w:r>
    </w:p>
    <w:p>
      <w:pPr>
        <w:pStyle w:val="15"/>
        <w:jc w:val="both"/>
        <w:rPr>
          <w:rFonts w:asciiTheme="majorHAnsi" w:hAnsiTheme="majorHAnsi" w:cstheme="majorHAnsi"/>
          <w:sz w:val="16"/>
        </w:rPr>
      </w:pPr>
      <w:r>
        <w:rPr>
          <w:rFonts w:asciiTheme="majorHAnsi" w:hAnsiTheme="majorHAnsi" w:cstheme="majorHAnsi"/>
          <w:sz w:val="16"/>
        </w:rPr>
        <w:t xml:space="preserve">    g) raportul anual cu privire la remuneraţiile şi alte avantaje acordate administratorilor şi directorilor, respectiv membrilor consiliului de supraveghere şi membrilor directoratului în cursul anului financiar;</w:t>
      </w:r>
    </w:p>
    <w:p>
      <w:pPr>
        <w:pStyle w:val="15"/>
        <w:jc w:val="both"/>
      </w:pPr>
      <w:r>
        <w:rPr>
          <w:rFonts w:asciiTheme="majorHAnsi" w:hAnsiTheme="majorHAnsi" w:cstheme="majorHAnsi"/>
          <w:sz w:val="16"/>
        </w:rPr>
        <w:t xml:space="preserve">    h) Codul de etică, în 48 de ore de la adoptare, respectiv la data de 31 mai a fiecărui an, în cazul revizuirii acestuia.</w:t>
      </w:r>
    </w:p>
  </w:footnote>
  <w:footnote w:id="19">
    <w:p>
      <w:pPr>
        <w:pStyle w:val="15"/>
        <w:jc w:val="both"/>
        <w:rPr>
          <w:rFonts w:asciiTheme="majorHAnsi" w:hAnsiTheme="majorHAnsi" w:cstheme="majorHAnsi"/>
          <w:lang w:val="en-US"/>
        </w:rPr>
      </w:pPr>
      <w:r>
        <w:rPr>
          <w:rStyle w:val="33"/>
          <w:rFonts w:asciiTheme="majorHAnsi" w:hAnsiTheme="majorHAnsi" w:cstheme="majorHAnsi"/>
          <w:sz w:val="16"/>
        </w:rPr>
        <w:footnoteRef/>
      </w:r>
      <w:r>
        <w:rPr>
          <w:rFonts w:asciiTheme="majorHAnsi" w:hAnsiTheme="majorHAnsi" w:cstheme="majorHAnsi"/>
          <w:sz w:val="16"/>
        </w:rPr>
        <w:t xml:space="preserve"> Pe baza situațiilor financiare anuale raportate de ÎP la MF în iunie 2021</w:t>
      </w:r>
      <w:r>
        <w:rPr>
          <w:rFonts w:asciiTheme="majorHAnsi" w:hAnsiTheme="majorHAnsi" w:cstheme="majorHAnsi"/>
          <w:sz w:val="16"/>
          <w:lang w:val="en-US"/>
        </w:rPr>
        <w:t>;</w:t>
      </w:r>
    </w:p>
  </w:footnote>
  <w:footnote w:id="20">
    <w:p>
      <w:pPr>
        <w:pStyle w:val="15"/>
        <w:jc w:val="both"/>
        <w:rPr>
          <w:rFonts w:asciiTheme="majorHAnsi" w:hAnsiTheme="majorHAnsi" w:cstheme="majorHAnsi"/>
          <w:sz w:val="16"/>
          <w:szCs w:val="16"/>
          <w:lang w:val="en-US"/>
        </w:rPr>
      </w:pPr>
      <w:r>
        <w:rPr>
          <w:rStyle w:val="33"/>
          <w:rFonts w:asciiTheme="majorHAnsi" w:hAnsiTheme="majorHAnsi" w:cstheme="majorHAnsi"/>
          <w:sz w:val="16"/>
          <w:szCs w:val="16"/>
        </w:rPr>
        <w:footnoteRef/>
      </w:r>
      <w:r>
        <w:rPr>
          <w:rFonts w:asciiTheme="majorHAnsi" w:hAnsiTheme="majorHAnsi" w:cstheme="majorHAnsi"/>
          <w:sz w:val="16"/>
          <w:szCs w:val="16"/>
        </w:rPr>
        <w:t xml:space="preserve"> Banca de Import – Export a României Eximbank S.A. a finalizat în data de 23 ianuarie 2020 achiziţia unei participaţii de 99,28% din capitalul social al Băncii Româneşti S.A. de la National Bank of Greece S.A. („NBG”), contractul de vânzare-cumpărare fiind  semnat în data de 20.06.2019 fapt pentru care datele din situațiile financiare anuale pentru anul 2019 nu sunt disponibile</w:t>
      </w:r>
      <w:r>
        <w:rPr>
          <w:rFonts w:asciiTheme="majorHAnsi" w:hAnsiTheme="majorHAnsi" w:cstheme="majorHAnsi"/>
          <w:sz w:val="16"/>
          <w:szCs w:val="16"/>
          <w:lang w:val="en-US"/>
        </w:rPr>
        <w:t>;</w:t>
      </w:r>
    </w:p>
  </w:footnote>
  <w:footnote w:id="21">
    <w:p>
      <w:pPr>
        <w:pStyle w:val="15"/>
        <w:jc w:val="both"/>
        <w:rPr>
          <w:rFonts w:asciiTheme="majorHAnsi" w:hAnsiTheme="majorHAnsi" w:cstheme="majorHAnsi"/>
          <w:lang w:val="en-US"/>
        </w:rPr>
      </w:pPr>
      <w:r>
        <w:rPr>
          <w:rStyle w:val="33"/>
          <w:rFonts w:asciiTheme="majorHAnsi" w:hAnsiTheme="majorHAnsi" w:cstheme="majorHAnsi"/>
          <w:sz w:val="16"/>
        </w:rPr>
        <w:footnoteRef/>
      </w:r>
      <w:r>
        <w:rPr>
          <w:rFonts w:asciiTheme="majorHAnsi" w:hAnsiTheme="majorHAnsi" w:cstheme="majorHAnsi"/>
          <w:sz w:val="16"/>
        </w:rPr>
        <w:t xml:space="preserve"> O.U.G. nr. 109/2011 privind guvernanța corporativă a întreprinderilor publice</w:t>
      </w:r>
      <w:r>
        <w:rPr>
          <w:rFonts w:asciiTheme="majorHAnsi" w:hAnsiTheme="majorHAnsi" w:cstheme="majorHAnsi"/>
          <w:sz w:val="16"/>
          <w:lang w:val="en-US"/>
        </w:rPr>
        <w:t>;</w:t>
      </w:r>
    </w:p>
  </w:footnote>
  <w:footnote w:id="22">
    <w:p>
      <w:pPr>
        <w:pStyle w:val="15"/>
        <w:jc w:val="both"/>
        <w:rPr>
          <w:rFonts w:asciiTheme="majorHAnsi" w:hAnsiTheme="majorHAnsi" w:cstheme="majorHAnsi"/>
        </w:rPr>
      </w:pPr>
      <w:r>
        <w:rPr>
          <w:rStyle w:val="33"/>
          <w:rFonts w:asciiTheme="majorHAnsi" w:hAnsiTheme="majorHAnsi" w:cstheme="majorHAnsi"/>
          <w:sz w:val="16"/>
        </w:rPr>
        <w:footnoteRef/>
      </w:r>
      <w:r>
        <w:rPr>
          <w:rFonts w:asciiTheme="majorHAnsi" w:hAnsiTheme="majorHAnsi" w:cstheme="majorHAnsi"/>
          <w:sz w:val="16"/>
        </w:rPr>
        <w:t xml:space="preserve"> Prin administratori și directori ne referim la membrii consiliului de administrație / de supraveghere cât și al directorilor/membrilor directoratului.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7"/>
      <w:tblW w:w="9356" w:type="dxa"/>
      <w:tblInd w:w="0" w:type="dxa"/>
      <w:tblBorders>
        <w:top w:val="none" w:color="auto" w:sz="0" w:space="0"/>
        <w:left w:val="none" w:color="auto" w:sz="0" w:space="0"/>
        <w:bottom w:val="single" w:color="21B2C9" w:themeColor="background2" w:themeShade="80" w:sz="4" w:space="0"/>
        <w:right w:val="none" w:color="auto" w:sz="0" w:space="0"/>
        <w:insideH w:val="single" w:color="21B2C9" w:themeColor="background2" w:themeShade="80" w:sz="4" w:space="0"/>
        <w:insideV w:val="none" w:color="auto" w:sz="0" w:space="0"/>
      </w:tblBorders>
      <w:tblLayout w:type="fixed"/>
      <w:tblCellMar>
        <w:top w:w="0" w:type="dxa"/>
        <w:left w:w="108" w:type="dxa"/>
        <w:bottom w:w="0" w:type="dxa"/>
        <w:right w:w="108" w:type="dxa"/>
      </w:tblCellMar>
    </w:tblPr>
    <w:tblGrid>
      <w:gridCol w:w="1645"/>
      <w:gridCol w:w="335"/>
      <w:gridCol w:w="7376"/>
    </w:tblGrid>
    <w:tr>
      <w:tblPrEx>
        <w:tblBorders>
          <w:top w:val="none" w:color="auto" w:sz="0" w:space="0"/>
          <w:left w:val="none" w:color="auto" w:sz="0" w:space="0"/>
          <w:bottom w:val="single" w:color="21B2C9" w:themeColor="background2" w:themeShade="80" w:sz="4" w:space="0"/>
          <w:right w:val="none" w:color="auto" w:sz="0" w:space="0"/>
          <w:insideH w:val="single" w:color="21B2C9" w:themeColor="background2" w:themeShade="80" w:sz="4" w:space="0"/>
          <w:insideV w:val="none" w:color="auto" w:sz="0" w:space="0"/>
        </w:tblBorders>
        <w:tblLayout w:type="fixed"/>
        <w:tblCellMar>
          <w:top w:w="0" w:type="dxa"/>
          <w:left w:w="108" w:type="dxa"/>
          <w:bottom w:w="0" w:type="dxa"/>
          <w:right w:w="108" w:type="dxa"/>
        </w:tblCellMar>
      </w:tblPrEx>
      <w:trPr>
        <w:trHeight w:val="510" w:hRule="atLeast"/>
      </w:trPr>
      <w:tc>
        <w:tcPr>
          <w:tcW w:w="1645" w:type="dxa"/>
          <w:tcBorders>
            <w:top w:val="nil"/>
            <w:bottom w:val="single" w:color="3F3F3F" w:themeColor="text1" w:themeTint="BF" w:sz="4" w:space="0"/>
          </w:tcBorders>
          <w:vAlign w:val="bottom"/>
        </w:tcPr>
        <w:sdt>
          <w:sdtPr>
            <w:rPr>
              <w:rFonts w:asciiTheme="majorHAnsi" w:hAnsiTheme="majorHAnsi" w:eastAsiaTheme="majorEastAsia" w:cstheme="majorBidi"/>
              <w:sz w:val="48"/>
              <w:szCs w:val="48"/>
            </w:rPr>
            <w:id w:val="-1456012309"/>
          </w:sdtPr>
          <w:sdtEndPr>
            <w:rPr>
              <w:rFonts w:asciiTheme="majorHAnsi" w:hAnsiTheme="majorHAnsi" w:eastAsiaTheme="majorEastAsia" w:cstheme="majorBidi"/>
              <w:color w:val="808080" w:themeColor="text1" w:themeTint="80"/>
              <w:sz w:val="48"/>
              <w:szCs w:val="48"/>
              <w14:textFill>
                <w14:solidFill>
                  <w14:schemeClr w14:val="tx1">
                    <w14:lumMod w14:val="50000"/>
                    <w14:lumOff w14:val="50000"/>
                  </w14:schemeClr>
                </w14:solidFill>
              </w14:textFill>
            </w:rPr>
          </w:sdtEndPr>
          <w:sdtContent>
            <w:sdt>
              <w:sdtPr>
                <w:rPr>
                  <w:rFonts w:asciiTheme="majorHAnsi" w:hAnsiTheme="majorHAnsi" w:eastAsiaTheme="majorEastAsia" w:cstheme="majorBidi"/>
                  <w:color w:val="808080" w:themeColor="text1" w:themeTint="80"/>
                  <w:sz w:val="48"/>
                  <w:szCs w:val="48"/>
                  <w14:textFill>
                    <w14:solidFill>
                      <w14:schemeClr w14:val="tx1">
                        <w14:lumMod w14:val="50000"/>
                        <w14:lumOff w14:val="50000"/>
                      </w14:schemeClr>
                    </w14:solidFill>
                  </w14:textFill>
                </w:rPr>
                <w:id w:val="-1726668294"/>
              </w:sdtPr>
              <w:sdtEndPr>
                <w:rPr>
                  <w:rFonts w:asciiTheme="majorHAnsi" w:hAnsiTheme="majorHAnsi" w:eastAsiaTheme="majorEastAsia" w:cstheme="majorBidi"/>
                  <w:color w:val="808080" w:themeColor="text1" w:themeTint="80"/>
                  <w:sz w:val="48"/>
                  <w:szCs w:val="48"/>
                  <w14:textFill>
                    <w14:solidFill>
                      <w14:schemeClr w14:val="tx1">
                        <w14:lumMod w14:val="50000"/>
                        <w14:lumOff w14:val="50000"/>
                      </w14:schemeClr>
                    </w14:solidFill>
                  </w14:textFill>
                </w:rPr>
              </w:sdtEndPr>
              <w:sdtContent>
                <w:p>
                  <w:pPr>
                    <w:spacing w:before="0" w:after="0" w:line="240" w:lineRule="auto"/>
                    <w:jc w:val="center"/>
                    <w:rPr>
                      <w:rFonts w:asciiTheme="majorHAnsi" w:hAnsiTheme="majorHAnsi" w:eastAsiaTheme="majorEastAsia" w:cstheme="majorBidi"/>
                      <w:sz w:val="48"/>
                      <w:szCs w:val="48"/>
                    </w:rPr>
                  </w:pPr>
                  <w:r>
                    <w:rPr>
                      <w:rFonts w:cs="Times New Roman" w:eastAsiaTheme="minorEastAsia"/>
                      <w:color w:val="808080" w:themeColor="text1" w:themeTint="80"/>
                      <w:sz w:val="22"/>
                      <w:szCs w:val="22"/>
                      <w14:textFill>
                        <w14:solidFill>
                          <w14:schemeClr w14:val="tx1">
                            <w14:lumMod w14:val="50000"/>
                            <w14:lumOff w14:val="50000"/>
                          </w14:schemeClr>
                        </w14:solidFill>
                      </w14:textFill>
                    </w:rPr>
                    <w:fldChar w:fldCharType="begin"/>
                  </w:r>
                  <w:r>
                    <w:rPr>
                      <w:color w:val="808080" w:themeColor="text1" w:themeTint="80"/>
                      <w14:textFill>
                        <w14:solidFill>
                          <w14:schemeClr w14:val="tx1">
                            <w14:lumMod w14:val="50000"/>
                            <w14:lumOff w14:val="50000"/>
                          </w14:schemeClr>
                        </w14:solidFill>
                      </w14:textFill>
                    </w:rPr>
                    <w:instrText xml:space="preserve"> PAGE   \* MERGEFORMAT </w:instrText>
                  </w:r>
                  <w:r>
                    <w:rPr>
                      <w:rFonts w:cs="Times New Roman" w:eastAsiaTheme="minorEastAsia"/>
                      <w:color w:val="808080" w:themeColor="text1" w:themeTint="80"/>
                      <w:sz w:val="22"/>
                      <w:szCs w:val="22"/>
                      <w14:textFill>
                        <w14:solidFill>
                          <w14:schemeClr w14:val="tx1">
                            <w14:lumMod w14:val="50000"/>
                            <w14:lumOff w14:val="50000"/>
                          </w14:schemeClr>
                        </w14:solidFill>
                      </w14:textFill>
                    </w:rPr>
                    <w:fldChar w:fldCharType="separate"/>
                  </w:r>
                  <w:r>
                    <w:rPr>
                      <w:rFonts w:asciiTheme="majorHAnsi" w:hAnsiTheme="majorHAnsi" w:eastAsiaTheme="majorEastAsia" w:cstheme="majorBidi"/>
                      <w:color w:val="808080" w:themeColor="text1" w:themeTint="80"/>
                      <w:sz w:val="48"/>
                      <w:szCs w:val="48"/>
                      <w14:textFill>
                        <w14:solidFill>
                          <w14:schemeClr w14:val="tx1">
                            <w14:lumMod w14:val="50000"/>
                            <w14:lumOff w14:val="50000"/>
                          </w14:schemeClr>
                        </w14:solidFill>
                      </w14:textFill>
                    </w:rPr>
                    <w:t>14</w:t>
                  </w:r>
                  <w:r>
                    <w:rPr>
                      <w:rFonts w:asciiTheme="majorHAnsi" w:hAnsiTheme="majorHAnsi" w:eastAsiaTheme="majorEastAsia" w:cstheme="majorBidi"/>
                      <w:color w:val="808080" w:themeColor="text1" w:themeTint="80"/>
                      <w:sz w:val="48"/>
                      <w:szCs w:val="48"/>
                      <w14:textFill>
                        <w14:solidFill>
                          <w14:schemeClr w14:val="tx1">
                            <w14:lumMod w14:val="50000"/>
                            <w14:lumOff w14:val="50000"/>
                          </w14:schemeClr>
                        </w14:solidFill>
                      </w14:textFill>
                    </w:rPr>
                    <w:fldChar w:fldCharType="end"/>
                  </w:r>
                </w:p>
              </w:sdtContent>
            </w:sdt>
          </w:sdtContent>
        </w:sdt>
      </w:tc>
      <w:tc>
        <w:tcPr>
          <w:tcW w:w="335" w:type="dxa"/>
          <w:tcBorders>
            <w:top w:val="nil"/>
            <w:bottom w:val="nil"/>
          </w:tcBorders>
        </w:tcPr>
        <w:p>
          <w:pPr>
            <w:pStyle w:val="16"/>
          </w:pPr>
        </w:p>
      </w:tc>
      <w:tc>
        <w:tcPr>
          <w:tcW w:w="7376" w:type="dxa"/>
          <w:tcBorders>
            <w:top w:val="nil"/>
            <w:bottom w:val="single" w:color="3F3F3F" w:themeColor="text1" w:themeTint="BF" w:sz="4" w:space="0"/>
          </w:tcBorders>
          <w:vAlign w:val="bottom"/>
        </w:tcPr>
        <w:p>
          <w:pPr>
            <w:pStyle w:val="16"/>
            <w:jc w:val="right"/>
            <w:rPr>
              <w:color w:val="808080" w:themeColor="text1" w:themeTint="80"/>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rPr>
            <w:t xml:space="preserve">Raport anual privind activitatea societăților aflate </w:t>
          </w:r>
        </w:p>
        <w:p>
          <w:pPr>
            <w:pStyle w:val="16"/>
            <w:jc w:val="right"/>
          </w:pPr>
          <w:r>
            <w:rPr>
              <w:color w:val="808080" w:themeColor="text1" w:themeTint="80"/>
              <w14:textFill>
                <w14:solidFill>
                  <w14:schemeClr w14:val="tx1">
                    <w14:lumMod w14:val="50000"/>
                    <w14:lumOff w14:val="50000"/>
                  </w14:schemeClr>
                </w14:solidFill>
              </w14:textFill>
            </w:rPr>
            <w:t>în administrarea sau sub autoritatea Ministerului Finanțelor în anul 2020</w:t>
          </w:r>
        </w:p>
      </w:tc>
    </w:tr>
  </w:tbl>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7"/>
      <w:tblW w:w="9356" w:type="dxa"/>
      <w:tblInd w:w="0" w:type="dxa"/>
      <w:tblBorders>
        <w:top w:val="none" w:color="auto" w:sz="0" w:space="0"/>
        <w:left w:val="none" w:color="auto" w:sz="0" w:space="0"/>
        <w:bottom w:val="single" w:color="585858" w:themeColor="text1" w:themeTint="A6"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76"/>
      <w:gridCol w:w="335"/>
      <w:gridCol w:w="1645"/>
    </w:tblGrid>
    <w:tr>
      <w:tblPrEx>
        <w:tblBorders>
          <w:top w:val="none" w:color="auto" w:sz="0" w:space="0"/>
          <w:left w:val="none" w:color="auto" w:sz="0" w:space="0"/>
          <w:bottom w:val="single" w:color="585858" w:themeColor="text1" w:themeTint="A6" w:sz="4" w:space="0"/>
          <w:right w:val="none" w:color="auto" w:sz="0" w:space="0"/>
          <w:insideH w:val="none" w:color="auto" w:sz="0" w:space="0"/>
          <w:insideV w:val="none" w:color="auto" w:sz="0" w:space="0"/>
        </w:tblBorders>
        <w:tblLayout w:type="fixed"/>
      </w:tblPrEx>
      <w:trPr>
        <w:trHeight w:val="510" w:hRule="atLeast"/>
      </w:trPr>
      <w:tc>
        <w:tcPr>
          <w:tcW w:w="7376" w:type="dxa"/>
          <w:vAlign w:val="bottom"/>
        </w:tcPr>
        <w:p>
          <w:pPr>
            <w:pStyle w:val="16"/>
            <w:rPr>
              <w:color w:val="808080" w:themeColor="text1" w:themeTint="80"/>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rPr>
            <w:t xml:space="preserve">Raport anual privind activitatea societăților  aflate </w:t>
          </w:r>
        </w:p>
        <w:p>
          <w:pPr>
            <w:pStyle w:val="16"/>
          </w:pPr>
          <w:r>
            <w:rPr>
              <w:color w:val="808080" w:themeColor="text1" w:themeTint="80"/>
              <w14:textFill>
                <w14:solidFill>
                  <w14:schemeClr w14:val="tx1">
                    <w14:lumMod w14:val="50000"/>
                    <w14:lumOff w14:val="50000"/>
                  </w14:schemeClr>
                </w14:solidFill>
              </w14:textFill>
            </w:rPr>
            <w:t>în administrarea sau sub autoritatea Ministerului Finanțelor în anul 2020</w:t>
          </w:r>
        </w:p>
      </w:tc>
      <w:tc>
        <w:tcPr>
          <w:tcW w:w="335" w:type="dxa"/>
          <w:tcBorders>
            <w:bottom w:val="nil"/>
          </w:tcBorders>
        </w:tcPr>
        <w:p>
          <w:pPr>
            <w:pStyle w:val="16"/>
          </w:pPr>
        </w:p>
      </w:tc>
      <w:tc>
        <w:tcPr>
          <w:tcW w:w="1645" w:type="dxa"/>
          <w:vAlign w:val="bottom"/>
        </w:tcPr>
        <w:sdt>
          <w:sdtPr>
            <w:rPr>
              <w:rFonts w:asciiTheme="majorHAnsi" w:hAnsiTheme="majorHAnsi" w:eastAsiaTheme="majorEastAsia" w:cstheme="majorBidi"/>
              <w:sz w:val="48"/>
              <w:szCs w:val="48"/>
            </w:rPr>
            <w:id w:val="-1341929098"/>
          </w:sdtPr>
          <w:sdtEndPr>
            <w:rPr>
              <w:rFonts w:asciiTheme="majorHAnsi" w:hAnsiTheme="majorHAnsi" w:eastAsiaTheme="majorEastAsia" w:cstheme="majorBidi"/>
              <w:sz w:val="48"/>
              <w:szCs w:val="48"/>
            </w:rPr>
          </w:sdtEndPr>
          <w:sdtContent>
            <w:sdt>
              <w:sdtPr>
                <w:rPr>
                  <w:rFonts w:asciiTheme="majorHAnsi" w:hAnsiTheme="majorHAnsi" w:eastAsiaTheme="majorEastAsia" w:cstheme="majorBidi"/>
                  <w:sz w:val="48"/>
                  <w:szCs w:val="48"/>
                </w:rPr>
                <w:id w:val="581107535"/>
              </w:sdtPr>
              <w:sdtEndPr>
                <w:rPr>
                  <w:rFonts w:asciiTheme="majorHAnsi" w:hAnsiTheme="majorHAnsi" w:eastAsiaTheme="majorEastAsia" w:cstheme="majorBidi"/>
                  <w:sz w:val="48"/>
                  <w:szCs w:val="48"/>
                </w:rPr>
              </w:sdtEndPr>
              <w:sdtContent>
                <w:p>
                  <w:pPr>
                    <w:spacing w:before="0" w:after="0" w:line="240" w:lineRule="auto"/>
                    <w:jc w:val="center"/>
                    <w:rPr>
                      <w:rFonts w:asciiTheme="majorHAnsi" w:hAnsiTheme="majorHAnsi" w:eastAsiaTheme="majorEastAsia" w:cstheme="majorBidi"/>
                      <w:sz w:val="48"/>
                      <w:szCs w:val="44"/>
                    </w:rPr>
                  </w:pPr>
                  <w:r>
                    <w:rPr>
                      <w:rFonts w:cs="Times New Roman" w:eastAsiaTheme="minorEastAsia"/>
                      <w:sz w:val="22"/>
                      <w:szCs w:val="22"/>
                    </w:rPr>
                    <w:fldChar w:fldCharType="begin"/>
                  </w:r>
                  <w:r>
                    <w:instrText xml:space="preserve"> PAGE   \* MERGEFORMAT </w:instrText>
                  </w:r>
                  <w:r>
                    <w:rPr>
                      <w:rFonts w:cs="Times New Roman" w:eastAsiaTheme="minorEastAsia"/>
                      <w:sz w:val="22"/>
                      <w:szCs w:val="22"/>
                    </w:rPr>
                    <w:fldChar w:fldCharType="separate"/>
                  </w:r>
                  <w:r>
                    <w:rPr>
                      <w:rFonts w:asciiTheme="majorHAnsi" w:hAnsiTheme="majorHAnsi" w:eastAsiaTheme="majorEastAsia" w:cstheme="majorBidi"/>
                      <w:sz w:val="48"/>
                      <w:szCs w:val="48"/>
                    </w:rPr>
                    <w:t>15</w:t>
                  </w:r>
                  <w:r>
                    <w:rPr>
                      <w:rFonts w:asciiTheme="majorHAnsi" w:hAnsiTheme="majorHAnsi" w:eastAsiaTheme="majorEastAsia" w:cstheme="majorBidi"/>
                      <w:sz w:val="48"/>
                      <w:szCs w:val="48"/>
                    </w:rPr>
                    <w:fldChar w:fldCharType="end"/>
                  </w:r>
                </w:p>
              </w:sdtContent>
            </w:sdt>
          </w:sdtContent>
        </w:sdt>
      </w:tc>
    </w:tr>
  </w:tbl>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49B9"/>
    <w:multiLevelType w:val="multilevel"/>
    <w:tmpl w:val="035049B9"/>
    <w:lvl w:ilvl="0" w:tentative="0">
      <w:start w:val="1"/>
      <w:numFmt w:val="bullet"/>
      <w:lvlText w:val=""/>
      <w:lvlJc w:val="left"/>
      <w:pPr>
        <w:ind w:left="72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5984D47"/>
    <w:multiLevelType w:val="multilevel"/>
    <w:tmpl w:val="05984D47"/>
    <w:lvl w:ilvl="0" w:tentative="0">
      <w:start w:val="1"/>
      <w:numFmt w:val="decimal"/>
      <w:lvlText w:val="%1."/>
      <w:lvlJc w:val="left"/>
      <w:pPr>
        <w:ind w:left="720" w:hanging="360"/>
      </w:pPr>
      <w:rPr>
        <w:rFonts w:hint="default" w:asciiTheme="majorHAnsi" w:hAnsiTheme="majorHAnsi" w:cstheme="majorHAnsi"/>
        <w:color w:val="0F6FC6" w:themeColor="accent1"/>
        <w14:textFill>
          <w14:solidFill>
            <w14:schemeClr w14:val="accent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82F11BB"/>
    <w:multiLevelType w:val="multilevel"/>
    <w:tmpl w:val="082F11BB"/>
    <w:lvl w:ilvl="0" w:tentative="0">
      <w:start w:val="1"/>
      <w:numFmt w:val="bullet"/>
      <w:lvlText w:val=""/>
      <w:lvlJc w:val="left"/>
      <w:pPr>
        <w:ind w:left="72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DF81EA2"/>
    <w:multiLevelType w:val="multilevel"/>
    <w:tmpl w:val="0DF81EA2"/>
    <w:lvl w:ilvl="0" w:tentative="0">
      <w:start w:val="0"/>
      <w:numFmt w:val="bullet"/>
      <w:lvlText w:val="-"/>
      <w:lvlJc w:val="left"/>
      <w:pPr>
        <w:ind w:left="720" w:hanging="360"/>
      </w:pPr>
      <w:rPr>
        <w:rFonts w:hint="default" w:ascii="Cambria" w:hAnsi="Cambria" w:eastAsiaTheme="minorHAnsi" w:cs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E0172CA"/>
    <w:multiLevelType w:val="multilevel"/>
    <w:tmpl w:val="0E0172C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6CA08CC"/>
    <w:multiLevelType w:val="multilevel"/>
    <w:tmpl w:val="16CA08CC"/>
    <w:lvl w:ilvl="0" w:tentative="0">
      <w:start w:val="1"/>
      <w:numFmt w:val="lowerLetter"/>
      <w:lvlText w:val="%1)"/>
      <w:lvlJc w:val="left"/>
      <w:pPr>
        <w:ind w:left="720" w:hanging="360"/>
      </w:pPr>
    </w:lvl>
    <w:lvl w:ilvl="1" w:tentative="0">
      <w:start w:val="1"/>
      <w:numFmt w:val="decimal"/>
      <w:lvlText w:val="%2."/>
      <w:lvlJc w:val="left"/>
      <w:pPr>
        <w:ind w:left="1440" w:hanging="360"/>
      </w:pPr>
      <w:rPr>
        <w:rFonts w:hint="default"/>
        <w:b/>
        <w:color w:val="auto"/>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C8A176F"/>
    <w:multiLevelType w:val="multilevel"/>
    <w:tmpl w:val="1C8A176F"/>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5744F18"/>
    <w:multiLevelType w:val="multilevel"/>
    <w:tmpl w:val="35744F18"/>
    <w:lvl w:ilvl="0" w:tentative="0">
      <w:start w:val="1"/>
      <w:numFmt w:val="bullet"/>
      <w:lvlText w:val=""/>
      <w:lvlJc w:val="left"/>
      <w:pPr>
        <w:ind w:left="72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8E60B31"/>
    <w:multiLevelType w:val="multilevel"/>
    <w:tmpl w:val="38E60B31"/>
    <w:lvl w:ilvl="0" w:tentative="0">
      <w:start w:val="1"/>
      <w:numFmt w:val="bullet"/>
      <w:lvlText w:val=""/>
      <w:lvlJc w:val="left"/>
      <w:pPr>
        <w:ind w:left="72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24221B0"/>
    <w:multiLevelType w:val="multilevel"/>
    <w:tmpl w:val="424221B0"/>
    <w:lvl w:ilvl="0" w:tentative="0">
      <w:start w:val="1"/>
      <w:numFmt w:val="bullet"/>
      <w:lvlText w:val=""/>
      <w:lvlJc w:val="left"/>
      <w:pPr>
        <w:ind w:left="99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710" w:hanging="360"/>
      </w:pPr>
      <w:rPr>
        <w:rFonts w:hint="default" w:ascii="Courier New" w:hAnsi="Courier New" w:cs="Courier New"/>
      </w:rPr>
    </w:lvl>
    <w:lvl w:ilvl="2" w:tentative="0">
      <w:start w:val="1"/>
      <w:numFmt w:val="bullet"/>
      <w:lvlText w:val=""/>
      <w:lvlJc w:val="left"/>
      <w:pPr>
        <w:ind w:left="2430" w:hanging="360"/>
      </w:pPr>
      <w:rPr>
        <w:rFonts w:hint="default" w:ascii="Wingdings" w:hAnsi="Wingdings"/>
      </w:rPr>
    </w:lvl>
    <w:lvl w:ilvl="3" w:tentative="0">
      <w:start w:val="1"/>
      <w:numFmt w:val="bullet"/>
      <w:lvlText w:val=""/>
      <w:lvlJc w:val="left"/>
      <w:pPr>
        <w:ind w:left="3150" w:hanging="360"/>
      </w:pPr>
      <w:rPr>
        <w:rFonts w:hint="default" w:ascii="Symbol" w:hAnsi="Symbol"/>
      </w:rPr>
    </w:lvl>
    <w:lvl w:ilvl="4" w:tentative="0">
      <w:start w:val="1"/>
      <w:numFmt w:val="bullet"/>
      <w:lvlText w:val="o"/>
      <w:lvlJc w:val="left"/>
      <w:pPr>
        <w:ind w:left="3870" w:hanging="360"/>
      </w:pPr>
      <w:rPr>
        <w:rFonts w:hint="default" w:ascii="Courier New" w:hAnsi="Courier New" w:cs="Courier New"/>
      </w:rPr>
    </w:lvl>
    <w:lvl w:ilvl="5" w:tentative="0">
      <w:start w:val="1"/>
      <w:numFmt w:val="bullet"/>
      <w:lvlText w:val=""/>
      <w:lvlJc w:val="left"/>
      <w:pPr>
        <w:ind w:left="4590" w:hanging="360"/>
      </w:pPr>
      <w:rPr>
        <w:rFonts w:hint="default" w:ascii="Wingdings" w:hAnsi="Wingdings"/>
      </w:rPr>
    </w:lvl>
    <w:lvl w:ilvl="6" w:tentative="0">
      <w:start w:val="1"/>
      <w:numFmt w:val="bullet"/>
      <w:lvlText w:val=""/>
      <w:lvlJc w:val="left"/>
      <w:pPr>
        <w:ind w:left="5310" w:hanging="360"/>
      </w:pPr>
      <w:rPr>
        <w:rFonts w:hint="default" w:ascii="Symbol" w:hAnsi="Symbol"/>
      </w:rPr>
    </w:lvl>
    <w:lvl w:ilvl="7" w:tentative="0">
      <w:start w:val="1"/>
      <w:numFmt w:val="bullet"/>
      <w:lvlText w:val="o"/>
      <w:lvlJc w:val="left"/>
      <w:pPr>
        <w:ind w:left="6030" w:hanging="360"/>
      </w:pPr>
      <w:rPr>
        <w:rFonts w:hint="default" w:ascii="Courier New" w:hAnsi="Courier New" w:cs="Courier New"/>
      </w:rPr>
    </w:lvl>
    <w:lvl w:ilvl="8" w:tentative="0">
      <w:start w:val="1"/>
      <w:numFmt w:val="bullet"/>
      <w:lvlText w:val=""/>
      <w:lvlJc w:val="left"/>
      <w:pPr>
        <w:ind w:left="6750" w:hanging="360"/>
      </w:pPr>
      <w:rPr>
        <w:rFonts w:hint="default" w:ascii="Wingdings" w:hAnsi="Wingdings"/>
      </w:rPr>
    </w:lvl>
  </w:abstractNum>
  <w:abstractNum w:abstractNumId="10">
    <w:nsid w:val="42FD3490"/>
    <w:multiLevelType w:val="multilevel"/>
    <w:tmpl w:val="42FD3490"/>
    <w:lvl w:ilvl="0" w:tentative="0">
      <w:start w:val="1"/>
      <w:numFmt w:val="lowerLetter"/>
      <w:lvlText w:val="%1)"/>
      <w:lvlJc w:val="left"/>
      <w:pPr>
        <w:ind w:left="360" w:hanging="360"/>
      </w:pPr>
      <w:rPr>
        <w:b w:val="0"/>
        <w:bCs w:val="0"/>
      </w:rPr>
    </w:lvl>
    <w:lvl w:ilvl="1" w:tentative="0">
      <w:start w:val="1"/>
      <w:numFmt w:val="lowerLetter"/>
      <w:lvlText w:val="%2."/>
      <w:lvlJc w:val="left"/>
      <w:pPr>
        <w:ind w:left="1582" w:hanging="360"/>
      </w:pPr>
    </w:lvl>
    <w:lvl w:ilvl="2" w:tentative="0">
      <w:start w:val="1"/>
      <w:numFmt w:val="lowerRoman"/>
      <w:lvlText w:val="%3."/>
      <w:lvlJc w:val="right"/>
      <w:pPr>
        <w:ind w:left="2302" w:hanging="180"/>
      </w:pPr>
    </w:lvl>
    <w:lvl w:ilvl="3" w:tentative="0">
      <w:start w:val="1"/>
      <w:numFmt w:val="decimal"/>
      <w:lvlText w:val="%4."/>
      <w:lvlJc w:val="left"/>
      <w:pPr>
        <w:ind w:left="3022" w:hanging="360"/>
      </w:pPr>
    </w:lvl>
    <w:lvl w:ilvl="4" w:tentative="0">
      <w:start w:val="1"/>
      <w:numFmt w:val="lowerLetter"/>
      <w:lvlText w:val="%5."/>
      <w:lvlJc w:val="left"/>
      <w:pPr>
        <w:ind w:left="3742" w:hanging="360"/>
      </w:pPr>
    </w:lvl>
    <w:lvl w:ilvl="5" w:tentative="0">
      <w:start w:val="1"/>
      <w:numFmt w:val="lowerRoman"/>
      <w:lvlText w:val="%6."/>
      <w:lvlJc w:val="right"/>
      <w:pPr>
        <w:ind w:left="4462" w:hanging="180"/>
      </w:pPr>
    </w:lvl>
    <w:lvl w:ilvl="6" w:tentative="0">
      <w:start w:val="1"/>
      <w:numFmt w:val="decimal"/>
      <w:lvlText w:val="%7."/>
      <w:lvlJc w:val="left"/>
      <w:pPr>
        <w:ind w:left="5182" w:hanging="360"/>
      </w:pPr>
    </w:lvl>
    <w:lvl w:ilvl="7" w:tentative="0">
      <w:start w:val="1"/>
      <w:numFmt w:val="lowerLetter"/>
      <w:lvlText w:val="%8."/>
      <w:lvlJc w:val="left"/>
      <w:pPr>
        <w:ind w:left="5902" w:hanging="360"/>
      </w:pPr>
    </w:lvl>
    <w:lvl w:ilvl="8" w:tentative="0">
      <w:start w:val="1"/>
      <w:numFmt w:val="lowerRoman"/>
      <w:lvlText w:val="%9."/>
      <w:lvlJc w:val="right"/>
      <w:pPr>
        <w:ind w:left="6622" w:hanging="180"/>
      </w:pPr>
    </w:lvl>
  </w:abstractNum>
  <w:abstractNum w:abstractNumId="11">
    <w:nsid w:val="45E817D5"/>
    <w:multiLevelType w:val="multilevel"/>
    <w:tmpl w:val="45E817D5"/>
    <w:lvl w:ilvl="0" w:tentative="0">
      <w:start w:val="1"/>
      <w:numFmt w:val="bullet"/>
      <w:lvlText w:val=""/>
      <w:lvlJc w:val="left"/>
      <w:pPr>
        <w:ind w:left="99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710" w:hanging="360"/>
      </w:pPr>
      <w:rPr>
        <w:rFonts w:hint="default" w:ascii="Courier New" w:hAnsi="Courier New" w:cs="Courier New"/>
      </w:rPr>
    </w:lvl>
    <w:lvl w:ilvl="2" w:tentative="0">
      <w:start w:val="1"/>
      <w:numFmt w:val="bullet"/>
      <w:lvlText w:val=""/>
      <w:lvlJc w:val="left"/>
      <w:pPr>
        <w:ind w:left="2430" w:hanging="360"/>
      </w:pPr>
      <w:rPr>
        <w:rFonts w:hint="default" w:ascii="Wingdings" w:hAnsi="Wingdings"/>
      </w:rPr>
    </w:lvl>
    <w:lvl w:ilvl="3" w:tentative="0">
      <w:start w:val="1"/>
      <w:numFmt w:val="bullet"/>
      <w:lvlText w:val=""/>
      <w:lvlJc w:val="left"/>
      <w:pPr>
        <w:ind w:left="3150" w:hanging="360"/>
      </w:pPr>
      <w:rPr>
        <w:rFonts w:hint="default" w:ascii="Symbol" w:hAnsi="Symbol"/>
      </w:rPr>
    </w:lvl>
    <w:lvl w:ilvl="4" w:tentative="0">
      <w:start w:val="1"/>
      <w:numFmt w:val="bullet"/>
      <w:lvlText w:val="o"/>
      <w:lvlJc w:val="left"/>
      <w:pPr>
        <w:ind w:left="3870" w:hanging="360"/>
      </w:pPr>
      <w:rPr>
        <w:rFonts w:hint="default" w:ascii="Courier New" w:hAnsi="Courier New" w:cs="Courier New"/>
      </w:rPr>
    </w:lvl>
    <w:lvl w:ilvl="5" w:tentative="0">
      <w:start w:val="1"/>
      <w:numFmt w:val="bullet"/>
      <w:lvlText w:val=""/>
      <w:lvlJc w:val="left"/>
      <w:pPr>
        <w:ind w:left="4590" w:hanging="360"/>
      </w:pPr>
      <w:rPr>
        <w:rFonts w:hint="default" w:ascii="Wingdings" w:hAnsi="Wingdings"/>
      </w:rPr>
    </w:lvl>
    <w:lvl w:ilvl="6" w:tentative="0">
      <w:start w:val="1"/>
      <w:numFmt w:val="bullet"/>
      <w:lvlText w:val=""/>
      <w:lvlJc w:val="left"/>
      <w:pPr>
        <w:ind w:left="5310" w:hanging="360"/>
      </w:pPr>
      <w:rPr>
        <w:rFonts w:hint="default" w:ascii="Symbol" w:hAnsi="Symbol"/>
      </w:rPr>
    </w:lvl>
    <w:lvl w:ilvl="7" w:tentative="0">
      <w:start w:val="1"/>
      <w:numFmt w:val="bullet"/>
      <w:lvlText w:val="o"/>
      <w:lvlJc w:val="left"/>
      <w:pPr>
        <w:ind w:left="6030" w:hanging="360"/>
      </w:pPr>
      <w:rPr>
        <w:rFonts w:hint="default" w:ascii="Courier New" w:hAnsi="Courier New" w:cs="Courier New"/>
      </w:rPr>
    </w:lvl>
    <w:lvl w:ilvl="8" w:tentative="0">
      <w:start w:val="1"/>
      <w:numFmt w:val="bullet"/>
      <w:lvlText w:val=""/>
      <w:lvlJc w:val="left"/>
      <w:pPr>
        <w:ind w:left="6750" w:hanging="360"/>
      </w:pPr>
      <w:rPr>
        <w:rFonts w:hint="default" w:ascii="Wingdings" w:hAnsi="Wingdings"/>
      </w:rPr>
    </w:lvl>
  </w:abstractNum>
  <w:abstractNum w:abstractNumId="12">
    <w:nsid w:val="4DFE5856"/>
    <w:multiLevelType w:val="multilevel"/>
    <w:tmpl w:val="4DFE5856"/>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4FA41BD5"/>
    <w:multiLevelType w:val="multilevel"/>
    <w:tmpl w:val="4FA41BD5"/>
    <w:lvl w:ilvl="0" w:tentative="0">
      <w:start w:val="1"/>
      <w:numFmt w:val="bullet"/>
      <w:lvlText w:val=""/>
      <w:lvlJc w:val="left"/>
      <w:pPr>
        <w:ind w:left="99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710" w:hanging="360"/>
      </w:pPr>
      <w:rPr>
        <w:rFonts w:hint="default" w:ascii="Courier New" w:hAnsi="Courier New" w:cs="Courier New"/>
      </w:rPr>
    </w:lvl>
    <w:lvl w:ilvl="2" w:tentative="0">
      <w:start w:val="1"/>
      <w:numFmt w:val="bullet"/>
      <w:lvlText w:val=""/>
      <w:lvlJc w:val="left"/>
      <w:pPr>
        <w:ind w:left="2430" w:hanging="360"/>
      </w:pPr>
      <w:rPr>
        <w:rFonts w:hint="default" w:ascii="Wingdings" w:hAnsi="Wingdings"/>
      </w:rPr>
    </w:lvl>
    <w:lvl w:ilvl="3" w:tentative="0">
      <w:start w:val="1"/>
      <w:numFmt w:val="bullet"/>
      <w:lvlText w:val=""/>
      <w:lvlJc w:val="left"/>
      <w:pPr>
        <w:ind w:left="3150" w:hanging="360"/>
      </w:pPr>
      <w:rPr>
        <w:rFonts w:hint="default" w:ascii="Symbol" w:hAnsi="Symbol"/>
      </w:rPr>
    </w:lvl>
    <w:lvl w:ilvl="4" w:tentative="0">
      <w:start w:val="1"/>
      <w:numFmt w:val="bullet"/>
      <w:lvlText w:val="o"/>
      <w:lvlJc w:val="left"/>
      <w:pPr>
        <w:ind w:left="3870" w:hanging="360"/>
      </w:pPr>
      <w:rPr>
        <w:rFonts w:hint="default" w:ascii="Courier New" w:hAnsi="Courier New" w:cs="Courier New"/>
      </w:rPr>
    </w:lvl>
    <w:lvl w:ilvl="5" w:tentative="0">
      <w:start w:val="1"/>
      <w:numFmt w:val="bullet"/>
      <w:lvlText w:val=""/>
      <w:lvlJc w:val="left"/>
      <w:pPr>
        <w:ind w:left="4590" w:hanging="360"/>
      </w:pPr>
      <w:rPr>
        <w:rFonts w:hint="default" w:ascii="Wingdings" w:hAnsi="Wingdings"/>
      </w:rPr>
    </w:lvl>
    <w:lvl w:ilvl="6" w:tentative="0">
      <w:start w:val="1"/>
      <w:numFmt w:val="bullet"/>
      <w:lvlText w:val=""/>
      <w:lvlJc w:val="left"/>
      <w:pPr>
        <w:ind w:left="5310" w:hanging="360"/>
      </w:pPr>
      <w:rPr>
        <w:rFonts w:hint="default" w:ascii="Symbol" w:hAnsi="Symbol"/>
      </w:rPr>
    </w:lvl>
    <w:lvl w:ilvl="7" w:tentative="0">
      <w:start w:val="1"/>
      <w:numFmt w:val="bullet"/>
      <w:lvlText w:val="o"/>
      <w:lvlJc w:val="left"/>
      <w:pPr>
        <w:ind w:left="6030" w:hanging="360"/>
      </w:pPr>
      <w:rPr>
        <w:rFonts w:hint="default" w:ascii="Courier New" w:hAnsi="Courier New" w:cs="Courier New"/>
      </w:rPr>
    </w:lvl>
    <w:lvl w:ilvl="8" w:tentative="0">
      <w:start w:val="1"/>
      <w:numFmt w:val="bullet"/>
      <w:lvlText w:val=""/>
      <w:lvlJc w:val="left"/>
      <w:pPr>
        <w:ind w:left="6750" w:hanging="360"/>
      </w:pPr>
      <w:rPr>
        <w:rFonts w:hint="default" w:ascii="Wingdings" w:hAnsi="Wingdings"/>
      </w:rPr>
    </w:lvl>
  </w:abstractNum>
  <w:abstractNum w:abstractNumId="14">
    <w:nsid w:val="57CF67F6"/>
    <w:multiLevelType w:val="multilevel"/>
    <w:tmpl w:val="57CF67F6"/>
    <w:lvl w:ilvl="0" w:tentative="0">
      <w:start w:val="1"/>
      <w:numFmt w:val="bullet"/>
      <w:lvlText w:val=""/>
      <w:lvlJc w:val="left"/>
      <w:pPr>
        <w:ind w:left="72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1293E23"/>
    <w:multiLevelType w:val="multilevel"/>
    <w:tmpl w:val="61293E23"/>
    <w:lvl w:ilvl="0" w:tentative="0">
      <w:start w:val="1"/>
      <w:numFmt w:val="bullet"/>
      <w:lvlText w:val=""/>
      <w:lvlJc w:val="left"/>
      <w:pPr>
        <w:ind w:left="72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71E30D7"/>
    <w:multiLevelType w:val="multilevel"/>
    <w:tmpl w:val="671E30D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6AA74509"/>
    <w:multiLevelType w:val="multilevel"/>
    <w:tmpl w:val="6AA74509"/>
    <w:lvl w:ilvl="0" w:tentative="0">
      <w:start w:val="1"/>
      <w:numFmt w:val="bullet"/>
      <w:lvlText w:val=""/>
      <w:lvlJc w:val="left"/>
      <w:pPr>
        <w:ind w:left="720" w:hanging="360"/>
      </w:pPr>
      <w:rPr>
        <w:rFonts w:hint="default" w:ascii="Wingdings" w:hAnsi="Wingdings"/>
        <w:color w:val="0F6FC6" w:themeColor="accent1"/>
        <w14:textFill>
          <w14:solidFill>
            <w14:schemeClr w14:val="accent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2D949C7"/>
    <w:multiLevelType w:val="multilevel"/>
    <w:tmpl w:val="72D949C7"/>
    <w:lvl w:ilvl="0" w:tentative="0">
      <w:start w:val="1"/>
      <w:numFmt w:val="decimal"/>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6916805"/>
    <w:multiLevelType w:val="multilevel"/>
    <w:tmpl w:val="76916805"/>
    <w:lvl w:ilvl="0" w:tentative="0">
      <w:start w:val="1"/>
      <w:numFmt w:val="bullet"/>
      <w:lvlText w:val=""/>
      <w:lvlJc w:val="left"/>
      <w:pPr>
        <w:ind w:left="99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710" w:hanging="360"/>
      </w:pPr>
      <w:rPr>
        <w:rFonts w:hint="default" w:ascii="Courier New" w:hAnsi="Courier New" w:cs="Courier New"/>
      </w:rPr>
    </w:lvl>
    <w:lvl w:ilvl="2" w:tentative="0">
      <w:start w:val="1"/>
      <w:numFmt w:val="bullet"/>
      <w:lvlText w:val=""/>
      <w:lvlJc w:val="left"/>
      <w:pPr>
        <w:ind w:left="2430" w:hanging="360"/>
      </w:pPr>
      <w:rPr>
        <w:rFonts w:hint="default" w:ascii="Wingdings" w:hAnsi="Wingdings"/>
      </w:rPr>
    </w:lvl>
    <w:lvl w:ilvl="3" w:tentative="0">
      <w:start w:val="1"/>
      <w:numFmt w:val="bullet"/>
      <w:lvlText w:val=""/>
      <w:lvlJc w:val="left"/>
      <w:pPr>
        <w:ind w:left="3150" w:hanging="360"/>
      </w:pPr>
      <w:rPr>
        <w:rFonts w:hint="default" w:ascii="Symbol" w:hAnsi="Symbol"/>
      </w:rPr>
    </w:lvl>
    <w:lvl w:ilvl="4" w:tentative="0">
      <w:start w:val="1"/>
      <w:numFmt w:val="bullet"/>
      <w:lvlText w:val="o"/>
      <w:lvlJc w:val="left"/>
      <w:pPr>
        <w:ind w:left="3870" w:hanging="360"/>
      </w:pPr>
      <w:rPr>
        <w:rFonts w:hint="default" w:ascii="Courier New" w:hAnsi="Courier New" w:cs="Courier New"/>
      </w:rPr>
    </w:lvl>
    <w:lvl w:ilvl="5" w:tentative="0">
      <w:start w:val="1"/>
      <w:numFmt w:val="bullet"/>
      <w:lvlText w:val=""/>
      <w:lvlJc w:val="left"/>
      <w:pPr>
        <w:ind w:left="4590" w:hanging="360"/>
      </w:pPr>
      <w:rPr>
        <w:rFonts w:hint="default" w:ascii="Wingdings" w:hAnsi="Wingdings"/>
      </w:rPr>
    </w:lvl>
    <w:lvl w:ilvl="6" w:tentative="0">
      <w:start w:val="1"/>
      <w:numFmt w:val="bullet"/>
      <w:lvlText w:val=""/>
      <w:lvlJc w:val="left"/>
      <w:pPr>
        <w:ind w:left="5310" w:hanging="360"/>
      </w:pPr>
      <w:rPr>
        <w:rFonts w:hint="default" w:ascii="Symbol" w:hAnsi="Symbol"/>
      </w:rPr>
    </w:lvl>
    <w:lvl w:ilvl="7" w:tentative="0">
      <w:start w:val="1"/>
      <w:numFmt w:val="bullet"/>
      <w:lvlText w:val="o"/>
      <w:lvlJc w:val="left"/>
      <w:pPr>
        <w:ind w:left="6030" w:hanging="360"/>
      </w:pPr>
      <w:rPr>
        <w:rFonts w:hint="default" w:ascii="Courier New" w:hAnsi="Courier New" w:cs="Courier New"/>
      </w:rPr>
    </w:lvl>
    <w:lvl w:ilvl="8" w:tentative="0">
      <w:start w:val="1"/>
      <w:numFmt w:val="bullet"/>
      <w:lvlText w:val=""/>
      <w:lvlJc w:val="left"/>
      <w:pPr>
        <w:ind w:left="6750" w:hanging="360"/>
      </w:pPr>
      <w:rPr>
        <w:rFonts w:hint="default" w:ascii="Wingdings" w:hAnsi="Wingdings"/>
      </w:rPr>
    </w:lvl>
  </w:abstractNum>
  <w:abstractNum w:abstractNumId="20">
    <w:nsid w:val="7D310C0E"/>
    <w:multiLevelType w:val="multilevel"/>
    <w:tmpl w:val="7D310C0E"/>
    <w:lvl w:ilvl="0" w:tentative="0">
      <w:start w:val="1"/>
      <w:numFmt w:val="bullet"/>
      <w:lvlText w:val=""/>
      <w:lvlJc w:val="left"/>
      <w:pPr>
        <w:ind w:left="72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E8D32AE"/>
    <w:multiLevelType w:val="multilevel"/>
    <w:tmpl w:val="7E8D32AE"/>
    <w:lvl w:ilvl="0" w:tentative="0">
      <w:start w:val="1"/>
      <w:numFmt w:val="bullet"/>
      <w:lvlText w:val=""/>
      <w:lvlJc w:val="left"/>
      <w:pPr>
        <w:ind w:left="72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FA65728"/>
    <w:multiLevelType w:val="multilevel"/>
    <w:tmpl w:val="7FA65728"/>
    <w:lvl w:ilvl="0" w:tentative="0">
      <w:start w:val="1"/>
      <w:numFmt w:val="bullet"/>
      <w:lvlText w:val=""/>
      <w:lvlJc w:val="left"/>
      <w:pPr>
        <w:ind w:left="72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10"/>
  </w:num>
  <w:num w:numId="3">
    <w:abstractNumId w:val="5"/>
  </w:num>
  <w:num w:numId="4">
    <w:abstractNumId w:val="16"/>
  </w:num>
  <w:num w:numId="5">
    <w:abstractNumId w:val="4"/>
  </w:num>
  <w:num w:numId="6">
    <w:abstractNumId w:val="18"/>
  </w:num>
  <w:num w:numId="7">
    <w:abstractNumId w:val="21"/>
  </w:num>
  <w:num w:numId="8">
    <w:abstractNumId w:val="15"/>
  </w:num>
  <w:num w:numId="9">
    <w:abstractNumId w:val="12"/>
  </w:num>
  <w:num w:numId="10">
    <w:abstractNumId w:val="11"/>
  </w:num>
  <w:num w:numId="11">
    <w:abstractNumId w:val="14"/>
  </w:num>
  <w:num w:numId="12">
    <w:abstractNumId w:val="9"/>
  </w:num>
  <w:num w:numId="13">
    <w:abstractNumId w:val="19"/>
  </w:num>
  <w:num w:numId="14">
    <w:abstractNumId w:val="13"/>
  </w:num>
  <w:num w:numId="15">
    <w:abstractNumId w:val="6"/>
  </w:num>
  <w:num w:numId="16">
    <w:abstractNumId w:val="2"/>
  </w:num>
  <w:num w:numId="17">
    <w:abstractNumId w:val="20"/>
  </w:num>
  <w:num w:numId="18">
    <w:abstractNumId w:val="8"/>
  </w:num>
  <w:num w:numId="19">
    <w:abstractNumId w:val="22"/>
  </w:num>
  <w:num w:numId="20">
    <w:abstractNumId w:val="1"/>
  </w:num>
  <w:num w:numId="21">
    <w:abstractNumId w:val="7"/>
  </w:num>
  <w:num w:numId="22">
    <w:abstractNumId w:val="1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documentProtection w:enforcement="0"/>
  <w:defaultTabStop w:val="708"/>
  <w:hyphenationZone w:val="425"/>
  <w:evenAndOddHeaders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3C"/>
    <w:rsid w:val="00000374"/>
    <w:rsid w:val="00001063"/>
    <w:rsid w:val="000014F9"/>
    <w:rsid w:val="00001A13"/>
    <w:rsid w:val="00002497"/>
    <w:rsid w:val="00002555"/>
    <w:rsid w:val="00003127"/>
    <w:rsid w:val="000047FF"/>
    <w:rsid w:val="00006BB4"/>
    <w:rsid w:val="00010ACD"/>
    <w:rsid w:val="00012B0A"/>
    <w:rsid w:val="00013E1A"/>
    <w:rsid w:val="0001541D"/>
    <w:rsid w:val="00016AD9"/>
    <w:rsid w:val="00017DC9"/>
    <w:rsid w:val="0002056A"/>
    <w:rsid w:val="00020C07"/>
    <w:rsid w:val="00020F46"/>
    <w:rsid w:val="00021F3C"/>
    <w:rsid w:val="000226A4"/>
    <w:rsid w:val="00022A30"/>
    <w:rsid w:val="00023267"/>
    <w:rsid w:val="00023D67"/>
    <w:rsid w:val="00024C62"/>
    <w:rsid w:val="0002681B"/>
    <w:rsid w:val="00026919"/>
    <w:rsid w:val="00026A79"/>
    <w:rsid w:val="00026F0D"/>
    <w:rsid w:val="00030D96"/>
    <w:rsid w:val="00031225"/>
    <w:rsid w:val="000315E0"/>
    <w:rsid w:val="00031E67"/>
    <w:rsid w:val="00032116"/>
    <w:rsid w:val="000330F1"/>
    <w:rsid w:val="00033EB0"/>
    <w:rsid w:val="0003487B"/>
    <w:rsid w:val="000349B4"/>
    <w:rsid w:val="000351E2"/>
    <w:rsid w:val="00035590"/>
    <w:rsid w:val="000359D7"/>
    <w:rsid w:val="00035F28"/>
    <w:rsid w:val="000361C7"/>
    <w:rsid w:val="00036608"/>
    <w:rsid w:val="0003694D"/>
    <w:rsid w:val="00036D78"/>
    <w:rsid w:val="00037571"/>
    <w:rsid w:val="00040861"/>
    <w:rsid w:val="000408EC"/>
    <w:rsid w:val="00041218"/>
    <w:rsid w:val="00041B80"/>
    <w:rsid w:val="00042451"/>
    <w:rsid w:val="00042A53"/>
    <w:rsid w:val="00042BA9"/>
    <w:rsid w:val="00042DD1"/>
    <w:rsid w:val="00043B75"/>
    <w:rsid w:val="00044239"/>
    <w:rsid w:val="000460B3"/>
    <w:rsid w:val="00050981"/>
    <w:rsid w:val="0005285B"/>
    <w:rsid w:val="00052A43"/>
    <w:rsid w:val="00052EDC"/>
    <w:rsid w:val="00052F19"/>
    <w:rsid w:val="00055118"/>
    <w:rsid w:val="00055170"/>
    <w:rsid w:val="00055539"/>
    <w:rsid w:val="00055688"/>
    <w:rsid w:val="00056D93"/>
    <w:rsid w:val="0005713C"/>
    <w:rsid w:val="00060857"/>
    <w:rsid w:val="00060CAC"/>
    <w:rsid w:val="000625DB"/>
    <w:rsid w:val="0006329F"/>
    <w:rsid w:val="00063D58"/>
    <w:rsid w:val="0006518B"/>
    <w:rsid w:val="00065FED"/>
    <w:rsid w:val="000672EC"/>
    <w:rsid w:val="00067C92"/>
    <w:rsid w:val="00070948"/>
    <w:rsid w:val="00071D54"/>
    <w:rsid w:val="00072209"/>
    <w:rsid w:val="00072830"/>
    <w:rsid w:val="00073A54"/>
    <w:rsid w:val="00073A9C"/>
    <w:rsid w:val="00073CCC"/>
    <w:rsid w:val="00073D33"/>
    <w:rsid w:val="00073F98"/>
    <w:rsid w:val="00074983"/>
    <w:rsid w:val="00074C22"/>
    <w:rsid w:val="00077F3B"/>
    <w:rsid w:val="00080516"/>
    <w:rsid w:val="00080BB3"/>
    <w:rsid w:val="00080CA1"/>
    <w:rsid w:val="00083761"/>
    <w:rsid w:val="00085102"/>
    <w:rsid w:val="0008559F"/>
    <w:rsid w:val="000869B9"/>
    <w:rsid w:val="00086DBE"/>
    <w:rsid w:val="000873CD"/>
    <w:rsid w:val="00090D6D"/>
    <w:rsid w:val="00091772"/>
    <w:rsid w:val="00092540"/>
    <w:rsid w:val="00092CE9"/>
    <w:rsid w:val="00092E15"/>
    <w:rsid w:val="00093223"/>
    <w:rsid w:val="00093CB4"/>
    <w:rsid w:val="00093F95"/>
    <w:rsid w:val="00094108"/>
    <w:rsid w:val="00095D45"/>
    <w:rsid w:val="00096997"/>
    <w:rsid w:val="00097A52"/>
    <w:rsid w:val="00097F9E"/>
    <w:rsid w:val="00097FBE"/>
    <w:rsid w:val="000A02B1"/>
    <w:rsid w:val="000A11CF"/>
    <w:rsid w:val="000A1A40"/>
    <w:rsid w:val="000A2DD1"/>
    <w:rsid w:val="000A333C"/>
    <w:rsid w:val="000A35CA"/>
    <w:rsid w:val="000A39E6"/>
    <w:rsid w:val="000A3EA8"/>
    <w:rsid w:val="000A46AC"/>
    <w:rsid w:val="000A4B3C"/>
    <w:rsid w:val="000A4D3F"/>
    <w:rsid w:val="000A6542"/>
    <w:rsid w:val="000A6F24"/>
    <w:rsid w:val="000A74C6"/>
    <w:rsid w:val="000A75E2"/>
    <w:rsid w:val="000B1E36"/>
    <w:rsid w:val="000B2866"/>
    <w:rsid w:val="000B29FA"/>
    <w:rsid w:val="000B32DB"/>
    <w:rsid w:val="000B5796"/>
    <w:rsid w:val="000B62D9"/>
    <w:rsid w:val="000B68D7"/>
    <w:rsid w:val="000B6C61"/>
    <w:rsid w:val="000B71EC"/>
    <w:rsid w:val="000B732F"/>
    <w:rsid w:val="000B7FBC"/>
    <w:rsid w:val="000C021E"/>
    <w:rsid w:val="000C0CB1"/>
    <w:rsid w:val="000C11C5"/>
    <w:rsid w:val="000C12A7"/>
    <w:rsid w:val="000C132F"/>
    <w:rsid w:val="000C1D39"/>
    <w:rsid w:val="000C1DFE"/>
    <w:rsid w:val="000C24C0"/>
    <w:rsid w:val="000C24DB"/>
    <w:rsid w:val="000C30BC"/>
    <w:rsid w:val="000C331F"/>
    <w:rsid w:val="000C36D3"/>
    <w:rsid w:val="000C5426"/>
    <w:rsid w:val="000C6CE2"/>
    <w:rsid w:val="000C7FBF"/>
    <w:rsid w:val="000D1216"/>
    <w:rsid w:val="000D13FD"/>
    <w:rsid w:val="000D1445"/>
    <w:rsid w:val="000D188E"/>
    <w:rsid w:val="000D1AF4"/>
    <w:rsid w:val="000D1FF8"/>
    <w:rsid w:val="000D4111"/>
    <w:rsid w:val="000D47A8"/>
    <w:rsid w:val="000D4CD0"/>
    <w:rsid w:val="000D6A07"/>
    <w:rsid w:val="000D771F"/>
    <w:rsid w:val="000E2231"/>
    <w:rsid w:val="000E34FC"/>
    <w:rsid w:val="000E4723"/>
    <w:rsid w:val="000E5064"/>
    <w:rsid w:val="000E5F23"/>
    <w:rsid w:val="000E68F4"/>
    <w:rsid w:val="000F06E7"/>
    <w:rsid w:val="000F178A"/>
    <w:rsid w:val="000F20A0"/>
    <w:rsid w:val="000F2D4C"/>
    <w:rsid w:val="000F2E2D"/>
    <w:rsid w:val="000F385D"/>
    <w:rsid w:val="000F405D"/>
    <w:rsid w:val="00102671"/>
    <w:rsid w:val="00102FDA"/>
    <w:rsid w:val="00103E27"/>
    <w:rsid w:val="00104E53"/>
    <w:rsid w:val="00106089"/>
    <w:rsid w:val="0010704E"/>
    <w:rsid w:val="00110AFD"/>
    <w:rsid w:val="00111882"/>
    <w:rsid w:val="0011190E"/>
    <w:rsid w:val="00111F1F"/>
    <w:rsid w:val="00112705"/>
    <w:rsid w:val="001135E8"/>
    <w:rsid w:val="001138C6"/>
    <w:rsid w:val="0011419A"/>
    <w:rsid w:val="001141AB"/>
    <w:rsid w:val="0011523D"/>
    <w:rsid w:val="00116D10"/>
    <w:rsid w:val="001172B6"/>
    <w:rsid w:val="00122DC2"/>
    <w:rsid w:val="0012307D"/>
    <w:rsid w:val="00124C36"/>
    <w:rsid w:val="001255B0"/>
    <w:rsid w:val="00126729"/>
    <w:rsid w:val="00126A01"/>
    <w:rsid w:val="00127951"/>
    <w:rsid w:val="00130D8C"/>
    <w:rsid w:val="001324E9"/>
    <w:rsid w:val="00132D1E"/>
    <w:rsid w:val="00134A4D"/>
    <w:rsid w:val="00134CB9"/>
    <w:rsid w:val="0013503E"/>
    <w:rsid w:val="0013601D"/>
    <w:rsid w:val="001362D0"/>
    <w:rsid w:val="00137747"/>
    <w:rsid w:val="0013794B"/>
    <w:rsid w:val="00140056"/>
    <w:rsid w:val="0014016C"/>
    <w:rsid w:val="00140ED8"/>
    <w:rsid w:val="001411F5"/>
    <w:rsid w:val="00141DEE"/>
    <w:rsid w:val="0014228F"/>
    <w:rsid w:val="001437FD"/>
    <w:rsid w:val="00143C0D"/>
    <w:rsid w:val="00143D24"/>
    <w:rsid w:val="00144DBD"/>
    <w:rsid w:val="00146912"/>
    <w:rsid w:val="001469A1"/>
    <w:rsid w:val="001470A9"/>
    <w:rsid w:val="00147491"/>
    <w:rsid w:val="0015021E"/>
    <w:rsid w:val="0015110F"/>
    <w:rsid w:val="00151122"/>
    <w:rsid w:val="00152807"/>
    <w:rsid w:val="00155801"/>
    <w:rsid w:val="00156292"/>
    <w:rsid w:val="00156B1E"/>
    <w:rsid w:val="00156E8E"/>
    <w:rsid w:val="00157002"/>
    <w:rsid w:val="0016021D"/>
    <w:rsid w:val="0016027A"/>
    <w:rsid w:val="00160C6C"/>
    <w:rsid w:val="0016240D"/>
    <w:rsid w:val="00163122"/>
    <w:rsid w:val="00165FF7"/>
    <w:rsid w:val="00166E72"/>
    <w:rsid w:val="00167444"/>
    <w:rsid w:val="00170262"/>
    <w:rsid w:val="001705C4"/>
    <w:rsid w:val="001728BF"/>
    <w:rsid w:val="001728E4"/>
    <w:rsid w:val="00172A27"/>
    <w:rsid w:val="00172E78"/>
    <w:rsid w:val="00173CC4"/>
    <w:rsid w:val="00173FA3"/>
    <w:rsid w:val="00174D72"/>
    <w:rsid w:val="00177687"/>
    <w:rsid w:val="00181263"/>
    <w:rsid w:val="0018294C"/>
    <w:rsid w:val="0018492A"/>
    <w:rsid w:val="00185430"/>
    <w:rsid w:val="0018789C"/>
    <w:rsid w:val="00187DE1"/>
    <w:rsid w:val="001913CD"/>
    <w:rsid w:val="00193CB5"/>
    <w:rsid w:val="00196475"/>
    <w:rsid w:val="00196AC5"/>
    <w:rsid w:val="001979F1"/>
    <w:rsid w:val="001A0A25"/>
    <w:rsid w:val="001A0A7C"/>
    <w:rsid w:val="001A26AF"/>
    <w:rsid w:val="001A2E67"/>
    <w:rsid w:val="001A33E9"/>
    <w:rsid w:val="001A36B7"/>
    <w:rsid w:val="001A4727"/>
    <w:rsid w:val="001A62FD"/>
    <w:rsid w:val="001A65CB"/>
    <w:rsid w:val="001A772E"/>
    <w:rsid w:val="001A7B6C"/>
    <w:rsid w:val="001B08EB"/>
    <w:rsid w:val="001B1228"/>
    <w:rsid w:val="001B2CD8"/>
    <w:rsid w:val="001B30C6"/>
    <w:rsid w:val="001B30FB"/>
    <w:rsid w:val="001B4189"/>
    <w:rsid w:val="001B43EA"/>
    <w:rsid w:val="001B55B0"/>
    <w:rsid w:val="001B639F"/>
    <w:rsid w:val="001B665D"/>
    <w:rsid w:val="001B6958"/>
    <w:rsid w:val="001B77E7"/>
    <w:rsid w:val="001C0AE1"/>
    <w:rsid w:val="001C4309"/>
    <w:rsid w:val="001C4338"/>
    <w:rsid w:val="001C5E12"/>
    <w:rsid w:val="001C60DA"/>
    <w:rsid w:val="001C6135"/>
    <w:rsid w:val="001C682B"/>
    <w:rsid w:val="001C6D06"/>
    <w:rsid w:val="001C7431"/>
    <w:rsid w:val="001C7743"/>
    <w:rsid w:val="001C775C"/>
    <w:rsid w:val="001D0E33"/>
    <w:rsid w:val="001D2B66"/>
    <w:rsid w:val="001D30B3"/>
    <w:rsid w:val="001D321E"/>
    <w:rsid w:val="001D43BD"/>
    <w:rsid w:val="001D48D9"/>
    <w:rsid w:val="001D4DEA"/>
    <w:rsid w:val="001D54C1"/>
    <w:rsid w:val="001E2617"/>
    <w:rsid w:val="001E3620"/>
    <w:rsid w:val="001E5166"/>
    <w:rsid w:val="001E550E"/>
    <w:rsid w:val="001E5883"/>
    <w:rsid w:val="001E6CFA"/>
    <w:rsid w:val="001E796D"/>
    <w:rsid w:val="001F00D1"/>
    <w:rsid w:val="001F011D"/>
    <w:rsid w:val="001F0508"/>
    <w:rsid w:val="001F269F"/>
    <w:rsid w:val="001F37A8"/>
    <w:rsid w:val="001F3ABB"/>
    <w:rsid w:val="001F4D83"/>
    <w:rsid w:val="001F67C6"/>
    <w:rsid w:val="001F76E2"/>
    <w:rsid w:val="001F7C60"/>
    <w:rsid w:val="00201C2E"/>
    <w:rsid w:val="00201FB7"/>
    <w:rsid w:val="00202B07"/>
    <w:rsid w:val="002033CD"/>
    <w:rsid w:val="00203E06"/>
    <w:rsid w:val="00205BCF"/>
    <w:rsid w:val="00206B12"/>
    <w:rsid w:val="002114EB"/>
    <w:rsid w:val="002123E6"/>
    <w:rsid w:val="0021305A"/>
    <w:rsid w:val="00213B6B"/>
    <w:rsid w:val="0021421C"/>
    <w:rsid w:val="00214A93"/>
    <w:rsid w:val="002150E8"/>
    <w:rsid w:val="002154D0"/>
    <w:rsid w:val="00215BA9"/>
    <w:rsid w:val="00216165"/>
    <w:rsid w:val="00216F37"/>
    <w:rsid w:val="002179E7"/>
    <w:rsid w:val="00217AE3"/>
    <w:rsid w:val="00217EBE"/>
    <w:rsid w:val="0022099B"/>
    <w:rsid w:val="00221526"/>
    <w:rsid w:val="00221A2E"/>
    <w:rsid w:val="00221A8C"/>
    <w:rsid w:val="00222390"/>
    <w:rsid w:val="002241DA"/>
    <w:rsid w:val="00224DD9"/>
    <w:rsid w:val="0022519A"/>
    <w:rsid w:val="002253C8"/>
    <w:rsid w:val="002258EE"/>
    <w:rsid w:val="00230349"/>
    <w:rsid w:val="002335EF"/>
    <w:rsid w:val="002339CB"/>
    <w:rsid w:val="002341CF"/>
    <w:rsid w:val="00234938"/>
    <w:rsid w:val="00235931"/>
    <w:rsid w:val="002367E6"/>
    <w:rsid w:val="00236B05"/>
    <w:rsid w:val="002405CE"/>
    <w:rsid w:val="00243317"/>
    <w:rsid w:val="002435C7"/>
    <w:rsid w:val="00244FD3"/>
    <w:rsid w:val="00245523"/>
    <w:rsid w:val="00245C71"/>
    <w:rsid w:val="00245F1F"/>
    <w:rsid w:val="00247236"/>
    <w:rsid w:val="00247401"/>
    <w:rsid w:val="00251CB3"/>
    <w:rsid w:val="00251E2F"/>
    <w:rsid w:val="0025230F"/>
    <w:rsid w:val="002529B6"/>
    <w:rsid w:val="00254110"/>
    <w:rsid w:val="002545E8"/>
    <w:rsid w:val="00257B8F"/>
    <w:rsid w:val="00257FE8"/>
    <w:rsid w:val="002611ED"/>
    <w:rsid w:val="00263B0C"/>
    <w:rsid w:val="00264FA1"/>
    <w:rsid w:val="00265BDA"/>
    <w:rsid w:val="0026784F"/>
    <w:rsid w:val="00270FF4"/>
    <w:rsid w:val="0027194F"/>
    <w:rsid w:val="002737AB"/>
    <w:rsid w:val="002751FF"/>
    <w:rsid w:val="002755D9"/>
    <w:rsid w:val="00276128"/>
    <w:rsid w:val="00276872"/>
    <w:rsid w:val="00282304"/>
    <w:rsid w:val="002824D4"/>
    <w:rsid w:val="002839F3"/>
    <w:rsid w:val="00283C9C"/>
    <w:rsid w:val="00286EA8"/>
    <w:rsid w:val="002870A4"/>
    <w:rsid w:val="00287686"/>
    <w:rsid w:val="0029060C"/>
    <w:rsid w:val="00290855"/>
    <w:rsid w:val="002929A3"/>
    <w:rsid w:val="002931B8"/>
    <w:rsid w:val="00293CB7"/>
    <w:rsid w:val="002947A7"/>
    <w:rsid w:val="00295C68"/>
    <w:rsid w:val="0029684A"/>
    <w:rsid w:val="00297141"/>
    <w:rsid w:val="002974A1"/>
    <w:rsid w:val="00297A71"/>
    <w:rsid w:val="002A1618"/>
    <w:rsid w:val="002A37DC"/>
    <w:rsid w:val="002A437F"/>
    <w:rsid w:val="002A440E"/>
    <w:rsid w:val="002A4908"/>
    <w:rsid w:val="002A5AAE"/>
    <w:rsid w:val="002A5E77"/>
    <w:rsid w:val="002A7186"/>
    <w:rsid w:val="002B0A60"/>
    <w:rsid w:val="002B1833"/>
    <w:rsid w:val="002B4C7D"/>
    <w:rsid w:val="002B5E13"/>
    <w:rsid w:val="002B61D2"/>
    <w:rsid w:val="002B6A73"/>
    <w:rsid w:val="002B75E4"/>
    <w:rsid w:val="002B781E"/>
    <w:rsid w:val="002C0AC8"/>
    <w:rsid w:val="002C1EF8"/>
    <w:rsid w:val="002C240B"/>
    <w:rsid w:val="002C2A6C"/>
    <w:rsid w:val="002C3141"/>
    <w:rsid w:val="002C5618"/>
    <w:rsid w:val="002C5B5D"/>
    <w:rsid w:val="002C6B5D"/>
    <w:rsid w:val="002D0A29"/>
    <w:rsid w:val="002D1EC0"/>
    <w:rsid w:val="002D34E2"/>
    <w:rsid w:val="002D4DA5"/>
    <w:rsid w:val="002D4F19"/>
    <w:rsid w:val="002D5781"/>
    <w:rsid w:val="002D5D55"/>
    <w:rsid w:val="002D69C2"/>
    <w:rsid w:val="002D6EA5"/>
    <w:rsid w:val="002D74C9"/>
    <w:rsid w:val="002E0FC0"/>
    <w:rsid w:val="002E1975"/>
    <w:rsid w:val="002E1AED"/>
    <w:rsid w:val="002E2536"/>
    <w:rsid w:val="002E2C11"/>
    <w:rsid w:val="002E2C40"/>
    <w:rsid w:val="002E4B9C"/>
    <w:rsid w:val="002E4D52"/>
    <w:rsid w:val="002E6A53"/>
    <w:rsid w:val="002E6ED1"/>
    <w:rsid w:val="002F0C5C"/>
    <w:rsid w:val="002F1AEB"/>
    <w:rsid w:val="002F31C3"/>
    <w:rsid w:val="002F401E"/>
    <w:rsid w:val="002F4299"/>
    <w:rsid w:val="002F562B"/>
    <w:rsid w:val="002F5F5B"/>
    <w:rsid w:val="003000ED"/>
    <w:rsid w:val="00301A08"/>
    <w:rsid w:val="00302415"/>
    <w:rsid w:val="00302B8B"/>
    <w:rsid w:val="00302EC5"/>
    <w:rsid w:val="00304433"/>
    <w:rsid w:val="00304768"/>
    <w:rsid w:val="00304FC4"/>
    <w:rsid w:val="00306890"/>
    <w:rsid w:val="003071A5"/>
    <w:rsid w:val="003076C8"/>
    <w:rsid w:val="00307999"/>
    <w:rsid w:val="00307C4D"/>
    <w:rsid w:val="00310DEA"/>
    <w:rsid w:val="00311EDE"/>
    <w:rsid w:val="003120D2"/>
    <w:rsid w:val="00312716"/>
    <w:rsid w:val="00312A57"/>
    <w:rsid w:val="003132A0"/>
    <w:rsid w:val="0031405E"/>
    <w:rsid w:val="0031410D"/>
    <w:rsid w:val="00314389"/>
    <w:rsid w:val="003144E7"/>
    <w:rsid w:val="00314503"/>
    <w:rsid w:val="003146B7"/>
    <w:rsid w:val="0031529C"/>
    <w:rsid w:val="00315A11"/>
    <w:rsid w:val="00316392"/>
    <w:rsid w:val="00316853"/>
    <w:rsid w:val="00323D25"/>
    <w:rsid w:val="003254E1"/>
    <w:rsid w:val="00327547"/>
    <w:rsid w:val="003277E4"/>
    <w:rsid w:val="00330B78"/>
    <w:rsid w:val="003310EA"/>
    <w:rsid w:val="003326E4"/>
    <w:rsid w:val="00332B05"/>
    <w:rsid w:val="00332E19"/>
    <w:rsid w:val="003347E8"/>
    <w:rsid w:val="003348B7"/>
    <w:rsid w:val="00334BE8"/>
    <w:rsid w:val="00335244"/>
    <w:rsid w:val="00335755"/>
    <w:rsid w:val="00335D60"/>
    <w:rsid w:val="00337D8B"/>
    <w:rsid w:val="00340002"/>
    <w:rsid w:val="0034066C"/>
    <w:rsid w:val="00340F84"/>
    <w:rsid w:val="00341E23"/>
    <w:rsid w:val="00342023"/>
    <w:rsid w:val="0034210E"/>
    <w:rsid w:val="003421B9"/>
    <w:rsid w:val="00343DC4"/>
    <w:rsid w:val="00345A15"/>
    <w:rsid w:val="003503D8"/>
    <w:rsid w:val="00350BFD"/>
    <w:rsid w:val="003514FE"/>
    <w:rsid w:val="003527DD"/>
    <w:rsid w:val="00352CF6"/>
    <w:rsid w:val="00352E09"/>
    <w:rsid w:val="0035306D"/>
    <w:rsid w:val="003550C0"/>
    <w:rsid w:val="00355C6A"/>
    <w:rsid w:val="003563A0"/>
    <w:rsid w:val="00356DE3"/>
    <w:rsid w:val="003613E0"/>
    <w:rsid w:val="00363E87"/>
    <w:rsid w:val="00364339"/>
    <w:rsid w:val="00364C7B"/>
    <w:rsid w:val="00364DE9"/>
    <w:rsid w:val="00365D13"/>
    <w:rsid w:val="00365FC9"/>
    <w:rsid w:val="0036672D"/>
    <w:rsid w:val="00366733"/>
    <w:rsid w:val="00366AB3"/>
    <w:rsid w:val="00367FC3"/>
    <w:rsid w:val="00370800"/>
    <w:rsid w:val="00370CFA"/>
    <w:rsid w:val="00370FD9"/>
    <w:rsid w:val="00371306"/>
    <w:rsid w:val="0037167B"/>
    <w:rsid w:val="00371E80"/>
    <w:rsid w:val="00372A70"/>
    <w:rsid w:val="003738CF"/>
    <w:rsid w:val="00376222"/>
    <w:rsid w:val="00376696"/>
    <w:rsid w:val="00377FEC"/>
    <w:rsid w:val="0038101F"/>
    <w:rsid w:val="0038112A"/>
    <w:rsid w:val="00382498"/>
    <w:rsid w:val="00383238"/>
    <w:rsid w:val="00383BD4"/>
    <w:rsid w:val="00385168"/>
    <w:rsid w:val="0038527B"/>
    <w:rsid w:val="003858D7"/>
    <w:rsid w:val="00386420"/>
    <w:rsid w:val="00386887"/>
    <w:rsid w:val="00387046"/>
    <w:rsid w:val="003870D1"/>
    <w:rsid w:val="00387D2C"/>
    <w:rsid w:val="003900C3"/>
    <w:rsid w:val="0039082E"/>
    <w:rsid w:val="00390CDE"/>
    <w:rsid w:val="003913C0"/>
    <w:rsid w:val="00391748"/>
    <w:rsid w:val="0039269F"/>
    <w:rsid w:val="00394757"/>
    <w:rsid w:val="00394B58"/>
    <w:rsid w:val="00394E0D"/>
    <w:rsid w:val="00395AE7"/>
    <w:rsid w:val="003976FC"/>
    <w:rsid w:val="00397F04"/>
    <w:rsid w:val="003A06B1"/>
    <w:rsid w:val="003A0889"/>
    <w:rsid w:val="003A0A71"/>
    <w:rsid w:val="003A0B6A"/>
    <w:rsid w:val="003A1B00"/>
    <w:rsid w:val="003A2ED1"/>
    <w:rsid w:val="003A3534"/>
    <w:rsid w:val="003A3B86"/>
    <w:rsid w:val="003A5814"/>
    <w:rsid w:val="003A619E"/>
    <w:rsid w:val="003A6ABC"/>
    <w:rsid w:val="003A78D3"/>
    <w:rsid w:val="003B0740"/>
    <w:rsid w:val="003B252E"/>
    <w:rsid w:val="003B265B"/>
    <w:rsid w:val="003B357A"/>
    <w:rsid w:val="003B3E3E"/>
    <w:rsid w:val="003B5B9B"/>
    <w:rsid w:val="003B6848"/>
    <w:rsid w:val="003B6B16"/>
    <w:rsid w:val="003B6F3E"/>
    <w:rsid w:val="003B6F9E"/>
    <w:rsid w:val="003B7590"/>
    <w:rsid w:val="003B7B13"/>
    <w:rsid w:val="003B7EA3"/>
    <w:rsid w:val="003C0DF4"/>
    <w:rsid w:val="003C20B5"/>
    <w:rsid w:val="003C2F43"/>
    <w:rsid w:val="003C44B2"/>
    <w:rsid w:val="003C4641"/>
    <w:rsid w:val="003C4E28"/>
    <w:rsid w:val="003C4F07"/>
    <w:rsid w:val="003C549D"/>
    <w:rsid w:val="003C57CB"/>
    <w:rsid w:val="003C57EB"/>
    <w:rsid w:val="003C5E31"/>
    <w:rsid w:val="003C6A9E"/>
    <w:rsid w:val="003C7556"/>
    <w:rsid w:val="003C7587"/>
    <w:rsid w:val="003D0356"/>
    <w:rsid w:val="003D1C3C"/>
    <w:rsid w:val="003D2EDF"/>
    <w:rsid w:val="003D358B"/>
    <w:rsid w:val="003D3FB9"/>
    <w:rsid w:val="003D4337"/>
    <w:rsid w:val="003D46B7"/>
    <w:rsid w:val="003D4D0E"/>
    <w:rsid w:val="003D501D"/>
    <w:rsid w:val="003D50F4"/>
    <w:rsid w:val="003E03C9"/>
    <w:rsid w:val="003E0EDE"/>
    <w:rsid w:val="003E176D"/>
    <w:rsid w:val="003E19E5"/>
    <w:rsid w:val="003E28F6"/>
    <w:rsid w:val="003E3891"/>
    <w:rsid w:val="003E3979"/>
    <w:rsid w:val="003E65A5"/>
    <w:rsid w:val="003E67F0"/>
    <w:rsid w:val="003E7606"/>
    <w:rsid w:val="003E7A5C"/>
    <w:rsid w:val="003E7F5B"/>
    <w:rsid w:val="003F015D"/>
    <w:rsid w:val="003F0480"/>
    <w:rsid w:val="003F083B"/>
    <w:rsid w:val="003F2B6F"/>
    <w:rsid w:val="003F308B"/>
    <w:rsid w:val="003F3E35"/>
    <w:rsid w:val="003F4F46"/>
    <w:rsid w:val="003F5644"/>
    <w:rsid w:val="003F5825"/>
    <w:rsid w:val="003F5A53"/>
    <w:rsid w:val="003F7019"/>
    <w:rsid w:val="003F7C14"/>
    <w:rsid w:val="00401D01"/>
    <w:rsid w:val="00401D90"/>
    <w:rsid w:val="00402879"/>
    <w:rsid w:val="00403A45"/>
    <w:rsid w:val="00403ED9"/>
    <w:rsid w:val="00403F20"/>
    <w:rsid w:val="0040402E"/>
    <w:rsid w:val="004065E7"/>
    <w:rsid w:val="004102CA"/>
    <w:rsid w:val="00410C6E"/>
    <w:rsid w:val="00410C81"/>
    <w:rsid w:val="00412A72"/>
    <w:rsid w:val="0041380D"/>
    <w:rsid w:val="00415D70"/>
    <w:rsid w:val="00416ABF"/>
    <w:rsid w:val="00416F5D"/>
    <w:rsid w:val="0042169C"/>
    <w:rsid w:val="00421D63"/>
    <w:rsid w:val="00422C95"/>
    <w:rsid w:val="00424255"/>
    <w:rsid w:val="00424CAE"/>
    <w:rsid w:val="00425A19"/>
    <w:rsid w:val="0042623E"/>
    <w:rsid w:val="00426C63"/>
    <w:rsid w:val="00426EE3"/>
    <w:rsid w:val="0042739B"/>
    <w:rsid w:val="0042756A"/>
    <w:rsid w:val="004277AF"/>
    <w:rsid w:val="00427AEB"/>
    <w:rsid w:val="00430A7D"/>
    <w:rsid w:val="00431236"/>
    <w:rsid w:val="00431568"/>
    <w:rsid w:val="00434082"/>
    <w:rsid w:val="0043462E"/>
    <w:rsid w:val="00434A3D"/>
    <w:rsid w:val="00434D63"/>
    <w:rsid w:val="004351E9"/>
    <w:rsid w:val="004357AD"/>
    <w:rsid w:val="00435FFA"/>
    <w:rsid w:val="004400E5"/>
    <w:rsid w:val="0044328F"/>
    <w:rsid w:val="00444B36"/>
    <w:rsid w:val="0044544D"/>
    <w:rsid w:val="00446026"/>
    <w:rsid w:val="00447853"/>
    <w:rsid w:val="00451819"/>
    <w:rsid w:val="0045207F"/>
    <w:rsid w:val="004522A5"/>
    <w:rsid w:val="00453D46"/>
    <w:rsid w:val="004541D3"/>
    <w:rsid w:val="004552C5"/>
    <w:rsid w:val="0046054B"/>
    <w:rsid w:val="00461CED"/>
    <w:rsid w:val="00462ADA"/>
    <w:rsid w:val="00463ED8"/>
    <w:rsid w:val="004649B8"/>
    <w:rsid w:val="00464B79"/>
    <w:rsid w:val="00465207"/>
    <w:rsid w:val="00466473"/>
    <w:rsid w:val="0046783E"/>
    <w:rsid w:val="004705C6"/>
    <w:rsid w:val="00471588"/>
    <w:rsid w:val="00471638"/>
    <w:rsid w:val="00472CC4"/>
    <w:rsid w:val="00476E1F"/>
    <w:rsid w:val="00477021"/>
    <w:rsid w:val="0047703A"/>
    <w:rsid w:val="00477669"/>
    <w:rsid w:val="00477995"/>
    <w:rsid w:val="00477B04"/>
    <w:rsid w:val="004810BA"/>
    <w:rsid w:val="0048252C"/>
    <w:rsid w:val="00483C8D"/>
    <w:rsid w:val="00484E2D"/>
    <w:rsid w:val="004851F6"/>
    <w:rsid w:val="00486B9E"/>
    <w:rsid w:val="0048782A"/>
    <w:rsid w:val="0049097F"/>
    <w:rsid w:val="00490E8F"/>
    <w:rsid w:val="0049262B"/>
    <w:rsid w:val="00494389"/>
    <w:rsid w:val="0049440E"/>
    <w:rsid w:val="004946DF"/>
    <w:rsid w:val="00494BAA"/>
    <w:rsid w:val="004971EE"/>
    <w:rsid w:val="00497692"/>
    <w:rsid w:val="004978AD"/>
    <w:rsid w:val="004A00C1"/>
    <w:rsid w:val="004A0328"/>
    <w:rsid w:val="004A19B1"/>
    <w:rsid w:val="004A296F"/>
    <w:rsid w:val="004A3178"/>
    <w:rsid w:val="004A3927"/>
    <w:rsid w:val="004A5085"/>
    <w:rsid w:val="004A5617"/>
    <w:rsid w:val="004A6DAE"/>
    <w:rsid w:val="004A7535"/>
    <w:rsid w:val="004B221D"/>
    <w:rsid w:val="004B2705"/>
    <w:rsid w:val="004B270E"/>
    <w:rsid w:val="004B29BB"/>
    <w:rsid w:val="004B2D20"/>
    <w:rsid w:val="004B2F14"/>
    <w:rsid w:val="004B37C7"/>
    <w:rsid w:val="004B3E61"/>
    <w:rsid w:val="004B46E4"/>
    <w:rsid w:val="004B4C1E"/>
    <w:rsid w:val="004B50FC"/>
    <w:rsid w:val="004B6A8F"/>
    <w:rsid w:val="004B6DE0"/>
    <w:rsid w:val="004B7BE8"/>
    <w:rsid w:val="004C01A4"/>
    <w:rsid w:val="004C0B96"/>
    <w:rsid w:val="004C1B6E"/>
    <w:rsid w:val="004C1EA4"/>
    <w:rsid w:val="004C2105"/>
    <w:rsid w:val="004C2E35"/>
    <w:rsid w:val="004C3260"/>
    <w:rsid w:val="004C3311"/>
    <w:rsid w:val="004C37E6"/>
    <w:rsid w:val="004C45FF"/>
    <w:rsid w:val="004C46DB"/>
    <w:rsid w:val="004C4C1A"/>
    <w:rsid w:val="004C5ADA"/>
    <w:rsid w:val="004D02BE"/>
    <w:rsid w:val="004D082F"/>
    <w:rsid w:val="004D2939"/>
    <w:rsid w:val="004D35EE"/>
    <w:rsid w:val="004D406A"/>
    <w:rsid w:val="004D4ADF"/>
    <w:rsid w:val="004D646A"/>
    <w:rsid w:val="004D7139"/>
    <w:rsid w:val="004E0189"/>
    <w:rsid w:val="004E0F20"/>
    <w:rsid w:val="004E0FEB"/>
    <w:rsid w:val="004E1C87"/>
    <w:rsid w:val="004E1EA4"/>
    <w:rsid w:val="004E297B"/>
    <w:rsid w:val="004E52A9"/>
    <w:rsid w:val="004E539E"/>
    <w:rsid w:val="004F0014"/>
    <w:rsid w:val="004F13A7"/>
    <w:rsid w:val="004F1465"/>
    <w:rsid w:val="004F167A"/>
    <w:rsid w:val="004F276C"/>
    <w:rsid w:val="004F2DAB"/>
    <w:rsid w:val="004F406E"/>
    <w:rsid w:val="004F40A5"/>
    <w:rsid w:val="004F45A3"/>
    <w:rsid w:val="004F581F"/>
    <w:rsid w:val="004F6B1C"/>
    <w:rsid w:val="004F72CC"/>
    <w:rsid w:val="004F793B"/>
    <w:rsid w:val="00500400"/>
    <w:rsid w:val="00500D2F"/>
    <w:rsid w:val="00500F08"/>
    <w:rsid w:val="005010E7"/>
    <w:rsid w:val="00501905"/>
    <w:rsid w:val="00501DCC"/>
    <w:rsid w:val="00502114"/>
    <w:rsid w:val="0050215B"/>
    <w:rsid w:val="0050221D"/>
    <w:rsid w:val="00502707"/>
    <w:rsid w:val="0050335A"/>
    <w:rsid w:val="0050652B"/>
    <w:rsid w:val="00507659"/>
    <w:rsid w:val="005104C4"/>
    <w:rsid w:val="00511D45"/>
    <w:rsid w:val="00514FC5"/>
    <w:rsid w:val="00516751"/>
    <w:rsid w:val="00522CC8"/>
    <w:rsid w:val="00523A92"/>
    <w:rsid w:val="005245E3"/>
    <w:rsid w:val="005264F4"/>
    <w:rsid w:val="00526757"/>
    <w:rsid w:val="00526960"/>
    <w:rsid w:val="00526E59"/>
    <w:rsid w:val="00533337"/>
    <w:rsid w:val="00533895"/>
    <w:rsid w:val="00533B1D"/>
    <w:rsid w:val="005356E4"/>
    <w:rsid w:val="00535961"/>
    <w:rsid w:val="0053628D"/>
    <w:rsid w:val="00536A3E"/>
    <w:rsid w:val="00537024"/>
    <w:rsid w:val="0053748C"/>
    <w:rsid w:val="00540851"/>
    <w:rsid w:val="005430E5"/>
    <w:rsid w:val="00543FFB"/>
    <w:rsid w:val="005456B5"/>
    <w:rsid w:val="00545D19"/>
    <w:rsid w:val="005464EE"/>
    <w:rsid w:val="00547E74"/>
    <w:rsid w:val="005506EF"/>
    <w:rsid w:val="00550A56"/>
    <w:rsid w:val="00550C36"/>
    <w:rsid w:val="00551F80"/>
    <w:rsid w:val="0055297F"/>
    <w:rsid w:val="00553402"/>
    <w:rsid w:val="00554A29"/>
    <w:rsid w:val="00555409"/>
    <w:rsid w:val="005556C4"/>
    <w:rsid w:val="00556025"/>
    <w:rsid w:val="005561AD"/>
    <w:rsid w:val="00556657"/>
    <w:rsid w:val="005567D7"/>
    <w:rsid w:val="00560DF9"/>
    <w:rsid w:val="005615DB"/>
    <w:rsid w:val="00561B4B"/>
    <w:rsid w:val="0056251B"/>
    <w:rsid w:val="005628DC"/>
    <w:rsid w:val="0056353E"/>
    <w:rsid w:val="00564326"/>
    <w:rsid w:val="00564BC3"/>
    <w:rsid w:val="00565459"/>
    <w:rsid w:val="005655E1"/>
    <w:rsid w:val="00566CB5"/>
    <w:rsid w:val="005708E8"/>
    <w:rsid w:val="00571A9D"/>
    <w:rsid w:val="00571B84"/>
    <w:rsid w:val="00572105"/>
    <w:rsid w:val="00572970"/>
    <w:rsid w:val="00573432"/>
    <w:rsid w:val="0057420A"/>
    <w:rsid w:val="005755DB"/>
    <w:rsid w:val="00575D5E"/>
    <w:rsid w:val="0057670C"/>
    <w:rsid w:val="005769E1"/>
    <w:rsid w:val="00576B1F"/>
    <w:rsid w:val="00577B69"/>
    <w:rsid w:val="0058031F"/>
    <w:rsid w:val="00581DF9"/>
    <w:rsid w:val="00582395"/>
    <w:rsid w:val="00582EE5"/>
    <w:rsid w:val="00583BC6"/>
    <w:rsid w:val="00583F00"/>
    <w:rsid w:val="005844B2"/>
    <w:rsid w:val="00584B74"/>
    <w:rsid w:val="00585E19"/>
    <w:rsid w:val="0058635C"/>
    <w:rsid w:val="0058693E"/>
    <w:rsid w:val="00586BCF"/>
    <w:rsid w:val="00586CD4"/>
    <w:rsid w:val="00586EFE"/>
    <w:rsid w:val="005913DE"/>
    <w:rsid w:val="00592861"/>
    <w:rsid w:val="00592D0A"/>
    <w:rsid w:val="00592F61"/>
    <w:rsid w:val="00593775"/>
    <w:rsid w:val="00594486"/>
    <w:rsid w:val="0059472A"/>
    <w:rsid w:val="005951F8"/>
    <w:rsid w:val="00595ADF"/>
    <w:rsid w:val="005960AD"/>
    <w:rsid w:val="0059643C"/>
    <w:rsid w:val="005965B9"/>
    <w:rsid w:val="005A0D4A"/>
    <w:rsid w:val="005A2188"/>
    <w:rsid w:val="005A27B1"/>
    <w:rsid w:val="005A4223"/>
    <w:rsid w:val="005A519F"/>
    <w:rsid w:val="005A64CB"/>
    <w:rsid w:val="005A673C"/>
    <w:rsid w:val="005B04AF"/>
    <w:rsid w:val="005B099D"/>
    <w:rsid w:val="005B0A70"/>
    <w:rsid w:val="005B0C1E"/>
    <w:rsid w:val="005B14BA"/>
    <w:rsid w:val="005B3366"/>
    <w:rsid w:val="005B5486"/>
    <w:rsid w:val="005C0D8A"/>
    <w:rsid w:val="005C15A6"/>
    <w:rsid w:val="005C1A36"/>
    <w:rsid w:val="005C1E15"/>
    <w:rsid w:val="005C2C5F"/>
    <w:rsid w:val="005C3073"/>
    <w:rsid w:val="005C38F8"/>
    <w:rsid w:val="005C44A9"/>
    <w:rsid w:val="005C483C"/>
    <w:rsid w:val="005C5AB5"/>
    <w:rsid w:val="005C5B99"/>
    <w:rsid w:val="005C5C8B"/>
    <w:rsid w:val="005D2267"/>
    <w:rsid w:val="005D2805"/>
    <w:rsid w:val="005D2850"/>
    <w:rsid w:val="005D2E7D"/>
    <w:rsid w:val="005D3C86"/>
    <w:rsid w:val="005D5746"/>
    <w:rsid w:val="005D6097"/>
    <w:rsid w:val="005D6726"/>
    <w:rsid w:val="005D6BEA"/>
    <w:rsid w:val="005D6DD2"/>
    <w:rsid w:val="005D7205"/>
    <w:rsid w:val="005E0D64"/>
    <w:rsid w:val="005E2B5C"/>
    <w:rsid w:val="005E2C71"/>
    <w:rsid w:val="005E31C1"/>
    <w:rsid w:val="005E475E"/>
    <w:rsid w:val="005E4E8E"/>
    <w:rsid w:val="005E525F"/>
    <w:rsid w:val="005E5545"/>
    <w:rsid w:val="005E5822"/>
    <w:rsid w:val="005E72C2"/>
    <w:rsid w:val="005E7946"/>
    <w:rsid w:val="005F0318"/>
    <w:rsid w:val="005F1115"/>
    <w:rsid w:val="005F13AD"/>
    <w:rsid w:val="005F2A13"/>
    <w:rsid w:val="005F3ADC"/>
    <w:rsid w:val="005F447E"/>
    <w:rsid w:val="005F49CA"/>
    <w:rsid w:val="005F51C3"/>
    <w:rsid w:val="005F5825"/>
    <w:rsid w:val="005F609E"/>
    <w:rsid w:val="005F621F"/>
    <w:rsid w:val="005F70EF"/>
    <w:rsid w:val="00600DFA"/>
    <w:rsid w:val="00601DAA"/>
    <w:rsid w:val="006027E7"/>
    <w:rsid w:val="00604722"/>
    <w:rsid w:val="00604EE7"/>
    <w:rsid w:val="006058FC"/>
    <w:rsid w:val="006059C5"/>
    <w:rsid w:val="0060608E"/>
    <w:rsid w:val="00606D91"/>
    <w:rsid w:val="00606E03"/>
    <w:rsid w:val="00607AD1"/>
    <w:rsid w:val="00611DE5"/>
    <w:rsid w:val="006123B0"/>
    <w:rsid w:val="0061332F"/>
    <w:rsid w:val="006148A9"/>
    <w:rsid w:val="00614A7C"/>
    <w:rsid w:val="00614C5A"/>
    <w:rsid w:val="00616814"/>
    <w:rsid w:val="00616B17"/>
    <w:rsid w:val="00617AE3"/>
    <w:rsid w:val="00620663"/>
    <w:rsid w:val="0062154B"/>
    <w:rsid w:val="00621CE6"/>
    <w:rsid w:val="006231EB"/>
    <w:rsid w:val="00623A94"/>
    <w:rsid w:val="006259F2"/>
    <w:rsid w:val="006261CF"/>
    <w:rsid w:val="00626422"/>
    <w:rsid w:val="00627925"/>
    <w:rsid w:val="00627E0B"/>
    <w:rsid w:val="006311AD"/>
    <w:rsid w:val="0063173C"/>
    <w:rsid w:val="00631932"/>
    <w:rsid w:val="00631CD0"/>
    <w:rsid w:val="0063280E"/>
    <w:rsid w:val="0063356F"/>
    <w:rsid w:val="00633DFA"/>
    <w:rsid w:val="00633F8E"/>
    <w:rsid w:val="00634ED2"/>
    <w:rsid w:val="00635DE9"/>
    <w:rsid w:val="00636245"/>
    <w:rsid w:val="006378EE"/>
    <w:rsid w:val="00637A75"/>
    <w:rsid w:val="00640421"/>
    <w:rsid w:val="00641522"/>
    <w:rsid w:val="00642FCD"/>
    <w:rsid w:val="006440C6"/>
    <w:rsid w:val="00644D12"/>
    <w:rsid w:val="00645572"/>
    <w:rsid w:val="00645A82"/>
    <w:rsid w:val="00645F0D"/>
    <w:rsid w:val="0064779B"/>
    <w:rsid w:val="0064793E"/>
    <w:rsid w:val="0065083E"/>
    <w:rsid w:val="00650F31"/>
    <w:rsid w:val="006510CE"/>
    <w:rsid w:val="00652848"/>
    <w:rsid w:val="00653E41"/>
    <w:rsid w:val="00654298"/>
    <w:rsid w:val="006543A2"/>
    <w:rsid w:val="00654C0B"/>
    <w:rsid w:val="006552A3"/>
    <w:rsid w:val="00656478"/>
    <w:rsid w:val="00656EE5"/>
    <w:rsid w:val="00657A01"/>
    <w:rsid w:val="006613C4"/>
    <w:rsid w:val="006619D9"/>
    <w:rsid w:val="006631C5"/>
    <w:rsid w:val="0066439B"/>
    <w:rsid w:val="006644A1"/>
    <w:rsid w:val="006645CA"/>
    <w:rsid w:val="006658FD"/>
    <w:rsid w:val="006668B6"/>
    <w:rsid w:val="006703E8"/>
    <w:rsid w:val="0067059E"/>
    <w:rsid w:val="006709FA"/>
    <w:rsid w:val="00670C7E"/>
    <w:rsid w:val="006713A0"/>
    <w:rsid w:val="00671475"/>
    <w:rsid w:val="006737FA"/>
    <w:rsid w:val="00674202"/>
    <w:rsid w:val="00674D84"/>
    <w:rsid w:val="006754B7"/>
    <w:rsid w:val="00675C3E"/>
    <w:rsid w:val="00675ECD"/>
    <w:rsid w:val="00676061"/>
    <w:rsid w:val="00676C50"/>
    <w:rsid w:val="00677B76"/>
    <w:rsid w:val="00677DDF"/>
    <w:rsid w:val="00677FE9"/>
    <w:rsid w:val="0068036B"/>
    <w:rsid w:val="00680A0E"/>
    <w:rsid w:val="00681E02"/>
    <w:rsid w:val="006825DE"/>
    <w:rsid w:val="00682A64"/>
    <w:rsid w:val="00682D2A"/>
    <w:rsid w:val="006846D6"/>
    <w:rsid w:val="00684B37"/>
    <w:rsid w:val="006867F8"/>
    <w:rsid w:val="00686E6B"/>
    <w:rsid w:val="00687014"/>
    <w:rsid w:val="00691288"/>
    <w:rsid w:val="00692035"/>
    <w:rsid w:val="00692477"/>
    <w:rsid w:val="00693D04"/>
    <w:rsid w:val="00694C92"/>
    <w:rsid w:val="0069520A"/>
    <w:rsid w:val="00695347"/>
    <w:rsid w:val="00695B02"/>
    <w:rsid w:val="00697AD5"/>
    <w:rsid w:val="00697D25"/>
    <w:rsid w:val="006A072A"/>
    <w:rsid w:val="006A1A82"/>
    <w:rsid w:val="006A4068"/>
    <w:rsid w:val="006A461B"/>
    <w:rsid w:val="006A4BE9"/>
    <w:rsid w:val="006A4D2A"/>
    <w:rsid w:val="006A5445"/>
    <w:rsid w:val="006A65A2"/>
    <w:rsid w:val="006A70B2"/>
    <w:rsid w:val="006A7531"/>
    <w:rsid w:val="006A76EB"/>
    <w:rsid w:val="006B02CB"/>
    <w:rsid w:val="006B0CB2"/>
    <w:rsid w:val="006B117A"/>
    <w:rsid w:val="006B128B"/>
    <w:rsid w:val="006B31B5"/>
    <w:rsid w:val="006B3BC3"/>
    <w:rsid w:val="006B7C38"/>
    <w:rsid w:val="006C22BA"/>
    <w:rsid w:val="006C2EF7"/>
    <w:rsid w:val="006C3652"/>
    <w:rsid w:val="006C4D61"/>
    <w:rsid w:val="006C560C"/>
    <w:rsid w:val="006C71B9"/>
    <w:rsid w:val="006D05AE"/>
    <w:rsid w:val="006D0C31"/>
    <w:rsid w:val="006D1DD3"/>
    <w:rsid w:val="006D2680"/>
    <w:rsid w:val="006D3994"/>
    <w:rsid w:val="006D76F4"/>
    <w:rsid w:val="006D79B3"/>
    <w:rsid w:val="006D7C90"/>
    <w:rsid w:val="006E0C11"/>
    <w:rsid w:val="006E1F3C"/>
    <w:rsid w:val="006E1FA7"/>
    <w:rsid w:val="006E2291"/>
    <w:rsid w:val="006E548E"/>
    <w:rsid w:val="006E64A6"/>
    <w:rsid w:val="006E68AF"/>
    <w:rsid w:val="006E7D67"/>
    <w:rsid w:val="006E7F8A"/>
    <w:rsid w:val="006F0812"/>
    <w:rsid w:val="006F1337"/>
    <w:rsid w:val="006F14E7"/>
    <w:rsid w:val="006F16F2"/>
    <w:rsid w:val="006F1FE2"/>
    <w:rsid w:val="006F305D"/>
    <w:rsid w:val="006F3599"/>
    <w:rsid w:val="006F386D"/>
    <w:rsid w:val="006F3C39"/>
    <w:rsid w:val="006F5015"/>
    <w:rsid w:val="006F52CC"/>
    <w:rsid w:val="006F5B71"/>
    <w:rsid w:val="006F5F3B"/>
    <w:rsid w:val="007006EB"/>
    <w:rsid w:val="00702372"/>
    <w:rsid w:val="0070313D"/>
    <w:rsid w:val="0070335B"/>
    <w:rsid w:val="00703CB9"/>
    <w:rsid w:val="007044FF"/>
    <w:rsid w:val="0070532D"/>
    <w:rsid w:val="00705962"/>
    <w:rsid w:val="00705C98"/>
    <w:rsid w:val="00706191"/>
    <w:rsid w:val="00706D58"/>
    <w:rsid w:val="007101DE"/>
    <w:rsid w:val="00711328"/>
    <w:rsid w:val="00712229"/>
    <w:rsid w:val="007131F6"/>
    <w:rsid w:val="007137FC"/>
    <w:rsid w:val="007150F9"/>
    <w:rsid w:val="0072197B"/>
    <w:rsid w:val="00724534"/>
    <w:rsid w:val="00724D44"/>
    <w:rsid w:val="00725225"/>
    <w:rsid w:val="007267AA"/>
    <w:rsid w:val="00726A4D"/>
    <w:rsid w:val="00727672"/>
    <w:rsid w:val="00732308"/>
    <w:rsid w:val="00732DE8"/>
    <w:rsid w:val="00733467"/>
    <w:rsid w:val="00733A4B"/>
    <w:rsid w:val="00734CDB"/>
    <w:rsid w:val="007406FA"/>
    <w:rsid w:val="00740BE1"/>
    <w:rsid w:val="007412AD"/>
    <w:rsid w:val="00741861"/>
    <w:rsid w:val="007420FF"/>
    <w:rsid w:val="00742250"/>
    <w:rsid w:val="00742DB7"/>
    <w:rsid w:val="00744593"/>
    <w:rsid w:val="00744AA9"/>
    <w:rsid w:val="00744BBB"/>
    <w:rsid w:val="007450E2"/>
    <w:rsid w:val="00746639"/>
    <w:rsid w:val="00746AEF"/>
    <w:rsid w:val="00746E66"/>
    <w:rsid w:val="00747D4C"/>
    <w:rsid w:val="0075258C"/>
    <w:rsid w:val="00752EE7"/>
    <w:rsid w:val="00753032"/>
    <w:rsid w:val="0075412C"/>
    <w:rsid w:val="0075511C"/>
    <w:rsid w:val="00755E82"/>
    <w:rsid w:val="0075662A"/>
    <w:rsid w:val="007607C5"/>
    <w:rsid w:val="00760951"/>
    <w:rsid w:val="00760D88"/>
    <w:rsid w:val="007619D8"/>
    <w:rsid w:val="0076272E"/>
    <w:rsid w:val="00762B6D"/>
    <w:rsid w:val="00762E62"/>
    <w:rsid w:val="00763201"/>
    <w:rsid w:val="007632E6"/>
    <w:rsid w:val="0076356C"/>
    <w:rsid w:val="00765B1A"/>
    <w:rsid w:val="00770677"/>
    <w:rsid w:val="007717A7"/>
    <w:rsid w:val="00771DA2"/>
    <w:rsid w:val="00772509"/>
    <w:rsid w:val="00772563"/>
    <w:rsid w:val="00772D47"/>
    <w:rsid w:val="007732C5"/>
    <w:rsid w:val="007734B2"/>
    <w:rsid w:val="00774471"/>
    <w:rsid w:val="0077541F"/>
    <w:rsid w:val="0077790A"/>
    <w:rsid w:val="00781BD2"/>
    <w:rsid w:val="00781F4E"/>
    <w:rsid w:val="007823D3"/>
    <w:rsid w:val="00783508"/>
    <w:rsid w:val="00783783"/>
    <w:rsid w:val="00785296"/>
    <w:rsid w:val="00785B91"/>
    <w:rsid w:val="0078677E"/>
    <w:rsid w:val="00786B64"/>
    <w:rsid w:val="00786E43"/>
    <w:rsid w:val="007909E4"/>
    <w:rsid w:val="00790A91"/>
    <w:rsid w:val="007919B7"/>
    <w:rsid w:val="0079212F"/>
    <w:rsid w:val="0079387E"/>
    <w:rsid w:val="00793A36"/>
    <w:rsid w:val="00793D2A"/>
    <w:rsid w:val="0079499F"/>
    <w:rsid w:val="00795655"/>
    <w:rsid w:val="0079676D"/>
    <w:rsid w:val="007A109A"/>
    <w:rsid w:val="007A1BDF"/>
    <w:rsid w:val="007A2659"/>
    <w:rsid w:val="007A6011"/>
    <w:rsid w:val="007A6487"/>
    <w:rsid w:val="007A736A"/>
    <w:rsid w:val="007A7964"/>
    <w:rsid w:val="007A7E18"/>
    <w:rsid w:val="007B0030"/>
    <w:rsid w:val="007B0175"/>
    <w:rsid w:val="007B02E8"/>
    <w:rsid w:val="007B062B"/>
    <w:rsid w:val="007B06E2"/>
    <w:rsid w:val="007B0AE6"/>
    <w:rsid w:val="007B1518"/>
    <w:rsid w:val="007B1CED"/>
    <w:rsid w:val="007B2F3F"/>
    <w:rsid w:val="007B539D"/>
    <w:rsid w:val="007B5BAB"/>
    <w:rsid w:val="007B5C73"/>
    <w:rsid w:val="007B7094"/>
    <w:rsid w:val="007C12DC"/>
    <w:rsid w:val="007C1F65"/>
    <w:rsid w:val="007C3B1A"/>
    <w:rsid w:val="007C3EE9"/>
    <w:rsid w:val="007C5C24"/>
    <w:rsid w:val="007C6101"/>
    <w:rsid w:val="007C73D3"/>
    <w:rsid w:val="007D0076"/>
    <w:rsid w:val="007D0631"/>
    <w:rsid w:val="007D2590"/>
    <w:rsid w:val="007D42C5"/>
    <w:rsid w:val="007D4338"/>
    <w:rsid w:val="007D4EEB"/>
    <w:rsid w:val="007D5368"/>
    <w:rsid w:val="007D729F"/>
    <w:rsid w:val="007D7E1D"/>
    <w:rsid w:val="007D7E6B"/>
    <w:rsid w:val="007E0ABB"/>
    <w:rsid w:val="007E1CC2"/>
    <w:rsid w:val="007E2512"/>
    <w:rsid w:val="007E351F"/>
    <w:rsid w:val="007E55FD"/>
    <w:rsid w:val="007E6353"/>
    <w:rsid w:val="007F1AE5"/>
    <w:rsid w:val="007F1F4E"/>
    <w:rsid w:val="007F2722"/>
    <w:rsid w:val="007F2B41"/>
    <w:rsid w:val="007F3B79"/>
    <w:rsid w:val="007F41F8"/>
    <w:rsid w:val="007F5FB2"/>
    <w:rsid w:val="007F6BD0"/>
    <w:rsid w:val="007F6CD7"/>
    <w:rsid w:val="007F72E6"/>
    <w:rsid w:val="00800068"/>
    <w:rsid w:val="00800632"/>
    <w:rsid w:val="00800F13"/>
    <w:rsid w:val="00802546"/>
    <w:rsid w:val="00804014"/>
    <w:rsid w:val="00805FA1"/>
    <w:rsid w:val="0080744F"/>
    <w:rsid w:val="008106E0"/>
    <w:rsid w:val="00810A5F"/>
    <w:rsid w:val="00811ABE"/>
    <w:rsid w:val="00813BA4"/>
    <w:rsid w:val="00816918"/>
    <w:rsid w:val="008169C5"/>
    <w:rsid w:val="00816C5A"/>
    <w:rsid w:val="00816D7D"/>
    <w:rsid w:val="00817496"/>
    <w:rsid w:val="0082125C"/>
    <w:rsid w:val="008213A0"/>
    <w:rsid w:val="008224DD"/>
    <w:rsid w:val="00823301"/>
    <w:rsid w:val="00823A9A"/>
    <w:rsid w:val="00824C6E"/>
    <w:rsid w:val="00825B11"/>
    <w:rsid w:val="00826471"/>
    <w:rsid w:val="008276FF"/>
    <w:rsid w:val="00830051"/>
    <w:rsid w:val="00831FA0"/>
    <w:rsid w:val="00834360"/>
    <w:rsid w:val="00834735"/>
    <w:rsid w:val="00834CA2"/>
    <w:rsid w:val="00835655"/>
    <w:rsid w:val="00837115"/>
    <w:rsid w:val="0084034E"/>
    <w:rsid w:val="00841BA5"/>
    <w:rsid w:val="00841EC9"/>
    <w:rsid w:val="00842052"/>
    <w:rsid w:val="0084215F"/>
    <w:rsid w:val="00844954"/>
    <w:rsid w:val="00845D3D"/>
    <w:rsid w:val="008463EC"/>
    <w:rsid w:val="00847504"/>
    <w:rsid w:val="00847BE6"/>
    <w:rsid w:val="00847C9D"/>
    <w:rsid w:val="008505F9"/>
    <w:rsid w:val="0085125D"/>
    <w:rsid w:val="0085243D"/>
    <w:rsid w:val="00852460"/>
    <w:rsid w:val="008526D9"/>
    <w:rsid w:val="00852FDE"/>
    <w:rsid w:val="00853017"/>
    <w:rsid w:val="00853412"/>
    <w:rsid w:val="00854595"/>
    <w:rsid w:val="0085510B"/>
    <w:rsid w:val="00855357"/>
    <w:rsid w:val="008566AA"/>
    <w:rsid w:val="0085706D"/>
    <w:rsid w:val="00860356"/>
    <w:rsid w:val="00860BDD"/>
    <w:rsid w:val="00860E2E"/>
    <w:rsid w:val="00860F34"/>
    <w:rsid w:val="008614D8"/>
    <w:rsid w:val="008617A1"/>
    <w:rsid w:val="00861A75"/>
    <w:rsid w:val="0086272E"/>
    <w:rsid w:val="008631EE"/>
    <w:rsid w:val="008638EC"/>
    <w:rsid w:val="00863A97"/>
    <w:rsid w:val="00864006"/>
    <w:rsid w:val="008654A8"/>
    <w:rsid w:val="0086656A"/>
    <w:rsid w:val="008672EC"/>
    <w:rsid w:val="00867CAD"/>
    <w:rsid w:val="00871107"/>
    <w:rsid w:val="0087244E"/>
    <w:rsid w:val="008736BA"/>
    <w:rsid w:val="00873818"/>
    <w:rsid w:val="00873FD1"/>
    <w:rsid w:val="00874037"/>
    <w:rsid w:val="00875176"/>
    <w:rsid w:val="00876E30"/>
    <w:rsid w:val="0087711F"/>
    <w:rsid w:val="00880B14"/>
    <w:rsid w:val="008840C2"/>
    <w:rsid w:val="00884361"/>
    <w:rsid w:val="00884B04"/>
    <w:rsid w:val="00884C3F"/>
    <w:rsid w:val="00885391"/>
    <w:rsid w:val="00885785"/>
    <w:rsid w:val="008857E7"/>
    <w:rsid w:val="00885B30"/>
    <w:rsid w:val="00887E5E"/>
    <w:rsid w:val="00890F03"/>
    <w:rsid w:val="008919B6"/>
    <w:rsid w:val="00894633"/>
    <w:rsid w:val="00894C0E"/>
    <w:rsid w:val="00895516"/>
    <w:rsid w:val="0089669E"/>
    <w:rsid w:val="00896BD9"/>
    <w:rsid w:val="008975DC"/>
    <w:rsid w:val="008A0616"/>
    <w:rsid w:val="008A11E8"/>
    <w:rsid w:val="008A28B3"/>
    <w:rsid w:val="008A4268"/>
    <w:rsid w:val="008A5A15"/>
    <w:rsid w:val="008A7215"/>
    <w:rsid w:val="008A752C"/>
    <w:rsid w:val="008B0AF2"/>
    <w:rsid w:val="008B0B81"/>
    <w:rsid w:val="008B0B8A"/>
    <w:rsid w:val="008B2169"/>
    <w:rsid w:val="008B349D"/>
    <w:rsid w:val="008B37CE"/>
    <w:rsid w:val="008B4084"/>
    <w:rsid w:val="008B599D"/>
    <w:rsid w:val="008B734C"/>
    <w:rsid w:val="008B74A0"/>
    <w:rsid w:val="008B78A0"/>
    <w:rsid w:val="008C1AB2"/>
    <w:rsid w:val="008C2C9C"/>
    <w:rsid w:val="008C2E55"/>
    <w:rsid w:val="008C44EC"/>
    <w:rsid w:val="008C46AA"/>
    <w:rsid w:val="008D0240"/>
    <w:rsid w:val="008D13B0"/>
    <w:rsid w:val="008D1942"/>
    <w:rsid w:val="008D248B"/>
    <w:rsid w:val="008D2967"/>
    <w:rsid w:val="008D3D3C"/>
    <w:rsid w:val="008D4874"/>
    <w:rsid w:val="008D4C80"/>
    <w:rsid w:val="008D5778"/>
    <w:rsid w:val="008D7A26"/>
    <w:rsid w:val="008D7E06"/>
    <w:rsid w:val="008E0C75"/>
    <w:rsid w:val="008E0E48"/>
    <w:rsid w:val="008E0F34"/>
    <w:rsid w:val="008E0F8D"/>
    <w:rsid w:val="008E14A9"/>
    <w:rsid w:val="008E1CA5"/>
    <w:rsid w:val="008E401B"/>
    <w:rsid w:val="008E4E70"/>
    <w:rsid w:val="008E52A7"/>
    <w:rsid w:val="008E5921"/>
    <w:rsid w:val="008F140F"/>
    <w:rsid w:val="008F2978"/>
    <w:rsid w:val="008F4EBB"/>
    <w:rsid w:val="008F4EF2"/>
    <w:rsid w:val="008F6B05"/>
    <w:rsid w:val="008F6DF5"/>
    <w:rsid w:val="008F6EE6"/>
    <w:rsid w:val="008F7143"/>
    <w:rsid w:val="009009AC"/>
    <w:rsid w:val="009018D2"/>
    <w:rsid w:val="00901979"/>
    <w:rsid w:val="00902AF6"/>
    <w:rsid w:val="00903310"/>
    <w:rsid w:val="009051B7"/>
    <w:rsid w:val="009116E9"/>
    <w:rsid w:val="00912B64"/>
    <w:rsid w:val="0091306D"/>
    <w:rsid w:val="009139AB"/>
    <w:rsid w:val="00915763"/>
    <w:rsid w:val="00915BA1"/>
    <w:rsid w:val="00915BE1"/>
    <w:rsid w:val="009161DA"/>
    <w:rsid w:val="009161FC"/>
    <w:rsid w:val="00917CDE"/>
    <w:rsid w:val="00921650"/>
    <w:rsid w:val="00922691"/>
    <w:rsid w:val="0092269E"/>
    <w:rsid w:val="00923C95"/>
    <w:rsid w:val="00925AE5"/>
    <w:rsid w:val="0092678C"/>
    <w:rsid w:val="00926CAE"/>
    <w:rsid w:val="00927CC8"/>
    <w:rsid w:val="00927E21"/>
    <w:rsid w:val="00927FFC"/>
    <w:rsid w:val="00930530"/>
    <w:rsid w:val="0093089F"/>
    <w:rsid w:val="009324EF"/>
    <w:rsid w:val="00932B82"/>
    <w:rsid w:val="00934861"/>
    <w:rsid w:val="00934BE1"/>
    <w:rsid w:val="00934E1B"/>
    <w:rsid w:val="0094306B"/>
    <w:rsid w:val="00944299"/>
    <w:rsid w:val="00945EBA"/>
    <w:rsid w:val="00946541"/>
    <w:rsid w:val="00946E6B"/>
    <w:rsid w:val="00947C0F"/>
    <w:rsid w:val="00950A3E"/>
    <w:rsid w:val="00951515"/>
    <w:rsid w:val="009517A3"/>
    <w:rsid w:val="00952BF9"/>
    <w:rsid w:val="00952C24"/>
    <w:rsid w:val="0095332F"/>
    <w:rsid w:val="00953849"/>
    <w:rsid w:val="00953BA7"/>
    <w:rsid w:val="00953FE4"/>
    <w:rsid w:val="0095406E"/>
    <w:rsid w:val="00954669"/>
    <w:rsid w:val="00955342"/>
    <w:rsid w:val="009568F5"/>
    <w:rsid w:val="0095778B"/>
    <w:rsid w:val="00957FEE"/>
    <w:rsid w:val="00960914"/>
    <w:rsid w:val="00960BC9"/>
    <w:rsid w:val="00960E2D"/>
    <w:rsid w:val="00963752"/>
    <w:rsid w:val="00963AC9"/>
    <w:rsid w:val="00963BD2"/>
    <w:rsid w:val="009647DF"/>
    <w:rsid w:val="0096613A"/>
    <w:rsid w:val="0096645C"/>
    <w:rsid w:val="009666C0"/>
    <w:rsid w:val="00967838"/>
    <w:rsid w:val="0097060A"/>
    <w:rsid w:val="00971392"/>
    <w:rsid w:val="00973130"/>
    <w:rsid w:val="009731CB"/>
    <w:rsid w:val="0097347B"/>
    <w:rsid w:val="009739F9"/>
    <w:rsid w:val="009741E4"/>
    <w:rsid w:val="00975A34"/>
    <w:rsid w:val="00976CCC"/>
    <w:rsid w:val="00981041"/>
    <w:rsid w:val="00981147"/>
    <w:rsid w:val="0098174C"/>
    <w:rsid w:val="00983968"/>
    <w:rsid w:val="0098568B"/>
    <w:rsid w:val="00990646"/>
    <w:rsid w:val="00990985"/>
    <w:rsid w:val="009910DC"/>
    <w:rsid w:val="00991BB0"/>
    <w:rsid w:val="00991E7D"/>
    <w:rsid w:val="0099246A"/>
    <w:rsid w:val="009935AE"/>
    <w:rsid w:val="0099369B"/>
    <w:rsid w:val="009956DC"/>
    <w:rsid w:val="009975C9"/>
    <w:rsid w:val="009A1E2E"/>
    <w:rsid w:val="009A1E6B"/>
    <w:rsid w:val="009A275D"/>
    <w:rsid w:val="009A2D52"/>
    <w:rsid w:val="009A31FB"/>
    <w:rsid w:val="009A5225"/>
    <w:rsid w:val="009A7A43"/>
    <w:rsid w:val="009B0787"/>
    <w:rsid w:val="009B2494"/>
    <w:rsid w:val="009B2B2C"/>
    <w:rsid w:val="009B2DC9"/>
    <w:rsid w:val="009B2FC6"/>
    <w:rsid w:val="009B66CB"/>
    <w:rsid w:val="009B6E01"/>
    <w:rsid w:val="009B7012"/>
    <w:rsid w:val="009C0C35"/>
    <w:rsid w:val="009C0CE9"/>
    <w:rsid w:val="009C269B"/>
    <w:rsid w:val="009C38A9"/>
    <w:rsid w:val="009C39CC"/>
    <w:rsid w:val="009C3A27"/>
    <w:rsid w:val="009C3CDA"/>
    <w:rsid w:val="009C4BEE"/>
    <w:rsid w:val="009C4C3B"/>
    <w:rsid w:val="009C5AF7"/>
    <w:rsid w:val="009C68F6"/>
    <w:rsid w:val="009D0971"/>
    <w:rsid w:val="009D110C"/>
    <w:rsid w:val="009D13BD"/>
    <w:rsid w:val="009D2BCF"/>
    <w:rsid w:val="009D561E"/>
    <w:rsid w:val="009D6979"/>
    <w:rsid w:val="009E1051"/>
    <w:rsid w:val="009E1C89"/>
    <w:rsid w:val="009E48C7"/>
    <w:rsid w:val="009E7E45"/>
    <w:rsid w:val="009E7E7A"/>
    <w:rsid w:val="009F0038"/>
    <w:rsid w:val="009F00E4"/>
    <w:rsid w:val="009F05AD"/>
    <w:rsid w:val="009F20AD"/>
    <w:rsid w:val="009F282E"/>
    <w:rsid w:val="009F3B11"/>
    <w:rsid w:val="009F3BD1"/>
    <w:rsid w:val="009F4D48"/>
    <w:rsid w:val="009F52B6"/>
    <w:rsid w:val="009F617C"/>
    <w:rsid w:val="009F7A34"/>
    <w:rsid w:val="00A007EE"/>
    <w:rsid w:val="00A02D35"/>
    <w:rsid w:val="00A05358"/>
    <w:rsid w:val="00A07282"/>
    <w:rsid w:val="00A07B8A"/>
    <w:rsid w:val="00A07E03"/>
    <w:rsid w:val="00A11216"/>
    <w:rsid w:val="00A11911"/>
    <w:rsid w:val="00A12A68"/>
    <w:rsid w:val="00A12BEA"/>
    <w:rsid w:val="00A15FDA"/>
    <w:rsid w:val="00A15FF6"/>
    <w:rsid w:val="00A16C00"/>
    <w:rsid w:val="00A17D34"/>
    <w:rsid w:val="00A21207"/>
    <w:rsid w:val="00A21224"/>
    <w:rsid w:val="00A21841"/>
    <w:rsid w:val="00A21916"/>
    <w:rsid w:val="00A221ED"/>
    <w:rsid w:val="00A228A3"/>
    <w:rsid w:val="00A22BC3"/>
    <w:rsid w:val="00A22BE8"/>
    <w:rsid w:val="00A239A5"/>
    <w:rsid w:val="00A24209"/>
    <w:rsid w:val="00A248BB"/>
    <w:rsid w:val="00A26494"/>
    <w:rsid w:val="00A3154D"/>
    <w:rsid w:val="00A33DB9"/>
    <w:rsid w:val="00A33E0F"/>
    <w:rsid w:val="00A34164"/>
    <w:rsid w:val="00A3624E"/>
    <w:rsid w:val="00A42228"/>
    <w:rsid w:val="00A446AD"/>
    <w:rsid w:val="00A44CA6"/>
    <w:rsid w:val="00A45717"/>
    <w:rsid w:val="00A457ED"/>
    <w:rsid w:val="00A473DC"/>
    <w:rsid w:val="00A50008"/>
    <w:rsid w:val="00A504D8"/>
    <w:rsid w:val="00A50D6D"/>
    <w:rsid w:val="00A50EF1"/>
    <w:rsid w:val="00A510DF"/>
    <w:rsid w:val="00A527F8"/>
    <w:rsid w:val="00A532B8"/>
    <w:rsid w:val="00A53921"/>
    <w:rsid w:val="00A53D4C"/>
    <w:rsid w:val="00A54653"/>
    <w:rsid w:val="00A569FD"/>
    <w:rsid w:val="00A56E5D"/>
    <w:rsid w:val="00A57218"/>
    <w:rsid w:val="00A57227"/>
    <w:rsid w:val="00A576C6"/>
    <w:rsid w:val="00A57F6F"/>
    <w:rsid w:val="00A60584"/>
    <w:rsid w:val="00A60A6B"/>
    <w:rsid w:val="00A60AC7"/>
    <w:rsid w:val="00A61226"/>
    <w:rsid w:val="00A636F3"/>
    <w:rsid w:val="00A63AB5"/>
    <w:rsid w:val="00A642A2"/>
    <w:rsid w:val="00A64725"/>
    <w:rsid w:val="00A65317"/>
    <w:rsid w:val="00A6766E"/>
    <w:rsid w:val="00A7077D"/>
    <w:rsid w:val="00A71F69"/>
    <w:rsid w:val="00A72378"/>
    <w:rsid w:val="00A72A88"/>
    <w:rsid w:val="00A7522A"/>
    <w:rsid w:val="00A76A6B"/>
    <w:rsid w:val="00A772CD"/>
    <w:rsid w:val="00A81445"/>
    <w:rsid w:val="00A815FB"/>
    <w:rsid w:val="00A82944"/>
    <w:rsid w:val="00A83EBC"/>
    <w:rsid w:val="00A846E4"/>
    <w:rsid w:val="00A84751"/>
    <w:rsid w:val="00A850F6"/>
    <w:rsid w:val="00A860EF"/>
    <w:rsid w:val="00A87257"/>
    <w:rsid w:val="00A8754D"/>
    <w:rsid w:val="00A90CF1"/>
    <w:rsid w:val="00A91136"/>
    <w:rsid w:val="00A92377"/>
    <w:rsid w:val="00A92A2F"/>
    <w:rsid w:val="00A92AB3"/>
    <w:rsid w:val="00A93541"/>
    <w:rsid w:val="00A9428A"/>
    <w:rsid w:val="00A9439A"/>
    <w:rsid w:val="00A943EF"/>
    <w:rsid w:val="00A95F48"/>
    <w:rsid w:val="00A97FE8"/>
    <w:rsid w:val="00AA0B1A"/>
    <w:rsid w:val="00AA0E62"/>
    <w:rsid w:val="00AA0ECC"/>
    <w:rsid w:val="00AA17D6"/>
    <w:rsid w:val="00AA1B4A"/>
    <w:rsid w:val="00AA2169"/>
    <w:rsid w:val="00AA2954"/>
    <w:rsid w:val="00AA3E2E"/>
    <w:rsid w:val="00AA4317"/>
    <w:rsid w:val="00AA480C"/>
    <w:rsid w:val="00AA4AD8"/>
    <w:rsid w:val="00AA55FA"/>
    <w:rsid w:val="00AA57F8"/>
    <w:rsid w:val="00AA5E6C"/>
    <w:rsid w:val="00AA5E80"/>
    <w:rsid w:val="00AA6409"/>
    <w:rsid w:val="00AA6486"/>
    <w:rsid w:val="00AA6875"/>
    <w:rsid w:val="00AA7C9B"/>
    <w:rsid w:val="00AB0422"/>
    <w:rsid w:val="00AB1FEC"/>
    <w:rsid w:val="00AB2268"/>
    <w:rsid w:val="00AB3E2C"/>
    <w:rsid w:val="00AB4759"/>
    <w:rsid w:val="00AB5ED3"/>
    <w:rsid w:val="00AB6191"/>
    <w:rsid w:val="00AB65F5"/>
    <w:rsid w:val="00AB6AA1"/>
    <w:rsid w:val="00AB761C"/>
    <w:rsid w:val="00AC02C1"/>
    <w:rsid w:val="00AC1359"/>
    <w:rsid w:val="00AC1594"/>
    <w:rsid w:val="00AC1DDC"/>
    <w:rsid w:val="00AC1ED7"/>
    <w:rsid w:val="00AC278A"/>
    <w:rsid w:val="00AC2A25"/>
    <w:rsid w:val="00AC3A55"/>
    <w:rsid w:val="00AC6551"/>
    <w:rsid w:val="00AC7C0F"/>
    <w:rsid w:val="00AD0E7E"/>
    <w:rsid w:val="00AD115E"/>
    <w:rsid w:val="00AD3040"/>
    <w:rsid w:val="00AD3A05"/>
    <w:rsid w:val="00AD4123"/>
    <w:rsid w:val="00AD4685"/>
    <w:rsid w:val="00AD4847"/>
    <w:rsid w:val="00AD530E"/>
    <w:rsid w:val="00AD6395"/>
    <w:rsid w:val="00AE0A65"/>
    <w:rsid w:val="00AE1372"/>
    <w:rsid w:val="00AE1B36"/>
    <w:rsid w:val="00AE21FA"/>
    <w:rsid w:val="00AE3345"/>
    <w:rsid w:val="00AE41F0"/>
    <w:rsid w:val="00AE4E03"/>
    <w:rsid w:val="00AE5A03"/>
    <w:rsid w:val="00AF0218"/>
    <w:rsid w:val="00AF2322"/>
    <w:rsid w:val="00AF2B47"/>
    <w:rsid w:val="00AF3521"/>
    <w:rsid w:val="00AF3F40"/>
    <w:rsid w:val="00AF4ED9"/>
    <w:rsid w:val="00AF4F8D"/>
    <w:rsid w:val="00AF5BD7"/>
    <w:rsid w:val="00AF767E"/>
    <w:rsid w:val="00B00E71"/>
    <w:rsid w:val="00B0303F"/>
    <w:rsid w:val="00B03B99"/>
    <w:rsid w:val="00B045D0"/>
    <w:rsid w:val="00B04AC9"/>
    <w:rsid w:val="00B053AB"/>
    <w:rsid w:val="00B05F35"/>
    <w:rsid w:val="00B0679D"/>
    <w:rsid w:val="00B1052D"/>
    <w:rsid w:val="00B10A19"/>
    <w:rsid w:val="00B10AF4"/>
    <w:rsid w:val="00B1206C"/>
    <w:rsid w:val="00B12E4A"/>
    <w:rsid w:val="00B12E5F"/>
    <w:rsid w:val="00B13143"/>
    <w:rsid w:val="00B14DEC"/>
    <w:rsid w:val="00B15726"/>
    <w:rsid w:val="00B1661E"/>
    <w:rsid w:val="00B16696"/>
    <w:rsid w:val="00B218E5"/>
    <w:rsid w:val="00B21F55"/>
    <w:rsid w:val="00B22945"/>
    <w:rsid w:val="00B22CC2"/>
    <w:rsid w:val="00B2472E"/>
    <w:rsid w:val="00B250E3"/>
    <w:rsid w:val="00B2546C"/>
    <w:rsid w:val="00B27954"/>
    <w:rsid w:val="00B30A03"/>
    <w:rsid w:val="00B30C4D"/>
    <w:rsid w:val="00B310ED"/>
    <w:rsid w:val="00B3142D"/>
    <w:rsid w:val="00B31AE6"/>
    <w:rsid w:val="00B32752"/>
    <w:rsid w:val="00B330D6"/>
    <w:rsid w:val="00B34AD5"/>
    <w:rsid w:val="00B35235"/>
    <w:rsid w:val="00B355B2"/>
    <w:rsid w:val="00B36EA1"/>
    <w:rsid w:val="00B3777B"/>
    <w:rsid w:val="00B377D7"/>
    <w:rsid w:val="00B4085D"/>
    <w:rsid w:val="00B40B64"/>
    <w:rsid w:val="00B426E8"/>
    <w:rsid w:val="00B42839"/>
    <w:rsid w:val="00B42D15"/>
    <w:rsid w:val="00B50B37"/>
    <w:rsid w:val="00B51A91"/>
    <w:rsid w:val="00B52838"/>
    <w:rsid w:val="00B539F2"/>
    <w:rsid w:val="00B53DCC"/>
    <w:rsid w:val="00B60A75"/>
    <w:rsid w:val="00B61D98"/>
    <w:rsid w:val="00B62DFA"/>
    <w:rsid w:val="00B63244"/>
    <w:rsid w:val="00B6366E"/>
    <w:rsid w:val="00B63C86"/>
    <w:rsid w:val="00B6510F"/>
    <w:rsid w:val="00B651E0"/>
    <w:rsid w:val="00B661EB"/>
    <w:rsid w:val="00B67F74"/>
    <w:rsid w:val="00B705A8"/>
    <w:rsid w:val="00B706A9"/>
    <w:rsid w:val="00B72505"/>
    <w:rsid w:val="00B7305F"/>
    <w:rsid w:val="00B73147"/>
    <w:rsid w:val="00B73865"/>
    <w:rsid w:val="00B73F36"/>
    <w:rsid w:val="00B73FA2"/>
    <w:rsid w:val="00B76055"/>
    <w:rsid w:val="00B7682D"/>
    <w:rsid w:val="00B77F1B"/>
    <w:rsid w:val="00B8100E"/>
    <w:rsid w:val="00B81F2C"/>
    <w:rsid w:val="00B826B4"/>
    <w:rsid w:val="00B82C6D"/>
    <w:rsid w:val="00B832B2"/>
    <w:rsid w:val="00B836E6"/>
    <w:rsid w:val="00B84A4F"/>
    <w:rsid w:val="00B850E8"/>
    <w:rsid w:val="00B85680"/>
    <w:rsid w:val="00B85685"/>
    <w:rsid w:val="00B857CC"/>
    <w:rsid w:val="00B867CC"/>
    <w:rsid w:val="00B86F09"/>
    <w:rsid w:val="00B875B6"/>
    <w:rsid w:val="00B87C5B"/>
    <w:rsid w:val="00B905AC"/>
    <w:rsid w:val="00B9069A"/>
    <w:rsid w:val="00B92A4D"/>
    <w:rsid w:val="00B93C86"/>
    <w:rsid w:val="00B93CC4"/>
    <w:rsid w:val="00B93FC1"/>
    <w:rsid w:val="00B945A0"/>
    <w:rsid w:val="00B947D9"/>
    <w:rsid w:val="00B94F74"/>
    <w:rsid w:val="00B9580E"/>
    <w:rsid w:val="00B9621A"/>
    <w:rsid w:val="00B973F9"/>
    <w:rsid w:val="00BA0662"/>
    <w:rsid w:val="00BA0A7F"/>
    <w:rsid w:val="00BA0EAF"/>
    <w:rsid w:val="00BA2D0A"/>
    <w:rsid w:val="00BA4BEF"/>
    <w:rsid w:val="00BA4FBF"/>
    <w:rsid w:val="00BA66D3"/>
    <w:rsid w:val="00BA6873"/>
    <w:rsid w:val="00BB0FC5"/>
    <w:rsid w:val="00BB1A50"/>
    <w:rsid w:val="00BB26F8"/>
    <w:rsid w:val="00BB2B9A"/>
    <w:rsid w:val="00BB3529"/>
    <w:rsid w:val="00BB5AB8"/>
    <w:rsid w:val="00BB5C00"/>
    <w:rsid w:val="00BB7AC3"/>
    <w:rsid w:val="00BB7D3E"/>
    <w:rsid w:val="00BC149D"/>
    <w:rsid w:val="00BC1C07"/>
    <w:rsid w:val="00BC22B9"/>
    <w:rsid w:val="00BC3ED9"/>
    <w:rsid w:val="00BC58CB"/>
    <w:rsid w:val="00BC5DE4"/>
    <w:rsid w:val="00BC6288"/>
    <w:rsid w:val="00BC6446"/>
    <w:rsid w:val="00BC6881"/>
    <w:rsid w:val="00BC6E9D"/>
    <w:rsid w:val="00BD039E"/>
    <w:rsid w:val="00BD1CFB"/>
    <w:rsid w:val="00BD1F38"/>
    <w:rsid w:val="00BD275C"/>
    <w:rsid w:val="00BD30D9"/>
    <w:rsid w:val="00BD3296"/>
    <w:rsid w:val="00BD329F"/>
    <w:rsid w:val="00BD4091"/>
    <w:rsid w:val="00BD486F"/>
    <w:rsid w:val="00BD5342"/>
    <w:rsid w:val="00BD544B"/>
    <w:rsid w:val="00BD62A1"/>
    <w:rsid w:val="00BD71BC"/>
    <w:rsid w:val="00BD724B"/>
    <w:rsid w:val="00BE1239"/>
    <w:rsid w:val="00BE1BB8"/>
    <w:rsid w:val="00BE40B3"/>
    <w:rsid w:val="00BE4DF7"/>
    <w:rsid w:val="00BE6011"/>
    <w:rsid w:val="00BE63E5"/>
    <w:rsid w:val="00BE6893"/>
    <w:rsid w:val="00BE72E4"/>
    <w:rsid w:val="00BE73E6"/>
    <w:rsid w:val="00BE7798"/>
    <w:rsid w:val="00BE77AE"/>
    <w:rsid w:val="00BE79B1"/>
    <w:rsid w:val="00BE7F67"/>
    <w:rsid w:val="00BF2091"/>
    <w:rsid w:val="00BF21B5"/>
    <w:rsid w:val="00BF29D0"/>
    <w:rsid w:val="00BF65BC"/>
    <w:rsid w:val="00BF69E6"/>
    <w:rsid w:val="00BF6C08"/>
    <w:rsid w:val="00BF7020"/>
    <w:rsid w:val="00BF7822"/>
    <w:rsid w:val="00BF7B5F"/>
    <w:rsid w:val="00C01BA9"/>
    <w:rsid w:val="00C0257F"/>
    <w:rsid w:val="00C030E8"/>
    <w:rsid w:val="00C031D2"/>
    <w:rsid w:val="00C047A9"/>
    <w:rsid w:val="00C049B0"/>
    <w:rsid w:val="00C05128"/>
    <w:rsid w:val="00C054D6"/>
    <w:rsid w:val="00C065EA"/>
    <w:rsid w:val="00C10B54"/>
    <w:rsid w:val="00C11430"/>
    <w:rsid w:val="00C11689"/>
    <w:rsid w:val="00C11A19"/>
    <w:rsid w:val="00C11EE7"/>
    <w:rsid w:val="00C12844"/>
    <w:rsid w:val="00C12E86"/>
    <w:rsid w:val="00C13896"/>
    <w:rsid w:val="00C14854"/>
    <w:rsid w:val="00C15A08"/>
    <w:rsid w:val="00C162DA"/>
    <w:rsid w:val="00C17745"/>
    <w:rsid w:val="00C17B28"/>
    <w:rsid w:val="00C17D9F"/>
    <w:rsid w:val="00C17F69"/>
    <w:rsid w:val="00C20597"/>
    <w:rsid w:val="00C205D0"/>
    <w:rsid w:val="00C21395"/>
    <w:rsid w:val="00C2141A"/>
    <w:rsid w:val="00C214E2"/>
    <w:rsid w:val="00C22538"/>
    <w:rsid w:val="00C225B5"/>
    <w:rsid w:val="00C23020"/>
    <w:rsid w:val="00C235B3"/>
    <w:rsid w:val="00C2440D"/>
    <w:rsid w:val="00C24EDD"/>
    <w:rsid w:val="00C27054"/>
    <w:rsid w:val="00C271CB"/>
    <w:rsid w:val="00C27361"/>
    <w:rsid w:val="00C316E1"/>
    <w:rsid w:val="00C32FBD"/>
    <w:rsid w:val="00C34015"/>
    <w:rsid w:val="00C34433"/>
    <w:rsid w:val="00C34C74"/>
    <w:rsid w:val="00C34D1B"/>
    <w:rsid w:val="00C35FAC"/>
    <w:rsid w:val="00C36153"/>
    <w:rsid w:val="00C3730B"/>
    <w:rsid w:val="00C37C34"/>
    <w:rsid w:val="00C404F7"/>
    <w:rsid w:val="00C4067A"/>
    <w:rsid w:val="00C40F07"/>
    <w:rsid w:val="00C4131A"/>
    <w:rsid w:val="00C4152D"/>
    <w:rsid w:val="00C416AE"/>
    <w:rsid w:val="00C41ADD"/>
    <w:rsid w:val="00C41D18"/>
    <w:rsid w:val="00C41E5C"/>
    <w:rsid w:val="00C4205B"/>
    <w:rsid w:val="00C45E63"/>
    <w:rsid w:val="00C468CE"/>
    <w:rsid w:val="00C46B04"/>
    <w:rsid w:val="00C471B7"/>
    <w:rsid w:val="00C4756F"/>
    <w:rsid w:val="00C5068B"/>
    <w:rsid w:val="00C50940"/>
    <w:rsid w:val="00C51472"/>
    <w:rsid w:val="00C51B80"/>
    <w:rsid w:val="00C52FBB"/>
    <w:rsid w:val="00C53745"/>
    <w:rsid w:val="00C542BD"/>
    <w:rsid w:val="00C5496F"/>
    <w:rsid w:val="00C553E8"/>
    <w:rsid w:val="00C553FE"/>
    <w:rsid w:val="00C55D7B"/>
    <w:rsid w:val="00C56B03"/>
    <w:rsid w:val="00C570D3"/>
    <w:rsid w:val="00C57281"/>
    <w:rsid w:val="00C57523"/>
    <w:rsid w:val="00C57BDE"/>
    <w:rsid w:val="00C605C2"/>
    <w:rsid w:val="00C60C95"/>
    <w:rsid w:val="00C6175D"/>
    <w:rsid w:val="00C6186C"/>
    <w:rsid w:val="00C62137"/>
    <w:rsid w:val="00C62589"/>
    <w:rsid w:val="00C62C5B"/>
    <w:rsid w:val="00C64123"/>
    <w:rsid w:val="00C6509D"/>
    <w:rsid w:val="00C65495"/>
    <w:rsid w:val="00C65BFB"/>
    <w:rsid w:val="00C65CAA"/>
    <w:rsid w:val="00C65E36"/>
    <w:rsid w:val="00C66EA5"/>
    <w:rsid w:val="00C670A6"/>
    <w:rsid w:val="00C672BB"/>
    <w:rsid w:val="00C67387"/>
    <w:rsid w:val="00C67589"/>
    <w:rsid w:val="00C67F79"/>
    <w:rsid w:val="00C71BCA"/>
    <w:rsid w:val="00C7218F"/>
    <w:rsid w:val="00C73098"/>
    <w:rsid w:val="00C73EBE"/>
    <w:rsid w:val="00C76E45"/>
    <w:rsid w:val="00C7702D"/>
    <w:rsid w:val="00C77A8E"/>
    <w:rsid w:val="00C80195"/>
    <w:rsid w:val="00C80682"/>
    <w:rsid w:val="00C81DC0"/>
    <w:rsid w:val="00C82FC6"/>
    <w:rsid w:val="00C83C07"/>
    <w:rsid w:val="00C84819"/>
    <w:rsid w:val="00C84DDB"/>
    <w:rsid w:val="00C8637C"/>
    <w:rsid w:val="00C864A1"/>
    <w:rsid w:val="00C8720F"/>
    <w:rsid w:val="00C904D2"/>
    <w:rsid w:val="00C9154B"/>
    <w:rsid w:val="00C9186B"/>
    <w:rsid w:val="00C92082"/>
    <w:rsid w:val="00C92502"/>
    <w:rsid w:val="00C92549"/>
    <w:rsid w:val="00C932A2"/>
    <w:rsid w:val="00C93759"/>
    <w:rsid w:val="00C94083"/>
    <w:rsid w:val="00C944F0"/>
    <w:rsid w:val="00C95A32"/>
    <w:rsid w:val="00C96ABA"/>
    <w:rsid w:val="00C97A1D"/>
    <w:rsid w:val="00CA019B"/>
    <w:rsid w:val="00CA09DD"/>
    <w:rsid w:val="00CA28DF"/>
    <w:rsid w:val="00CA3967"/>
    <w:rsid w:val="00CA3BC9"/>
    <w:rsid w:val="00CA4151"/>
    <w:rsid w:val="00CA5F47"/>
    <w:rsid w:val="00CA65B7"/>
    <w:rsid w:val="00CA6CEF"/>
    <w:rsid w:val="00CB1468"/>
    <w:rsid w:val="00CB1737"/>
    <w:rsid w:val="00CB4509"/>
    <w:rsid w:val="00CB4C32"/>
    <w:rsid w:val="00CB764F"/>
    <w:rsid w:val="00CB766A"/>
    <w:rsid w:val="00CB7B37"/>
    <w:rsid w:val="00CB7BC5"/>
    <w:rsid w:val="00CC0600"/>
    <w:rsid w:val="00CC0B35"/>
    <w:rsid w:val="00CC0CD8"/>
    <w:rsid w:val="00CC19AF"/>
    <w:rsid w:val="00CC1B02"/>
    <w:rsid w:val="00CC1EC8"/>
    <w:rsid w:val="00CC1ED3"/>
    <w:rsid w:val="00CC2737"/>
    <w:rsid w:val="00CC3866"/>
    <w:rsid w:val="00CC39BB"/>
    <w:rsid w:val="00CC3A5F"/>
    <w:rsid w:val="00CC56E7"/>
    <w:rsid w:val="00CC57D7"/>
    <w:rsid w:val="00CC6150"/>
    <w:rsid w:val="00CC752F"/>
    <w:rsid w:val="00CC7915"/>
    <w:rsid w:val="00CD32E9"/>
    <w:rsid w:val="00CD432A"/>
    <w:rsid w:val="00CD46C4"/>
    <w:rsid w:val="00CD4994"/>
    <w:rsid w:val="00CD57CA"/>
    <w:rsid w:val="00CD68D2"/>
    <w:rsid w:val="00CD7CB2"/>
    <w:rsid w:val="00CE0236"/>
    <w:rsid w:val="00CE3B7E"/>
    <w:rsid w:val="00CE3E27"/>
    <w:rsid w:val="00CE499F"/>
    <w:rsid w:val="00CE4ACE"/>
    <w:rsid w:val="00CE50CF"/>
    <w:rsid w:val="00CE67DD"/>
    <w:rsid w:val="00CE6F0E"/>
    <w:rsid w:val="00CE7960"/>
    <w:rsid w:val="00CE797E"/>
    <w:rsid w:val="00CF0B05"/>
    <w:rsid w:val="00CF0D00"/>
    <w:rsid w:val="00CF14C4"/>
    <w:rsid w:val="00CF15FA"/>
    <w:rsid w:val="00CF3D98"/>
    <w:rsid w:val="00CF4905"/>
    <w:rsid w:val="00CF4E49"/>
    <w:rsid w:val="00CF728D"/>
    <w:rsid w:val="00CF7725"/>
    <w:rsid w:val="00D0248A"/>
    <w:rsid w:val="00D02A30"/>
    <w:rsid w:val="00D02B46"/>
    <w:rsid w:val="00D02B59"/>
    <w:rsid w:val="00D0626F"/>
    <w:rsid w:val="00D10CCE"/>
    <w:rsid w:val="00D11853"/>
    <w:rsid w:val="00D1242C"/>
    <w:rsid w:val="00D12CE7"/>
    <w:rsid w:val="00D141FC"/>
    <w:rsid w:val="00D15635"/>
    <w:rsid w:val="00D17930"/>
    <w:rsid w:val="00D17A09"/>
    <w:rsid w:val="00D20944"/>
    <w:rsid w:val="00D20E71"/>
    <w:rsid w:val="00D21D53"/>
    <w:rsid w:val="00D22078"/>
    <w:rsid w:val="00D221D6"/>
    <w:rsid w:val="00D22326"/>
    <w:rsid w:val="00D230B7"/>
    <w:rsid w:val="00D23F00"/>
    <w:rsid w:val="00D25AA8"/>
    <w:rsid w:val="00D26791"/>
    <w:rsid w:val="00D30741"/>
    <w:rsid w:val="00D30CC3"/>
    <w:rsid w:val="00D31331"/>
    <w:rsid w:val="00D3187F"/>
    <w:rsid w:val="00D31E64"/>
    <w:rsid w:val="00D32CA6"/>
    <w:rsid w:val="00D345EE"/>
    <w:rsid w:val="00D34825"/>
    <w:rsid w:val="00D34E60"/>
    <w:rsid w:val="00D34E76"/>
    <w:rsid w:val="00D350A6"/>
    <w:rsid w:val="00D352A7"/>
    <w:rsid w:val="00D35A6D"/>
    <w:rsid w:val="00D40630"/>
    <w:rsid w:val="00D40659"/>
    <w:rsid w:val="00D40890"/>
    <w:rsid w:val="00D41840"/>
    <w:rsid w:val="00D42D8D"/>
    <w:rsid w:val="00D43958"/>
    <w:rsid w:val="00D44014"/>
    <w:rsid w:val="00D44979"/>
    <w:rsid w:val="00D44DAE"/>
    <w:rsid w:val="00D46455"/>
    <w:rsid w:val="00D468AA"/>
    <w:rsid w:val="00D476B4"/>
    <w:rsid w:val="00D50F38"/>
    <w:rsid w:val="00D51871"/>
    <w:rsid w:val="00D51BBF"/>
    <w:rsid w:val="00D52FA5"/>
    <w:rsid w:val="00D53BDE"/>
    <w:rsid w:val="00D540ED"/>
    <w:rsid w:val="00D55E01"/>
    <w:rsid w:val="00D55F16"/>
    <w:rsid w:val="00D56523"/>
    <w:rsid w:val="00D56779"/>
    <w:rsid w:val="00D57903"/>
    <w:rsid w:val="00D57B59"/>
    <w:rsid w:val="00D6172B"/>
    <w:rsid w:val="00D61ECB"/>
    <w:rsid w:val="00D623A9"/>
    <w:rsid w:val="00D6265A"/>
    <w:rsid w:val="00D628CF"/>
    <w:rsid w:val="00D63147"/>
    <w:rsid w:val="00D647B4"/>
    <w:rsid w:val="00D65D02"/>
    <w:rsid w:val="00D66114"/>
    <w:rsid w:val="00D66733"/>
    <w:rsid w:val="00D720D9"/>
    <w:rsid w:val="00D80293"/>
    <w:rsid w:val="00D81297"/>
    <w:rsid w:val="00D82153"/>
    <w:rsid w:val="00D831F8"/>
    <w:rsid w:val="00D842AE"/>
    <w:rsid w:val="00D844F3"/>
    <w:rsid w:val="00D845FD"/>
    <w:rsid w:val="00D84920"/>
    <w:rsid w:val="00D849FD"/>
    <w:rsid w:val="00D867C9"/>
    <w:rsid w:val="00D87C3D"/>
    <w:rsid w:val="00D90FD6"/>
    <w:rsid w:val="00D910B7"/>
    <w:rsid w:val="00D914FF"/>
    <w:rsid w:val="00D91ABA"/>
    <w:rsid w:val="00D939C4"/>
    <w:rsid w:val="00D93C72"/>
    <w:rsid w:val="00D93E40"/>
    <w:rsid w:val="00D95415"/>
    <w:rsid w:val="00D95C57"/>
    <w:rsid w:val="00D96C5B"/>
    <w:rsid w:val="00DA1932"/>
    <w:rsid w:val="00DA32A2"/>
    <w:rsid w:val="00DA32AC"/>
    <w:rsid w:val="00DA4151"/>
    <w:rsid w:val="00DA6C19"/>
    <w:rsid w:val="00DA7F40"/>
    <w:rsid w:val="00DB04BC"/>
    <w:rsid w:val="00DB06E0"/>
    <w:rsid w:val="00DB20BA"/>
    <w:rsid w:val="00DB2A7B"/>
    <w:rsid w:val="00DB370F"/>
    <w:rsid w:val="00DB483B"/>
    <w:rsid w:val="00DB4BBE"/>
    <w:rsid w:val="00DB5225"/>
    <w:rsid w:val="00DB5BCC"/>
    <w:rsid w:val="00DC04FF"/>
    <w:rsid w:val="00DC09BD"/>
    <w:rsid w:val="00DC134C"/>
    <w:rsid w:val="00DC1641"/>
    <w:rsid w:val="00DC2562"/>
    <w:rsid w:val="00DC3F61"/>
    <w:rsid w:val="00DC61A7"/>
    <w:rsid w:val="00DC654C"/>
    <w:rsid w:val="00DC6629"/>
    <w:rsid w:val="00DC6CAD"/>
    <w:rsid w:val="00DC6F62"/>
    <w:rsid w:val="00DC7A9A"/>
    <w:rsid w:val="00DD161F"/>
    <w:rsid w:val="00DD27FF"/>
    <w:rsid w:val="00DD29BD"/>
    <w:rsid w:val="00DD31A9"/>
    <w:rsid w:val="00DD5615"/>
    <w:rsid w:val="00DD5FD3"/>
    <w:rsid w:val="00DE0AE8"/>
    <w:rsid w:val="00DE2087"/>
    <w:rsid w:val="00DE317E"/>
    <w:rsid w:val="00DE3306"/>
    <w:rsid w:val="00DE4941"/>
    <w:rsid w:val="00DE5BF6"/>
    <w:rsid w:val="00DE617D"/>
    <w:rsid w:val="00DE711D"/>
    <w:rsid w:val="00DF2405"/>
    <w:rsid w:val="00DF2BF1"/>
    <w:rsid w:val="00DF3E39"/>
    <w:rsid w:val="00DF4296"/>
    <w:rsid w:val="00DF4963"/>
    <w:rsid w:val="00DF49C0"/>
    <w:rsid w:val="00DF4EBE"/>
    <w:rsid w:val="00DF53D1"/>
    <w:rsid w:val="00DF716D"/>
    <w:rsid w:val="00DF7511"/>
    <w:rsid w:val="00E00517"/>
    <w:rsid w:val="00E005A3"/>
    <w:rsid w:val="00E01CF4"/>
    <w:rsid w:val="00E02027"/>
    <w:rsid w:val="00E04063"/>
    <w:rsid w:val="00E04C4D"/>
    <w:rsid w:val="00E04F9C"/>
    <w:rsid w:val="00E053BA"/>
    <w:rsid w:val="00E053E8"/>
    <w:rsid w:val="00E0593E"/>
    <w:rsid w:val="00E06740"/>
    <w:rsid w:val="00E06F1E"/>
    <w:rsid w:val="00E06F6F"/>
    <w:rsid w:val="00E0714C"/>
    <w:rsid w:val="00E10570"/>
    <w:rsid w:val="00E10D8A"/>
    <w:rsid w:val="00E110BE"/>
    <w:rsid w:val="00E11466"/>
    <w:rsid w:val="00E11AD9"/>
    <w:rsid w:val="00E12A96"/>
    <w:rsid w:val="00E1406F"/>
    <w:rsid w:val="00E1460B"/>
    <w:rsid w:val="00E1488E"/>
    <w:rsid w:val="00E14DA6"/>
    <w:rsid w:val="00E15230"/>
    <w:rsid w:val="00E1556D"/>
    <w:rsid w:val="00E15BFC"/>
    <w:rsid w:val="00E168C6"/>
    <w:rsid w:val="00E171B5"/>
    <w:rsid w:val="00E1725D"/>
    <w:rsid w:val="00E209F0"/>
    <w:rsid w:val="00E21E98"/>
    <w:rsid w:val="00E22225"/>
    <w:rsid w:val="00E229F9"/>
    <w:rsid w:val="00E246BC"/>
    <w:rsid w:val="00E25344"/>
    <w:rsid w:val="00E25A1A"/>
    <w:rsid w:val="00E27CBD"/>
    <w:rsid w:val="00E27F42"/>
    <w:rsid w:val="00E307B4"/>
    <w:rsid w:val="00E30A86"/>
    <w:rsid w:val="00E30DD8"/>
    <w:rsid w:val="00E31D1F"/>
    <w:rsid w:val="00E32236"/>
    <w:rsid w:val="00E34194"/>
    <w:rsid w:val="00E342B5"/>
    <w:rsid w:val="00E361B4"/>
    <w:rsid w:val="00E37130"/>
    <w:rsid w:val="00E4045F"/>
    <w:rsid w:val="00E404E5"/>
    <w:rsid w:val="00E40EFF"/>
    <w:rsid w:val="00E4449F"/>
    <w:rsid w:val="00E45A8D"/>
    <w:rsid w:val="00E4743D"/>
    <w:rsid w:val="00E47AE6"/>
    <w:rsid w:val="00E50A9D"/>
    <w:rsid w:val="00E50FEB"/>
    <w:rsid w:val="00E51395"/>
    <w:rsid w:val="00E524FA"/>
    <w:rsid w:val="00E545E7"/>
    <w:rsid w:val="00E54A68"/>
    <w:rsid w:val="00E56F27"/>
    <w:rsid w:val="00E579A2"/>
    <w:rsid w:val="00E57A48"/>
    <w:rsid w:val="00E61909"/>
    <w:rsid w:val="00E62282"/>
    <w:rsid w:val="00E62459"/>
    <w:rsid w:val="00E63B13"/>
    <w:rsid w:val="00E63E17"/>
    <w:rsid w:val="00E6430F"/>
    <w:rsid w:val="00E64C81"/>
    <w:rsid w:val="00E659D1"/>
    <w:rsid w:val="00E671C5"/>
    <w:rsid w:val="00E67E3A"/>
    <w:rsid w:val="00E67F14"/>
    <w:rsid w:val="00E70C9A"/>
    <w:rsid w:val="00E70F4C"/>
    <w:rsid w:val="00E7289C"/>
    <w:rsid w:val="00E73D33"/>
    <w:rsid w:val="00E74339"/>
    <w:rsid w:val="00E74D86"/>
    <w:rsid w:val="00E74EEA"/>
    <w:rsid w:val="00E7541D"/>
    <w:rsid w:val="00E76F02"/>
    <w:rsid w:val="00E77D08"/>
    <w:rsid w:val="00E81139"/>
    <w:rsid w:val="00E81444"/>
    <w:rsid w:val="00E81590"/>
    <w:rsid w:val="00E81EC3"/>
    <w:rsid w:val="00E82191"/>
    <w:rsid w:val="00E82622"/>
    <w:rsid w:val="00E85C14"/>
    <w:rsid w:val="00E860EE"/>
    <w:rsid w:val="00E878B1"/>
    <w:rsid w:val="00E87EAE"/>
    <w:rsid w:val="00E90C4E"/>
    <w:rsid w:val="00E90E7B"/>
    <w:rsid w:val="00E91178"/>
    <w:rsid w:val="00E9158D"/>
    <w:rsid w:val="00E97D40"/>
    <w:rsid w:val="00EA0105"/>
    <w:rsid w:val="00EA0623"/>
    <w:rsid w:val="00EA0C40"/>
    <w:rsid w:val="00EA191F"/>
    <w:rsid w:val="00EA2737"/>
    <w:rsid w:val="00EA319C"/>
    <w:rsid w:val="00EA4416"/>
    <w:rsid w:val="00EA47D1"/>
    <w:rsid w:val="00EA4D5A"/>
    <w:rsid w:val="00EA5850"/>
    <w:rsid w:val="00EA5C6C"/>
    <w:rsid w:val="00EA684F"/>
    <w:rsid w:val="00EA6AA4"/>
    <w:rsid w:val="00EB05ED"/>
    <w:rsid w:val="00EB07C1"/>
    <w:rsid w:val="00EB20A1"/>
    <w:rsid w:val="00EB2CE1"/>
    <w:rsid w:val="00EB2E9C"/>
    <w:rsid w:val="00EB2F67"/>
    <w:rsid w:val="00EB30A7"/>
    <w:rsid w:val="00EB34D4"/>
    <w:rsid w:val="00EB4253"/>
    <w:rsid w:val="00EB54E2"/>
    <w:rsid w:val="00EB6F2B"/>
    <w:rsid w:val="00EB7240"/>
    <w:rsid w:val="00EB77FC"/>
    <w:rsid w:val="00EC03AC"/>
    <w:rsid w:val="00EC0FDB"/>
    <w:rsid w:val="00EC2A1A"/>
    <w:rsid w:val="00EC2BA7"/>
    <w:rsid w:val="00EC2FEE"/>
    <w:rsid w:val="00EC39FE"/>
    <w:rsid w:val="00EC4099"/>
    <w:rsid w:val="00EC4F51"/>
    <w:rsid w:val="00EC614D"/>
    <w:rsid w:val="00EC6C1D"/>
    <w:rsid w:val="00EC79F1"/>
    <w:rsid w:val="00ED0AB2"/>
    <w:rsid w:val="00ED17C2"/>
    <w:rsid w:val="00ED4722"/>
    <w:rsid w:val="00ED472B"/>
    <w:rsid w:val="00ED4836"/>
    <w:rsid w:val="00ED4DBC"/>
    <w:rsid w:val="00ED611D"/>
    <w:rsid w:val="00ED672E"/>
    <w:rsid w:val="00EE00A6"/>
    <w:rsid w:val="00EE0729"/>
    <w:rsid w:val="00EE1AD1"/>
    <w:rsid w:val="00EE2A75"/>
    <w:rsid w:val="00EE332D"/>
    <w:rsid w:val="00EE3D9F"/>
    <w:rsid w:val="00EE4CD2"/>
    <w:rsid w:val="00EE52C4"/>
    <w:rsid w:val="00EE5C2A"/>
    <w:rsid w:val="00EE6E43"/>
    <w:rsid w:val="00EE6F74"/>
    <w:rsid w:val="00EE7B34"/>
    <w:rsid w:val="00EF36B1"/>
    <w:rsid w:val="00EF6202"/>
    <w:rsid w:val="00EF6B4B"/>
    <w:rsid w:val="00F00DCE"/>
    <w:rsid w:val="00F00FB3"/>
    <w:rsid w:val="00F025F2"/>
    <w:rsid w:val="00F02A07"/>
    <w:rsid w:val="00F03AEC"/>
    <w:rsid w:val="00F03FCD"/>
    <w:rsid w:val="00F04BF9"/>
    <w:rsid w:val="00F05850"/>
    <w:rsid w:val="00F062E9"/>
    <w:rsid w:val="00F06499"/>
    <w:rsid w:val="00F071C4"/>
    <w:rsid w:val="00F07594"/>
    <w:rsid w:val="00F11E60"/>
    <w:rsid w:val="00F1296D"/>
    <w:rsid w:val="00F12B61"/>
    <w:rsid w:val="00F12D77"/>
    <w:rsid w:val="00F12FC5"/>
    <w:rsid w:val="00F1304F"/>
    <w:rsid w:val="00F136A7"/>
    <w:rsid w:val="00F1374E"/>
    <w:rsid w:val="00F13A96"/>
    <w:rsid w:val="00F13CB5"/>
    <w:rsid w:val="00F1541B"/>
    <w:rsid w:val="00F16E51"/>
    <w:rsid w:val="00F20398"/>
    <w:rsid w:val="00F207E2"/>
    <w:rsid w:val="00F20DD9"/>
    <w:rsid w:val="00F215D3"/>
    <w:rsid w:val="00F21A7A"/>
    <w:rsid w:val="00F21A96"/>
    <w:rsid w:val="00F21FF5"/>
    <w:rsid w:val="00F2297C"/>
    <w:rsid w:val="00F22F3D"/>
    <w:rsid w:val="00F23832"/>
    <w:rsid w:val="00F23AC2"/>
    <w:rsid w:val="00F24065"/>
    <w:rsid w:val="00F2411A"/>
    <w:rsid w:val="00F27F5F"/>
    <w:rsid w:val="00F31DE8"/>
    <w:rsid w:val="00F34DF9"/>
    <w:rsid w:val="00F3500E"/>
    <w:rsid w:val="00F35F37"/>
    <w:rsid w:val="00F360CD"/>
    <w:rsid w:val="00F37917"/>
    <w:rsid w:val="00F408E2"/>
    <w:rsid w:val="00F40AF4"/>
    <w:rsid w:val="00F40DD6"/>
    <w:rsid w:val="00F414D8"/>
    <w:rsid w:val="00F42035"/>
    <w:rsid w:val="00F4258F"/>
    <w:rsid w:val="00F447B3"/>
    <w:rsid w:val="00F44AD8"/>
    <w:rsid w:val="00F4562D"/>
    <w:rsid w:val="00F4656E"/>
    <w:rsid w:val="00F470C3"/>
    <w:rsid w:val="00F50391"/>
    <w:rsid w:val="00F51359"/>
    <w:rsid w:val="00F51A33"/>
    <w:rsid w:val="00F53224"/>
    <w:rsid w:val="00F533D8"/>
    <w:rsid w:val="00F5392A"/>
    <w:rsid w:val="00F53F87"/>
    <w:rsid w:val="00F540CB"/>
    <w:rsid w:val="00F541A7"/>
    <w:rsid w:val="00F55A85"/>
    <w:rsid w:val="00F55D81"/>
    <w:rsid w:val="00F601D9"/>
    <w:rsid w:val="00F61599"/>
    <w:rsid w:val="00F62324"/>
    <w:rsid w:val="00F62DBA"/>
    <w:rsid w:val="00F631C8"/>
    <w:rsid w:val="00F643AA"/>
    <w:rsid w:val="00F65105"/>
    <w:rsid w:val="00F652C7"/>
    <w:rsid w:val="00F65582"/>
    <w:rsid w:val="00F70241"/>
    <w:rsid w:val="00F70403"/>
    <w:rsid w:val="00F712D6"/>
    <w:rsid w:val="00F7130D"/>
    <w:rsid w:val="00F7293C"/>
    <w:rsid w:val="00F73500"/>
    <w:rsid w:val="00F74A9B"/>
    <w:rsid w:val="00F7582F"/>
    <w:rsid w:val="00F75953"/>
    <w:rsid w:val="00F8192E"/>
    <w:rsid w:val="00F81951"/>
    <w:rsid w:val="00F81B7B"/>
    <w:rsid w:val="00F8309A"/>
    <w:rsid w:val="00F8339D"/>
    <w:rsid w:val="00F83C9D"/>
    <w:rsid w:val="00F83DE8"/>
    <w:rsid w:val="00F848D3"/>
    <w:rsid w:val="00F84EA6"/>
    <w:rsid w:val="00F84EC9"/>
    <w:rsid w:val="00F851CB"/>
    <w:rsid w:val="00F85E55"/>
    <w:rsid w:val="00F86025"/>
    <w:rsid w:val="00F92053"/>
    <w:rsid w:val="00F93C0D"/>
    <w:rsid w:val="00F93E5F"/>
    <w:rsid w:val="00F94F16"/>
    <w:rsid w:val="00F95662"/>
    <w:rsid w:val="00F956BD"/>
    <w:rsid w:val="00F95C1C"/>
    <w:rsid w:val="00F96AA2"/>
    <w:rsid w:val="00F97BF5"/>
    <w:rsid w:val="00FA01D5"/>
    <w:rsid w:val="00FA03BB"/>
    <w:rsid w:val="00FA12D9"/>
    <w:rsid w:val="00FA160B"/>
    <w:rsid w:val="00FA2666"/>
    <w:rsid w:val="00FA3473"/>
    <w:rsid w:val="00FA3611"/>
    <w:rsid w:val="00FA36D5"/>
    <w:rsid w:val="00FA4DF0"/>
    <w:rsid w:val="00FA68FF"/>
    <w:rsid w:val="00FA6A52"/>
    <w:rsid w:val="00FA71B4"/>
    <w:rsid w:val="00FA7CA6"/>
    <w:rsid w:val="00FB0914"/>
    <w:rsid w:val="00FB0A2E"/>
    <w:rsid w:val="00FB1709"/>
    <w:rsid w:val="00FB2784"/>
    <w:rsid w:val="00FB341E"/>
    <w:rsid w:val="00FB46AD"/>
    <w:rsid w:val="00FB4A99"/>
    <w:rsid w:val="00FB53B6"/>
    <w:rsid w:val="00FB5A19"/>
    <w:rsid w:val="00FB5E64"/>
    <w:rsid w:val="00FB6449"/>
    <w:rsid w:val="00FB7051"/>
    <w:rsid w:val="00FC132E"/>
    <w:rsid w:val="00FC2170"/>
    <w:rsid w:val="00FC241A"/>
    <w:rsid w:val="00FC2876"/>
    <w:rsid w:val="00FC32CA"/>
    <w:rsid w:val="00FC3407"/>
    <w:rsid w:val="00FC50C2"/>
    <w:rsid w:val="00FC6219"/>
    <w:rsid w:val="00FC7512"/>
    <w:rsid w:val="00FD0756"/>
    <w:rsid w:val="00FD0D6C"/>
    <w:rsid w:val="00FD1615"/>
    <w:rsid w:val="00FD4137"/>
    <w:rsid w:val="00FD4BD1"/>
    <w:rsid w:val="00FD669C"/>
    <w:rsid w:val="00FD67D4"/>
    <w:rsid w:val="00FD69BB"/>
    <w:rsid w:val="00FD6D08"/>
    <w:rsid w:val="00FD6D13"/>
    <w:rsid w:val="00FD6E69"/>
    <w:rsid w:val="00FD7B1C"/>
    <w:rsid w:val="00FE0573"/>
    <w:rsid w:val="00FE18E3"/>
    <w:rsid w:val="00FE365B"/>
    <w:rsid w:val="00FE4012"/>
    <w:rsid w:val="00FE47A4"/>
    <w:rsid w:val="00FE64E5"/>
    <w:rsid w:val="00FE67F1"/>
    <w:rsid w:val="00FE7976"/>
    <w:rsid w:val="00FF1060"/>
    <w:rsid w:val="00FF156B"/>
    <w:rsid w:val="00FF1DA1"/>
    <w:rsid w:val="00FF2AC8"/>
    <w:rsid w:val="00FF2BA2"/>
    <w:rsid w:val="00FF33BF"/>
    <w:rsid w:val="00FF3A21"/>
    <w:rsid w:val="00FF4311"/>
    <w:rsid w:val="00FF6467"/>
    <w:rsid w:val="00FF65BB"/>
    <w:rsid w:val="013D2244"/>
    <w:rsid w:val="020F671B"/>
    <w:rsid w:val="02C75F16"/>
    <w:rsid w:val="02D77125"/>
    <w:rsid w:val="036F78A2"/>
    <w:rsid w:val="03E100F8"/>
    <w:rsid w:val="03F308FB"/>
    <w:rsid w:val="04431FCA"/>
    <w:rsid w:val="049E58B3"/>
    <w:rsid w:val="051F4802"/>
    <w:rsid w:val="05F54B35"/>
    <w:rsid w:val="081B53B0"/>
    <w:rsid w:val="08ED0E78"/>
    <w:rsid w:val="092842C6"/>
    <w:rsid w:val="09D814FC"/>
    <w:rsid w:val="0A022B68"/>
    <w:rsid w:val="0BA67B20"/>
    <w:rsid w:val="0DC22B83"/>
    <w:rsid w:val="0DC6445B"/>
    <w:rsid w:val="0E1855CB"/>
    <w:rsid w:val="0E1C3BAA"/>
    <w:rsid w:val="0E402421"/>
    <w:rsid w:val="0F016D15"/>
    <w:rsid w:val="10DB0844"/>
    <w:rsid w:val="10E40152"/>
    <w:rsid w:val="11E77DE0"/>
    <w:rsid w:val="14170548"/>
    <w:rsid w:val="156307D4"/>
    <w:rsid w:val="157F1F01"/>
    <w:rsid w:val="16087DCD"/>
    <w:rsid w:val="187D527A"/>
    <w:rsid w:val="189D4539"/>
    <w:rsid w:val="191A50D8"/>
    <w:rsid w:val="19505E76"/>
    <w:rsid w:val="1A704D8B"/>
    <w:rsid w:val="1BF53B79"/>
    <w:rsid w:val="1CFA1A7D"/>
    <w:rsid w:val="1D116C30"/>
    <w:rsid w:val="1D9C4BA0"/>
    <w:rsid w:val="20BD0DAA"/>
    <w:rsid w:val="20D018C0"/>
    <w:rsid w:val="21E41B12"/>
    <w:rsid w:val="249C01AE"/>
    <w:rsid w:val="24D31AA4"/>
    <w:rsid w:val="24E85E83"/>
    <w:rsid w:val="259F10D4"/>
    <w:rsid w:val="25A716BD"/>
    <w:rsid w:val="26424B51"/>
    <w:rsid w:val="272B275F"/>
    <w:rsid w:val="27884235"/>
    <w:rsid w:val="27F16983"/>
    <w:rsid w:val="283678F6"/>
    <w:rsid w:val="28447D6D"/>
    <w:rsid w:val="2B5C3F5D"/>
    <w:rsid w:val="2BFD3C12"/>
    <w:rsid w:val="2C276FC0"/>
    <w:rsid w:val="2C670A45"/>
    <w:rsid w:val="2E035692"/>
    <w:rsid w:val="2E59220F"/>
    <w:rsid w:val="2FA128B1"/>
    <w:rsid w:val="30281900"/>
    <w:rsid w:val="30D05347"/>
    <w:rsid w:val="31353FA1"/>
    <w:rsid w:val="317913FA"/>
    <w:rsid w:val="31A17244"/>
    <w:rsid w:val="31CC37EF"/>
    <w:rsid w:val="3237787A"/>
    <w:rsid w:val="331F1908"/>
    <w:rsid w:val="33547C97"/>
    <w:rsid w:val="33B23F11"/>
    <w:rsid w:val="34862B99"/>
    <w:rsid w:val="348E21CA"/>
    <w:rsid w:val="35A67BE1"/>
    <w:rsid w:val="39694D68"/>
    <w:rsid w:val="39935566"/>
    <w:rsid w:val="3B5B039D"/>
    <w:rsid w:val="3D061311"/>
    <w:rsid w:val="3E1066AC"/>
    <w:rsid w:val="3F26575E"/>
    <w:rsid w:val="436D6AFB"/>
    <w:rsid w:val="43CE6D46"/>
    <w:rsid w:val="43F86025"/>
    <w:rsid w:val="44E0444D"/>
    <w:rsid w:val="44F14811"/>
    <w:rsid w:val="46DC07FC"/>
    <w:rsid w:val="46FB1113"/>
    <w:rsid w:val="47831810"/>
    <w:rsid w:val="48042058"/>
    <w:rsid w:val="480D3F31"/>
    <w:rsid w:val="49FC71CC"/>
    <w:rsid w:val="4A7D616C"/>
    <w:rsid w:val="4B0737E2"/>
    <w:rsid w:val="4B6B6AC3"/>
    <w:rsid w:val="4BE85847"/>
    <w:rsid w:val="4C445D0D"/>
    <w:rsid w:val="4D0617A9"/>
    <w:rsid w:val="4E6F7391"/>
    <w:rsid w:val="4EFF2A50"/>
    <w:rsid w:val="4FD01283"/>
    <w:rsid w:val="51085F36"/>
    <w:rsid w:val="51B5172D"/>
    <w:rsid w:val="52B92ABE"/>
    <w:rsid w:val="54B21BA8"/>
    <w:rsid w:val="556E09E8"/>
    <w:rsid w:val="56D51491"/>
    <w:rsid w:val="574E1012"/>
    <w:rsid w:val="57571BFA"/>
    <w:rsid w:val="579462F4"/>
    <w:rsid w:val="58011C55"/>
    <w:rsid w:val="584D702B"/>
    <w:rsid w:val="58D61B5D"/>
    <w:rsid w:val="591E30BA"/>
    <w:rsid w:val="59333D5E"/>
    <w:rsid w:val="59BB515B"/>
    <w:rsid w:val="59BD5DA9"/>
    <w:rsid w:val="5AB201E8"/>
    <w:rsid w:val="5C1E7A51"/>
    <w:rsid w:val="5C363FEE"/>
    <w:rsid w:val="5E2172EF"/>
    <w:rsid w:val="606C6620"/>
    <w:rsid w:val="63137609"/>
    <w:rsid w:val="63636122"/>
    <w:rsid w:val="647C5134"/>
    <w:rsid w:val="654E7CF7"/>
    <w:rsid w:val="65DD4A97"/>
    <w:rsid w:val="6703209C"/>
    <w:rsid w:val="673B72CC"/>
    <w:rsid w:val="681016D8"/>
    <w:rsid w:val="68101F44"/>
    <w:rsid w:val="683957B2"/>
    <w:rsid w:val="69AD6A09"/>
    <w:rsid w:val="6AC13206"/>
    <w:rsid w:val="6AEF5493"/>
    <w:rsid w:val="6B2F7CF4"/>
    <w:rsid w:val="6B491285"/>
    <w:rsid w:val="6BBD7FC1"/>
    <w:rsid w:val="6BC94431"/>
    <w:rsid w:val="6CB743C8"/>
    <w:rsid w:val="6CCD5136"/>
    <w:rsid w:val="6D8842A3"/>
    <w:rsid w:val="6E2F3861"/>
    <w:rsid w:val="6EF377FB"/>
    <w:rsid w:val="6FB73A56"/>
    <w:rsid w:val="701315E4"/>
    <w:rsid w:val="7075006D"/>
    <w:rsid w:val="70A530CE"/>
    <w:rsid w:val="70C3531A"/>
    <w:rsid w:val="72043E9B"/>
    <w:rsid w:val="724A4FAE"/>
    <w:rsid w:val="7285711E"/>
    <w:rsid w:val="72CC268C"/>
    <w:rsid w:val="74D87D4F"/>
    <w:rsid w:val="75BE711B"/>
    <w:rsid w:val="768B1485"/>
    <w:rsid w:val="76B077BE"/>
    <w:rsid w:val="78204A0C"/>
    <w:rsid w:val="78372E08"/>
    <w:rsid w:val="78E1656C"/>
    <w:rsid w:val="7B896F2C"/>
    <w:rsid w:val="7B9B1BBB"/>
    <w:rsid w:val="7C06344D"/>
    <w:rsid w:val="7C59618A"/>
    <w:rsid w:val="7CB71695"/>
    <w:rsid w:val="7DE84EE0"/>
    <w:rsid w:val="7DFF3C8A"/>
    <w:rsid w:val="7ED06CEA"/>
    <w:rsid w:val="7F3C66E1"/>
  </w:rsids>
  <m:mathPr>
    <m:mathFont m:val="Cambria Math"/>
    <m:brkBin m:val="before"/>
    <m:brkBinSub m:val="--"/>
    <m:smallFrac m:val="0"/>
    <m:dispDef/>
    <m:lMargin m:val="0"/>
    <m:rMargin m:val="0"/>
    <m:defJc m:val="centerGroup"/>
    <m:wrapIndent m:val="1440"/>
    <m:intLim m:val="subSup"/>
    <m:naryLim m:val="undOvr"/>
  </m:mathPr>
  <w:themeFontLang w:val="ro-RO"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after="200" w:line="276" w:lineRule="auto"/>
    </w:pPr>
    <w:rPr>
      <w:rFonts w:asciiTheme="minorHAnsi" w:hAnsiTheme="minorHAnsi" w:eastAsiaTheme="minorHAnsi" w:cstheme="minorBidi"/>
      <w:lang w:val="ro-RO" w:eastAsia="en-US" w:bidi="ar-SA"/>
    </w:rPr>
  </w:style>
  <w:style w:type="paragraph" w:styleId="2">
    <w:name w:val="heading 1"/>
    <w:basedOn w:val="1"/>
    <w:next w:val="1"/>
    <w:link w:val="38"/>
    <w:qFormat/>
    <w:uiPriority w:val="9"/>
    <w:pPr>
      <w:pBdr>
        <w:top w:val="single" w:color="0F6FC6" w:themeColor="accent1" w:sz="24" w:space="0"/>
        <w:left w:val="single" w:color="0F6FC6" w:themeColor="accent1" w:sz="24" w:space="0"/>
        <w:bottom w:val="single" w:color="0F6FC6" w:themeColor="accent1" w:sz="24" w:space="0"/>
        <w:right w:val="single" w:color="0F6FC6" w:themeColor="accent1" w:sz="24" w:space="0"/>
      </w:pBdr>
      <w:shd w:val="clear" w:color="auto" w:fill="0F6FC6" w:themeFill="accent1"/>
      <w:spacing w:after="0"/>
      <w:outlineLvl w:val="0"/>
    </w:pPr>
    <w:rPr>
      <w:caps/>
      <w:color w:val="FFFFFF" w:themeColor="background1"/>
      <w:spacing w:val="15"/>
      <w:sz w:val="22"/>
      <w:szCs w:val="22"/>
      <w14:textFill>
        <w14:solidFill>
          <w14:schemeClr w14:val="bg1"/>
        </w14:solidFill>
      </w14:textFill>
    </w:rPr>
  </w:style>
  <w:style w:type="paragraph" w:styleId="3">
    <w:name w:val="heading 2"/>
    <w:basedOn w:val="1"/>
    <w:next w:val="1"/>
    <w:link w:val="39"/>
    <w:unhideWhenUsed/>
    <w:qFormat/>
    <w:uiPriority w:val="9"/>
    <w:pPr>
      <w:pBdr>
        <w:top w:val="single" w:color="C7E2FA" w:themeColor="accent1" w:themeTint="33" w:sz="24" w:space="0"/>
        <w:left w:val="single" w:color="C7E2FA" w:themeColor="accent1" w:themeTint="33" w:sz="24" w:space="0"/>
        <w:bottom w:val="single" w:color="C7E2FA" w:themeColor="accent1" w:themeTint="33" w:sz="24" w:space="0"/>
        <w:right w:val="single" w:color="C7E2FA" w:themeColor="accent1" w:themeTint="33" w:sz="24" w:space="0"/>
      </w:pBdr>
      <w:shd w:val="clear" w:color="auto" w:fill="C7E2FA" w:themeFill="accent1" w:themeFillTint="33"/>
      <w:spacing w:after="0"/>
      <w:outlineLvl w:val="1"/>
    </w:pPr>
    <w:rPr>
      <w:caps/>
      <w:spacing w:val="15"/>
    </w:rPr>
  </w:style>
  <w:style w:type="paragraph" w:styleId="4">
    <w:name w:val="heading 3"/>
    <w:basedOn w:val="1"/>
    <w:next w:val="1"/>
    <w:link w:val="40"/>
    <w:unhideWhenUsed/>
    <w:qFormat/>
    <w:uiPriority w:val="9"/>
    <w:pPr>
      <w:pBdr>
        <w:top w:val="single" w:color="0F6FC6" w:themeColor="accent1" w:sz="6" w:space="2"/>
      </w:pBdr>
      <w:spacing w:before="300" w:after="0"/>
      <w:outlineLvl w:val="2"/>
    </w:pPr>
    <w:rPr>
      <w:caps/>
      <w:color w:val="083863" w:themeColor="accent1" w:themeShade="80"/>
      <w:spacing w:val="15"/>
    </w:rPr>
  </w:style>
  <w:style w:type="paragraph" w:styleId="5">
    <w:name w:val="heading 4"/>
    <w:basedOn w:val="1"/>
    <w:next w:val="1"/>
    <w:link w:val="41"/>
    <w:unhideWhenUsed/>
    <w:qFormat/>
    <w:uiPriority w:val="9"/>
    <w:pPr>
      <w:pBdr>
        <w:top w:val="dotted" w:color="0F6FC6" w:themeColor="accent1" w:sz="6" w:space="2"/>
      </w:pBdr>
      <w:spacing w:before="200" w:after="0"/>
      <w:outlineLvl w:val="3"/>
    </w:pPr>
    <w:rPr>
      <w:caps/>
      <w:color w:val="0B5395" w:themeColor="accent1" w:themeShade="BF"/>
      <w:spacing w:val="10"/>
    </w:rPr>
  </w:style>
  <w:style w:type="paragraph" w:styleId="6">
    <w:name w:val="heading 5"/>
    <w:basedOn w:val="1"/>
    <w:next w:val="1"/>
    <w:link w:val="42"/>
    <w:semiHidden/>
    <w:unhideWhenUsed/>
    <w:qFormat/>
    <w:uiPriority w:val="9"/>
    <w:pPr>
      <w:pBdr>
        <w:bottom w:val="single" w:color="0F6FC6" w:themeColor="accent1" w:sz="6" w:space="1"/>
      </w:pBdr>
      <w:spacing w:before="200" w:after="0"/>
      <w:outlineLvl w:val="4"/>
    </w:pPr>
    <w:rPr>
      <w:caps/>
      <w:color w:val="0B5395" w:themeColor="accent1" w:themeShade="BF"/>
      <w:spacing w:val="10"/>
    </w:rPr>
  </w:style>
  <w:style w:type="paragraph" w:styleId="7">
    <w:name w:val="heading 6"/>
    <w:basedOn w:val="1"/>
    <w:next w:val="1"/>
    <w:link w:val="43"/>
    <w:semiHidden/>
    <w:unhideWhenUsed/>
    <w:qFormat/>
    <w:uiPriority w:val="9"/>
    <w:pPr>
      <w:pBdr>
        <w:bottom w:val="dotted" w:color="0F6FC6" w:themeColor="accent1" w:sz="6" w:space="1"/>
      </w:pBdr>
      <w:spacing w:before="200" w:after="0"/>
      <w:outlineLvl w:val="5"/>
    </w:pPr>
    <w:rPr>
      <w:caps/>
      <w:color w:val="0B5395" w:themeColor="accent1" w:themeShade="BF"/>
      <w:spacing w:val="10"/>
    </w:rPr>
  </w:style>
  <w:style w:type="paragraph" w:styleId="8">
    <w:name w:val="heading 7"/>
    <w:basedOn w:val="1"/>
    <w:next w:val="1"/>
    <w:link w:val="44"/>
    <w:semiHidden/>
    <w:unhideWhenUsed/>
    <w:qFormat/>
    <w:uiPriority w:val="9"/>
    <w:pPr>
      <w:spacing w:before="200" w:after="0"/>
      <w:outlineLvl w:val="6"/>
    </w:pPr>
    <w:rPr>
      <w:caps/>
      <w:color w:val="0B5395" w:themeColor="accent1" w:themeShade="BF"/>
      <w:spacing w:val="10"/>
    </w:rPr>
  </w:style>
  <w:style w:type="paragraph" w:styleId="9">
    <w:name w:val="heading 8"/>
    <w:basedOn w:val="1"/>
    <w:next w:val="1"/>
    <w:link w:val="45"/>
    <w:semiHidden/>
    <w:unhideWhenUsed/>
    <w:qFormat/>
    <w:uiPriority w:val="9"/>
    <w:pPr>
      <w:spacing w:before="200" w:after="0"/>
      <w:outlineLvl w:val="7"/>
    </w:pPr>
    <w:rPr>
      <w:caps/>
      <w:spacing w:val="10"/>
      <w:sz w:val="18"/>
      <w:szCs w:val="18"/>
    </w:rPr>
  </w:style>
  <w:style w:type="paragraph" w:styleId="10">
    <w:name w:val="heading 9"/>
    <w:basedOn w:val="1"/>
    <w:next w:val="1"/>
    <w:link w:val="46"/>
    <w:semiHidden/>
    <w:unhideWhenUsed/>
    <w:qFormat/>
    <w:uiPriority w:val="9"/>
    <w:pPr>
      <w:spacing w:before="200" w:after="0"/>
      <w:outlineLvl w:val="8"/>
    </w:pPr>
    <w:rPr>
      <w:i/>
      <w:iCs/>
      <w:caps/>
      <w:spacing w:val="10"/>
      <w:sz w:val="18"/>
      <w:szCs w:val="18"/>
    </w:rPr>
  </w:style>
  <w:style w:type="character" w:default="1" w:styleId="29">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70"/>
    <w:semiHidden/>
    <w:unhideWhenUsed/>
    <w:qFormat/>
    <w:uiPriority w:val="99"/>
    <w:pPr>
      <w:spacing w:before="0" w:after="0" w:line="240" w:lineRule="auto"/>
    </w:pPr>
    <w:rPr>
      <w:rFonts w:ascii="Segoe UI" w:hAnsi="Segoe UI" w:cs="Segoe UI"/>
      <w:sz w:val="18"/>
      <w:szCs w:val="18"/>
    </w:rPr>
  </w:style>
  <w:style w:type="paragraph" w:styleId="12">
    <w:name w:val="caption"/>
    <w:basedOn w:val="1"/>
    <w:next w:val="1"/>
    <w:semiHidden/>
    <w:unhideWhenUsed/>
    <w:qFormat/>
    <w:uiPriority w:val="35"/>
    <w:rPr>
      <w:b/>
      <w:bCs/>
      <w:color w:val="0B5395" w:themeColor="accent1" w:themeShade="BF"/>
      <w:sz w:val="16"/>
      <w:szCs w:val="16"/>
    </w:rPr>
  </w:style>
  <w:style w:type="paragraph" w:styleId="13">
    <w:name w:val="endnote text"/>
    <w:basedOn w:val="1"/>
    <w:link w:val="65"/>
    <w:semiHidden/>
    <w:unhideWhenUsed/>
    <w:qFormat/>
    <w:uiPriority w:val="99"/>
    <w:pPr>
      <w:spacing w:before="0" w:after="0" w:line="240" w:lineRule="auto"/>
    </w:pPr>
  </w:style>
  <w:style w:type="paragraph" w:styleId="14">
    <w:name w:val="footer"/>
    <w:basedOn w:val="1"/>
    <w:link w:val="62"/>
    <w:unhideWhenUsed/>
    <w:qFormat/>
    <w:uiPriority w:val="99"/>
    <w:pPr>
      <w:tabs>
        <w:tab w:val="center" w:pos="4536"/>
        <w:tab w:val="right" w:pos="9072"/>
      </w:tabs>
      <w:spacing w:before="0" w:after="0" w:line="240" w:lineRule="auto"/>
    </w:pPr>
  </w:style>
  <w:style w:type="paragraph" w:styleId="15">
    <w:name w:val="footnote text"/>
    <w:basedOn w:val="1"/>
    <w:link w:val="68"/>
    <w:unhideWhenUsed/>
    <w:qFormat/>
    <w:uiPriority w:val="0"/>
    <w:pPr>
      <w:spacing w:before="0" w:after="0" w:line="240" w:lineRule="auto"/>
    </w:pPr>
  </w:style>
  <w:style w:type="paragraph" w:styleId="16">
    <w:name w:val="header"/>
    <w:basedOn w:val="1"/>
    <w:link w:val="61"/>
    <w:unhideWhenUsed/>
    <w:qFormat/>
    <w:uiPriority w:val="99"/>
    <w:pPr>
      <w:tabs>
        <w:tab w:val="center" w:pos="4536"/>
        <w:tab w:val="right" w:pos="9072"/>
      </w:tabs>
      <w:spacing w:before="0" w:after="0" w:line="240" w:lineRule="auto"/>
    </w:pPr>
  </w:style>
  <w:style w:type="paragraph" w:styleId="17">
    <w:name w:val="Normal (Web)"/>
    <w:basedOn w:val="1"/>
    <w:semiHidden/>
    <w:unhideWhenUsed/>
    <w:qFormat/>
    <w:uiPriority w:val="99"/>
    <w:pPr>
      <w:spacing w:beforeAutospacing="1" w:after="100" w:afterAutospacing="1" w:line="240" w:lineRule="auto"/>
    </w:pPr>
    <w:rPr>
      <w:rFonts w:ascii="Times New Roman" w:hAnsi="Times New Roman" w:cs="Times New Roman" w:eastAsiaTheme="minorEastAsia"/>
      <w:sz w:val="24"/>
      <w:szCs w:val="24"/>
      <w:lang w:eastAsia="ro-RO"/>
    </w:rPr>
  </w:style>
  <w:style w:type="paragraph" w:styleId="18">
    <w:name w:val="Subtitle"/>
    <w:basedOn w:val="1"/>
    <w:next w:val="1"/>
    <w:link w:val="48"/>
    <w:qFormat/>
    <w:uiPriority w:val="11"/>
    <w:pPr>
      <w:spacing w:before="0" w:after="500" w:line="240" w:lineRule="auto"/>
    </w:pPr>
    <w:rPr>
      <w:caps/>
      <w:color w:val="595959" w:themeColor="text1" w:themeTint="A6"/>
      <w:spacing w:val="10"/>
      <w:sz w:val="21"/>
      <w:szCs w:val="21"/>
      <w14:textFill>
        <w14:solidFill>
          <w14:schemeClr w14:val="tx1">
            <w14:lumMod w14:val="65000"/>
            <w14:lumOff w14:val="35000"/>
          </w14:schemeClr>
        </w14:solidFill>
      </w14:textFill>
    </w:rPr>
  </w:style>
  <w:style w:type="paragraph" w:styleId="19">
    <w:name w:val="Title"/>
    <w:basedOn w:val="1"/>
    <w:next w:val="1"/>
    <w:link w:val="47"/>
    <w:qFormat/>
    <w:uiPriority w:val="10"/>
    <w:pPr>
      <w:spacing w:before="0" w:after="0"/>
    </w:pPr>
    <w:rPr>
      <w:rFonts w:asciiTheme="majorHAnsi" w:hAnsiTheme="majorHAnsi" w:eastAsiaTheme="majorEastAsia" w:cstheme="majorBidi"/>
      <w:caps/>
      <w:color w:val="0F6FC6" w:themeColor="accent1"/>
      <w:spacing w:val="10"/>
      <w:sz w:val="52"/>
      <w:szCs w:val="52"/>
      <w14:textFill>
        <w14:solidFill>
          <w14:schemeClr w14:val="accent1"/>
        </w14:solidFill>
      </w14:textFill>
    </w:rPr>
  </w:style>
  <w:style w:type="paragraph" w:styleId="20">
    <w:name w:val="toc 1"/>
    <w:basedOn w:val="1"/>
    <w:next w:val="1"/>
    <w:unhideWhenUsed/>
    <w:qFormat/>
    <w:uiPriority w:val="39"/>
    <w:pPr>
      <w:tabs>
        <w:tab w:val="right" w:pos="9070"/>
      </w:tabs>
      <w:spacing w:before="120" w:after="0"/>
      <w:jc w:val="both"/>
    </w:pPr>
    <w:rPr>
      <w:rFonts w:cs="Times New Roman" w:asciiTheme="majorHAnsi" w:hAnsiTheme="majorHAnsi"/>
      <w:b/>
      <w:bCs/>
      <w:caps/>
      <w:color w:val="808080" w:themeColor="text1" w:themeTint="80"/>
      <w:szCs w:val="22"/>
      <w14:textFill>
        <w14:solidFill>
          <w14:schemeClr w14:val="tx1">
            <w14:lumMod w14:val="50000"/>
            <w14:lumOff w14:val="50000"/>
          </w14:schemeClr>
        </w14:solidFill>
      </w14:textFill>
    </w:rPr>
  </w:style>
  <w:style w:type="paragraph" w:styleId="21">
    <w:name w:val="toc 2"/>
    <w:basedOn w:val="1"/>
    <w:next w:val="1"/>
    <w:unhideWhenUsed/>
    <w:qFormat/>
    <w:uiPriority w:val="39"/>
    <w:pPr>
      <w:tabs>
        <w:tab w:val="right" w:pos="9060"/>
      </w:tabs>
      <w:spacing w:before="60" w:after="0"/>
      <w:jc w:val="both"/>
    </w:pPr>
    <w:rPr>
      <w:rFonts w:cs="Times New Roman" w:asciiTheme="majorHAnsi" w:hAnsiTheme="majorHAnsi"/>
      <w:bCs/>
      <w:color w:val="262626" w:themeColor="text1" w:themeTint="D9"/>
      <w:sz w:val="16"/>
      <w:szCs w:val="16"/>
      <w14:textFill>
        <w14:solidFill>
          <w14:schemeClr w14:val="tx1">
            <w14:lumMod w14:val="85000"/>
            <w14:lumOff w14:val="15000"/>
          </w14:schemeClr>
        </w14:solidFill>
      </w14:textFill>
    </w:rPr>
  </w:style>
  <w:style w:type="paragraph" w:styleId="22">
    <w:name w:val="toc 3"/>
    <w:basedOn w:val="1"/>
    <w:next w:val="1"/>
    <w:unhideWhenUsed/>
    <w:qFormat/>
    <w:uiPriority w:val="39"/>
    <w:pPr>
      <w:tabs>
        <w:tab w:val="right" w:pos="9060"/>
      </w:tabs>
      <w:spacing w:before="0" w:after="0"/>
      <w:ind w:left="200"/>
    </w:pPr>
    <w:rPr>
      <w:rFonts w:cs="Times New Roman" w:asciiTheme="majorHAnsi" w:hAnsiTheme="majorHAnsi"/>
      <w:color w:val="7F7F7F" w:themeColor="background1" w:themeShade="80"/>
      <w:sz w:val="16"/>
      <w:szCs w:val="16"/>
    </w:rPr>
  </w:style>
  <w:style w:type="paragraph" w:styleId="23">
    <w:name w:val="toc 4"/>
    <w:basedOn w:val="1"/>
    <w:next w:val="1"/>
    <w:unhideWhenUsed/>
    <w:qFormat/>
    <w:uiPriority w:val="39"/>
    <w:pPr>
      <w:spacing w:before="0" w:after="0"/>
      <w:ind w:left="400"/>
    </w:pPr>
    <w:rPr>
      <w:rFonts w:cs="Times New Roman"/>
      <w:szCs w:val="24"/>
    </w:rPr>
  </w:style>
  <w:style w:type="paragraph" w:styleId="24">
    <w:name w:val="toc 5"/>
    <w:basedOn w:val="1"/>
    <w:next w:val="1"/>
    <w:unhideWhenUsed/>
    <w:qFormat/>
    <w:uiPriority w:val="39"/>
    <w:pPr>
      <w:spacing w:before="0" w:after="0"/>
      <w:ind w:left="600"/>
    </w:pPr>
    <w:rPr>
      <w:rFonts w:cs="Times New Roman"/>
      <w:szCs w:val="24"/>
    </w:rPr>
  </w:style>
  <w:style w:type="paragraph" w:styleId="25">
    <w:name w:val="toc 6"/>
    <w:basedOn w:val="1"/>
    <w:next w:val="1"/>
    <w:unhideWhenUsed/>
    <w:qFormat/>
    <w:uiPriority w:val="39"/>
    <w:pPr>
      <w:spacing w:before="0" w:after="0"/>
      <w:ind w:left="800"/>
    </w:pPr>
    <w:rPr>
      <w:rFonts w:cs="Times New Roman"/>
      <w:szCs w:val="24"/>
    </w:rPr>
  </w:style>
  <w:style w:type="paragraph" w:styleId="26">
    <w:name w:val="toc 7"/>
    <w:basedOn w:val="1"/>
    <w:next w:val="1"/>
    <w:unhideWhenUsed/>
    <w:qFormat/>
    <w:uiPriority w:val="39"/>
    <w:pPr>
      <w:spacing w:before="0" w:after="0"/>
      <w:ind w:left="1000"/>
    </w:pPr>
    <w:rPr>
      <w:rFonts w:cs="Times New Roman"/>
      <w:szCs w:val="24"/>
    </w:rPr>
  </w:style>
  <w:style w:type="paragraph" w:styleId="27">
    <w:name w:val="toc 8"/>
    <w:basedOn w:val="1"/>
    <w:next w:val="1"/>
    <w:unhideWhenUsed/>
    <w:qFormat/>
    <w:uiPriority w:val="39"/>
    <w:pPr>
      <w:spacing w:before="0" w:after="0"/>
      <w:ind w:left="1200"/>
    </w:pPr>
    <w:rPr>
      <w:rFonts w:cs="Times New Roman"/>
      <w:szCs w:val="24"/>
    </w:rPr>
  </w:style>
  <w:style w:type="paragraph" w:styleId="28">
    <w:name w:val="toc 9"/>
    <w:basedOn w:val="1"/>
    <w:next w:val="1"/>
    <w:unhideWhenUsed/>
    <w:qFormat/>
    <w:uiPriority w:val="39"/>
    <w:pPr>
      <w:spacing w:before="0" w:after="0"/>
      <w:ind w:left="1400"/>
    </w:pPr>
    <w:rPr>
      <w:rFonts w:cs="Times New Roman"/>
      <w:szCs w:val="24"/>
    </w:rPr>
  </w:style>
  <w:style w:type="character" w:styleId="30">
    <w:name w:val="Emphasis"/>
    <w:qFormat/>
    <w:uiPriority w:val="20"/>
    <w:rPr>
      <w:caps/>
      <w:color w:val="083863" w:themeColor="accent1" w:themeShade="80"/>
      <w:spacing w:val="5"/>
    </w:rPr>
  </w:style>
  <w:style w:type="character" w:styleId="31">
    <w:name w:val="endnote reference"/>
    <w:basedOn w:val="29"/>
    <w:semiHidden/>
    <w:unhideWhenUsed/>
    <w:qFormat/>
    <w:uiPriority w:val="99"/>
    <w:rPr>
      <w:vertAlign w:val="superscript"/>
    </w:rPr>
  </w:style>
  <w:style w:type="character" w:styleId="32">
    <w:name w:val="FollowedHyperlink"/>
    <w:basedOn w:val="29"/>
    <w:semiHidden/>
    <w:unhideWhenUsed/>
    <w:qFormat/>
    <w:uiPriority w:val="99"/>
    <w:rPr>
      <w:color w:val="85DFD0" w:themeColor="followedHyperlink"/>
      <w:u w:val="single"/>
      <w14:textFill>
        <w14:solidFill>
          <w14:schemeClr w14:val="folHlink"/>
        </w14:solidFill>
      </w14:textFill>
    </w:rPr>
  </w:style>
  <w:style w:type="character" w:styleId="33">
    <w:name w:val="footnote reference"/>
    <w:basedOn w:val="29"/>
    <w:unhideWhenUsed/>
    <w:qFormat/>
    <w:uiPriority w:val="99"/>
    <w:rPr>
      <w:vertAlign w:val="superscript"/>
    </w:rPr>
  </w:style>
  <w:style w:type="character" w:styleId="34">
    <w:name w:val="Hyperlink"/>
    <w:basedOn w:val="29"/>
    <w:unhideWhenUsed/>
    <w:qFormat/>
    <w:uiPriority w:val="99"/>
    <w:rPr>
      <w:color w:val="F49100" w:themeColor="hyperlink"/>
      <w:u w:val="single"/>
      <w14:textFill>
        <w14:solidFill>
          <w14:schemeClr w14:val="hlink"/>
        </w14:solidFill>
      </w14:textFill>
    </w:rPr>
  </w:style>
  <w:style w:type="character" w:styleId="35">
    <w:name w:val="Strong"/>
    <w:qFormat/>
    <w:uiPriority w:val="22"/>
    <w:rPr>
      <w:b/>
      <w:bCs/>
    </w:rPr>
  </w:style>
  <w:style w:type="table" w:styleId="37">
    <w:name w:val="Table Grid"/>
    <w:basedOn w:val="3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8">
    <w:name w:val="Heading 1 Char"/>
    <w:basedOn w:val="29"/>
    <w:link w:val="2"/>
    <w:qFormat/>
    <w:uiPriority w:val="9"/>
    <w:rPr>
      <w:caps/>
      <w:color w:val="FFFFFF" w:themeColor="background1"/>
      <w:spacing w:val="15"/>
      <w:sz w:val="22"/>
      <w:szCs w:val="22"/>
      <w:shd w:val="clear" w:color="auto" w:fill="0F6FC6" w:themeFill="accent1"/>
      <w14:textFill>
        <w14:solidFill>
          <w14:schemeClr w14:val="bg1"/>
        </w14:solidFill>
      </w14:textFill>
    </w:rPr>
  </w:style>
  <w:style w:type="character" w:customStyle="1" w:styleId="39">
    <w:name w:val="Heading 2 Char"/>
    <w:basedOn w:val="29"/>
    <w:link w:val="3"/>
    <w:qFormat/>
    <w:uiPriority w:val="9"/>
    <w:rPr>
      <w:caps/>
      <w:spacing w:val="15"/>
      <w:shd w:val="clear" w:color="auto" w:fill="C7E2FA" w:themeFill="accent1" w:themeFillTint="33"/>
    </w:rPr>
  </w:style>
  <w:style w:type="character" w:customStyle="1" w:styleId="40">
    <w:name w:val="Heading 3 Char"/>
    <w:basedOn w:val="29"/>
    <w:link w:val="4"/>
    <w:qFormat/>
    <w:uiPriority w:val="9"/>
    <w:rPr>
      <w:caps/>
      <w:color w:val="083863" w:themeColor="accent1" w:themeShade="80"/>
      <w:spacing w:val="15"/>
    </w:rPr>
  </w:style>
  <w:style w:type="character" w:customStyle="1" w:styleId="41">
    <w:name w:val="Heading 4 Char"/>
    <w:basedOn w:val="29"/>
    <w:link w:val="5"/>
    <w:qFormat/>
    <w:uiPriority w:val="9"/>
    <w:rPr>
      <w:caps/>
      <w:color w:val="0B5395" w:themeColor="accent1" w:themeShade="BF"/>
      <w:spacing w:val="10"/>
    </w:rPr>
  </w:style>
  <w:style w:type="character" w:customStyle="1" w:styleId="42">
    <w:name w:val="Heading 5 Char"/>
    <w:basedOn w:val="29"/>
    <w:link w:val="6"/>
    <w:semiHidden/>
    <w:qFormat/>
    <w:uiPriority w:val="9"/>
    <w:rPr>
      <w:caps/>
      <w:color w:val="0B5395" w:themeColor="accent1" w:themeShade="BF"/>
      <w:spacing w:val="10"/>
    </w:rPr>
  </w:style>
  <w:style w:type="character" w:customStyle="1" w:styleId="43">
    <w:name w:val="Heading 6 Char"/>
    <w:basedOn w:val="29"/>
    <w:link w:val="7"/>
    <w:semiHidden/>
    <w:qFormat/>
    <w:uiPriority w:val="9"/>
    <w:rPr>
      <w:caps/>
      <w:color w:val="0B5395" w:themeColor="accent1" w:themeShade="BF"/>
      <w:spacing w:val="10"/>
    </w:rPr>
  </w:style>
  <w:style w:type="character" w:customStyle="1" w:styleId="44">
    <w:name w:val="Heading 7 Char"/>
    <w:basedOn w:val="29"/>
    <w:link w:val="8"/>
    <w:semiHidden/>
    <w:qFormat/>
    <w:uiPriority w:val="9"/>
    <w:rPr>
      <w:caps/>
      <w:color w:val="0B5395" w:themeColor="accent1" w:themeShade="BF"/>
      <w:spacing w:val="10"/>
    </w:rPr>
  </w:style>
  <w:style w:type="character" w:customStyle="1" w:styleId="45">
    <w:name w:val="Heading 8 Char"/>
    <w:basedOn w:val="29"/>
    <w:link w:val="9"/>
    <w:semiHidden/>
    <w:qFormat/>
    <w:uiPriority w:val="9"/>
    <w:rPr>
      <w:caps/>
      <w:spacing w:val="10"/>
      <w:sz w:val="18"/>
      <w:szCs w:val="18"/>
    </w:rPr>
  </w:style>
  <w:style w:type="character" w:customStyle="1" w:styleId="46">
    <w:name w:val="Heading 9 Char"/>
    <w:basedOn w:val="29"/>
    <w:link w:val="10"/>
    <w:semiHidden/>
    <w:qFormat/>
    <w:uiPriority w:val="9"/>
    <w:rPr>
      <w:i/>
      <w:iCs/>
      <w:caps/>
      <w:spacing w:val="10"/>
      <w:sz w:val="18"/>
      <w:szCs w:val="18"/>
    </w:rPr>
  </w:style>
  <w:style w:type="character" w:customStyle="1" w:styleId="47">
    <w:name w:val="Title Char"/>
    <w:basedOn w:val="29"/>
    <w:link w:val="19"/>
    <w:qFormat/>
    <w:uiPriority w:val="10"/>
    <w:rPr>
      <w:rFonts w:asciiTheme="majorHAnsi" w:hAnsiTheme="majorHAnsi" w:eastAsiaTheme="majorEastAsia" w:cstheme="majorBidi"/>
      <w:caps/>
      <w:color w:val="0F6FC6" w:themeColor="accent1"/>
      <w:spacing w:val="10"/>
      <w:sz w:val="52"/>
      <w:szCs w:val="52"/>
      <w14:textFill>
        <w14:solidFill>
          <w14:schemeClr w14:val="accent1"/>
        </w14:solidFill>
      </w14:textFill>
    </w:rPr>
  </w:style>
  <w:style w:type="character" w:customStyle="1" w:styleId="48">
    <w:name w:val="Subtitle Char"/>
    <w:basedOn w:val="29"/>
    <w:link w:val="18"/>
    <w:qFormat/>
    <w:uiPriority w:val="11"/>
    <w:rPr>
      <w:caps/>
      <w:color w:val="595959" w:themeColor="text1" w:themeTint="A6"/>
      <w:spacing w:val="10"/>
      <w:sz w:val="21"/>
      <w:szCs w:val="21"/>
      <w14:textFill>
        <w14:solidFill>
          <w14:schemeClr w14:val="tx1">
            <w14:lumMod w14:val="65000"/>
            <w14:lumOff w14:val="35000"/>
          </w14:schemeClr>
        </w14:solidFill>
      </w14:textFill>
    </w:rPr>
  </w:style>
  <w:style w:type="paragraph" w:styleId="49">
    <w:name w:val="No Spacing"/>
    <w:link w:val="50"/>
    <w:qFormat/>
    <w:uiPriority w:val="1"/>
    <w:pPr>
      <w:spacing w:before="100" w:after="0" w:line="240" w:lineRule="auto"/>
    </w:pPr>
    <w:rPr>
      <w:rFonts w:asciiTheme="minorHAnsi" w:hAnsiTheme="minorHAnsi" w:eastAsiaTheme="minorHAnsi" w:cstheme="minorBidi"/>
      <w:lang w:val="ro-RO" w:eastAsia="en-US" w:bidi="ar-SA"/>
    </w:rPr>
  </w:style>
  <w:style w:type="character" w:customStyle="1" w:styleId="50">
    <w:name w:val="No Spacing Char"/>
    <w:basedOn w:val="29"/>
    <w:link w:val="49"/>
    <w:qFormat/>
    <w:uiPriority w:val="1"/>
  </w:style>
  <w:style w:type="paragraph" w:styleId="51">
    <w:name w:val="Quote"/>
    <w:basedOn w:val="1"/>
    <w:next w:val="1"/>
    <w:link w:val="52"/>
    <w:qFormat/>
    <w:uiPriority w:val="29"/>
    <w:rPr>
      <w:i/>
      <w:iCs/>
      <w:sz w:val="24"/>
      <w:szCs w:val="24"/>
    </w:rPr>
  </w:style>
  <w:style w:type="character" w:customStyle="1" w:styleId="52">
    <w:name w:val="Quote Char"/>
    <w:basedOn w:val="29"/>
    <w:link w:val="51"/>
    <w:qFormat/>
    <w:uiPriority w:val="29"/>
    <w:rPr>
      <w:i/>
      <w:iCs/>
      <w:sz w:val="24"/>
      <w:szCs w:val="24"/>
    </w:rPr>
  </w:style>
  <w:style w:type="paragraph" w:styleId="53">
    <w:name w:val="Intense Quote"/>
    <w:basedOn w:val="1"/>
    <w:next w:val="1"/>
    <w:link w:val="54"/>
    <w:qFormat/>
    <w:uiPriority w:val="30"/>
    <w:pPr>
      <w:spacing w:before="240" w:after="240" w:line="240" w:lineRule="auto"/>
      <w:ind w:left="1080" w:right="1080"/>
      <w:jc w:val="center"/>
    </w:pPr>
    <w:rPr>
      <w:color w:val="0F6FC6" w:themeColor="accent1"/>
      <w:sz w:val="24"/>
      <w:szCs w:val="24"/>
      <w14:textFill>
        <w14:solidFill>
          <w14:schemeClr w14:val="accent1"/>
        </w14:solidFill>
      </w14:textFill>
    </w:rPr>
  </w:style>
  <w:style w:type="character" w:customStyle="1" w:styleId="54">
    <w:name w:val="Intense Quote Char"/>
    <w:basedOn w:val="29"/>
    <w:link w:val="53"/>
    <w:qFormat/>
    <w:uiPriority w:val="30"/>
    <w:rPr>
      <w:color w:val="0F6FC6" w:themeColor="accent1"/>
      <w:sz w:val="24"/>
      <w:szCs w:val="24"/>
      <w14:textFill>
        <w14:solidFill>
          <w14:schemeClr w14:val="accent1"/>
        </w14:solidFill>
      </w14:textFill>
    </w:rPr>
  </w:style>
  <w:style w:type="character" w:customStyle="1" w:styleId="55">
    <w:name w:val="Subtle Emphasis1"/>
    <w:qFormat/>
    <w:uiPriority w:val="19"/>
    <w:rPr>
      <w:i/>
      <w:iCs/>
      <w:color w:val="083863" w:themeColor="accent1" w:themeShade="80"/>
    </w:rPr>
  </w:style>
  <w:style w:type="character" w:customStyle="1" w:styleId="56">
    <w:name w:val="Intense Emphasis1"/>
    <w:qFormat/>
    <w:uiPriority w:val="21"/>
    <w:rPr>
      <w:b/>
      <w:bCs/>
      <w:caps/>
      <w:color w:val="083863" w:themeColor="accent1" w:themeShade="80"/>
      <w:spacing w:val="10"/>
    </w:rPr>
  </w:style>
  <w:style w:type="character" w:customStyle="1" w:styleId="57">
    <w:name w:val="Subtle Reference1"/>
    <w:qFormat/>
    <w:uiPriority w:val="31"/>
    <w:rPr>
      <w:b/>
      <w:bCs/>
      <w:color w:val="0F6FC6" w:themeColor="accent1"/>
      <w14:textFill>
        <w14:solidFill>
          <w14:schemeClr w14:val="accent1"/>
        </w14:solidFill>
      </w14:textFill>
    </w:rPr>
  </w:style>
  <w:style w:type="character" w:customStyle="1" w:styleId="58">
    <w:name w:val="Intense Reference1"/>
    <w:qFormat/>
    <w:uiPriority w:val="32"/>
    <w:rPr>
      <w:b/>
      <w:bCs/>
      <w:i/>
      <w:iCs/>
      <w:caps/>
      <w:color w:val="0F6FC6" w:themeColor="accent1"/>
      <w14:textFill>
        <w14:solidFill>
          <w14:schemeClr w14:val="accent1"/>
        </w14:solidFill>
      </w14:textFill>
    </w:rPr>
  </w:style>
  <w:style w:type="character" w:customStyle="1" w:styleId="59">
    <w:name w:val="Book Title1"/>
    <w:qFormat/>
    <w:uiPriority w:val="33"/>
    <w:rPr>
      <w:b/>
      <w:bCs/>
      <w:i/>
      <w:iCs/>
      <w:spacing w:val="0"/>
    </w:rPr>
  </w:style>
  <w:style w:type="paragraph" w:customStyle="1" w:styleId="60">
    <w:name w:val="TOC Heading1"/>
    <w:basedOn w:val="2"/>
    <w:next w:val="1"/>
    <w:unhideWhenUsed/>
    <w:qFormat/>
    <w:uiPriority w:val="39"/>
    <w:pPr>
      <w:outlineLvl w:val="9"/>
    </w:pPr>
  </w:style>
  <w:style w:type="character" w:customStyle="1" w:styleId="61">
    <w:name w:val="Header Char"/>
    <w:basedOn w:val="29"/>
    <w:link w:val="16"/>
    <w:qFormat/>
    <w:uiPriority w:val="99"/>
  </w:style>
  <w:style w:type="character" w:customStyle="1" w:styleId="62">
    <w:name w:val="Footer Char"/>
    <w:basedOn w:val="29"/>
    <w:link w:val="14"/>
    <w:qFormat/>
    <w:uiPriority w:val="99"/>
  </w:style>
  <w:style w:type="paragraph" w:customStyle="1" w:styleId="63">
    <w:name w:val="Style1"/>
    <w:basedOn w:val="19"/>
    <w:link w:val="64"/>
    <w:qFormat/>
    <w:uiPriority w:val="0"/>
    <w:pPr>
      <w:outlineLvl w:val="0"/>
    </w:pPr>
    <w:rPr>
      <w:rFonts w:ascii="Palatino Linotype" w:hAnsi="Palatino Linotype"/>
      <w:sz w:val="56"/>
      <w:lang w:eastAsia="ro-RO"/>
    </w:rPr>
  </w:style>
  <w:style w:type="character" w:customStyle="1" w:styleId="64">
    <w:name w:val="Style1 Char"/>
    <w:basedOn w:val="47"/>
    <w:link w:val="63"/>
    <w:qFormat/>
    <w:uiPriority w:val="0"/>
    <w:rPr>
      <w:rFonts w:ascii="Palatino Linotype" w:hAnsi="Palatino Linotype" w:eastAsiaTheme="majorEastAsia" w:cstheme="majorBidi"/>
      <w:color w:val="0F6FC6" w:themeColor="accent1"/>
      <w:spacing w:val="10"/>
      <w:sz w:val="56"/>
      <w:szCs w:val="52"/>
      <w:lang w:eastAsia="ro-RO"/>
      <w14:textFill>
        <w14:solidFill>
          <w14:schemeClr w14:val="accent1"/>
        </w14:solidFill>
      </w14:textFill>
    </w:rPr>
  </w:style>
  <w:style w:type="character" w:customStyle="1" w:styleId="65">
    <w:name w:val="Endnote Text Char"/>
    <w:basedOn w:val="29"/>
    <w:link w:val="13"/>
    <w:semiHidden/>
    <w:qFormat/>
    <w:uiPriority w:val="99"/>
  </w:style>
  <w:style w:type="paragraph" w:styleId="66">
    <w:name w:val="List Paragraph"/>
    <w:basedOn w:val="1"/>
    <w:link w:val="67"/>
    <w:qFormat/>
    <w:uiPriority w:val="34"/>
    <w:pPr>
      <w:ind w:left="720"/>
      <w:contextualSpacing/>
    </w:pPr>
  </w:style>
  <w:style w:type="character" w:customStyle="1" w:styleId="67">
    <w:name w:val="List Paragraph Char"/>
    <w:link w:val="66"/>
    <w:qFormat/>
    <w:locked/>
    <w:uiPriority w:val="0"/>
  </w:style>
  <w:style w:type="character" w:customStyle="1" w:styleId="68">
    <w:name w:val="Footnote Text Char"/>
    <w:basedOn w:val="29"/>
    <w:link w:val="15"/>
    <w:qFormat/>
    <w:uiPriority w:val="0"/>
  </w:style>
  <w:style w:type="paragraph" w:customStyle="1" w:styleId="69">
    <w:name w:val="Default"/>
    <w:qFormat/>
    <w:uiPriority w:val="0"/>
    <w:pPr>
      <w:autoSpaceDE w:val="0"/>
      <w:autoSpaceDN w:val="0"/>
      <w:adjustRightInd w:val="0"/>
      <w:spacing w:after="0" w:line="240" w:lineRule="auto"/>
    </w:pPr>
    <w:rPr>
      <w:rFonts w:ascii="Trebuchet MS" w:hAnsi="Trebuchet MS" w:cs="Trebuchet MS" w:eastAsiaTheme="minorHAnsi"/>
      <w:color w:val="000000"/>
      <w:sz w:val="24"/>
      <w:szCs w:val="24"/>
      <w:lang w:val="ro-RO" w:eastAsia="en-US" w:bidi="ar-SA"/>
    </w:rPr>
  </w:style>
  <w:style w:type="character" w:customStyle="1" w:styleId="70">
    <w:name w:val="Balloon Text Char"/>
    <w:basedOn w:val="29"/>
    <w:link w:val="11"/>
    <w:semiHidden/>
    <w:qFormat/>
    <w:uiPriority w:val="99"/>
    <w:rPr>
      <w:rFonts w:ascii="Segoe UI" w:hAnsi="Segoe UI" w:cs="Segoe UI"/>
      <w:sz w:val="18"/>
      <w:szCs w:val="18"/>
    </w:rPr>
  </w:style>
  <w:style w:type="paragraph" w:customStyle="1" w:styleId="71">
    <w:name w:val="xl71"/>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b/>
      <w:bCs/>
      <w:color w:val="4F81BD"/>
      <w:sz w:val="14"/>
      <w:szCs w:val="14"/>
      <w:lang w:eastAsia="ro-RO"/>
    </w:rPr>
  </w:style>
  <w:style w:type="paragraph" w:customStyle="1" w:styleId="72">
    <w:name w:val="xl72"/>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b/>
      <w:bCs/>
      <w:color w:val="4F81BD"/>
      <w:sz w:val="14"/>
      <w:szCs w:val="14"/>
      <w:lang w:eastAsia="ro-RO"/>
    </w:rPr>
  </w:style>
  <w:style w:type="paragraph" w:customStyle="1" w:styleId="73">
    <w:name w:val="xl73"/>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74">
    <w:name w:val="xl74"/>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color w:val="595959"/>
      <w:sz w:val="14"/>
      <w:szCs w:val="14"/>
      <w:lang w:eastAsia="ro-RO"/>
    </w:rPr>
  </w:style>
  <w:style w:type="paragraph" w:customStyle="1" w:styleId="75">
    <w:name w:val="xl75"/>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color w:val="595959"/>
      <w:sz w:val="14"/>
      <w:szCs w:val="14"/>
      <w:lang w:eastAsia="ro-RO"/>
    </w:rPr>
  </w:style>
  <w:style w:type="paragraph" w:customStyle="1" w:styleId="76">
    <w:name w:val="xl76"/>
    <w:basedOn w:val="1"/>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color w:val="595959"/>
      <w:sz w:val="14"/>
      <w:szCs w:val="14"/>
      <w:lang w:eastAsia="ro-RO"/>
    </w:rPr>
  </w:style>
  <w:style w:type="paragraph" w:customStyle="1" w:styleId="77">
    <w:name w:val="xl77"/>
    <w:basedOn w:val="1"/>
    <w:uiPriority w:val="0"/>
    <w:pPr>
      <w:pBdr>
        <w:top w:val="single" w:color="95B3D7" w:sz="4" w:space="0"/>
        <w:left w:val="single" w:color="DCE6F1" w:sz="4" w:space="0"/>
        <w:bottom w:val="single" w:color="95B3D7" w:sz="4" w:space="0"/>
        <w:right w:val="single" w:color="DCE6F1" w:sz="4" w:space="0"/>
      </w:pBdr>
      <w:shd w:val="clear" w:color="000000" w:fill="DCE6F1"/>
      <w:spacing w:beforeAutospacing="1" w:after="100" w:afterAutospacing="1" w:line="240" w:lineRule="auto"/>
      <w:jc w:val="right"/>
      <w:textAlignment w:val="center"/>
    </w:pPr>
    <w:rPr>
      <w:rFonts w:ascii="Calibri" w:hAnsi="Calibri" w:eastAsia="Times New Roman" w:cs="Times New Roman"/>
      <w:color w:val="595959"/>
      <w:sz w:val="14"/>
      <w:szCs w:val="14"/>
      <w:lang w:eastAsia="ro-RO"/>
    </w:rPr>
  </w:style>
  <w:style w:type="paragraph" w:customStyle="1" w:styleId="78">
    <w:name w:val="xl78"/>
    <w:basedOn w:val="1"/>
    <w:uiPriority w:val="0"/>
    <w:pPr>
      <w:pBdr>
        <w:top w:val="single" w:color="95B3D7" w:sz="4" w:space="0"/>
        <w:left w:val="single" w:color="DCE6F1" w:sz="4" w:space="0"/>
        <w:bottom w:val="single" w:color="95B3D7" w:sz="4" w:space="0"/>
        <w:right w:val="single" w:color="DCE6F1" w:sz="4" w:space="0"/>
      </w:pBdr>
      <w:shd w:val="clear" w:color="000000" w:fill="DCE6F1"/>
      <w:spacing w:beforeAutospacing="1" w:after="100" w:afterAutospacing="1" w:line="240" w:lineRule="auto"/>
      <w:jc w:val="right"/>
      <w:textAlignment w:val="center"/>
    </w:pPr>
    <w:rPr>
      <w:rFonts w:ascii="Calibri" w:hAnsi="Calibri" w:eastAsia="Times New Roman" w:cs="Times New Roman"/>
      <w:color w:val="595959"/>
      <w:sz w:val="14"/>
      <w:szCs w:val="14"/>
      <w:lang w:eastAsia="ro-RO"/>
    </w:rPr>
  </w:style>
  <w:style w:type="paragraph" w:customStyle="1" w:styleId="79">
    <w:name w:val="xl79"/>
    <w:basedOn w:val="1"/>
    <w:uiPriority w:val="0"/>
    <w:pPr>
      <w:pBdr>
        <w:top w:val="single" w:color="95B3D7" w:sz="4" w:space="0"/>
        <w:left w:val="single" w:color="DCE6F1" w:sz="4" w:space="0"/>
        <w:bottom w:val="single" w:color="95B3D7" w:sz="4" w:space="0"/>
        <w:right w:val="single" w:color="DCE6F1" w:sz="4" w:space="0"/>
      </w:pBdr>
      <w:shd w:val="clear" w:color="000000" w:fill="DCE6F1"/>
      <w:spacing w:beforeAutospacing="1" w:after="100" w:afterAutospacing="1" w:line="240" w:lineRule="auto"/>
      <w:jc w:val="right"/>
      <w:textAlignment w:val="center"/>
    </w:pPr>
    <w:rPr>
      <w:rFonts w:ascii="Calibri" w:hAnsi="Calibri" w:eastAsia="Times New Roman" w:cs="Times New Roman"/>
      <w:b/>
      <w:bCs/>
      <w:color w:val="4F81BD"/>
      <w:sz w:val="14"/>
      <w:szCs w:val="14"/>
      <w:lang w:eastAsia="ro-RO"/>
    </w:rPr>
  </w:style>
  <w:style w:type="paragraph" w:customStyle="1" w:styleId="80">
    <w:name w:val="xl80"/>
    <w:basedOn w:val="1"/>
    <w:uiPriority w:val="0"/>
    <w:pPr>
      <w:pBdr>
        <w:top w:val="single" w:color="95B3D7" w:sz="4" w:space="0"/>
        <w:left w:val="single" w:color="DCE6F1" w:sz="4" w:space="0"/>
        <w:bottom w:val="single" w:color="95B3D7" w:sz="4" w:space="0"/>
        <w:right w:val="single" w:color="DCE6F1" w:sz="4" w:space="0"/>
      </w:pBdr>
      <w:shd w:val="clear" w:color="000000" w:fill="DCE6F1"/>
      <w:spacing w:beforeAutospacing="1" w:after="100" w:afterAutospacing="1" w:line="240" w:lineRule="auto"/>
      <w:jc w:val="right"/>
      <w:textAlignment w:val="center"/>
    </w:pPr>
    <w:rPr>
      <w:rFonts w:ascii="Calibri" w:hAnsi="Calibri" w:eastAsia="Times New Roman" w:cs="Times New Roman"/>
      <w:b/>
      <w:bCs/>
      <w:color w:val="4F81BD"/>
      <w:sz w:val="14"/>
      <w:szCs w:val="14"/>
      <w:lang w:eastAsia="ro-RO"/>
    </w:rPr>
  </w:style>
  <w:style w:type="paragraph" w:customStyle="1" w:styleId="81">
    <w:name w:val="xl81"/>
    <w:basedOn w:val="1"/>
    <w:uiPriority w:val="0"/>
    <w:pPr>
      <w:pBdr>
        <w:top w:val="single" w:color="95B3D7" w:sz="4" w:space="0"/>
        <w:bottom w:val="single" w:color="95B3D7" w:sz="4" w:space="0"/>
      </w:pBdr>
      <w:shd w:val="clear" w:color="000000" w:fill="FFFFFF"/>
      <w:spacing w:beforeAutospacing="1" w:after="100" w:afterAutospacing="1" w:line="240" w:lineRule="auto"/>
      <w:jc w:val="right"/>
      <w:textAlignment w:val="top"/>
    </w:pPr>
    <w:rPr>
      <w:rFonts w:ascii="Calibri" w:hAnsi="Calibri" w:eastAsia="Times New Roman" w:cs="Times New Roman"/>
      <w:b/>
      <w:bCs/>
      <w:i/>
      <w:iCs/>
      <w:color w:val="4F81BD"/>
      <w:sz w:val="14"/>
      <w:szCs w:val="14"/>
      <w:lang w:eastAsia="ro-RO"/>
    </w:rPr>
  </w:style>
  <w:style w:type="paragraph" w:customStyle="1" w:styleId="82">
    <w:name w:val="xl82"/>
    <w:basedOn w:val="1"/>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color w:val="4F81BD"/>
      <w:sz w:val="14"/>
      <w:szCs w:val="14"/>
      <w:lang w:eastAsia="ro-RO"/>
    </w:rPr>
  </w:style>
  <w:style w:type="paragraph" w:customStyle="1" w:styleId="83">
    <w:name w:val="xl83"/>
    <w:basedOn w:val="1"/>
    <w:uiPriority w:val="0"/>
    <w:pPr>
      <w:pBdr>
        <w:top w:val="single" w:color="95B3D7" w:sz="4" w:space="0"/>
        <w:bottom w:val="single" w:color="95B3D7" w:sz="4" w:space="0"/>
      </w:pBdr>
      <w:shd w:val="clear" w:color="000000" w:fill="FFFFFF"/>
      <w:spacing w:beforeAutospacing="1" w:after="100" w:afterAutospacing="1" w:line="240" w:lineRule="auto"/>
      <w:jc w:val="right"/>
      <w:textAlignment w:val="top"/>
    </w:pPr>
    <w:rPr>
      <w:rFonts w:ascii="Calibri" w:hAnsi="Calibri" w:eastAsia="Times New Roman" w:cs="Times New Roman"/>
      <w:i/>
      <w:iCs/>
      <w:color w:val="4F81BD"/>
      <w:sz w:val="14"/>
      <w:szCs w:val="14"/>
      <w:lang w:eastAsia="ro-RO"/>
    </w:rPr>
  </w:style>
  <w:style w:type="paragraph" w:customStyle="1" w:styleId="84">
    <w:name w:val="xl84"/>
    <w:basedOn w:val="1"/>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i/>
      <w:iCs/>
      <w:color w:val="595959"/>
      <w:sz w:val="14"/>
      <w:szCs w:val="14"/>
      <w:lang w:eastAsia="ro-RO"/>
    </w:rPr>
  </w:style>
  <w:style w:type="paragraph" w:customStyle="1" w:styleId="85">
    <w:name w:val="xl85"/>
    <w:basedOn w:val="1"/>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b/>
      <w:bCs/>
      <w:i/>
      <w:iCs/>
      <w:color w:val="4F81BD"/>
      <w:sz w:val="14"/>
      <w:szCs w:val="14"/>
      <w:lang w:eastAsia="ro-RO"/>
    </w:rPr>
  </w:style>
  <w:style w:type="paragraph" w:customStyle="1" w:styleId="86">
    <w:name w:val="xl86"/>
    <w:basedOn w:val="1"/>
    <w:uiPriority w:val="0"/>
    <w:pPr>
      <w:pBdr>
        <w:top w:val="single" w:color="95B3D7" w:sz="4" w:space="0"/>
        <w:left w:val="single" w:color="DCE6F1" w:sz="4" w:space="0"/>
        <w:bottom w:val="single" w:color="95B3D7" w:sz="4" w:space="0"/>
        <w:right w:val="single" w:color="DCE6F1" w:sz="4" w:space="0"/>
      </w:pBdr>
      <w:shd w:val="clear" w:color="000000" w:fill="DCE6F1"/>
      <w:spacing w:beforeAutospacing="1" w:after="100" w:afterAutospacing="1" w:line="240" w:lineRule="auto"/>
      <w:jc w:val="right"/>
      <w:textAlignment w:val="center"/>
    </w:pPr>
    <w:rPr>
      <w:rFonts w:ascii="Calibri" w:hAnsi="Calibri" w:eastAsia="Times New Roman" w:cs="Times New Roman"/>
      <w:i/>
      <w:iCs/>
      <w:color w:val="595959"/>
      <w:sz w:val="14"/>
      <w:szCs w:val="14"/>
      <w:lang w:eastAsia="ro-RO"/>
    </w:rPr>
  </w:style>
  <w:style w:type="paragraph" w:customStyle="1" w:styleId="87">
    <w:name w:val="xl87"/>
    <w:basedOn w:val="1"/>
    <w:uiPriority w:val="0"/>
    <w:pPr>
      <w:pBdr>
        <w:top w:val="single" w:color="95B3D7" w:sz="4" w:space="0"/>
        <w:left w:val="single" w:color="DCE6F1" w:sz="4" w:space="0"/>
        <w:bottom w:val="single" w:color="95B3D7" w:sz="4" w:space="0"/>
        <w:right w:val="single" w:color="DCE6F1" w:sz="4" w:space="0"/>
      </w:pBdr>
      <w:shd w:val="clear" w:color="000000" w:fill="DCE6F1"/>
      <w:spacing w:beforeAutospacing="1" w:after="100" w:afterAutospacing="1" w:line="240" w:lineRule="auto"/>
      <w:jc w:val="right"/>
      <w:textAlignment w:val="center"/>
    </w:pPr>
    <w:rPr>
      <w:rFonts w:ascii="Calibri" w:hAnsi="Calibri" w:eastAsia="Times New Roman" w:cs="Times New Roman"/>
      <w:i/>
      <w:iCs/>
      <w:color w:val="4F81BD"/>
      <w:sz w:val="14"/>
      <w:szCs w:val="14"/>
      <w:lang w:eastAsia="ro-RO"/>
    </w:rPr>
  </w:style>
  <w:style w:type="paragraph" w:customStyle="1" w:styleId="88">
    <w:name w:val="xl88"/>
    <w:basedOn w:val="1"/>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i/>
      <w:iCs/>
      <w:color w:val="4F81BD"/>
      <w:sz w:val="14"/>
      <w:szCs w:val="14"/>
      <w:lang w:eastAsia="ro-RO"/>
    </w:rPr>
  </w:style>
  <w:style w:type="paragraph" w:customStyle="1" w:styleId="89">
    <w:name w:val="xl89"/>
    <w:basedOn w:val="1"/>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595959"/>
      <w:sz w:val="14"/>
      <w:szCs w:val="14"/>
      <w:lang w:eastAsia="ro-RO"/>
    </w:rPr>
  </w:style>
  <w:style w:type="paragraph" w:customStyle="1" w:styleId="90">
    <w:name w:val="xl90"/>
    <w:basedOn w:val="1"/>
    <w:uiPriority w:val="0"/>
    <w:pPr>
      <w:pBdr>
        <w:top w:val="single" w:color="95B3D7"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91">
    <w:name w:val="xl91"/>
    <w:basedOn w:val="1"/>
    <w:uiPriority w:val="0"/>
    <w:pP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92">
    <w:name w:val="xl92"/>
    <w:basedOn w:val="1"/>
    <w:uiPriority w:val="0"/>
    <w:pPr>
      <w:pBdr>
        <w:bottom w:val="single" w:color="95B3D7"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93">
    <w:name w:val="xl93"/>
    <w:basedOn w:val="1"/>
    <w:uiPriority w:val="0"/>
    <w:pPr>
      <w:pBdr>
        <w:top w:val="single" w:color="95B3D7"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94">
    <w:name w:val="xl94"/>
    <w:basedOn w:val="1"/>
    <w:uiPriority w:val="0"/>
    <w:pP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95">
    <w:name w:val="xl95"/>
    <w:basedOn w:val="1"/>
    <w:uiPriority w:val="0"/>
    <w:pPr>
      <w:pBdr>
        <w:bottom w:val="single" w:color="95B3D7"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96">
    <w:name w:val="xl96"/>
    <w:basedOn w:val="1"/>
    <w:uiPriority w:val="0"/>
    <w:pPr>
      <w:pBdr>
        <w:top w:val="single" w:color="95B3D7" w:sz="4" w:space="0"/>
        <w:left w:val="single" w:color="DCE6F1" w:sz="4" w:space="0"/>
        <w:bottom w:val="single" w:color="95B3D7" w:sz="4" w:space="0"/>
        <w:right w:val="single" w:color="DCE6F1" w:sz="4" w:space="0"/>
      </w:pBdr>
      <w:shd w:val="clear" w:color="000000" w:fill="DCE6F1"/>
      <w:spacing w:beforeAutospacing="1" w:after="100" w:afterAutospacing="1" w:line="240" w:lineRule="auto"/>
      <w:jc w:val="right"/>
      <w:textAlignment w:val="top"/>
    </w:pPr>
    <w:rPr>
      <w:rFonts w:ascii="Calibri" w:hAnsi="Calibri" w:eastAsia="Times New Roman" w:cs="Times New Roman"/>
      <w:b/>
      <w:bCs/>
      <w:color w:val="595959"/>
      <w:sz w:val="14"/>
      <w:szCs w:val="14"/>
      <w:lang w:eastAsia="ro-RO"/>
    </w:rPr>
  </w:style>
  <w:style w:type="paragraph" w:customStyle="1" w:styleId="97">
    <w:name w:val="xl97"/>
    <w:basedOn w:val="1"/>
    <w:qFormat/>
    <w:uiPriority w:val="0"/>
    <w:pPr>
      <w:pBdr>
        <w:top w:val="single" w:color="FFFFFF" w:sz="4" w:space="0"/>
        <w:left w:val="single" w:color="FFFFFF"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98">
    <w:name w:val="xl98"/>
    <w:basedOn w:val="1"/>
    <w:uiPriority w:val="0"/>
    <w:pPr>
      <w:pBdr>
        <w:top w:val="single" w:color="FFFFFF"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99">
    <w:name w:val="xl99"/>
    <w:basedOn w:val="1"/>
    <w:qFormat/>
    <w:uiPriority w:val="0"/>
    <w:pPr>
      <w:pBdr>
        <w:top w:val="single" w:color="FFFFFF" w:sz="4" w:space="0"/>
        <w:right w:val="single" w:color="FFFFFF"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100">
    <w:name w:val="xl100"/>
    <w:basedOn w:val="1"/>
    <w:qFormat/>
    <w:uiPriority w:val="0"/>
    <w:pPr>
      <w:pBdr>
        <w:left w:val="single" w:color="FFFFFF" w:sz="4" w:space="0"/>
        <w:bottom w:val="single" w:color="95B3D7"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101">
    <w:name w:val="xl101"/>
    <w:basedOn w:val="1"/>
    <w:qFormat/>
    <w:uiPriority w:val="0"/>
    <w:pPr>
      <w:pBdr>
        <w:bottom w:val="single" w:color="95B3D7"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102">
    <w:name w:val="xl102"/>
    <w:basedOn w:val="1"/>
    <w:uiPriority w:val="0"/>
    <w:pPr>
      <w:pBdr>
        <w:bottom w:val="single" w:color="95B3D7" w:sz="4" w:space="0"/>
        <w:right w:val="single" w:color="FFFFFF"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103">
    <w:name w:val="xl103"/>
    <w:basedOn w:val="1"/>
    <w:uiPriority w:val="0"/>
    <w:pPr>
      <w:pBdr>
        <w:top w:val="single" w:color="95B3D7" w:sz="4" w:space="0"/>
        <w:left w:val="single" w:color="FFFFFF"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04">
    <w:name w:val="xl104"/>
    <w:basedOn w:val="1"/>
    <w:uiPriority w:val="0"/>
    <w:pPr>
      <w:pBdr>
        <w:left w:val="single" w:color="FFFFFF"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05">
    <w:name w:val="xl105"/>
    <w:basedOn w:val="1"/>
    <w:qFormat/>
    <w:uiPriority w:val="0"/>
    <w:pPr>
      <w:pBdr>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06">
    <w:name w:val="xl106"/>
    <w:basedOn w:val="1"/>
    <w:qFormat/>
    <w:uiPriority w:val="0"/>
    <w:pPr>
      <w:pBdr>
        <w:top w:val="single" w:color="95B3D7" w:sz="4" w:space="0"/>
        <w:left w:val="single" w:color="FFFFFF"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07">
    <w:name w:val="xl107"/>
    <w:basedOn w:val="1"/>
    <w:qFormat/>
    <w:uiPriority w:val="0"/>
    <w:pPr>
      <w:pBdr>
        <w:left w:val="single" w:color="FFFFFF"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08">
    <w:name w:val="xl108"/>
    <w:basedOn w:val="1"/>
    <w:qFormat/>
    <w:uiPriority w:val="0"/>
    <w:pPr>
      <w:pBdr>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character" w:customStyle="1" w:styleId="109">
    <w:name w:val="Mention1"/>
    <w:basedOn w:val="29"/>
    <w:semiHidden/>
    <w:unhideWhenUsed/>
    <w:qFormat/>
    <w:uiPriority w:val="99"/>
    <w:rPr>
      <w:color w:val="2B579A"/>
      <w:shd w:val="clear" w:color="auto" w:fill="E6E6E6"/>
    </w:rPr>
  </w:style>
  <w:style w:type="paragraph" w:customStyle="1" w:styleId="110">
    <w:name w:val="xl109"/>
    <w:basedOn w:val="1"/>
    <w:qFormat/>
    <w:uiPriority w:val="0"/>
    <w:pPr>
      <w:pBdr>
        <w:top w:val="single" w:color="95B3D7" w:sz="4" w:space="0"/>
        <w:left w:val="single" w:color="DCE6F1" w:sz="4" w:space="0"/>
        <w:bottom w:val="single" w:color="95B3D7" w:sz="4" w:space="0"/>
        <w:right w:val="single" w:color="DCE6F1" w:sz="4" w:space="0"/>
      </w:pBdr>
      <w:shd w:val="clear" w:color="000000" w:fill="DCE6F1"/>
      <w:spacing w:beforeAutospacing="1" w:after="100" w:afterAutospacing="1" w:line="240" w:lineRule="auto"/>
      <w:jc w:val="right"/>
      <w:textAlignment w:val="center"/>
    </w:pPr>
    <w:rPr>
      <w:rFonts w:ascii="Calibri" w:hAnsi="Calibri" w:eastAsia="Times New Roman" w:cs="Times New Roman"/>
      <w:b/>
      <w:bCs/>
      <w:color w:val="4F81BD"/>
      <w:sz w:val="14"/>
      <w:szCs w:val="14"/>
      <w:lang w:eastAsia="ro-RO"/>
    </w:rPr>
  </w:style>
  <w:style w:type="paragraph" w:customStyle="1" w:styleId="111">
    <w:name w:val="xl110"/>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i/>
      <w:iCs/>
      <w:color w:val="595959"/>
      <w:sz w:val="14"/>
      <w:szCs w:val="14"/>
      <w:lang w:eastAsia="ro-RO"/>
    </w:rPr>
  </w:style>
  <w:style w:type="paragraph" w:customStyle="1" w:styleId="112">
    <w:name w:val="xl111"/>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color w:val="595959"/>
      <w:sz w:val="14"/>
      <w:szCs w:val="14"/>
      <w:lang w:eastAsia="ro-RO"/>
    </w:rPr>
  </w:style>
  <w:style w:type="paragraph" w:customStyle="1" w:styleId="113">
    <w:name w:val="xl112"/>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color w:val="595959"/>
      <w:sz w:val="14"/>
      <w:szCs w:val="14"/>
      <w:lang w:eastAsia="ro-RO"/>
    </w:rPr>
  </w:style>
  <w:style w:type="paragraph" w:customStyle="1" w:styleId="114">
    <w:name w:val="xl113"/>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color w:val="595959"/>
      <w:sz w:val="14"/>
      <w:szCs w:val="14"/>
      <w:lang w:eastAsia="ro-RO"/>
    </w:rPr>
  </w:style>
  <w:style w:type="paragraph" w:customStyle="1" w:styleId="115">
    <w:name w:val="xl114"/>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i/>
      <w:iCs/>
      <w:color w:val="4F81BD"/>
      <w:sz w:val="14"/>
      <w:szCs w:val="14"/>
      <w:lang w:eastAsia="ro-RO"/>
    </w:rPr>
  </w:style>
  <w:style w:type="paragraph" w:customStyle="1" w:styleId="116">
    <w:name w:val="xl115"/>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b/>
      <w:bCs/>
      <w:color w:val="4F81BD"/>
      <w:sz w:val="14"/>
      <w:szCs w:val="14"/>
      <w:lang w:eastAsia="ro-RO"/>
    </w:rPr>
  </w:style>
  <w:style w:type="paragraph" w:customStyle="1" w:styleId="117">
    <w:name w:val="xl116"/>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b/>
      <w:bCs/>
      <w:color w:val="4F81BD"/>
      <w:sz w:val="14"/>
      <w:szCs w:val="14"/>
      <w:lang w:eastAsia="ro-RO"/>
    </w:rPr>
  </w:style>
  <w:style w:type="paragraph" w:customStyle="1" w:styleId="118">
    <w:name w:val="xl117"/>
    <w:basedOn w:val="1"/>
    <w:qFormat/>
    <w:uiPriority w:val="0"/>
    <w:pPr>
      <w:pBdr>
        <w:top w:val="single" w:color="95B3D7" w:sz="4" w:space="0"/>
        <w:left w:val="single" w:color="DCE6F1" w:sz="4" w:space="0"/>
        <w:bottom w:val="single" w:color="95B3D7" w:sz="4" w:space="0"/>
        <w:right w:val="single" w:color="DCE6F1" w:sz="4" w:space="0"/>
      </w:pBdr>
      <w:shd w:val="clear" w:color="000000" w:fill="DCE6F1"/>
      <w:spacing w:beforeAutospacing="1" w:after="100" w:afterAutospacing="1" w:line="240" w:lineRule="auto"/>
      <w:jc w:val="right"/>
      <w:textAlignment w:val="center"/>
    </w:pPr>
    <w:rPr>
      <w:rFonts w:ascii="Calibri" w:hAnsi="Calibri" w:eastAsia="Times New Roman" w:cs="Times New Roman"/>
      <w:color w:val="595959"/>
      <w:sz w:val="14"/>
      <w:szCs w:val="14"/>
      <w:lang w:eastAsia="ro-RO"/>
    </w:rPr>
  </w:style>
  <w:style w:type="paragraph" w:customStyle="1" w:styleId="119">
    <w:name w:val="xl118"/>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20">
    <w:name w:val="xl119"/>
    <w:basedOn w:val="1"/>
    <w:qFormat/>
    <w:uiPriority w:val="0"/>
    <w:pPr>
      <w:pBdr>
        <w:top w:val="single" w:color="FFFFFF" w:sz="4" w:space="0"/>
        <w:left w:val="single" w:color="FFFFFF"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121">
    <w:name w:val="xl120"/>
    <w:basedOn w:val="1"/>
    <w:qFormat/>
    <w:uiPriority w:val="0"/>
    <w:pPr>
      <w:pBdr>
        <w:top w:val="single" w:color="FFFFFF"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122">
    <w:name w:val="xl121"/>
    <w:basedOn w:val="1"/>
    <w:qFormat/>
    <w:uiPriority w:val="0"/>
    <w:pPr>
      <w:pBdr>
        <w:top w:val="single" w:color="FFFFFF" w:sz="4" w:space="0"/>
        <w:right w:val="single" w:color="FFFFFF"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123">
    <w:name w:val="xl122"/>
    <w:basedOn w:val="1"/>
    <w:qFormat/>
    <w:uiPriority w:val="0"/>
    <w:pPr>
      <w:pBdr>
        <w:left w:val="single" w:color="FFFFFF" w:sz="4" w:space="0"/>
        <w:bottom w:val="single" w:color="95B3D7"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124">
    <w:name w:val="xl123"/>
    <w:basedOn w:val="1"/>
    <w:qFormat/>
    <w:uiPriority w:val="0"/>
    <w:pPr>
      <w:pBdr>
        <w:bottom w:val="single" w:color="95B3D7"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125">
    <w:name w:val="xl124"/>
    <w:basedOn w:val="1"/>
    <w:qFormat/>
    <w:uiPriority w:val="0"/>
    <w:pPr>
      <w:pBdr>
        <w:bottom w:val="single" w:color="95B3D7" w:sz="4" w:space="0"/>
        <w:right w:val="single" w:color="FFFFFF"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126">
    <w:name w:val="xl125"/>
    <w:basedOn w:val="1"/>
    <w:qFormat/>
    <w:uiPriority w:val="0"/>
    <w:pPr>
      <w:pBdr>
        <w:top w:val="single" w:color="95B3D7"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27">
    <w:name w:val="xl126"/>
    <w:basedOn w:val="1"/>
    <w:qFormat/>
    <w:uiPriority w:val="0"/>
    <w:pP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28">
    <w:name w:val="xl127"/>
    <w:basedOn w:val="1"/>
    <w:uiPriority w:val="0"/>
    <w:pPr>
      <w:pBdr>
        <w:bottom w:val="single" w:color="95B3D7"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29">
    <w:name w:val="xl128"/>
    <w:basedOn w:val="1"/>
    <w:qFormat/>
    <w:uiPriority w:val="0"/>
    <w:pPr>
      <w:pBdr>
        <w:top w:val="single" w:color="95B3D7"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30">
    <w:name w:val="xl129"/>
    <w:basedOn w:val="1"/>
    <w:uiPriority w:val="0"/>
    <w:pP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31">
    <w:name w:val="xl130"/>
    <w:basedOn w:val="1"/>
    <w:qFormat/>
    <w:uiPriority w:val="0"/>
    <w:pPr>
      <w:pBdr>
        <w:bottom w:val="single" w:color="95B3D7"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32">
    <w:name w:val="xl131"/>
    <w:basedOn w:val="1"/>
    <w:qFormat/>
    <w:uiPriority w:val="0"/>
    <w:pPr>
      <w:pBdr>
        <w:top w:val="single" w:color="95B3D7" w:sz="4" w:space="0"/>
        <w:left w:val="single" w:color="FFFFFF"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33">
    <w:name w:val="xl132"/>
    <w:basedOn w:val="1"/>
    <w:qFormat/>
    <w:uiPriority w:val="0"/>
    <w:pPr>
      <w:pBdr>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34">
    <w:name w:val="xl133"/>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595959"/>
      <w:sz w:val="14"/>
      <w:szCs w:val="14"/>
      <w:lang w:eastAsia="ro-RO"/>
    </w:rPr>
  </w:style>
  <w:style w:type="paragraph" w:customStyle="1" w:styleId="135">
    <w:name w:val="xl134"/>
    <w:basedOn w:val="1"/>
    <w:uiPriority w:val="0"/>
    <w:pPr>
      <w:pBdr>
        <w:top w:val="single" w:color="95B3D7" w:sz="4" w:space="0"/>
        <w:right w:val="single" w:color="DCE6F1" w:sz="4" w:space="0"/>
      </w:pBdr>
      <w:shd w:val="clear" w:color="000000" w:fill="DCE6F1"/>
      <w:spacing w:beforeAutospacing="1" w:after="100" w:afterAutospacing="1" w:line="240" w:lineRule="auto"/>
      <w:jc w:val="right"/>
      <w:textAlignment w:val="top"/>
    </w:pPr>
    <w:rPr>
      <w:rFonts w:ascii="Calibri" w:hAnsi="Calibri" w:eastAsia="Times New Roman" w:cs="Times New Roman"/>
      <w:b/>
      <w:bCs/>
      <w:color w:val="595959"/>
      <w:sz w:val="14"/>
      <w:szCs w:val="14"/>
      <w:lang w:eastAsia="ro-RO"/>
    </w:rPr>
  </w:style>
  <w:style w:type="paragraph" w:customStyle="1" w:styleId="136">
    <w:name w:val="xl135"/>
    <w:basedOn w:val="1"/>
    <w:qFormat/>
    <w:uiPriority w:val="0"/>
    <w:pPr>
      <w:pBdr>
        <w:right w:val="single" w:color="DCE6F1" w:sz="4" w:space="0"/>
      </w:pBdr>
      <w:shd w:val="clear" w:color="000000" w:fill="DCE6F1"/>
      <w:spacing w:beforeAutospacing="1" w:after="100" w:afterAutospacing="1" w:line="240" w:lineRule="auto"/>
      <w:jc w:val="right"/>
      <w:textAlignment w:val="top"/>
    </w:pPr>
    <w:rPr>
      <w:rFonts w:ascii="Calibri" w:hAnsi="Calibri" w:eastAsia="Times New Roman" w:cs="Times New Roman"/>
      <w:b/>
      <w:bCs/>
      <w:color w:val="595959"/>
      <w:sz w:val="14"/>
      <w:szCs w:val="14"/>
      <w:lang w:eastAsia="ro-RO"/>
    </w:rPr>
  </w:style>
  <w:style w:type="paragraph" w:customStyle="1" w:styleId="137">
    <w:name w:val="xl136"/>
    <w:basedOn w:val="1"/>
    <w:qFormat/>
    <w:uiPriority w:val="0"/>
    <w:pPr>
      <w:pBdr>
        <w:bottom w:val="single" w:color="95B3D7" w:sz="4" w:space="0"/>
        <w:right w:val="single" w:color="DCE6F1" w:sz="4" w:space="0"/>
      </w:pBdr>
      <w:shd w:val="clear" w:color="000000" w:fill="DCE6F1"/>
      <w:spacing w:beforeAutospacing="1" w:after="100" w:afterAutospacing="1" w:line="240" w:lineRule="auto"/>
      <w:jc w:val="right"/>
      <w:textAlignment w:val="top"/>
    </w:pPr>
    <w:rPr>
      <w:rFonts w:ascii="Calibri" w:hAnsi="Calibri" w:eastAsia="Times New Roman" w:cs="Times New Roman"/>
      <w:b/>
      <w:bCs/>
      <w:color w:val="595959"/>
      <w:sz w:val="14"/>
      <w:szCs w:val="14"/>
      <w:lang w:eastAsia="ro-RO"/>
    </w:rPr>
  </w:style>
  <w:style w:type="character" w:customStyle="1" w:styleId="138">
    <w:name w:val="Footnote Characters"/>
    <w:basedOn w:val="29"/>
    <w:semiHidden/>
    <w:unhideWhenUsed/>
    <w:qFormat/>
    <w:uiPriority w:val="99"/>
    <w:rPr>
      <w:vertAlign w:val="superscript"/>
    </w:rPr>
  </w:style>
  <w:style w:type="character" w:customStyle="1" w:styleId="139">
    <w:name w:val="Footnote Anchor"/>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jpeg"/><Relationship Id="rId12" Type="http://schemas.openxmlformats.org/officeDocument/2006/relationships/image" Target="media/image2.png"/><Relationship Id="rId11" Type="http://schemas.microsoft.com/office/2007/relationships/hdphoto" Target="media/hdphoto1.wdp"/><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B476F8-CFF7-4988-B4A2-91EE5AA10E61}">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8315</Words>
  <Characters>47398</Characters>
  <Lines>394</Lines>
  <Paragraphs>111</Paragraphs>
  <TotalTime>29</TotalTime>
  <ScaleCrop>false</ScaleCrop>
  <LinksUpToDate>false</LinksUpToDate>
  <CharactersWithSpaces>55602</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2021-07-05T05:24:00Z</dcterms:created>
  <dcterms:modified xsi:type="dcterms:W3CDTF">2021-07-05T09:40:43Z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